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r>
        <w:rPr>
          <w:rFonts w:hint="eastAsia" w:ascii="宋体" w:hAnsi="宋体" w:eastAsia="宋体" w:cs="宋体"/>
          <w:b/>
          <w:bCs/>
          <w:color w:val="auto"/>
          <w:kern w:val="0"/>
          <w:sz w:val="60"/>
          <w:szCs w:val="60"/>
          <w:highlight w:val="none"/>
          <w:lang w:val="zh-CN"/>
        </w:rPr>
        <w:t>东莞市供水设施更新改造项目-松山湖新城路给水管网改造工程第三方监测服务采购项目</w:t>
      </w:r>
    </w:p>
    <w:p>
      <w:pPr>
        <w:autoSpaceDE w:val="0"/>
        <w:autoSpaceDN w:val="0"/>
        <w:adjustRightInd w:val="0"/>
        <w:ind w:right="-23" w:rightChars="-11"/>
        <w:jc w:val="left"/>
        <w:rPr>
          <w:rFonts w:ascii="宋体" w:hAnsi="宋体" w:eastAsia="宋体" w:cs="宋体"/>
          <w:b/>
          <w:bCs/>
          <w:color w:val="auto"/>
          <w:sz w:val="44"/>
          <w:szCs w:val="44"/>
          <w:highlight w:val="none"/>
          <w:lang w:val="zh-CN"/>
        </w:rPr>
      </w:pPr>
    </w:p>
    <w:p>
      <w:pPr>
        <w:autoSpaceDE w:val="0"/>
        <w:autoSpaceDN w:val="0"/>
        <w:adjustRightInd w:val="0"/>
        <w:ind w:right="-23" w:rightChars="-11"/>
        <w:jc w:val="center"/>
        <w:rPr>
          <w:rFonts w:ascii="宋体" w:hAnsi="宋体" w:eastAsia="宋体" w:cs="Times New Roman"/>
          <w:b/>
          <w:bCs/>
          <w:color w:val="auto"/>
          <w:sz w:val="72"/>
          <w:szCs w:val="72"/>
          <w:highlight w:val="none"/>
          <w:lang w:val="zh-CN"/>
        </w:rPr>
      </w:pPr>
    </w:p>
    <w:p>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pPr>
        <w:autoSpaceDE w:val="0"/>
        <w:autoSpaceDN w:val="0"/>
        <w:adjustRightInd w:val="0"/>
        <w:ind w:right="-23" w:rightChars="-11"/>
        <w:jc w:val="center"/>
        <w:rPr>
          <w:rFonts w:ascii="宋体" w:hAnsi="宋体" w:eastAsia="宋体" w:cs="宋体"/>
          <w:b/>
          <w:bCs/>
          <w:color w:val="auto"/>
          <w:sz w:val="32"/>
          <w:szCs w:val="32"/>
          <w:highlight w:val="none"/>
          <w:lang w:val="zh-CN"/>
        </w:rPr>
      </w:pPr>
    </w:p>
    <w:p>
      <w:pPr>
        <w:autoSpaceDE w:val="0"/>
        <w:autoSpaceDN w:val="0"/>
        <w:adjustRightInd w:val="0"/>
        <w:ind w:right="-23" w:rightChars="-11"/>
        <w:jc w:val="center"/>
        <w:rPr>
          <w:rFonts w:ascii="宋体" w:hAnsi="宋体" w:eastAsia="宋体" w:cs="宋体"/>
          <w:b/>
          <w:bCs/>
          <w:color w:val="auto"/>
          <w:sz w:val="44"/>
          <w:szCs w:val="44"/>
          <w:highlight w:val="none"/>
          <w:lang w:val="zh-CN"/>
        </w:rPr>
      </w:pPr>
    </w:p>
    <w:p>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号：0832-SFCX24DG197C</w:t>
      </w: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人：东莞市水务集团建设管理有限公司</w:t>
      </w: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招标代理机构：三方诚信招标有限公司</w:t>
      </w:r>
    </w:p>
    <w:p>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12</w:t>
      </w:r>
      <w:r>
        <w:rPr>
          <w:rFonts w:hint="eastAsia" w:ascii="宋体" w:hAnsi="宋体" w:eastAsia="宋体" w:cs="宋体"/>
          <w:b/>
          <w:bCs/>
          <w:color w:val="auto"/>
          <w:sz w:val="32"/>
          <w:szCs w:val="32"/>
          <w:highlight w:val="none"/>
          <w:lang w:val="zh-CN"/>
        </w:rPr>
        <w:t>日</w:t>
      </w:r>
    </w:p>
    <w:p>
      <w:pPr>
        <w:rPr>
          <w:rFonts w:ascii="宋体" w:hAnsi="宋体" w:eastAsia="宋体" w:cs="Times New Roman"/>
          <w:b/>
          <w:bCs/>
          <w:color w:val="auto"/>
          <w:kern w:val="44"/>
          <w:sz w:val="32"/>
          <w:szCs w:val="32"/>
          <w:highlight w:val="none"/>
          <w:lang w:val="zh-CN"/>
        </w:rPr>
      </w:pPr>
      <w:bookmarkStart w:id="0" w:name="_Toc20249"/>
      <w:bookmarkStart w:id="1" w:name="_Toc486167660"/>
      <w:bookmarkStart w:id="2" w:name="_Toc4869"/>
      <w:bookmarkStart w:id="3" w:name="_Toc450662846"/>
      <w:bookmarkStart w:id="4" w:name="_Toc9414"/>
      <w:bookmarkStart w:id="5" w:name="_Toc17326"/>
      <w:bookmarkStart w:id="6" w:name="_Toc142508310"/>
      <w:bookmarkStart w:id="7" w:name="_Toc2723_WPSOffice_Level1"/>
      <w:r>
        <w:rPr>
          <w:rFonts w:ascii="宋体" w:hAnsi="宋体" w:eastAsia="宋体" w:cs="Times New Roman"/>
          <w:b/>
          <w:bCs/>
          <w:color w:val="auto"/>
          <w:kern w:val="44"/>
          <w:sz w:val="32"/>
          <w:szCs w:val="32"/>
          <w:highlight w:val="none"/>
          <w:lang w:val="zh-CN"/>
        </w:rPr>
        <w:br w:type="page"/>
      </w:r>
    </w:p>
    <w:p>
      <w:pPr>
        <w:jc w:val="center"/>
        <w:rPr>
          <w:rFonts w:hint="eastAsia" w:ascii="宋体" w:hAnsi="宋体" w:eastAsia="宋体" w:cs="Times New Roman"/>
          <w:b/>
          <w:bCs/>
          <w:color w:val="auto"/>
          <w:kern w:val="44"/>
          <w:sz w:val="32"/>
          <w:szCs w:val="32"/>
          <w:highlight w:val="none"/>
          <w:lang w:val="zh-CN"/>
        </w:rPr>
      </w:pPr>
      <w:r>
        <w:rPr>
          <w:rFonts w:hint="eastAsia" w:ascii="宋体" w:hAnsi="宋体" w:eastAsia="宋体" w:cs="Times New Roman"/>
          <w:b/>
          <w:bCs/>
          <w:color w:val="auto"/>
          <w:kern w:val="44"/>
          <w:sz w:val="32"/>
          <w:szCs w:val="32"/>
          <w:highlight w:val="none"/>
          <w:lang w:val="zh-CN"/>
        </w:rPr>
        <w:t>目录</w:t>
      </w:r>
    </w:p>
    <w:p>
      <w:pPr>
        <w:pStyle w:val="28"/>
        <w:tabs>
          <w:tab w:val="right" w:leader="dot" w:pos="10154"/>
        </w:tabs>
        <w:rPr>
          <w:color w:val="auto"/>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_Toc3368 </w:instrText>
      </w:r>
      <w:r>
        <w:rPr>
          <w:rFonts w:hint="eastAsia" w:ascii="宋体" w:hAnsi="宋体" w:eastAsia="宋体" w:cs="宋体"/>
          <w:color w:val="auto"/>
          <w:szCs w:val="21"/>
          <w:highlight w:val="none"/>
        </w:rPr>
        <w:fldChar w:fldCharType="separate"/>
      </w:r>
      <w:r>
        <w:rPr>
          <w:rFonts w:ascii="宋体" w:hAnsi="宋体" w:eastAsia="宋体" w:cs="Times New Roman"/>
          <w:bCs/>
          <w:color w:val="auto"/>
          <w:kern w:val="44"/>
          <w:szCs w:val="32"/>
          <w:highlight w:val="none"/>
          <w:lang w:val="zh-CN"/>
        </w:rPr>
        <w:t>第一篇 招标公告</w:t>
      </w:r>
      <w:r>
        <w:rPr>
          <w:color w:val="auto"/>
          <w:highlight w:val="none"/>
        </w:rPr>
        <w:tab/>
      </w:r>
      <w:r>
        <w:rPr>
          <w:color w:val="auto"/>
          <w:highlight w:val="none"/>
        </w:rPr>
        <w:fldChar w:fldCharType="begin"/>
      </w:r>
      <w:r>
        <w:rPr>
          <w:color w:val="auto"/>
          <w:highlight w:val="none"/>
        </w:rPr>
        <w:instrText xml:space="preserve"> PAGEREF _Toc3368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eastAsia="宋体" w:cs="宋体"/>
          <w:color w:val="auto"/>
          <w:szCs w:val="21"/>
          <w:highlight w:val="none"/>
        </w:rPr>
        <w:fldChar w:fldCharType="end"/>
      </w:r>
    </w:p>
    <w:p>
      <w:pPr>
        <w:pStyle w:val="28"/>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_Toc10275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第二篇</w:t>
      </w:r>
      <w:r>
        <w:rPr>
          <w:rFonts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color w:val="auto"/>
          <w:highlight w:val="none"/>
        </w:rPr>
        <w:tab/>
      </w:r>
      <w:r>
        <w:rPr>
          <w:color w:val="auto"/>
          <w:highlight w:val="none"/>
        </w:rPr>
        <w:fldChar w:fldCharType="begin"/>
      </w:r>
      <w:r>
        <w:rPr>
          <w:color w:val="auto"/>
          <w:highlight w:val="none"/>
        </w:rPr>
        <w:instrText xml:space="preserve"> PAGEREF _Toc10275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szCs w:val="21"/>
          <w:highlight w:val="none"/>
        </w:rPr>
        <w:fldChar w:fldCharType="end"/>
      </w:r>
    </w:p>
    <w:p>
      <w:pPr>
        <w:pStyle w:val="28"/>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_Toc6692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一、总则</w:t>
      </w:r>
      <w:r>
        <w:rPr>
          <w:color w:val="auto"/>
          <w:highlight w:val="none"/>
        </w:rPr>
        <w:tab/>
      </w:r>
      <w:r>
        <w:rPr>
          <w:color w:val="auto"/>
          <w:highlight w:val="none"/>
        </w:rPr>
        <w:fldChar w:fldCharType="begin"/>
      </w:r>
      <w:r>
        <w:rPr>
          <w:color w:val="auto"/>
          <w:highlight w:val="none"/>
        </w:rPr>
        <w:instrText xml:space="preserve"> PAGEREF _Toc6692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_Toc32670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r>
        <w:rPr>
          <w:color w:val="auto"/>
          <w:highlight w:val="none"/>
        </w:rPr>
        <w:tab/>
      </w:r>
      <w:r>
        <w:rPr>
          <w:color w:val="auto"/>
          <w:highlight w:val="none"/>
        </w:rPr>
        <w:fldChar w:fldCharType="begin"/>
      </w:r>
      <w:r>
        <w:rPr>
          <w:color w:val="auto"/>
          <w:highlight w:val="none"/>
        </w:rPr>
        <w:instrText xml:space="preserve"> PAGEREF _Toc32670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_Toc11306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合格的投标人</w:t>
      </w:r>
      <w:r>
        <w:rPr>
          <w:color w:val="auto"/>
          <w:highlight w:val="none"/>
        </w:rPr>
        <w:tab/>
      </w:r>
      <w:r>
        <w:rPr>
          <w:color w:val="auto"/>
          <w:highlight w:val="none"/>
        </w:rPr>
        <w:fldChar w:fldCharType="begin"/>
      </w:r>
      <w:r>
        <w:rPr>
          <w:color w:val="auto"/>
          <w:highlight w:val="none"/>
        </w:rPr>
        <w:instrText xml:space="preserve"> PAGEREF _Toc11306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_Toc8525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合格的</w:t>
      </w:r>
      <w:r>
        <w:rPr>
          <w:rFonts w:hint="eastAsia" w:ascii="宋体" w:hAnsi="宋体" w:eastAsia="宋体" w:cs="宋体"/>
          <w:color w:val="auto"/>
          <w:szCs w:val="21"/>
          <w:highlight w:val="none"/>
          <w:lang w:val="en-US" w:eastAsia="zh-CN"/>
        </w:rPr>
        <w:t>服务</w:t>
      </w:r>
      <w:r>
        <w:rPr>
          <w:color w:val="auto"/>
          <w:highlight w:val="none"/>
        </w:rPr>
        <w:tab/>
      </w:r>
      <w:r>
        <w:rPr>
          <w:color w:val="auto"/>
          <w:highlight w:val="none"/>
        </w:rPr>
        <w:fldChar w:fldCharType="begin"/>
      </w:r>
      <w:r>
        <w:rPr>
          <w:color w:val="auto"/>
          <w:highlight w:val="none"/>
        </w:rPr>
        <w:instrText xml:space="preserve"> PAGEREF _Toc8525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_Toc23682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r>
        <w:rPr>
          <w:color w:val="auto"/>
          <w:highlight w:val="none"/>
        </w:rPr>
        <w:tab/>
      </w:r>
      <w:r>
        <w:rPr>
          <w:color w:val="auto"/>
          <w:highlight w:val="none"/>
        </w:rPr>
        <w:fldChar w:fldCharType="begin"/>
      </w:r>
      <w:r>
        <w:rPr>
          <w:color w:val="auto"/>
          <w:highlight w:val="none"/>
        </w:rPr>
        <w:instrText xml:space="preserve"> PAGEREF _Toc23682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szCs w:val="21"/>
          <w:highlight w:val="none"/>
        </w:rPr>
        <w:fldChar w:fldCharType="end"/>
      </w:r>
    </w:p>
    <w:p>
      <w:pPr>
        <w:pStyle w:val="28"/>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_Toc31289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二、招标文件</w:t>
      </w:r>
      <w:r>
        <w:rPr>
          <w:color w:val="auto"/>
          <w:highlight w:val="none"/>
        </w:rPr>
        <w:tab/>
      </w:r>
      <w:r>
        <w:rPr>
          <w:color w:val="auto"/>
          <w:highlight w:val="none"/>
        </w:rPr>
        <w:fldChar w:fldCharType="begin"/>
      </w:r>
      <w:r>
        <w:rPr>
          <w:color w:val="auto"/>
          <w:highlight w:val="none"/>
        </w:rPr>
        <w:instrText xml:space="preserve"> PAGEREF _Toc31289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_Toc5505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r>
        <w:rPr>
          <w:color w:val="auto"/>
          <w:highlight w:val="none"/>
        </w:rPr>
        <w:tab/>
      </w:r>
      <w:r>
        <w:rPr>
          <w:color w:val="auto"/>
          <w:highlight w:val="none"/>
        </w:rPr>
        <w:fldChar w:fldCharType="begin"/>
      </w:r>
      <w:r>
        <w:rPr>
          <w:color w:val="auto"/>
          <w:highlight w:val="none"/>
        </w:rPr>
        <w:instrText xml:space="preserve"> PAGEREF _Toc5505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_Toc32527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r>
        <w:rPr>
          <w:color w:val="auto"/>
          <w:highlight w:val="none"/>
        </w:rPr>
        <w:tab/>
      </w:r>
      <w:r>
        <w:rPr>
          <w:color w:val="auto"/>
          <w:highlight w:val="none"/>
        </w:rPr>
        <w:fldChar w:fldCharType="begin"/>
      </w:r>
      <w:r>
        <w:rPr>
          <w:color w:val="auto"/>
          <w:highlight w:val="none"/>
        </w:rPr>
        <w:instrText xml:space="preserve"> PAGEREF _Toc32527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_Toc1576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r>
        <w:rPr>
          <w:color w:val="auto"/>
          <w:highlight w:val="none"/>
        </w:rPr>
        <w:tab/>
      </w:r>
      <w:r>
        <w:rPr>
          <w:color w:val="auto"/>
          <w:highlight w:val="none"/>
        </w:rPr>
        <w:fldChar w:fldCharType="begin"/>
      </w:r>
      <w:r>
        <w:rPr>
          <w:color w:val="auto"/>
          <w:highlight w:val="none"/>
        </w:rPr>
        <w:instrText xml:space="preserve"> PAGEREF _Toc1576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21"/>
          <w:highlight w:val="none"/>
        </w:rPr>
        <w:fldChar w:fldCharType="end"/>
      </w:r>
    </w:p>
    <w:p>
      <w:pPr>
        <w:pStyle w:val="28"/>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_Toc967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三、投标文件的编制</w:t>
      </w:r>
      <w:r>
        <w:rPr>
          <w:color w:val="auto"/>
          <w:highlight w:val="none"/>
        </w:rPr>
        <w:tab/>
      </w:r>
      <w:r>
        <w:rPr>
          <w:color w:val="auto"/>
          <w:highlight w:val="none"/>
        </w:rPr>
        <w:fldChar w:fldCharType="begin"/>
      </w:r>
      <w:r>
        <w:rPr>
          <w:color w:val="auto"/>
          <w:highlight w:val="none"/>
        </w:rPr>
        <w:instrText xml:space="preserve"> PAGEREF _Toc967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_Toc30617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r>
        <w:rPr>
          <w:color w:val="auto"/>
          <w:highlight w:val="none"/>
        </w:rPr>
        <w:tab/>
      </w:r>
      <w:r>
        <w:rPr>
          <w:color w:val="auto"/>
          <w:highlight w:val="none"/>
        </w:rPr>
        <w:fldChar w:fldCharType="begin"/>
      </w:r>
      <w:r>
        <w:rPr>
          <w:color w:val="auto"/>
          <w:highlight w:val="none"/>
        </w:rPr>
        <w:instrText xml:space="preserve"> PAGEREF _Toc30617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_Toc9665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9</w:t>
      </w:r>
      <w:r>
        <w:rPr>
          <w:rFonts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color w:val="auto"/>
          <w:highlight w:val="none"/>
        </w:rPr>
        <w:tab/>
      </w:r>
      <w:r>
        <w:rPr>
          <w:color w:val="auto"/>
          <w:highlight w:val="none"/>
        </w:rPr>
        <w:fldChar w:fldCharType="begin"/>
      </w:r>
      <w:r>
        <w:rPr>
          <w:color w:val="auto"/>
          <w:highlight w:val="none"/>
        </w:rPr>
        <w:instrText xml:space="preserve"> PAGEREF _Toc9665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_Toc20315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r>
        <w:rPr>
          <w:color w:val="auto"/>
          <w:highlight w:val="none"/>
        </w:rPr>
        <w:tab/>
      </w:r>
      <w:r>
        <w:rPr>
          <w:color w:val="auto"/>
          <w:highlight w:val="none"/>
        </w:rPr>
        <w:fldChar w:fldCharType="begin"/>
      </w:r>
      <w:r>
        <w:rPr>
          <w:color w:val="auto"/>
          <w:highlight w:val="none"/>
        </w:rPr>
        <w:instrText xml:space="preserve"> PAGEREF _Toc20315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_Toc905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r>
        <w:rPr>
          <w:color w:val="auto"/>
          <w:highlight w:val="none"/>
        </w:rPr>
        <w:tab/>
      </w:r>
      <w:r>
        <w:rPr>
          <w:color w:val="auto"/>
          <w:highlight w:val="none"/>
        </w:rPr>
        <w:fldChar w:fldCharType="begin"/>
      </w:r>
      <w:r>
        <w:rPr>
          <w:color w:val="auto"/>
          <w:highlight w:val="none"/>
        </w:rPr>
        <w:instrText xml:space="preserve"> PAGEREF _Toc905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_Toc11390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投标报价货币</w:t>
      </w:r>
      <w:r>
        <w:rPr>
          <w:color w:val="auto"/>
          <w:highlight w:val="none"/>
        </w:rPr>
        <w:tab/>
      </w:r>
      <w:r>
        <w:rPr>
          <w:color w:val="auto"/>
          <w:highlight w:val="none"/>
        </w:rPr>
        <w:fldChar w:fldCharType="begin"/>
      </w:r>
      <w:r>
        <w:rPr>
          <w:color w:val="auto"/>
          <w:highlight w:val="none"/>
        </w:rPr>
        <w:instrText xml:space="preserve"> PAGEREF _Toc11390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_Toc6100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r>
        <w:rPr>
          <w:color w:val="auto"/>
          <w:highlight w:val="none"/>
        </w:rPr>
        <w:tab/>
      </w:r>
      <w:r>
        <w:rPr>
          <w:color w:val="auto"/>
          <w:highlight w:val="none"/>
        </w:rPr>
        <w:fldChar w:fldCharType="begin"/>
      </w:r>
      <w:r>
        <w:rPr>
          <w:color w:val="auto"/>
          <w:highlight w:val="none"/>
        </w:rPr>
        <w:instrText xml:space="preserve"> PAGEREF _Toc6100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_Toc16158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证明服务的合格性并符合招标文件规定的声明文件</w:t>
      </w:r>
      <w:r>
        <w:rPr>
          <w:color w:val="auto"/>
          <w:highlight w:val="none"/>
        </w:rPr>
        <w:tab/>
      </w:r>
      <w:r>
        <w:rPr>
          <w:color w:val="auto"/>
          <w:highlight w:val="none"/>
        </w:rPr>
        <w:fldChar w:fldCharType="begin"/>
      </w:r>
      <w:r>
        <w:rPr>
          <w:color w:val="auto"/>
          <w:highlight w:val="none"/>
        </w:rPr>
        <w:instrText xml:space="preserve"> PAGEREF _Toc16158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_Toc31113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r>
        <w:rPr>
          <w:color w:val="auto"/>
          <w:highlight w:val="none"/>
        </w:rPr>
        <w:tab/>
      </w:r>
      <w:r>
        <w:rPr>
          <w:color w:val="auto"/>
          <w:highlight w:val="none"/>
        </w:rPr>
        <w:fldChar w:fldCharType="begin"/>
      </w:r>
      <w:r>
        <w:rPr>
          <w:color w:val="auto"/>
          <w:highlight w:val="none"/>
        </w:rPr>
        <w:instrText xml:space="preserve"> PAGEREF _Toc31113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_Toc13537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r>
        <w:rPr>
          <w:color w:val="auto"/>
          <w:highlight w:val="none"/>
        </w:rPr>
        <w:tab/>
      </w:r>
      <w:r>
        <w:rPr>
          <w:color w:val="auto"/>
          <w:highlight w:val="none"/>
        </w:rPr>
        <w:fldChar w:fldCharType="begin"/>
      </w:r>
      <w:r>
        <w:rPr>
          <w:color w:val="auto"/>
          <w:highlight w:val="none"/>
        </w:rPr>
        <w:instrText xml:space="preserve"> PAGEREF _Toc13537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_Toc4290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r>
        <w:rPr>
          <w:color w:val="auto"/>
          <w:highlight w:val="none"/>
        </w:rPr>
        <w:tab/>
      </w:r>
      <w:r>
        <w:rPr>
          <w:color w:val="auto"/>
          <w:highlight w:val="none"/>
        </w:rPr>
        <w:fldChar w:fldCharType="begin"/>
      </w:r>
      <w:r>
        <w:rPr>
          <w:color w:val="auto"/>
          <w:highlight w:val="none"/>
        </w:rPr>
        <w:instrText xml:space="preserve"> PAGEREF _Toc4290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1"/>
          <w:highlight w:val="none"/>
        </w:rPr>
        <w:fldChar w:fldCharType="end"/>
      </w:r>
    </w:p>
    <w:p>
      <w:pPr>
        <w:pStyle w:val="28"/>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_Toc10836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四、投标文件的递交</w:t>
      </w:r>
      <w:r>
        <w:rPr>
          <w:color w:val="auto"/>
          <w:highlight w:val="none"/>
        </w:rPr>
        <w:tab/>
      </w:r>
      <w:r>
        <w:rPr>
          <w:color w:val="auto"/>
          <w:highlight w:val="none"/>
        </w:rPr>
        <w:fldChar w:fldCharType="begin"/>
      </w:r>
      <w:r>
        <w:rPr>
          <w:color w:val="auto"/>
          <w:highlight w:val="none"/>
        </w:rPr>
        <w:instrText xml:space="preserve"> PAGEREF _Toc10836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_Toc4397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r>
        <w:rPr>
          <w:color w:val="auto"/>
          <w:highlight w:val="none"/>
        </w:rPr>
        <w:tab/>
      </w:r>
      <w:r>
        <w:rPr>
          <w:color w:val="auto"/>
          <w:highlight w:val="none"/>
        </w:rPr>
        <w:fldChar w:fldCharType="begin"/>
      </w:r>
      <w:r>
        <w:rPr>
          <w:color w:val="auto"/>
          <w:highlight w:val="none"/>
        </w:rPr>
        <w:instrText xml:space="preserve"> PAGEREF _Toc4397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_Toc20576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r>
        <w:rPr>
          <w:color w:val="auto"/>
          <w:highlight w:val="none"/>
        </w:rPr>
        <w:tab/>
      </w:r>
      <w:r>
        <w:rPr>
          <w:color w:val="auto"/>
          <w:highlight w:val="none"/>
        </w:rPr>
        <w:fldChar w:fldCharType="begin"/>
      </w:r>
      <w:r>
        <w:rPr>
          <w:color w:val="auto"/>
          <w:highlight w:val="none"/>
        </w:rPr>
        <w:instrText xml:space="preserve"> PAGEREF _Toc20576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_Toc19521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20 迟交的投标文件</w:t>
      </w:r>
      <w:r>
        <w:rPr>
          <w:color w:val="auto"/>
          <w:highlight w:val="none"/>
        </w:rPr>
        <w:tab/>
      </w:r>
      <w:r>
        <w:rPr>
          <w:color w:val="auto"/>
          <w:highlight w:val="none"/>
        </w:rPr>
        <w:fldChar w:fldCharType="begin"/>
      </w:r>
      <w:r>
        <w:rPr>
          <w:color w:val="auto"/>
          <w:highlight w:val="none"/>
        </w:rPr>
        <w:instrText xml:space="preserve"> PAGEREF _Toc19521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_Toc11814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r>
        <w:rPr>
          <w:color w:val="auto"/>
          <w:highlight w:val="none"/>
        </w:rPr>
        <w:tab/>
      </w:r>
      <w:r>
        <w:rPr>
          <w:color w:val="auto"/>
          <w:highlight w:val="none"/>
        </w:rPr>
        <w:fldChar w:fldCharType="begin"/>
      </w:r>
      <w:r>
        <w:rPr>
          <w:color w:val="auto"/>
          <w:highlight w:val="none"/>
        </w:rPr>
        <w:instrText xml:space="preserve"> PAGEREF _Toc11814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1"/>
          <w:highlight w:val="none"/>
        </w:rPr>
        <w:fldChar w:fldCharType="end"/>
      </w:r>
    </w:p>
    <w:p>
      <w:pPr>
        <w:pStyle w:val="28"/>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_Toc16909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五、开标与评标</w:t>
      </w:r>
      <w:r>
        <w:rPr>
          <w:color w:val="auto"/>
          <w:highlight w:val="none"/>
        </w:rPr>
        <w:tab/>
      </w:r>
      <w:r>
        <w:rPr>
          <w:color w:val="auto"/>
          <w:highlight w:val="none"/>
        </w:rPr>
        <w:fldChar w:fldCharType="begin"/>
      </w:r>
      <w:r>
        <w:rPr>
          <w:color w:val="auto"/>
          <w:highlight w:val="none"/>
        </w:rPr>
        <w:instrText xml:space="preserve"> PAGEREF _Toc16909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_Toc27399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r>
        <w:rPr>
          <w:color w:val="auto"/>
          <w:highlight w:val="none"/>
        </w:rPr>
        <w:tab/>
      </w:r>
      <w:r>
        <w:rPr>
          <w:color w:val="auto"/>
          <w:highlight w:val="none"/>
        </w:rPr>
        <w:fldChar w:fldCharType="begin"/>
      </w:r>
      <w:r>
        <w:rPr>
          <w:color w:val="auto"/>
          <w:highlight w:val="none"/>
        </w:rPr>
        <w:instrText xml:space="preserve"> PAGEREF _Toc27399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_Toc19900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r>
        <w:rPr>
          <w:color w:val="auto"/>
          <w:highlight w:val="none"/>
        </w:rPr>
        <w:tab/>
      </w:r>
      <w:r>
        <w:rPr>
          <w:color w:val="auto"/>
          <w:highlight w:val="none"/>
        </w:rPr>
        <w:fldChar w:fldCharType="begin"/>
      </w:r>
      <w:r>
        <w:rPr>
          <w:color w:val="auto"/>
          <w:highlight w:val="none"/>
        </w:rPr>
        <w:instrText xml:space="preserve"> PAGEREF _Toc19900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_Toc10660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r>
        <w:rPr>
          <w:color w:val="auto"/>
          <w:highlight w:val="none"/>
        </w:rPr>
        <w:tab/>
      </w:r>
      <w:r>
        <w:rPr>
          <w:color w:val="auto"/>
          <w:highlight w:val="none"/>
        </w:rPr>
        <w:fldChar w:fldCharType="begin"/>
      </w:r>
      <w:r>
        <w:rPr>
          <w:color w:val="auto"/>
          <w:highlight w:val="none"/>
        </w:rPr>
        <w:instrText xml:space="preserve"> PAGEREF _Toc10660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_Toc29442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投标文件的初审</w:t>
      </w:r>
      <w:r>
        <w:rPr>
          <w:color w:val="auto"/>
          <w:highlight w:val="none"/>
        </w:rPr>
        <w:tab/>
      </w:r>
      <w:r>
        <w:rPr>
          <w:color w:val="auto"/>
          <w:highlight w:val="none"/>
        </w:rPr>
        <w:fldChar w:fldCharType="begin"/>
      </w:r>
      <w:r>
        <w:rPr>
          <w:color w:val="auto"/>
          <w:highlight w:val="none"/>
        </w:rPr>
        <w:instrText xml:space="preserve"> PAGEREF _Toc29442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_Toc1046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r>
        <w:rPr>
          <w:color w:val="auto"/>
          <w:highlight w:val="none"/>
        </w:rPr>
        <w:tab/>
      </w:r>
      <w:r>
        <w:rPr>
          <w:color w:val="auto"/>
          <w:highlight w:val="none"/>
        </w:rPr>
        <w:fldChar w:fldCharType="begin"/>
      </w:r>
      <w:r>
        <w:rPr>
          <w:color w:val="auto"/>
          <w:highlight w:val="none"/>
        </w:rPr>
        <w:instrText xml:space="preserve"> PAGEREF _Toc1046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_Toc15363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r>
        <w:rPr>
          <w:color w:val="auto"/>
          <w:highlight w:val="none"/>
        </w:rPr>
        <w:tab/>
      </w:r>
      <w:r>
        <w:rPr>
          <w:color w:val="auto"/>
          <w:highlight w:val="none"/>
        </w:rPr>
        <w:fldChar w:fldCharType="begin"/>
      </w:r>
      <w:r>
        <w:rPr>
          <w:color w:val="auto"/>
          <w:highlight w:val="none"/>
        </w:rPr>
        <w:instrText xml:space="preserve"> PAGEREF _Toc15363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_Toc31407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r>
        <w:rPr>
          <w:color w:val="auto"/>
          <w:highlight w:val="none"/>
        </w:rPr>
        <w:tab/>
      </w:r>
      <w:r>
        <w:rPr>
          <w:color w:val="auto"/>
          <w:highlight w:val="none"/>
        </w:rPr>
        <w:fldChar w:fldCharType="begin"/>
      </w:r>
      <w:r>
        <w:rPr>
          <w:color w:val="auto"/>
          <w:highlight w:val="none"/>
        </w:rPr>
        <w:instrText xml:space="preserve"> PAGEREF _Toc31407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_Toc21375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r>
        <w:rPr>
          <w:color w:val="auto"/>
          <w:highlight w:val="none"/>
        </w:rPr>
        <w:tab/>
      </w:r>
      <w:r>
        <w:rPr>
          <w:color w:val="auto"/>
          <w:highlight w:val="none"/>
        </w:rPr>
        <w:fldChar w:fldCharType="begin"/>
      </w:r>
      <w:r>
        <w:rPr>
          <w:color w:val="auto"/>
          <w:highlight w:val="none"/>
        </w:rPr>
        <w:instrText xml:space="preserve"> PAGEREF _Toc21375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_Toc29188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color w:val="auto"/>
          <w:highlight w:val="none"/>
        </w:rPr>
        <w:tab/>
      </w:r>
      <w:r>
        <w:rPr>
          <w:color w:val="auto"/>
          <w:highlight w:val="none"/>
        </w:rPr>
        <w:fldChar w:fldCharType="begin"/>
      </w:r>
      <w:r>
        <w:rPr>
          <w:color w:val="auto"/>
          <w:highlight w:val="none"/>
        </w:rPr>
        <w:instrText xml:space="preserve"> PAGEREF _Toc29188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_Toc9538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color w:val="auto"/>
          <w:highlight w:val="none"/>
        </w:rPr>
        <w:tab/>
      </w:r>
      <w:r>
        <w:rPr>
          <w:color w:val="auto"/>
          <w:highlight w:val="none"/>
        </w:rPr>
        <w:fldChar w:fldCharType="begin"/>
      </w:r>
      <w:r>
        <w:rPr>
          <w:color w:val="auto"/>
          <w:highlight w:val="none"/>
        </w:rPr>
        <w:instrText xml:space="preserve"> PAGEREF _Toc9538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szCs w:val="21"/>
          <w:highlight w:val="none"/>
        </w:rPr>
        <w:fldChar w:fldCharType="end"/>
      </w:r>
    </w:p>
    <w:p>
      <w:pPr>
        <w:pStyle w:val="28"/>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_Toc534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六、授予合同</w:t>
      </w:r>
      <w:r>
        <w:rPr>
          <w:color w:val="auto"/>
          <w:highlight w:val="none"/>
        </w:rPr>
        <w:tab/>
      </w:r>
      <w:r>
        <w:rPr>
          <w:color w:val="auto"/>
          <w:highlight w:val="none"/>
        </w:rPr>
        <w:fldChar w:fldCharType="begin"/>
      </w:r>
      <w:r>
        <w:rPr>
          <w:color w:val="auto"/>
          <w:highlight w:val="none"/>
        </w:rPr>
        <w:instrText xml:space="preserve"> PAGEREF _Toc534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_Toc24357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r>
        <w:rPr>
          <w:color w:val="auto"/>
          <w:highlight w:val="none"/>
        </w:rPr>
        <w:tab/>
      </w:r>
      <w:r>
        <w:rPr>
          <w:color w:val="auto"/>
          <w:highlight w:val="none"/>
        </w:rPr>
        <w:fldChar w:fldCharType="begin"/>
      </w:r>
      <w:r>
        <w:rPr>
          <w:color w:val="auto"/>
          <w:highlight w:val="none"/>
        </w:rPr>
        <w:instrText xml:space="preserve"> PAGEREF _Toc24357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_Toc10181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r>
        <w:rPr>
          <w:color w:val="auto"/>
          <w:highlight w:val="none"/>
        </w:rPr>
        <w:tab/>
      </w:r>
      <w:r>
        <w:rPr>
          <w:color w:val="auto"/>
          <w:highlight w:val="none"/>
        </w:rPr>
        <w:fldChar w:fldCharType="begin"/>
      </w:r>
      <w:r>
        <w:rPr>
          <w:color w:val="auto"/>
          <w:highlight w:val="none"/>
        </w:rPr>
        <w:instrText xml:space="preserve"> PAGEREF _Toc10181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_Toc16176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r>
        <w:rPr>
          <w:color w:val="auto"/>
          <w:highlight w:val="none"/>
        </w:rPr>
        <w:tab/>
      </w:r>
      <w:r>
        <w:rPr>
          <w:color w:val="auto"/>
          <w:highlight w:val="none"/>
        </w:rPr>
        <w:fldChar w:fldCharType="begin"/>
      </w:r>
      <w:r>
        <w:rPr>
          <w:color w:val="auto"/>
          <w:highlight w:val="none"/>
        </w:rPr>
        <w:instrText xml:space="preserve"> PAGEREF _Toc16176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_Toc13055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r>
        <w:rPr>
          <w:color w:val="auto"/>
          <w:highlight w:val="none"/>
        </w:rPr>
        <w:tab/>
      </w:r>
      <w:r>
        <w:rPr>
          <w:color w:val="auto"/>
          <w:highlight w:val="none"/>
        </w:rPr>
        <w:fldChar w:fldCharType="begin"/>
      </w:r>
      <w:r>
        <w:rPr>
          <w:color w:val="auto"/>
          <w:highlight w:val="none"/>
        </w:rPr>
        <w:instrText xml:space="preserve"> PAGEREF _Toc13055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_Toc16273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color w:val="auto"/>
          <w:highlight w:val="none"/>
        </w:rPr>
        <w:tab/>
      </w:r>
      <w:r>
        <w:rPr>
          <w:color w:val="auto"/>
          <w:highlight w:val="none"/>
        </w:rPr>
        <w:fldChar w:fldCharType="begin"/>
      </w:r>
      <w:r>
        <w:rPr>
          <w:color w:val="auto"/>
          <w:highlight w:val="none"/>
        </w:rPr>
        <w:instrText xml:space="preserve"> PAGEREF _Toc16273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_Toc24393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r>
        <w:rPr>
          <w:color w:val="auto"/>
          <w:highlight w:val="none"/>
        </w:rPr>
        <w:tab/>
      </w:r>
      <w:r>
        <w:rPr>
          <w:color w:val="auto"/>
          <w:highlight w:val="none"/>
        </w:rPr>
        <w:fldChar w:fldCharType="begin"/>
      </w:r>
      <w:r>
        <w:rPr>
          <w:color w:val="auto"/>
          <w:highlight w:val="none"/>
        </w:rPr>
        <w:instrText xml:space="preserve"> PAGEREF _Toc24393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_Toc30600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color w:val="auto"/>
          <w:highlight w:val="none"/>
        </w:rPr>
        <w:tab/>
      </w:r>
      <w:r>
        <w:rPr>
          <w:color w:val="auto"/>
          <w:highlight w:val="none"/>
        </w:rPr>
        <w:fldChar w:fldCharType="begin"/>
      </w:r>
      <w:r>
        <w:rPr>
          <w:color w:val="auto"/>
          <w:highlight w:val="none"/>
        </w:rPr>
        <w:instrText xml:space="preserve"> PAGEREF _Toc30600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_Toc12681 </w:instrText>
      </w:r>
      <w:r>
        <w:rPr>
          <w:rFonts w:hint="eastAsia" w:ascii="宋体" w:hAnsi="宋体" w:eastAsia="宋体" w:cs="宋体"/>
          <w:color w:val="auto"/>
          <w:szCs w:val="21"/>
          <w:highlight w:val="none"/>
        </w:rPr>
        <w:fldChar w:fldCharType="separate"/>
      </w:r>
      <w:r>
        <w:rPr>
          <w:rFonts w:ascii="宋体" w:hAnsi="宋体" w:eastAsia="宋体" w:cs="宋体"/>
          <w:color w:val="auto"/>
          <w:szCs w:val="21"/>
          <w:highlight w:val="none"/>
        </w:rPr>
        <w:t>39 招标相关补充约定</w:t>
      </w:r>
      <w:r>
        <w:rPr>
          <w:color w:val="auto"/>
          <w:highlight w:val="none"/>
        </w:rPr>
        <w:tab/>
      </w:r>
      <w:r>
        <w:rPr>
          <w:color w:val="auto"/>
          <w:highlight w:val="none"/>
        </w:rPr>
        <w:fldChar w:fldCharType="begin"/>
      </w:r>
      <w:r>
        <w:rPr>
          <w:color w:val="auto"/>
          <w:highlight w:val="none"/>
        </w:rPr>
        <w:instrText xml:space="preserve"> PAGEREF _Toc12681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_Toc121 </w:instrText>
      </w:r>
      <w:r>
        <w:rPr>
          <w:rFonts w:hint="eastAsia" w:ascii="宋体" w:hAnsi="宋体" w:eastAsia="宋体" w:cs="宋体"/>
          <w:color w:val="auto"/>
          <w:szCs w:val="21"/>
          <w:highlight w:val="none"/>
        </w:rPr>
        <w:fldChar w:fldCharType="separate"/>
      </w:r>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r>
        <w:rPr>
          <w:color w:val="auto"/>
          <w:highlight w:val="none"/>
        </w:rPr>
        <w:tab/>
      </w:r>
      <w:r>
        <w:rPr>
          <w:color w:val="auto"/>
          <w:highlight w:val="none"/>
        </w:rPr>
        <w:fldChar w:fldCharType="begin"/>
      </w:r>
      <w:r>
        <w:rPr>
          <w:color w:val="auto"/>
          <w:highlight w:val="none"/>
        </w:rPr>
        <w:instrText xml:space="preserve"> PAGEREF _Toc121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1"/>
          <w:highlight w:val="none"/>
        </w:rPr>
        <w:fldChar w:fldCharType="end"/>
      </w:r>
    </w:p>
    <w:p>
      <w:pPr>
        <w:pStyle w:val="28"/>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_Toc19781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第三篇</w:t>
      </w:r>
      <w:r>
        <w:rPr>
          <w:rFonts w:ascii="宋体" w:hAnsi="宋体" w:eastAsia="宋体" w:cs="宋体"/>
          <w:bCs/>
          <w:color w:val="auto"/>
          <w:kern w:val="44"/>
          <w:szCs w:val="32"/>
          <w:highlight w:val="none"/>
          <w:lang w:val="zh-CN"/>
        </w:rPr>
        <w:t xml:space="preserve"> </w:t>
      </w:r>
      <w:r>
        <w:rPr>
          <w:rFonts w:hint="eastAsia" w:ascii="宋体" w:hAnsi="宋体" w:eastAsia="宋体" w:cs="宋体"/>
          <w:bCs/>
          <w:color w:val="auto"/>
          <w:kern w:val="44"/>
          <w:szCs w:val="32"/>
          <w:highlight w:val="none"/>
          <w:lang w:val="zh-CN"/>
        </w:rPr>
        <w:t>用户需求书</w:t>
      </w:r>
      <w:r>
        <w:rPr>
          <w:color w:val="auto"/>
          <w:highlight w:val="none"/>
        </w:rPr>
        <w:tab/>
      </w:r>
      <w:r>
        <w:rPr>
          <w:color w:val="auto"/>
          <w:highlight w:val="none"/>
        </w:rPr>
        <w:fldChar w:fldCharType="begin"/>
      </w:r>
      <w:r>
        <w:rPr>
          <w:color w:val="auto"/>
          <w:highlight w:val="none"/>
        </w:rPr>
        <w:instrText xml:space="preserve"> PAGEREF _Toc19781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szCs w:val="21"/>
          <w:highlight w:val="none"/>
        </w:rPr>
        <w:fldChar w:fldCharType="end"/>
      </w:r>
    </w:p>
    <w:p>
      <w:pPr>
        <w:pStyle w:val="28"/>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_Toc8048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第四篇</w:t>
      </w:r>
      <w:r>
        <w:rPr>
          <w:rFonts w:ascii="宋体" w:hAnsi="宋体" w:eastAsia="宋体" w:cs="宋体"/>
          <w:bCs/>
          <w:color w:val="auto"/>
          <w:kern w:val="44"/>
          <w:szCs w:val="32"/>
          <w:highlight w:val="none"/>
          <w:lang w:val="zh-CN"/>
        </w:rPr>
        <w:t xml:space="preserve"> </w:t>
      </w:r>
      <w:r>
        <w:rPr>
          <w:rFonts w:hint="eastAsia" w:ascii="宋体" w:hAnsi="宋体" w:eastAsia="宋体" w:cs="宋体"/>
          <w:bCs/>
          <w:color w:val="auto"/>
          <w:kern w:val="44"/>
          <w:szCs w:val="32"/>
          <w:highlight w:val="none"/>
          <w:lang w:val="zh-CN"/>
        </w:rPr>
        <w:t>合同条款格式</w:t>
      </w:r>
      <w:r>
        <w:rPr>
          <w:color w:val="auto"/>
          <w:highlight w:val="none"/>
        </w:rPr>
        <w:tab/>
      </w:r>
      <w:r>
        <w:rPr>
          <w:color w:val="auto"/>
          <w:highlight w:val="none"/>
        </w:rPr>
        <w:fldChar w:fldCharType="begin"/>
      </w:r>
      <w:r>
        <w:rPr>
          <w:color w:val="auto"/>
          <w:highlight w:val="none"/>
        </w:rPr>
        <w:instrText xml:space="preserve"> PAGEREF _Toc8048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szCs w:val="21"/>
          <w:highlight w:val="none"/>
        </w:rPr>
        <w:fldChar w:fldCharType="end"/>
      </w:r>
    </w:p>
    <w:p>
      <w:pPr>
        <w:pStyle w:val="28"/>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_Toc6257 </w:instrText>
      </w:r>
      <w:r>
        <w:rPr>
          <w:rFonts w:hint="eastAsia" w:ascii="宋体" w:hAnsi="宋体" w:eastAsia="宋体" w:cs="宋体"/>
          <w:color w:val="auto"/>
          <w:szCs w:val="21"/>
          <w:highlight w:val="none"/>
        </w:rPr>
        <w:fldChar w:fldCharType="separate"/>
      </w:r>
      <w:r>
        <w:rPr>
          <w:rFonts w:hint="eastAsia" w:ascii="宋体" w:hAnsi="宋体" w:eastAsia="宋体" w:cs="Times New Roman"/>
          <w:bCs/>
          <w:color w:val="auto"/>
          <w:szCs w:val="32"/>
          <w:highlight w:val="none"/>
          <w:lang w:val="zh-CN"/>
        </w:rPr>
        <w:t>第五篇</w:t>
      </w:r>
      <w:r>
        <w:rPr>
          <w:rFonts w:ascii="宋体" w:hAnsi="宋体" w:eastAsia="宋体" w:cs="Times New Roman"/>
          <w:bCs/>
          <w:color w:val="auto"/>
          <w:szCs w:val="32"/>
          <w:highlight w:val="none"/>
          <w:lang w:val="zh-CN"/>
        </w:rPr>
        <w:t xml:space="preserve"> </w:t>
      </w:r>
      <w:r>
        <w:rPr>
          <w:rFonts w:hint="eastAsia" w:ascii="宋体" w:hAnsi="宋体" w:eastAsia="宋体" w:cs="Times New Roman"/>
          <w:bCs/>
          <w:color w:val="auto"/>
          <w:szCs w:val="32"/>
          <w:highlight w:val="none"/>
          <w:lang w:val="zh-CN"/>
        </w:rPr>
        <w:t>相关保函格式</w:t>
      </w:r>
      <w:r>
        <w:rPr>
          <w:color w:val="auto"/>
          <w:highlight w:val="none"/>
        </w:rPr>
        <w:tab/>
      </w:r>
      <w:r>
        <w:rPr>
          <w:color w:val="auto"/>
          <w:highlight w:val="none"/>
        </w:rPr>
        <w:fldChar w:fldCharType="begin"/>
      </w:r>
      <w:r>
        <w:rPr>
          <w:color w:val="auto"/>
          <w:highlight w:val="none"/>
        </w:rPr>
        <w:instrText xml:space="preserve"> PAGEREF _Toc6257 \h </w:instrText>
      </w:r>
      <w:r>
        <w:rPr>
          <w:color w:val="auto"/>
          <w:highlight w:val="none"/>
        </w:rPr>
        <w:fldChar w:fldCharType="separate"/>
      </w:r>
      <w:r>
        <w:rPr>
          <w:color w:val="auto"/>
          <w:highlight w:val="none"/>
        </w:rPr>
        <w:t>62</w:t>
      </w:r>
      <w:r>
        <w:rPr>
          <w:color w:val="auto"/>
          <w:highlight w:val="none"/>
        </w:rPr>
        <w:fldChar w:fldCharType="end"/>
      </w:r>
      <w:r>
        <w:rPr>
          <w:rFonts w:hint="eastAsia" w:ascii="宋体" w:hAnsi="宋体" w:eastAsia="宋体" w:cs="宋体"/>
          <w:color w:val="auto"/>
          <w:szCs w:val="21"/>
          <w:highlight w:val="none"/>
        </w:rPr>
        <w:fldChar w:fldCharType="end"/>
      </w:r>
    </w:p>
    <w:p>
      <w:pPr>
        <w:pStyle w:val="28"/>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_Toc4903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第六篇 投标文件格式</w:t>
      </w:r>
      <w:r>
        <w:rPr>
          <w:color w:val="auto"/>
          <w:highlight w:val="none"/>
        </w:rPr>
        <w:tab/>
      </w:r>
      <w:r>
        <w:rPr>
          <w:color w:val="auto"/>
          <w:highlight w:val="none"/>
        </w:rPr>
        <w:fldChar w:fldCharType="begin"/>
      </w:r>
      <w:r>
        <w:rPr>
          <w:color w:val="auto"/>
          <w:highlight w:val="none"/>
        </w:rPr>
        <w:instrText xml:space="preserve"> PAGEREF _Toc4903 \h </w:instrText>
      </w:r>
      <w:r>
        <w:rPr>
          <w:color w:val="auto"/>
          <w:highlight w:val="none"/>
        </w:rPr>
        <w:fldChar w:fldCharType="separate"/>
      </w:r>
      <w:r>
        <w:rPr>
          <w:color w:val="auto"/>
          <w:highlight w:val="none"/>
        </w:rPr>
        <w:t>65</w:t>
      </w:r>
      <w:r>
        <w:rPr>
          <w:color w:val="auto"/>
          <w:highlight w:val="none"/>
        </w:rPr>
        <w:fldChar w:fldCharType="end"/>
      </w:r>
      <w:r>
        <w:rPr>
          <w:rFonts w:hint="eastAsia" w:ascii="宋体" w:hAnsi="宋体" w:eastAsia="宋体" w:cs="宋体"/>
          <w:color w:val="auto"/>
          <w:szCs w:val="21"/>
          <w:highlight w:val="none"/>
        </w:rPr>
        <w:fldChar w:fldCharType="end"/>
      </w:r>
    </w:p>
    <w:p>
      <w:pPr>
        <w:pStyle w:val="28"/>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_Toc30901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附件一：评标工作大纲</w:t>
      </w:r>
      <w:r>
        <w:rPr>
          <w:color w:val="auto"/>
          <w:highlight w:val="none"/>
        </w:rPr>
        <w:tab/>
      </w:r>
      <w:r>
        <w:rPr>
          <w:color w:val="auto"/>
          <w:highlight w:val="none"/>
        </w:rPr>
        <w:fldChar w:fldCharType="begin"/>
      </w:r>
      <w:r>
        <w:rPr>
          <w:color w:val="auto"/>
          <w:highlight w:val="none"/>
        </w:rPr>
        <w:instrText xml:space="preserve"> PAGEREF _Toc30901 \h </w:instrText>
      </w:r>
      <w:r>
        <w:rPr>
          <w:color w:val="auto"/>
          <w:highlight w:val="none"/>
        </w:rPr>
        <w:fldChar w:fldCharType="separate"/>
      </w:r>
      <w:r>
        <w:rPr>
          <w:color w:val="auto"/>
          <w:highlight w:val="none"/>
        </w:rPr>
        <w:t>101</w:t>
      </w:r>
      <w:r>
        <w:rPr>
          <w:color w:val="auto"/>
          <w:highlight w:val="none"/>
        </w:rPr>
        <w:fldChar w:fldCharType="end"/>
      </w:r>
      <w:r>
        <w:rPr>
          <w:rFonts w:hint="eastAsia" w:ascii="宋体" w:hAnsi="宋体" w:eastAsia="宋体" w:cs="宋体"/>
          <w:color w:val="auto"/>
          <w:szCs w:val="21"/>
          <w:highlight w:val="none"/>
        </w:rPr>
        <w:fldChar w:fldCharType="end"/>
      </w:r>
    </w:p>
    <w:p>
      <w:pPr>
        <w:pStyle w:val="31"/>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_Toc3106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val="zh-CN"/>
        </w:rPr>
        <w:t>12、评分因素及分值</w:t>
      </w:r>
      <w:r>
        <w:rPr>
          <w:color w:val="auto"/>
          <w:highlight w:val="none"/>
        </w:rPr>
        <w:tab/>
      </w:r>
      <w:r>
        <w:rPr>
          <w:color w:val="auto"/>
          <w:highlight w:val="none"/>
        </w:rPr>
        <w:fldChar w:fldCharType="begin"/>
      </w:r>
      <w:r>
        <w:rPr>
          <w:color w:val="auto"/>
          <w:highlight w:val="none"/>
        </w:rPr>
        <w:instrText xml:space="preserve"> PAGEREF _Toc3106 \h </w:instrText>
      </w:r>
      <w:r>
        <w:rPr>
          <w:color w:val="auto"/>
          <w:highlight w:val="none"/>
        </w:rPr>
        <w:fldChar w:fldCharType="separate"/>
      </w:r>
      <w:r>
        <w:rPr>
          <w:color w:val="auto"/>
          <w:highlight w:val="none"/>
        </w:rPr>
        <w:t>106</w:t>
      </w:r>
      <w:r>
        <w:rPr>
          <w:color w:val="auto"/>
          <w:highlight w:val="none"/>
        </w:rPr>
        <w:fldChar w:fldCharType="end"/>
      </w:r>
      <w:r>
        <w:rPr>
          <w:rFonts w:hint="eastAsia" w:ascii="宋体" w:hAnsi="宋体" w:eastAsia="宋体" w:cs="宋体"/>
          <w:color w:val="auto"/>
          <w:szCs w:val="21"/>
          <w:highlight w:val="none"/>
        </w:rPr>
        <w:fldChar w:fldCharType="end"/>
      </w:r>
    </w:p>
    <w:p>
      <w:pPr>
        <w:keepNext w:val="0"/>
        <w:keepLines w:val="0"/>
        <w:pageBreakBefore w:val="0"/>
        <w:kinsoku/>
        <w:wordWrap/>
        <w:overflowPunct/>
        <w:topLinePunct w:val="0"/>
        <w:autoSpaceDE/>
        <w:autoSpaceDN/>
        <w:bidi w:val="0"/>
        <w:adjustRightInd/>
        <w:snapToGrid/>
        <w:spacing w:line="312" w:lineRule="auto"/>
        <w:textAlignment w:val="auto"/>
        <w:rPr>
          <w:color w:val="auto"/>
          <w:highlight w:val="none"/>
        </w:rPr>
      </w:pPr>
      <w:r>
        <w:rPr>
          <w:rFonts w:hint="eastAsia" w:ascii="宋体" w:hAnsi="宋体" w:eastAsia="宋体" w:cs="宋体"/>
          <w:color w:val="auto"/>
          <w:szCs w:val="21"/>
          <w:highlight w:val="none"/>
        </w:rPr>
        <w:fldChar w:fldCharType="end"/>
      </w:r>
    </w:p>
    <w:p>
      <w:pPr>
        <w:jc w:val="center"/>
        <w:rPr>
          <w:rFonts w:ascii="宋体" w:hAnsi="宋体" w:eastAsia="宋体" w:cs="Times New Roman"/>
          <w:b/>
          <w:bCs/>
          <w:color w:val="auto"/>
          <w:kern w:val="44"/>
          <w:sz w:val="32"/>
          <w:szCs w:val="32"/>
          <w:highlight w:val="none"/>
          <w:lang w:val="zh-CN"/>
        </w:rPr>
      </w:pPr>
      <w:r>
        <w:rPr>
          <w:rFonts w:ascii="宋体" w:hAnsi="宋体" w:eastAsia="宋体" w:cs="Times New Roman"/>
          <w:b/>
          <w:bCs/>
          <w:color w:val="auto"/>
          <w:kern w:val="44"/>
          <w:sz w:val="32"/>
          <w:szCs w:val="32"/>
          <w:highlight w:val="none"/>
          <w:lang w:val="zh-CN"/>
        </w:rPr>
        <w:br w:type="page"/>
      </w:r>
    </w:p>
    <w:p>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8" w:name="_Toc3368"/>
      <w:r>
        <w:rPr>
          <w:rFonts w:ascii="宋体" w:hAnsi="宋体" w:eastAsia="宋体" w:cs="Times New Roman"/>
          <w:b/>
          <w:bCs/>
          <w:color w:val="auto"/>
          <w:kern w:val="44"/>
          <w:sz w:val="32"/>
          <w:szCs w:val="32"/>
          <w:highlight w:val="none"/>
          <w:lang w:val="zh-CN"/>
        </w:rPr>
        <w:t>第一篇 招标公告</w:t>
      </w:r>
      <w:bookmarkEnd w:id="0"/>
      <w:bookmarkEnd w:id="1"/>
      <w:bookmarkEnd w:id="2"/>
      <w:bookmarkEnd w:id="3"/>
      <w:bookmarkEnd w:id="4"/>
      <w:bookmarkEnd w:id="5"/>
      <w:bookmarkEnd w:id="6"/>
      <w:bookmarkEnd w:id="7"/>
      <w:bookmarkEnd w:id="8"/>
    </w:p>
    <w:p>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三方诚信招标有限公司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rPr>
        <w:t>东莞市水务集团建设管理有限公司</w:t>
      </w:r>
      <w:r>
        <w:rPr>
          <w:rFonts w:ascii="宋体" w:hAnsi="宋体" w:eastAsia="宋体" w:cs="Times New Roman"/>
          <w:color w:val="auto"/>
          <w:szCs w:val="21"/>
          <w:highlight w:val="none"/>
          <w:lang w:val="zh-CN"/>
        </w:rPr>
        <w:t>（以下简称“招标人”）的委托，对</w:t>
      </w:r>
      <w:bookmarkStart w:id="9" w:name="_Hlk41903390"/>
      <w:r>
        <w:rPr>
          <w:rFonts w:hint="eastAsia" w:ascii="宋体" w:hAnsi="宋体" w:eastAsia="宋体" w:cs="Times New Roman"/>
          <w:color w:val="auto"/>
          <w:kern w:val="0"/>
          <w:szCs w:val="21"/>
          <w:highlight w:val="none"/>
          <w:lang w:eastAsia="zh-CN"/>
        </w:rPr>
        <w:t>东莞市供水设施更新改造项目-松山湖新城路给水管网改造工程第三方监测服务采购项目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0832-SFCX24DG197C</w:t>
      </w:r>
      <w:r>
        <w:rPr>
          <w:rFonts w:ascii="宋体" w:hAnsi="宋体" w:eastAsia="宋体" w:cs="Times New Roman"/>
          <w:color w:val="auto"/>
          <w:szCs w:val="21"/>
          <w:highlight w:val="none"/>
          <w:lang w:val="zh-CN"/>
        </w:rPr>
        <w:t>)</w:t>
      </w:r>
      <w:bookmarkEnd w:id="9"/>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pPr>
        <w:numPr>
          <w:ilvl w:val="0"/>
          <w:numId w:val="2"/>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本项目由东莞市水务集团建设管理有限公司（以下简称“招标人”或“委托人”）采购一家监测服务单位（以下简称“中标人”）对东莞市水务集团供水有限公司（以下简称“项目业主”）委托招标人代建的东莞市供水设施更新改造项目-松山湖新城路给水管网改造工程（以下简称“本工程”）进行工程监测及相关技术工作。（具体内容详见：第三篇用户需求书）。</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pPr>
        <w:numPr>
          <w:ilvl w:val="0"/>
          <w:numId w:val="2"/>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pPr>
        <w:pStyle w:val="158"/>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pPr>
        <w:pStyle w:val="158"/>
        <w:spacing w:line="360" w:lineRule="auto"/>
        <w:ind w:left="422" w:leftChars="0" w:right="-29" w:rightChars="-14" w:hanging="422" w:hangingChars="200"/>
        <w:jc w:val="both"/>
        <w:rPr>
          <w:rFonts w:hint="eastAsia" w:hAnsi="宋体" w:eastAsia="仿宋_GB2312"/>
          <w:b/>
          <w:color w:val="auto"/>
          <w:sz w:val="21"/>
          <w:szCs w:val="21"/>
          <w:highlight w:val="none"/>
          <w:lang w:val="zh-CN" w:eastAsia="zh-CN"/>
        </w:rPr>
      </w:pPr>
      <w:bookmarkStart w:id="10" w:name="_Toc25819"/>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w:t>
      </w:r>
      <w:r>
        <w:rPr>
          <w:rFonts w:hint="eastAsia" w:hAnsi="宋体" w:eastAsia="宋体"/>
          <w:b/>
          <w:color w:val="auto"/>
          <w:sz w:val="21"/>
          <w:szCs w:val="21"/>
          <w:highlight w:val="none"/>
          <w:lang w:val="en-US" w:eastAsia="zh-CN"/>
        </w:rPr>
        <w:t>2</w:t>
      </w:r>
      <w:r>
        <w:rPr>
          <w:rFonts w:hAnsi="宋体" w:eastAsia="宋体"/>
          <w:b/>
          <w:color w:val="auto"/>
          <w:sz w:val="21"/>
          <w:szCs w:val="21"/>
          <w:highlight w:val="none"/>
          <w:lang w:val="zh-CN"/>
        </w:rPr>
        <w:t xml:space="preserve"> </w:t>
      </w:r>
      <w:r>
        <w:rPr>
          <w:rFonts w:hint="eastAsia" w:hAnsi="宋体" w:eastAsia="宋体"/>
          <w:b/>
          <w:color w:val="auto"/>
          <w:sz w:val="21"/>
          <w:szCs w:val="21"/>
          <w:highlight w:val="none"/>
          <w:lang w:val="zh-CN"/>
        </w:rPr>
        <w:t>具备建设行政主管部门核发</w:t>
      </w:r>
      <w:r>
        <w:rPr>
          <w:rFonts w:hint="eastAsia" w:hAnsi="宋体" w:eastAsia="宋体"/>
          <w:b/>
          <w:color w:val="auto"/>
          <w:sz w:val="21"/>
          <w:szCs w:val="21"/>
          <w:highlight w:val="none"/>
          <w:lang w:val="en-US" w:eastAsia="zh-CN"/>
        </w:rPr>
        <w:t>有效</w:t>
      </w:r>
      <w:r>
        <w:rPr>
          <w:rFonts w:hint="eastAsia" w:hAnsi="宋体" w:eastAsia="宋体"/>
          <w:b/>
          <w:color w:val="auto"/>
          <w:sz w:val="21"/>
          <w:szCs w:val="21"/>
          <w:highlight w:val="none"/>
          <w:lang w:val="zh-CN"/>
        </w:rPr>
        <w:t>的工程勘察综合类甲级资质，或同时具备有效的工程勘察专业类岩土工程</w:t>
      </w:r>
      <w:r>
        <w:rPr>
          <w:rFonts w:hint="eastAsia" w:hAnsi="宋体" w:eastAsia="宋体"/>
          <w:b/>
          <w:color w:val="auto"/>
          <w:sz w:val="21"/>
          <w:szCs w:val="21"/>
          <w:highlight w:val="none"/>
          <w:lang w:val="en-US" w:eastAsia="zh-CN"/>
        </w:rPr>
        <w:t>乙</w:t>
      </w:r>
      <w:r>
        <w:rPr>
          <w:rFonts w:hint="eastAsia" w:hAnsi="宋体" w:eastAsia="宋体"/>
          <w:b/>
          <w:color w:val="auto"/>
          <w:sz w:val="21"/>
          <w:szCs w:val="21"/>
          <w:highlight w:val="none"/>
          <w:lang w:val="zh-CN"/>
        </w:rPr>
        <w:t>级（</w:t>
      </w:r>
      <w:r>
        <w:rPr>
          <w:rFonts w:hint="eastAsia" w:hAnsi="宋体" w:eastAsia="宋体"/>
          <w:b/>
          <w:color w:val="auto"/>
          <w:sz w:val="21"/>
          <w:szCs w:val="21"/>
          <w:highlight w:val="none"/>
          <w:lang w:val="en-US"/>
        </w:rPr>
        <w:t>或以上</w:t>
      </w:r>
      <w:r>
        <w:rPr>
          <w:rFonts w:hint="eastAsia" w:hAnsi="宋体" w:eastAsia="宋体"/>
          <w:b/>
          <w:color w:val="auto"/>
          <w:sz w:val="21"/>
          <w:szCs w:val="21"/>
          <w:highlight w:val="none"/>
          <w:lang w:val="zh-CN"/>
        </w:rPr>
        <w:t>）和工程测量</w:t>
      </w:r>
      <w:r>
        <w:rPr>
          <w:rFonts w:hint="eastAsia" w:hAnsi="宋体" w:eastAsia="宋体"/>
          <w:b/>
          <w:color w:val="auto"/>
          <w:sz w:val="21"/>
          <w:szCs w:val="21"/>
          <w:highlight w:val="none"/>
          <w:lang w:val="en-US"/>
        </w:rPr>
        <w:t>乙</w:t>
      </w:r>
      <w:r>
        <w:rPr>
          <w:rFonts w:hint="eastAsia" w:hAnsi="宋体" w:eastAsia="宋体"/>
          <w:b/>
          <w:color w:val="auto"/>
          <w:sz w:val="21"/>
          <w:szCs w:val="21"/>
          <w:highlight w:val="none"/>
          <w:lang w:val="zh-CN"/>
        </w:rPr>
        <w:t>级（</w:t>
      </w:r>
      <w:r>
        <w:rPr>
          <w:rFonts w:hint="eastAsia" w:hAnsi="宋体" w:eastAsia="宋体"/>
          <w:b/>
          <w:color w:val="auto"/>
          <w:sz w:val="21"/>
          <w:szCs w:val="21"/>
          <w:highlight w:val="none"/>
          <w:lang w:val="en-US"/>
        </w:rPr>
        <w:t>或以上</w:t>
      </w:r>
      <w:r>
        <w:rPr>
          <w:rFonts w:hint="eastAsia" w:hAnsi="宋体" w:eastAsia="宋体"/>
          <w:b/>
          <w:color w:val="auto"/>
          <w:sz w:val="21"/>
          <w:szCs w:val="21"/>
          <w:highlight w:val="none"/>
          <w:lang w:val="zh-CN"/>
        </w:rPr>
        <w:t>）资质，或同时具备有效的工程勘察专业类岩土工程物探测试乙级（或以上）和工程测量乙级（或以上）资质</w:t>
      </w:r>
      <w:r>
        <w:rPr>
          <w:rFonts w:hint="eastAsia" w:hAnsi="宋体" w:eastAsia="宋体"/>
          <w:b/>
          <w:color w:val="auto"/>
          <w:sz w:val="21"/>
          <w:szCs w:val="21"/>
          <w:highlight w:val="none"/>
          <w:lang w:val="zh-CN" w:eastAsia="zh-CN"/>
        </w:rPr>
        <w:t>；</w:t>
      </w:r>
    </w:p>
    <w:p>
      <w:pPr>
        <w:pStyle w:val="158"/>
        <w:spacing w:line="360" w:lineRule="auto"/>
        <w:ind w:left="420" w:leftChars="200"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zh-CN"/>
        </w:rPr>
        <w:t>[注：</w:t>
      </w:r>
      <w:r>
        <w:rPr>
          <w:rFonts w:hint="eastAsia" w:ascii="宋体" w:hAnsi="宋体" w:eastAsia="宋体" w:cstheme="minorBidi"/>
          <w:b/>
          <w:i w:val="0"/>
          <w:iCs w:val="0"/>
          <w:caps w:val="0"/>
          <w:color w:val="auto"/>
          <w:spacing w:val="0"/>
          <w:sz w:val="21"/>
          <w:szCs w:val="21"/>
          <w:highlight w:val="none"/>
          <w:shd w:val="clear"/>
          <w:lang w:val="zh-CN"/>
        </w:rPr>
        <w:t>如资质证书已过有效期，但依据资质证书主管部门相关通知/发文属于资质有效期延期的情况，资质证书有效，提供相关通知/发文截图以及官方网站网址链接</w:t>
      </w:r>
      <w:r>
        <w:rPr>
          <w:rFonts w:hint="eastAsia" w:ascii="宋体" w:hAnsi="宋体" w:eastAsia="宋体" w:cstheme="minorBidi"/>
          <w:b/>
          <w:i w:val="0"/>
          <w:iCs w:val="0"/>
          <w:caps w:val="0"/>
          <w:color w:val="auto"/>
          <w:spacing w:val="0"/>
          <w:sz w:val="21"/>
          <w:szCs w:val="21"/>
          <w:highlight w:val="none"/>
          <w:shd w:val="clear"/>
          <w:lang w:val="zh-CN" w:eastAsia="zh-CN"/>
        </w:rPr>
        <w:t>/全国建筑市场监管公共服务平台（jzsc.mohurd.gov.cn）企业资质证书信息截图</w:t>
      </w:r>
      <w:r>
        <w:rPr>
          <w:rFonts w:hint="eastAsia" w:ascii="宋体" w:hAnsi="宋体" w:eastAsia="宋体" w:cstheme="minorBidi"/>
          <w:b/>
          <w:i w:val="0"/>
          <w:iCs w:val="0"/>
          <w:caps w:val="0"/>
          <w:color w:val="auto"/>
          <w:spacing w:val="0"/>
          <w:sz w:val="21"/>
          <w:szCs w:val="21"/>
          <w:highlight w:val="none"/>
          <w:shd w:val="clear"/>
          <w:lang w:val="zh-CN"/>
        </w:rPr>
        <w:t>。</w:t>
      </w:r>
      <w:r>
        <w:rPr>
          <w:rFonts w:hint="eastAsia" w:hAnsi="宋体" w:eastAsia="宋体"/>
          <w:b/>
          <w:color w:val="auto"/>
          <w:sz w:val="21"/>
          <w:szCs w:val="21"/>
          <w:highlight w:val="none"/>
          <w:lang w:val="zh-CN"/>
        </w:rPr>
        <w:t>]</w:t>
      </w:r>
    </w:p>
    <w:p>
      <w:pPr>
        <w:pStyle w:val="158"/>
        <w:spacing w:line="360" w:lineRule="auto"/>
        <w:ind w:left="422" w:leftChars="0" w:right="-29" w:rightChars="-14" w:hanging="422" w:hangingChars="20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w:t>
      </w:r>
      <w:r>
        <w:rPr>
          <w:rFonts w:hint="eastAsia" w:hAnsi="宋体" w:eastAsia="宋体"/>
          <w:b/>
          <w:color w:val="auto"/>
          <w:sz w:val="21"/>
          <w:szCs w:val="21"/>
          <w:highlight w:val="none"/>
          <w:lang w:val="en-US" w:eastAsia="zh-CN"/>
        </w:rPr>
        <w:t>3</w:t>
      </w:r>
      <w:r>
        <w:rPr>
          <w:rFonts w:hAnsi="宋体" w:eastAsia="宋体"/>
          <w:b/>
          <w:color w:val="auto"/>
          <w:sz w:val="21"/>
          <w:szCs w:val="21"/>
          <w:highlight w:val="none"/>
          <w:lang w:val="zh-CN"/>
        </w:rPr>
        <w:t xml:space="preserve"> </w:t>
      </w:r>
      <w:r>
        <w:rPr>
          <w:rFonts w:hint="eastAsia" w:hAnsi="宋体" w:eastAsia="宋体"/>
          <w:b/>
          <w:color w:val="auto"/>
          <w:sz w:val="21"/>
          <w:szCs w:val="21"/>
          <w:highlight w:val="none"/>
          <w:lang w:val="zh-CN"/>
        </w:rPr>
        <w:t>投标人20</w:t>
      </w:r>
      <w:r>
        <w:rPr>
          <w:rFonts w:hint="eastAsia" w:hAnsi="宋体" w:eastAsia="宋体"/>
          <w:b/>
          <w:color w:val="auto"/>
          <w:sz w:val="21"/>
          <w:szCs w:val="21"/>
          <w:highlight w:val="none"/>
          <w:lang w:val="en-US" w:eastAsia="zh-CN"/>
        </w:rPr>
        <w:t>20</w:t>
      </w:r>
      <w:r>
        <w:rPr>
          <w:rFonts w:hint="eastAsia" w:hAnsi="宋体" w:eastAsia="宋体"/>
          <w:b/>
          <w:color w:val="auto"/>
          <w:sz w:val="21"/>
          <w:szCs w:val="21"/>
          <w:highlight w:val="none"/>
          <w:lang w:val="zh-CN"/>
        </w:rPr>
        <w:t>年1月1日以来具有一</w:t>
      </w:r>
      <w:r>
        <w:rPr>
          <w:rFonts w:hint="eastAsia" w:hAnsi="宋体" w:eastAsia="宋体"/>
          <w:b/>
          <w:color w:val="auto"/>
          <w:sz w:val="21"/>
          <w:szCs w:val="21"/>
          <w:highlight w:val="none"/>
          <w:lang w:val="en-US" w:eastAsia="zh-CN"/>
        </w:rPr>
        <w:t>项</w:t>
      </w:r>
      <w:r>
        <w:rPr>
          <w:rFonts w:hint="eastAsia" w:hAnsi="宋体" w:eastAsia="宋体"/>
          <w:b/>
          <w:color w:val="auto"/>
          <w:sz w:val="21"/>
          <w:szCs w:val="21"/>
          <w:highlight w:val="none"/>
          <w:lang w:val="zh-CN"/>
        </w:rPr>
        <w:t>市政工程监测业绩（合同签订日期为20</w:t>
      </w:r>
      <w:r>
        <w:rPr>
          <w:rFonts w:hint="eastAsia" w:hAnsi="宋体" w:eastAsia="宋体"/>
          <w:b/>
          <w:color w:val="auto"/>
          <w:sz w:val="21"/>
          <w:szCs w:val="21"/>
          <w:highlight w:val="none"/>
          <w:lang w:val="en-US" w:eastAsia="zh-CN"/>
        </w:rPr>
        <w:t>20</w:t>
      </w:r>
      <w:r>
        <w:rPr>
          <w:rFonts w:hint="eastAsia" w:hAnsi="宋体" w:eastAsia="宋体"/>
          <w:b/>
          <w:color w:val="auto"/>
          <w:sz w:val="21"/>
          <w:szCs w:val="21"/>
          <w:highlight w:val="none"/>
          <w:lang w:val="zh-CN"/>
        </w:rPr>
        <w:t>年1月1日或以后）；</w:t>
      </w:r>
    </w:p>
    <w:p>
      <w:pPr>
        <w:pStyle w:val="158"/>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10"/>
    </w:p>
    <w:p>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pPr>
        <w:numPr>
          <w:ilvl w:val="0"/>
          <w:numId w:val="2"/>
        </w:numPr>
        <w:autoSpaceDE w:val="0"/>
        <w:autoSpaceDN w:val="0"/>
        <w:adjustRightInd w:val="0"/>
        <w:snapToGrid w:val="0"/>
        <w:spacing w:line="360" w:lineRule="auto"/>
        <w:ind w:right="-34"/>
        <w:jc w:val="left"/>
        <w:rPr>
          <w:rFonts w:hint="eastAsia" w:ascii="宋体" w:hAnsi="宋体" w:eastAsia="宋体" w:cs="Times New Roman"/>
          <w:color w:val="auto"/>
          <w:szCs w:val="21"/>
          <w:highlight w:val="none"/>
          <w:lang w:val="zh-CN"/>
        </w:rPr>
      </w:pPr>
      <w:r>
        <w:rPr>
          <w:rFonts w:hint="default" w:ascii="宋体" w:hAnsi="宋体" w:eastAsia="宋体" w:cs="Times New Roman"/>
          <w:color w:val="auto"/>
          <w:szCs w:val="21"/>
          <w:highlight w:val="none"/>
          <w:lang w:val="zh-CN"/>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p>
    <w:p>
      <w:pPr>
        <w:numPr>
          <w:ilvl w:val="0"/>
          <w:numId w:val="0"/>
        </w:numPr>
        <w:autoSpaceDE w:val="0"/>
        <w:autoSpaceDN w:val="0"/>
        <w:adjustRightInd w:val="0"/>
        <w:snapToGrid w:val="0"/>
        <w:spacing w:line="360" w:lineRule="auto"/>
        <w:ind w:leftChars="-100" w:right="-34" w:rightChars="0"/>
        <w:jc w:val="left"/>
        <w:rPr>
          <w:rFonts w:ascii="宋体" w:hAnsi="宋体" w:eastAsia="宋体" w:cs="Times New Roman"/>
          <w:color w:val="auto"/>
          <w:szCs w:val="21"/>
          <w:highlight w:val="none"/>
          <w:lang w:val="zh-CN"/>
        </w:rPr>
      </w:pPr>
    </w:p>
    <w:p>
      <w:pPr>
        <w:numPr>
          <w:ilvl w:val="0"/>
          <w:numId w:val="2"/>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pPr>
        <w:numPr>
          <w:ilvl w:val="0"/>
          <w:numId w:val="2"/>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宋体"/>
          <w:color w:val="auto"/>
          <w:sz w:val="21"/>
          <w:szCs w:val="21"/>
          <w:highlight w:val="none"/>
          <w:lang w:val="en-US" w:eastAsia="zh-CN"/>
        </w:rPr>
        <w:t>2025</w:t>
      </w:r>
      <w:r>
        <w:rPr>
          <w:rFonts w:hint="eastAsia" w:ascii="宋体" w:hAnsi="宋体" w:eastAsia="宋体" w:cs="Times New Roman"/>
          <w:color w:val="auto"/>
          <w:szCs w:val="21"/>
          <w:highlight w:val="none"/>
          <w:lang w:val="zh-CN"/>
        </w:rPr>
        <w:t>年</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w:t>
      </w:r>
      <w:r>
        <w:rPr>
          <w:rFonts w:hint="eastAsia" w:ascii="宋体" w:hAnsi="宋体" w:eastAsia="宋体" w:cs="Times New Roman"/>
          <w:color w:val="auto"/>
          <w:szCs w:val="21"/>
          <w:highlight w:val="none"/>
          <w:lang w:val="zh-CN"/>
        </w:rPr>
        <w:t>日</w:t>
      </w:r>
      <w:r>
        <w:rPr>
          <w:rFonts w:hint="eastAsia" w:ascii="宋体" w:hAnsi="宋体" w:eastAsia="宋体" w:cs="Times New Roman"/>
          <w:color w:val="auto"/>
          <w:szCs w:val="21"/>
          <w:highlight w:val="none"/>
          <w:lang w:val="en-US" w:eastAsia="zh-CN"/>
        </w:rPr>
        <w:t>13</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30</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14</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00</w:t>
      </w:r>
      <w:r>
        <w:rPr>
          <w:rFonts w:hint="eastAsia" w:ascii="宋体" w:hAnsi="宋体" w:eastAsia="宋体" w:cs="Times New Roman"/>
          <w:bCs/>
          <w:color w:val="auto"/>
          <w:kern w:val="0"/>
          <w:szCs w:val="21"/>
          <w:highlight w:val="none"/>
        </w:rPr>
        <w:t>；</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宋体"/>
          <w:color w:val="auto"/>
          <w:sz w:val="21"/>
          <w:szCs w:val="21"/>
          <w:highlight w:val="none"/>
          <w:lang w:val="en-US" w:eastAsia="zh-CN"/>
        </w:rPr>
        <w:t>2025</w:t>
      </w:r>
      <w:r>
        <w:rPr>
          <w:rFonts w:hint="eastAsia" w:ascii="宋体" w:hAnsi="宋体" w:eastAsia="宋体" w:cs="Times New Roman"/>
          <w:color w:val="auto"/>
          <w:szCs w:val="21"/>
          <w:highlight w:val="none"/>
          <w:lang w:val="zh-CN"/>
        </w:rPr>
        <w:t>年</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w:t>
      </w:r>
      <w:bookmarkStart w:id="863" w:name="_GoBack"/>
      <w:bookmarkEnd w:id="863"/>
      <w:r>
        <w:rPr>
          <w:rFonts w:hint="eastAsia" w:ascii="宋体" w:hAnsi="宋体" w:eastAsia="宋体" w:cs="Times New Roman"/>
          <w:color w:val="auto"/>
          <w:szCs w:val="21"/>
          <w:highlight w:val="none"/>
          <w:lang w:val="zh-CN"/>
        </w:rPr>
        <w:t>日</w:t>
      </w:r>
      <w:r>
        <w:rPr>
          <w:rFonts w:hint="eastAsia" w:ascii="宋体" w:hAnsi="宋体" w:eastAsia="宋体" w:cs="Times New Roman"/>
          <w:color w:val="auto"/>
          <w:szCs w:val="21"/>
          <w:highlight w:val="none"/>
          <w:lang w:val="en-US" w:eastAsia="zh-CN"/>
        </w:rPr>
        <w:t>14</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00</w:t>
      </w:r>
      <w:r>
        <w:rPr>
          <w:rFonts w:hint="eastAsia" w:ascii="宋体" w:hAnsi="宋体" w:eastAsia="宋体" w:cs="Times New Roman"/>
          <w:color w:val="auto"/>
          <w:szCs w:val="21"/>
          <w:highlight w:val="none"/>
          <w:lang w:val="zh-CN"/>
        </w:rPr>
        <w:t>；</w:t>
      </w:r>
    </w:p>
    <w:p>
      <w:pPr>
        <w:autoSpaceDE w:val="0"/>
        <w:autoSpaceDN w:val="0"/>
        <w:adjustRightInd w:val="0"/>
        <w:spacing w:line="360" w:lineRule="auto"/>
        <w:ind w:right="-29" w:rightChars="-14"/>
        <w:rPr>
          <w:rFonts w:hint="eastAsia" w:ascii="宋体" w:hAnsi="宋体" w:eastAsia="宋体" w:cs="Times New Roman"/>
          <w:color w:val="auto"/>
          <w:kern w:val="0"/>
          <w:szCs w:val="21"/>
          <w:highlight w:val="none"/>
          <w:lang w:val="en-US" w:eastAsia="zh-CN"/>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lang w:val="zh-CN"/>
        </w:rPr>
        <w:t>东莞市南城街道鸿福西路81号国际商会大厦</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val="zh-CN"/>
        </w:rPr>
        <w:t>0</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val="zh-CN"/>
        </w:rPr>
        <w:t>室。</w:t>
      </w:r>
    </w:p>
    <w:p>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pPr>
        <w:numPr>
          <w:ilvl w:val="0"/>
          <w:numId w:val="2"/>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pPr>
        <w:numPr>
          <w:ilvl w:val="0"/>
          <w:numId w:val="2"/>
        </w:numPr>
        <w:autoSpaceDE w:val="0"/>
        <w:autoSpaceDN w:val="0"/>
        <w:adjustRightInd w:val="0"/>
        <w:snapToGrid w:val="0"/>
        <w:spacing w:line="360" w:lineRule="auto"/>
        <w:ind w:right="-34"/>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本项目相关公告在以下媒介发布：中国招标投标公共服务平台（www.cebpubservice.com）、东莞市水务集团有限公司网（www.dgswjt.cn）、招标代理</w:t>
      </w:r>
      <w:r>
        <w:rPr>
          <w:rFonts w:hint="eastAsia" w:ascii="宋体" w:hAnsi="宋体" w:eastAsia="宋体" w:cs="Times New Roman"/>
          <w:bCs/>
          <w:color w:val="auto"/>
          <w:szCs w:val="21"/>
          <w:highlight w:val="none"/>
          <w:lang w:val="en-US" w:eastAsia="zh-CN"/>
        </w:rPr>
        <w:t>机构</w:t>
      </w:r>
      <w:r>
        <w:rPr>
          <w:rFonts w:hint="eastAsia" w:ascii="宋体" w:hAnsi="宋体" w:eastAsia="宋体" w:cs="Times New Roman"/>
          <w:bCs/>
          <w:color w:val="auto"/>
          <w:szCs w:val="21"/>
          <w:highlight w:val="none"/>
        </w:rPr>
        <w:t>网站（</w:t>
      </w:r>
      <w:r>
        <w:rPr>
          <w:rFonts w:hint="eastAsia" w:ascii="宋体" w:hAnsi="宋体" w:eastAsia="宋体" w:cs="Times New Roman"/>
          <w:bCs/>
          <w:color w:val="auto"/>
          <w:szCs w:val="21"/>
          <w:highlight w:val="none"/>
          <w:lang w:val="zh-CN"/>
        </w:rPr>
        <w:t>www.sfcx.cn</w:t>
      </w:r>
      <w:r>
        <w:rPr>
          <w:rFonts w:hint="eastAsia"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pPr>
        <w:numPr>
          <w:ilvl w:val="0"/>
          <w:numId w:val="0"/>
        </w:numPr>
        <w:autoSpaceDE w:val="0"/>
        <w:autoSpaceDN w:val="0"/>
        <w:adjustRightInd w:val="0"/>
        <w:snapToGrid w:val="0"/>
        <w:spacing w:line="360" w:lineRule="auto"/>
        <w:ind w:leftChars="0" w:right="-34" w:rightChars="0"/>
        <w:jc w:val="left"/>
        <w:rPr>
          <w:rFonts w:ascii="宋体" w:hAnsi="宋体" w:eastAsia="宋体" w:cs="Times New Roman"/>
          <w:bCs/>
          <w:color w:val="auto"/>
          <w:szCs w:val="21"/>
          <w:highlight w:val="none"/>
        </w:rPr>
      </w:pPr>
    </w:p>
    <w:p>
      <w:pPr>
        <w:numPr>
          <w:ilvl w:val="0"/>
          <w:numId w:val="2"/>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招标人：东莞市水务集团建设管理有限公司</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w:t>
      </w:r>
      <w:bookmarkStart w:id="11" w:name="_Hlk80199690"/>
      <w:r>
        <w:rPr>
          <w:rFonts w:hint="eastAsia" w:ascii="宋体" w:hAnsi="宋体" w:eastAsia="宋体" w:cs="Times New Roman"/>
          <w:color w:val="auto"/>
          <w:kern w:val="0"/>
          <w:szCs w:val="21"/>
          <w:highlight w:val="none"/>
          <w:lang w:eastAsia="zh-CN"/>
        </w:rPr>
        <w:t>广东省东莞市南城街道滨河路100号一期1号楼102室</w:t>
      </w:r>
    </w:p>
    <w:bookmarkEnd w:id="11"/>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联系人：陈方凯</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话：0769-22008759</w:t>
      </w:r>
    </w:p>
    <w:p>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pPr>
        <w:numPr>
          <w:ilvl w:val="0"/>
          <w:numId w:val="2"/>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12" w:name="_Toc31764_WPSOffice_Level1"/>
      <w:bookmarkStart w:id="13" w:name="_Toc450662847"/>
      <w:bookmarkStart w:id="14" w:name="_Toc48616766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三方诚信招标有限公司</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lang w:eastAsia="zh-CN"/>
        </w:rPr>
        <w:t>东莞市南城街道鸿福西路81号国际商会大厦706室</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黎灼峰</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0769-21682660</w:t>
      </w:r>
    </w:p>
    <w:p>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5" w:name="_Toc31498"/>
      <w:bookmarkStart w:id="16" w:name="_Toc10275"/>
      <w:bookmarkStart w:id="17" w:name="_Toc15111"/>
      <w:bookmarkStart w:id="18" w:name="_Toc18212"/>
      <w:bookmarkStart w:id="19" w:name="_Toc25341"/>
      <w:bookmarkStart w:id="20" w:name="_Toc142508311"/>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2"/>
      <w:bookmarkEnd w:id="13"/>
      <w:bookmarkEnd w:id="14"/>
      <w:bookmarkEnd w:id="15"/>
      <w:bookmarkEnd w:id="16"/>
      <w:bookmarkEnd w:id="17"/>
      <w:bookmarkEnd w:id="18"/>
      <w:bookmarkEnd w:id="19"/>
      <w:bookmarkEnd w:id="20"/>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1" w:name="_Toc140596871"/>
      <w:bookmarkStart w:id="22" w:name="_Toc450662848"/>
      <w:bookmarkStart w:id="23" w:name="_Toc17462"/>
      <w:bookmarkStart w:id="24" w:name="_Toc15366_WPSOffice_Level2"/>
      <w:bookmarkStart w:id="25" w:name="_Toc486167662"/>
      <w:bookmarkStart w:id="26" w:name="_Toc11520"/>
      <w:bookmarkStart w:id="27" w:name="_Toc6692"/>
      <w:bookmarkStart w:id="28" w:name="_Toc142508312"/>
      <w:bookmarkStart w:id="29" w:name="_Toc9555"/>
      <w:bookmarkStart w:id="30" w:name="_Toc24479"/>
      <w:r>
        <w:rPr>
          <w:rFonts w:hint="eastAsia" w:ascii="宋体" w:hAnsi="宋体" w:eastAsia="宋体" w:cs="宋体"/>
          <w:b/>
          <w:bCs/>
          <w:color w:val="auto"/>
          <w:kern w:val="44"/>
          <w:szCs w:val="21"/>
          <w:highlight w:val="none"/>
          <w:lang w:val="zh-CN"/>
        </w:rPr>
        <w:t>一、总则</w:t>
      </w:r>
      <w:bookmarkEnd w:id="21"/>
      <w:bookmarkEnd w:id="22"/>
      <w:bookmarkEnd w:id="23"/>
      <w:bookmarkEnd w:id="24"/>
      <w:bookmarkEnd w:id="25"/>
      <w:bookmarkEnd w:id="26"/>
      <w:bookmarkEnd w:id="27"/>
      <w:bookmarkEnd w:id="28"/>
      <w:bookmarkEnd w:id="29"/>
      <w:bookmarkEnd w:id="30"/>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 w:name="_Toc142508313"/>
      <w:bookmarkStart w:id="32" w:name="_Toc16303"/>
      <w:bookmarkStart w:id="33" w:name="_Toc450662849"/>
      <w:bookmarkStart w:id="34" w:name="_Toc9608"/>
      <w:bookmarkStart w:id="35" w:name="_Toc32670"/>
      <w:bookmarkStart w:id="36" w:name="_Toc21710_WPSOffice_Level3"/>
      <w:bookmarkStart w:id="37" w:name="_Toc23333"/>
      <w:bookmarkStart w:id="38" w:name="_Toc486167663"/>
      <w:bookmarkStart w:id="39" w:name="_Toc28380"/>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31"/>
      <w:bookmarkEnd w:id="32"/>
      <w:bookmarkEnd w:id="33"/>
      <w:bookmarkEnd w:id="34"/>
      <w:bookmarkEnd w:id="35"/>
      <w:bookmarkEnd w:id="36"/>
      <w:bookmarkEnd w:id="37"/>
      <w:bookmarkEnd w:id="38"/>
      <w:bookmarkEnd w:id="39"/>
    </w:p>
    <w:p>
      <w:pPr>
        <w:autoSpaceDE w:val="0"/>
        <w:autoSpaceDN w:val="0"/>
        <w:adjustRightInd w:val="0"/>
        <w:jc w:val="left"/>
        <w:rPr>
          <w:rFonts w:ascii="宋体" w:hAnsi="宋体" w:eastAsia="宋体" w:cs="宋体"/>
          <w:color w:val="auto"/>
          <w:kern w:val="0"/>
          <w:sz w:val="24"/>
          <w:szCs w:val="24"/>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40" w:name="_Toc24103"/>
      <w:bookmarkStart w:id="41" w:name="_Toc28698"/>
      <w:bookmarkStart w:id="42" w:name="_Toc80_WPSOffice_Level3"/>
      <w:bookmarkStart w:id="43" w:name="_Toc18557"/>
      <w:bookmarkStart w:id="44" w:name="_Toc450662850"/>
      <w:bookmarkStart w:id="45" w:name="_Toc486167664"/>
      <w:bookmarkStart w:id="46" w:name="_Toc32244"/>
      <w:bookmarkStart w:id="47" w:name="_Toc142508314"/>
      <w:bookmarkStart w:id="48" w:name="_Toc11306"/>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40"/>
      <w:bookmarkEnd w:id="41"/>
      <w:bookmarkEnd w:id="42"/>
      <w:bookmarkEnd w:id="43"/>
      <w:bookmarkEnd w:id="44"/>
      <w:bookmarkEnd w:id="45"/>
      <w:bookmarkEnd w:id="46"/>
      <w:bookmarkEnd w:id="47"/>
      <w:bookmarkEnd w:id="48"/>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49" w:name="_Toc23847_WPSOffice_Level3"/>
      <w:bookmarkStart w:id="50" w:name="_Toc142508315"/>
      <w:bookmarkStart w:id="51" w:name="_Toc19774"/>
      <w:bookmarkStart w:id="52" w:name="_Toc11689"/>
      <w:bookmarkStart w:id="53" w:name="_Toc8525"/>
      <w:bookmarkStart w:id="54" w:name="_Toc16100"/>
      <w:bookmarkStart w:id="55" w:name="_Toc29693"/>
      <w:bookmarkStart w:id="56" w:name="_Toc450662851"/>
      <w:bookmarkStart w:id="57"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w:t>
      </w:r>
      <w:bookmarkEnd w:id="49"/>
      <w:bookmarkEnd w:id="50"/>
      <w:r>
        <w:rPr>
          <w:rFonts w:hint="eastAsia" w:ascii="宋体" w:hAnsi="宋体" w:eastAsia="宋体" w:cs="宋体"/>
          <w:b/>
          <w:color w:val="auto"/>
          <w:szCs w:val="21"/>
          <w:highlight w:val="none"/>
          <w:lang w:val="en-US" w:eastAsia="zh-CN"/>
        </w:rPr>
        <w:t>服务</w:t>
      </w:r>
      <w:bookmarkEnd w:id="51"/>
      <w:bookmarkEnd w:id="52"/>
      <w:bookmarkEnd w:id="53"/>
      <w:bookmarkEnd w:id="54"/>
      <w:bookmarkEnd w:id="55"/>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“服务”是指投标人按招标文件规定完成的全部服务内容，其中包括完成服务所需的货物和工程，及须承担的技术支持、培训和其它伴随服务。</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8" w:name="_Toc533708063"/>
      <w:bookmarkStart w:id="59" w:name="_Toc1977663"/>
      <w:r>
        <w:rPr>
          <w:rFonts w:hint="eastAsia" w:ascii="宋体" w:hAnsi="宋体" w:eastAsia="宋体" w:cs="宋体"/>
          <w:color w:val="auto"/>
          <w:szCs w:val="21"/>
          <w:highlight w:val="none"/>
          <w:lang w:val="zh-CN"/>
        </w:rPr>
        <w:t xml:space="preserve">3.2  </w:t>
      </w:r>
      <w:bookmarkEnd w:id="58"/>
      <w:bookmarkEnd w:id="59"/>
      <w:bookmarkStart w:id="60" w:name="_Toc533708065"/>
      <w:bookmarkStart w:id="61"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或</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的任何部分均为最新正式版本</w:t>
      </w:r>
      <w:r>
        <w:rPr>
          <w:rFonts w:hint="eastAsia" w:ascii="宋体" w:hAnsi="宋体" w:eastAsia="宋体" w:cs="宋体"/>
          <w:color w:val="auto"/>
          <w:szCs w:val="21"/>
          <w:highlight w:val="none"/>
          <w:lang w:val="zh-CN"/>
        </w:rPr>
        <w:t>。</w:t>
      </w:r>
      <w:bookmarkEnd w:id="60"/>
      <w:bookmarkEnd w:id="61"/>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2" w:name="_Toc1977666"/>
      <w:bookmarkStart w:id="63"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62"/>
      <w:bookmarkEnd w:id="63"/>
      <w:bookmarkStart w:id="64" w:name="_Toc533708067"/>
      <w:bookmarkStart w:id="65" w:name="_Toc1977667"/>
      <w:r>
        <w:rPr>
          <w:rFonts w:hint="eastAsia" w:ascii="宋体" w:hAnsi="宋体" w:eastAsia="宋体" w:cs="宋体"/>
          <w:color w:val="auto"/>
          <w:szCs w:val="21"/>
          <w:highlight w:val="none"/>
          <w:lang w:val="zh-CN"/>
        </w:rPr>
        <w:t>投标人</w:t>
      </w:r>
      <w:r>
        <w:rPr>
          <w:rFonts w:hint="eastAsia" w:ascii="宋体" w:hAnsi="宋体" w:eastAsia="宋体" w:cs="Times New Roman"/>
          <w:color w:val="auto"/>
          <w:kern w:val="0"/>
          <w:szCs w:val="21"/>
          <w:highlight w:val="none"/>
        </w:rPr>
        <w:t>应保证招标人在中华人民共和国使用</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或</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64"/>
      <w:bookmarkEnd w:id="65"/>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6" w:name="_Toc533708068"/>
      <w:bookmarkStart w:id="67"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66"/>
      <w:bookmarkEnd w:id="67"/>
      <w:r>
        <w:rPr>
          <w:rFonts w:hint="eastAsia" w:ascii="宋体" w:hAnsi="宋体" w:eastAsia="宋体" w:cs="宋体"/>
          <w:color w:val="auto"/>
          <w:szCs w:val="21"/>
          <w:highlight w:val="none"/>
          <w:lang w:val="zh-CN"/>
        </w:rPr>
        <w:t>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pPr>
        <w:autoSpaceDE w:val="0"/>
        <w:autoSpaceDN w:val="0"/>
        <w:adjustRightInd w:val="0"/>
        <w:spacing w:line="360" w:lineRule="auto"/>
        <w:jc w:val="left"/>
        <w:rPr>
          <w:rFonts w:ascii="宋体" w:hAnsi="宋体" w:eastAsia="宋体" w:cs="宋体"/>
          <w:color w:val="auto"/>
          <w:szCs w:val="21"/>
          <w:highlight w:val="none"/>
          <w:lang w:val="zh-CN"/>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68" w:name="_Toc11533"/>
      <w:bookmarkStart w:id="69" w:name="_Toc3404"/>
      <w:bookmarkStart w:id="70" w:name="_Toc9658_WPSOffice_Level3"/>
      <w:bookmarkStart w:id="71" w:name="_Toc13063"/>
      <w:bookmarkStart w:id="72" w:name="_Toc9753"/>
      <w:bookmarkStart w:id="73" w:name="_Toc23682"/>
      <w:bookmarkStart w:id="74" w:name="_Toc142508316"/>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68"/>
      <w:bookmarkEnd w:id="69"/>
      <w:bookmarkEnd w:id="70"/>
      <w:bookmarkEnd w:id="71"/>
      <w:bookmarkEnd w:id="72"/>
      <w:bookmarkEnd w:id="73"/>
      <w:bookmarkEnd w:id="74"/>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5" w:name="_Toc533708070"/>
      <w:bookmarkStart w:id="76" w:name="_Toc1977670"/>
      <w:r>
        <w:rPr>
          <w:rFonts w:hint="eastAsia" w:ascii="宋体" w:hAnsi="宋体" w:eastAsia="宋体" w:cs="宋体"/>
          <w:color w:val="auto"/>
          <w:szCs w:val="21"/>
          <w:highlight w:val="none"/>
          <w:lang w:val="zh-CN"/>
        </w:rPr>
        <w:t>4.1  投标费用</w:t>
      </w:r>
      <w:bookmarkEnd w:id="75"/>
      <w:bookmarkEnd w:id="76"/>
    </w:p>
    <w:p>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77" w:name="_Toc1977672"/>
      <w:bookmarkStart w:id="78" w:name="_Toc5337080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77"/>
      <w:bookmarkEnd w:id="78"/>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9" w:name="_Toc533708073"/>
      <w:bookmarkStart w:id="80" w:name="_Toc1977673"/>
      <w:r>
        <w:rPr>
          <w:rFonts w:hint="eastAsia" w:ascii="宋体" w:hAnsi="宋体" w:eastAsia="宋体" w:cs="宋体"/>
          <w:color w:val="auto"/>
          <w:szCs w:val="21"/>
          <w:highlight w:val="none"/>
          <w:lang w:val="zh-CN"/>
        </w:rPr>
        <w:t>4.2  踏勘现场</w:t>
      </w:r>
      <w:bookmarkEnd w:id="79"/>
      <w:bookmarkEnd w:id="80"/>
    </w:p>
    <w:p>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81" w:name="_Toc1977676"/>
      <w:bookmarkStart w:id="82" w:name="_Toc533708076"/>
      <w:r>
        <w:rPr>
          <w:rFonts w:hint="eastAsia" w:ascii="宋体" w:hAnsi="宋体" w:eastAsia="宋体" w:cs="Times New Roman"/>
          <w:color w:val="auto"/>
          <w:kern w:val="0"/>
          <w:szCs w:val="21"/>
          <w:highlight w:val="none"/>
        </w:rPr>
        <w:t>（1）本项目不组织集中踏勘现场和答疑，投标人应自行到实地踏勘考察。</w:t>
      </w:r>
    </w:p>
    <w:p>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p>
    <w:p>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w:t>
      </w:r>
      <w:r>
        <w:rPr>
          <w:rFonts w:hint="eastAsia" w:ascii="宋体" w:hAnsi="宋体" w:eastAsia="宋体" w:cs="Times New Roman"/>
          <w:color w:val="auto"/>
          <w:kern w:val="0"/>
          <w:szCs w:val="21"/>
          <w:highlight w:val="none"/>
          <w:lang w:val="en-US" w:eastAsia="zh-CN"/>
        </w:rPr>
        <w:t>其他</w:t>
      </w:r>
      <w:r>
        <w:rPr>
          <w:rFonts w:hint="eastAsia" w:ascii="宋体" w:hAnsi="宋体" w:eastAsia="宋体" w:cs="Times New Roman"/>
          <w:color w:val="auto"/>
          <w:kern w:val="0"/>
          <w:szCs w:val="21"/>
          <w:highlight w:val="none"/>
        </w:rPr>
        <w:t>情况。</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bookmarkEnd w:id="56"/>
    <w:bookmarkEnd w:id="57"/>
    <w:bookmarkEnd w:id="81"/>
    <w:bookmarkEnd w:id="82"/>
    <w:p>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83" w:name="_Toc486167667"/>
      <w:bookmarkStart w:id="84" w:name="_Toc31289"/>
      <w:bookmarkStart w:id="85" w:name="_Toc23213"/>
      <w:bookmarkStart w:id="86" w:name="_Toc142508317"/>
      <w:bookmarkStart w:id="87" w:name="_Toc140596876"/>
      <w:bookmarkStart w:id="88" w:name="_Toc30507_WPSOffice_Level2"/>
      <w:bookmarkStart w:id="89" w:name="_Toc5395"/>
      <w:bookmarkStart w:id="90" w:name="_Toc12600"/>
      <w:bookmarkStart w:id="91" w:name="_Toc1565"/>
      <w:bookmarkStart w:id="92" w:name="_Toc450662853"/>
      <w:r>
        <w:rPr>
          <w:rFonts w:hint="eastAsia" w:ascii="宋体" w:hAnsi="宋体" w:eastAsia="宋体" w:cs="宋体"/>
          <w:b/>
          <w:bCs/>
          <w:color w:val="auto"/>
          <w:kern w:val="44"/>
          <w:szCs w:val="21"/>
          <w:highlight w:val="none"/>
          <w:lang w:val="zh-CN"/>
        </w:rPr>
        <w:t>二、招标文件</w:t>
      </w:r>
      <w:bookmarkEnd w:id="83"/>
      <w:bookmarkEnd w:id="84"/>
      <w:bookmarkEnd w:id="85"/>
      <w:bookmarkEnd w:id="86"/>
      <w:bookmarkEnd w:id="87"/>
      <w:bookmarkEnd w:id="88"/>
      <w:bookmarkEnd w:id="89"/>
      <w:bookmarkEnd w:id="90"/>
      <w:bookmarkEnd w:id="91"/>
      <w:bookmarkEnd w:id="92"/>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3" w:name="_Toc142508318"/>
      <w:bookmarkStart w:id="94" w:name="_Toc3556"/>
      <w:bookmarkStart w:id="95" w:name="_Toc3978"/>
      <w:bookmarkStart w:id="96" w:name="_Toc450662854"/>
      <w:bookmarkStart w:id="97" w:name="_Toc5505"/>
      <w:bookmarkStart w:id="98" w:name="_Toc26635_WPSOffice_Level3"/>
      <w:bookmarkStart w:id="99" w:name="_Toc28893"/>
      <w:bookmarkStart w:id="100" w:name="_Toc486167668"/>
      <w:bookmarkStart w:id="101" w:name="_Toc2406"/>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93"/>
      <w:bookmarkEnd w:id="94"/>
      <w:bookmarkEnd w:id="95"/>
      <w:bookmarkEnd w:id="96"/>
      <w:bookmarkEnd w:id="97"/>
      <w:bookmarkEnd w:id="98"/>
      <w:bookmarkEnd w:id="99"/>
      <w:bookmarkEnd w:id="100"/>
      <w:bookmarkEnd w:id="101"/>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标志的部分为投标人、投标拟供服务必备的条件或重要指示），那么投标人的投标文件将有可能被拒绝接收或评审为无效投标文件</w:t>
      </w:r>
      <w:r>
        <w:rPr>
          <w:rFonts w:hint="eastAsia" w:ascii="宋体" w:hAnsi="宋体" w:eastAsia="宋体" w:cs="宋体"/>
          <w:b/>
          <w:bCs/>
          <w:color w:val="auto"/>
          <w:szCs w:val="21"/>
          <w:highlight w:val="none"/>
          <w:u w:val="single"/>
          <w:lang w:val="zh-CN"/>
        </w:rPr>
        <w:t>。</w:t>
      </w:r>
    </w:p>
    <w:p>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default" w:ascii="宋体" w:hAnsi="宋体" w:eastAsia="宋体" w:cs="Times New Roman"/>
          <w:color w:val="auto"/>
          <w:kern w:val="0"/>
          <w:szCs w:val="21"/>
          <w:highlight w:val="none"/>
        </w:rPr>
        <w:t>东莞市水务集团建设管理有限公司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（2）“项目业主”指东莞市水务集团供水有限公司；</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三方诚信招标有限公司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东莞市供水设施更新改造项目-松山湖新城路给水管网改造工程第三方监测服务采购项目</w:t>
      </w:r>
      <w:r>
        <w:rPr>
          <w:rFonts w:hint="eastAsia" w:ascii="宋体" w:hAnsi="宋体" w:eastAsia="宋体" w:cs="Times New Roman"/>
          <w:color w:val="auto"/>
          <w:kern w:val="0"/>
          <w:szCs w:val="21"/>
          <w:highlight w:val="none"/>
        </w:rPr>
        <w:t>所需的</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的投标，并向招标代理机构提交投标文件的当事人；</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）“中标人”指其投标被招标人接受，并与招标人签订合同的当事人；</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）“甲方”指在合同条款中指明的购买服务的单位，即</w:t>
      </w:r>
      <w:r>
        <w:rPr>
          <w:rFonts w:hint="default" w:ascii="宋体" w:hAnsi="宋体" w:eastAsia="宋体" w:cs="Times New Roman"/>
          <w:color w:val="auto"/>
          <w:kern w:val="0"/>
          <w:szCs w:val="21"/>
          <w:highlight w:val="none"/>
        </w:rPr>
        <w:t>东莞市水务集团建设管理有限公司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）“乙方”指在合同条款中指明的本合同项下提供服务的公司或实体；</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）“招标文件”指由招标代理机构发出的本招标文件，包括全部章节和附件；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）“投标文件”指投标人根据本招标文件向招标代理机构提交的全部文件；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）“书面函件”指手写、打字或印刷的函件，包括电传、电报和传真；</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）“合同”指由本次招标所产生的合同或合约文件；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）“日期”指公历日，“时间”指北京时间；</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15</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w:t>
      </w:r>
      <w:r>
        <w:rPr>
          <w:rFonts w:hint="eastAsia" w:ascii="宋体" w:hAnsi="宋体" w:eastAsia="宋体" w:cs="Times New Roman"/>
          <w:color w:val="auto"/>
          <w:kern w:val="0"/>
          <w:szCs w:val="21"/>
          <w:highlight w:val="none"/>
          <w:lang w:val="en-US" w:eastAsia="zh-CN"/>
        </w:rPr>
        <w:t>综合单</w:t>
      </w:r>
      <w:r>
        <w:rPr>
          <w:rFonts w:hint="eastAsia" w:ascii="宋体" w:hAnsi="宋体" w:eastAsia="宋体" w:cs="Times New Roman"/>
          <w:color w:val="auto"/>
          <w:kern w:val="0"/>
          <w:szCs w:val="21"/>
          <w:highlight w:val="none"/>
        </w:rPr>
        <w:t>价和</w:t>
      </w:r>
      <w:r>
        <w:rPr>
          <w:rFonts w:hint="eastAsia" w:ascii="宋体" w:hAnsi="宋体" w:eastAsia="宋体" w:cs="Times New Roman"/>
          <w:color w:val="auto"/>
          <w:kern w:val="0"/>
          <w:szCs w:val="21"/>
          <w:highlight w:val="none"/>
          <w:lang w:val="en-US" w:eastAsia="zh-CN"/>
        </w:rPr>
        <w:t>暂定总</w:t>
      </w:r>
      <w:r>
        <w:rPr>
          <w:rFonts w:hint="eastAsia" w:ascii="宋体" w:hAnsi="宋体" w:eastAsia="宋体" w:cs="Times New Roman"/>
          <w:color w:val="auto"/>
          <w:kern w:val="0"/>
          <w:szCs w:val="21"/>
          <w:highlight w:val="none"/>
        </w:rPr>
        <w:t>合同价是指不含本采购项目投标人的销项税额，包含了投标人完成合同义务（</w:t>
      </w:r>
      <w:r>
        <w:rPr>
          <w:rFonts w:hint="eastAsia" w:ascii="宋体" w:hAnsi="宋体" w:eastAsia="宋体" w:cs="Times New Roman"/>
          <w:color w:val="auto"/>
          <w:szCs w:val="21"/>
          <w:highlight w:val="none"/>
          <w:lang w:val="zh-CN"/>
        </w:rPr>
        <w:t>含投标人代缴代扣、分包及委外服务、</w:t>
      </w:r>
      <w:r>
        <w:rPr>
          <w:rFonts w:hint="eastAsia" w:ascii="宋体" w:hAnsi="宋体" w:eastAsia="宋体" w:cs="Times New Roman"/>
          <w:color w:val="auto"/>
          <w:szCs w:val="21"/>
          <w:highlight w:val="none"/>
          <w:lang w:val="en-US" w:eastAsia="zh-CN"/>
        </w:rPr>
        <w:t>施工</w:t>
      </w:r>
      <w:r>
        <w:rPr>
          <w:rFonts w:hint="eastAsia" w:ascii="宋体" w:hAnsi="宋体" w:eastAsia="宋体" w:cs="Times New Roman"/>
          <w:color w:val="auto"/>
          <w:szCs w:val="21"/>
          <w:highlight w:val="none"/>
          <w:lang w:val="zh-CN"/>
        </w:rPr>
        <w:t>、采购货物等所产生的价税</w:t>
      </w:r>
      <w:r>
        <w:rPr>
          <w:rFonts w:hint="eastAsia" w:ascii="宋体" w:hAnsi="宋体" w:eastAsia="宋体" w:cs="Times New Roman"/>
          <w:color w:val="auto"/>
          <w:kern w:val="0"/>
          <w:szCs w:val="21"/>
          <w:highlight w:val="none"/>
        </w:rPr>
        <w:t>）的其他全部费用。本采购项目投标人的销项税额由</w:t>
      </w:r>
      <w:r>
        <w:rPr>
          <w:rFonts w:hint="eastAsia" w:ascii="宋体" w:hAnsi="宋体" w:eastAsia="宋体" w:cs="Times New Roman"/>
          <w:color w:val="auto"/>
          <w:kern w:val="0"/>
          <w:szCs w:val="21"/>
          <w:highlight w:val="none"/>
          <w:lang w:val="en-US" w:eastAsia="zh-CN"/>
        </w:rPr>
        <w:t>项目业主或招标人</w:t>
      </w:r>
      <w:r>
        <w:rPr>
          <w:rFonts w:hint="eastAsia" w:ascii="宋体" w:hAnsi="宋体" w:eastAsia="宋体" w:cs="Times New Roman"/>
          <w:color w:val="auto"/>
          <w:kern w:val="0"/>
          <w:szCs w:val="21"/>
          <w:highlight w:val="none"/>
        </w:rPr>
        <w:t>承担，不计入投标报价。</w:t>
      </w:r>
    </w:p>
    <w:p>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2" w:name="_Toc11346"/>
      <w:bookmarkStart w:id="103" w:name="_Toc486167669"/>
      <w:bookmarkStart w:id="104" w:name="_Toc450662855"/>
      <w:bookmarkStart w:id="105" w:name="_Toc5780"/>
      <w:bookmarkStart w:id="106" w:name="_Toc32527"/>
      <w:bookmarkStart w:id="107" w:name="_Toc1433"/>
      <w:bookmarkStart w:id="108" w:name="_Toc142508319"/>
      <w:bookmarkStart w:id="109" w:name="_Toc3727"/>
      <w:bookmarkStart w:id="110" w:name="_Toc29125_WPSOffice_Level3"/>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102"/>
      <w:bookmarkEnd w:id="103"/>
      <w:bookmarkEnd w:id="104"/>
      <w:bookmarkEnd w:id="105"/>
      <w:bookmarkEnd w:id="106"/>
      <w:bookmarkEnd w:id="107"/>
      <w:bookmarkEnd w:id="108"/>
      <w:bookmarkEnd w:id="109"/>
      <w:bookmarkEnd w:id="110"/>
    </w:p>
    <w:p>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1" w:name="_Toc29462"/>
      <w:bookmarkStart w:id="112" w:name="_Toc23483_WPSOffice_Level3"/>
      <w:bookmarkStart w:id="113" w:name="_Toc1576"/>
      <w:bookmarkStart w:id="114" w:name="_Toc450662856"/>
      <w:bookmarkStart w:id="115" w:name="_Toc29864"/>
      <w:bookmarkStart w:id="116" w:name="_Toc486167670"/>
      <w:bookmarkStart w:id="117" w:name="_Toc39"/>
      <w:bookmarkStart w:id="118" w:name="_Toc142508320"/>
      <w:bookmarkStart w:id="119" w:name="_Toc17145"/>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11"/>
      <w:bookmarkEnd w:id="112"/>
      <w:bookmarkEnd w:id="113"/>
      <w:bookmarkEnd w:id="114"/>
      <w:bookmarkEnd w:id="115"/>
      <w:bookmarkEnd w:id="116"/>
      <w:bookmarkEnd w:id="117"/>
      <w:bookmarkEnd w:id="118"/>
      <w:bookmarkEnd w:id="119"/>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3"/>
          <w:rFonts w:ascii="宋体" w:hAnsi="宋体" w:eastAsia="宋体" w:cs="Times New Roman"/>
          <w:color w:val="auto"/>
          <w:sz w:val="21"/>
          <w:szCs w:val="21"/>
          <w:highlight w:val="none"/>
        </w:rPr>
        <w:t>www.dgswjt.cn）</w:t>
      </w:r>
      <w:r>
        <w:rPr>
          <w:rStyle w:val="43"/>
          <w:rFonts w:ascii="宋体" w:hAnsi="宋体" w:eastAsia="宋体" w:cs="Times New Roman"/>
          <w:color w:val="auto"/>
          <w:sz w:val="21"/>
          <w:szCs w:val="21"/>
          <w:highlight w:val="none"/>
          <w:lang w:val="zh-CN"/>
        </w:rPr>
        <w:t>、</w:t>
      </w:r>
      <w:r>
        <w:rPr>
          <w:rStyle w:val="43"/>
          <w:rFonts w:hint="eastAsia" w:ascii="宋体" w:hAnsi="宋体" w:eastAsia="宋体" w:cs="Times New Roman"/>
          <w:bCs/>
          <w:color w:val="auto"/>
          <w:kern w:val="0"/>
          <w:sz w:val="21"/>
          <w:szCs w:val="21"/>
          <w:highlight w:val="none"/>
        </w:rPr>
        <w:t>招标代理</w:t>
      </w:r>
      <w:r>
        <w:rPr>
          <w:rStyle w:val="43"/>
          <w:rFonts w:hint="eastAsia" w:ascii="宋体" w:hAnsi="宋体" w:eastAsia="宋体" w:cs="Times New Roman"/>
          <w:bCs/>
          <w:color w:val="auto"/>
          <w:kern w:val="0"/>
          <w:sz w:val="21"/>
          <w:szCs w:val="21"/>
          <w:highlight w:val="none"/>
          <w:lang w:val="en-US" w:eastAsia="zh-CN"/>
        </w:rPr>
        <w:t>机构</w:t>
      </w:r>
      <w:r>
        <w:rPr>
          <w:rStyle w:val="43"/>
          <w:rFonts w:hint="eastAsia" w:ascii="宋体" w:hAnsi="宋体" w:eastAsia="宋体" w:cs="Times New Roman"/>
          <w:bCs/>
          <w:color w:val="auto"/>
          <w:kern w:val="0"/>
          <w:sz w:val="21"/>
          <w:szCs w:val="21"/>
          <w:highlight w:val="none"/>
        </w:rPr>
        <w:t>网站（</w:t>
      </w:r>
      <w:r>
        <w:rPr>
          <w:rStyle w:val="43"/>
          <w:rFonts w:hint="eastAsia" w:ascii="宋体" w:hAnsi="宋体" w:eastAsia="宋体" w:cs="Times New Roman"/>
          <w:bCs/>
          <w:color w:val="auto"/>
          <w:kern w:val="0"/>
          <w:sz w:val="21"/>
          <w:szCs w:val="21"/>
          <w:highlight w:val="none"/>
          <w:lang w:eastAsia="zh-CN"/>
        </w:rPr>
        <w:t>www.sfcx.cn</w:t>
      </w:r>
      <w:r>
        <w:rPr>
          <w:rStyle w:val="43"/>
          <w:rFonts w:hint="eastAsia" w:ascii="宋体" w:hAnsi="宋体" w:eastAsia="宋体" w:cs="Times New Roman"/>
          <w:bCs/>
          <w:color w:val="auto"/>
          <w:kern w:val="0"/>
          <w:sz w:val="21"/>
          <w:szCs w:val="21"/>
          <w:highlight w:val="none"/>
        </w:rPr>
        <w:t>）</w:t>
      </w:r>
      <w:r>
        <w:rPr>
          <w:rStyle w:val="43"/>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w:t>
      </w:r>
      <w:r>
        <w:rPr>
          <w:rFonts w:hint="eastAsia" w:ascii="宋体" w:hAnsi="宋体" w:eastAsia="宋体" w:cs="宋体"/>
          <w:color w:val="auto"/>
          <w:szCs w:val="21"/>
          <w:highlight w:val="none"/>
          <w:lang w:val="en-US" w:eastAsia="zh-CN"/>
        </w:rPr>
        <w:t>请各投标人密切留意</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20" w:name="_Toc16844"/>
      <w:bookmarkStart w:id="121" w:name="_Toc27196"/>
      <w:bookmarkStart w:id="122" w:name="_Toc486167671"/>
      <w:bookmarkStart w:id="123" w:name="_Toc8711"/>
      <w:bookmarkStart w:id="124" w:name="_Toc23342"/>
      <w:bookmarkStart w:id="125" w:name="_Toc140596880"/>
      <w:bookmarkStart w:id="126" w:name="_Toc450662857"/>
      <w:bookmarkStart w:id="127" w:name="_Toc29659_WPSOffice_Level2"/>
      <w:bookmarkStart w:id="128" w:name="_Toc967"/>
      <w:bookmarkStart w:id="129" w:name="_Toc142508321"/>
      <w:r>
        <w:rPr>
          <w:rFonts w:hint="eastAsia" w:ascii="宋体" w:hAnsi="宋体" w:eastAsia="宋体" w:cs="宋体"/>
          <w:b/>
          <w:bCs/>
          <w:color w:val="auto"/>
          <w:kern w:val="44"/>
          <w:szCs w:val="21"/>
          <w:highlight w:val="none"/>
          <w:lang w:val="zh-CN"/>
        </w:rPr>
        <w:t>三、投标文件的编制</w:t>
      </w:r>
      <w:bookmarkEnd w:id="120"/>
      <w:bookmarkEnd w:id="121"/>
      <w:bookmarkEnd w:id="122"/>
      <w:bookmarkEnd w:id="123"/>
      <w:bookmarkEnd w:id="124"/>
      <w:bookmarkEnd w:id="125"/>
      <w:bookmarkEnd w:id="126"/>
      <w:bookmarkEnd w:id="127"/>
      <w:bookmarkEnd w:id="128"/>
      <w:bookmarkEnd w:id="129"/>
    </w:p>
    <w:p>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0" w:name="_Toc142508322"/>
      <w:bookmarkStart w:id="131" w:name="_Toc31162"/>
      <w:bookmarkStart w:id="132" w:name="_Toc450662858"/>
      <w:bookmarkStart w:id="133" w:name="_Toc30617"/>
      <w:bookmarkStart w:id="134" w:name="_Toc10015_WPSOffice_Level3"/>
      <w:bookmarkStart w:id="135" w:name="_Toc4392"/>
      <w:bookmarkStart w:id="136" w:name="_Toc486167672"/>
      <w:bookmarkStart w:id="137" w:name="_Toc6244"/>
      <w:bookmarkStart w:id="138" w:name="_Toc3827"/>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30"/>
      <w:bookmarkEnd w:id="131"/>
      <w:bookmarkEnd w:id="132"/>
      <w:bookmarkEnd w:id="133"/>
      <w:bookmarkEnd w:id="134"/>
      <w:bookmarkEnd w:id="135"/>
      <w:bookmarkEnd w:id="136"/>
      <w:bookmarkEnd w:id="137"/>
      <w:bookmarkEnd w:id="138"/>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pPr>
        <w:autoSpaceDE w:val="0"/>
        <w:autoSpaceDN w:val="0"/>
        <w:adjustRightInd w:val="0"/>
        <w:spacing w:line="360" w:lineRule="auto"/>
        <w:rPr>
          <w:rFonts w:ascii="宋体" w:hAnsi="宋体" w:eastAsia="宋体" w:cs="宋体"/>
          <w:color w:val="auto"/>
          <w:szCs w:val="21"/>
          <w:highlight w:val="none"/>
          <w:lang w:val="zh-CN"/>
        </w:rPr>
      </w:pPr>
    </w:p>
    <w:p>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39" w:name="_Toc486167673"/>
      <w:bookmarkStart w:id="140" w:name="_Toc14943"/>
      <w:bookmarkStart w:id="141" w:name="_Toc9665"/>
      <w:bookmarkStart w:id="142" w:name="_Toc7348"/>
      <w:bookmarkStart w:id="143" w:name="_Toc24916_WPSOffice_Level3"/>
      <w:bookmarkStart w:id="144" w:name="_Toc142508323"/>
      <w:bookmarkStart w:id="145" w:name="_Toc26462"/>
      <w:bookmarkStart w:id="146" w:name="_Toc30738"/>
      <w:bookmarkStart w:id="147" w:name="_Toc450662859"/>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39"/>
      <w:bookmarkEnd w:id="140"/>
      <w:bookmarkEnd w:id="141"/>
      <w:bookmarkEnd w:id="142"/>
      <w:bookmarkEnd w:id="143"/>
      <w:bookmarkEnd w:id="144"/>
      <w:bookmarkEnd w:id="145"/>
      <w:bookmarkEnd w:id="146"/>
      <w:bookmarkEnd w:id="147"/>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）供货及/或提供服务过程承诺函；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（4）投标报价表；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pPr>
        <w:autoSpaceDE w:val="0"/>
        <w:autoSpaceDN w:val="0"/>
        <w:adjustRightInd w:val="0"/>
        <w:spacing w:line="360" w:lineRule="auto"/>
        <w:ind w:left="283" w:hanging="283" w:hangingChars="135"/>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w:t>
      </w:r>
      <w:r>
        <w:rPr>
          <w:rFonts w:hint="eastAsia" w:hAnsi="宋体" w:eastAsia="宋体"/>
          <w:b w:val="0"/>
          <w:bCs/>
          <w:color w:val="auto"/>
          <w:sz w:val="21"/>
          <w:szCs w:val="21"/>
          <w:highlight w:val="none"/>
          <w:lang w:val="zh-CN"/>
        </w:rPr>
        <w:t>具备建设行政主管部门核发</w:t>
      </w:r>
      <w:r>
        <w:rPr>
          <w:rFonts w:hint="eastAsia" w:hAnsi="宋体" w:eastAsia="宋体"/>
          <w:b w:val="0"/>
          <w:bCs/>
          <w:color w:val="auto"/>
          <w:sz w:val="21"/>
          <w:szCs w:val="21"/>
          <w:highlight w:val="none"/>
          <w:lang w:val="en-US" w:eastAsia="zh-CN"/>
        </w:rPr>
        <w:t>有效</w:t>
      </w:r>
      <w:r>
        <w:rPr>
          <w:rFonts w:hint="eastAsia" w:hAnsi="宋体" w:eastAsia="宋体"/>
          <w:b w:val="0"/>
          <w:bCs/>
          <w:color w:val="auto"/>
          <w:sz w:val="21"/>
          <w:szCs w:val="21"/>
          <w:highlight w:val="none"/>
          <w:lang w:val="zh-CN"/>
        </w:rPr>
        <w:t>的工程勘察综合类甲级资质，或同时具备有效的工程勘察专业类岩土工程</w:t>
      </w:r>
      <w:r>
        <w:rPr>
          <w:rFonts w:hint="eastAsia" w:hAnsi="宋体" w:eastAsia="宋体"/>
          <w:b w:val="0"/>
          <w:bCs/>
          <w:color w:val="auto"/>
          <w:sz w:val="21"/>
          <w:szCs w:val="21"/>
          <w:highlight w:val="none"/>
          <w:lang w:val="en-US" w:eastAsia="zh-CN"/>
        </w:rPr>
        <w:t>乙</w:t>
      </w:r>
      <w:r>
        <w:rPr>
          <w:rFonts w:hint="eastAsia" w:hAnsi="宋体" w:eastAsia="宋体"/>
          <w:b w:val="0"/>
          <w:bCs/>
          <w:color w:val="auto"/>
          <w:sz w:val="21"/>
          <w:szCs w:val="21"/>
          <w:highlight w:val="none"/>
          <w:lang w:val="zh-CN"/>
        </w:rPr>
        <w:t>级（</w:t>
      </w:r>
      <w:r>
        <w:rPr>
          <w:rFonts w:hint="eastAsia" w:hAnsi="宋体" w:eastAsia="宋体"/>
          <w:b w:val="0"/>
          <w:bCs/>
          <w:color w:val="auto"/>
          <w:sz w:val="21"/>
          <w:szCs w:val="21"/>
          <w:highlight w:val="none"/>
          <w:lang w:val="en-US"/>
        </w:rPr>
        <w:t>或以上</w:t>
      </w:r>
      <w:r>
        <w:rPr>
          <w:rFonts w:hint="eastAsia" w:hAnsi="宋体" w:eastAsia="宋体"/>
          <w:b w:val="0"/>
          <w:bCs/>
          <w:color w:val="auto"/>
          <w:sz w:val="21"/>
          <w:szCs w:val="21"/>
          <w:highlight w:val="none"/>
          <w:lang w:val="zh-CN"/>
        </w:rPr>
        <w:t>）和工程测量</w:t>
      </w:r>
      <w:r>
        <w:rPr>
          <w:rFonts w:hint="eastAsia" w:hAnsi="宋体" w:eastAsia="宋体"/>
          <w:b w:val="0"/>
          <w:bCs/>
          <w:color w:val="auto"/>
          <w:sz w:val="21"/>
          <w:szCs w:val="21"/>
          <w:highlight w:val="none"/>
          <w:lang w:val="en-US"/>
        </w:rPr>
        <w:t>乙</w:t>
      </w:r>
      <w:r>
        <w:rPr>
          <w:rFonts w:hint="eastAsia" w:hAnsi="宋体" w:eastAsia="宋体"/>
          <w:b w:val="0"/>
          <w:bCs/>
          <w:color w:val="auto"/>
          <w:sz w:val="21"/>
          <w:szCs w:val="21"/>
          <w:highlight w:val="none"/>
          <w:lang w:val="zh-CN"/>
        </w:rPr>
        <w:t>级（</w:t>
      </w:r>
      <w:r>
        <w:rPr>
          <w:rFonts w:hint="eastAsia" w:hAnsi="宋体" w:eastAsia="宋体"/>
          <w:b w:val="0"/>
          <w:bCs/>
          <w:color w:val="auto"/>
          <w:sz w:val="21"/>
          <w:szCs w:val="21"/>
          <w:highlight w:val="none"/>
          <w:lang w:val="en-US"/>
        </w:rPr>
        <w:t>或以上</w:t>
      </w:r>
      <w:r>
        <w:rPr>
          <w:rFonts w:hint="eastAsia" w:hAnsi="宋体" w:eastAsia="宋体"/>
          <w:b w:val="0"/>
          <w:bCs/>
          <w:color w:val="auto"/>
          <w:sz w:val="21"/>
          <w:szCs w:val="21"/>
          <w:highlight w:val="none"/>
          <w:lang w:val="zh-CN"/>
        </w:rPr>
        <w:t>）资质，或同时具备有效的工程勘察专业类岩土工程物探测试乙级（或以上）和工程测量乙级（或以上）资质</w:t>
      </w:r>
      <w:r>
        <w:rPr>
          <w:rFonts w:hint="eastAsia" w:ascii="宋体" w:hAnsi="宋体" w:eastAsia="宋体" w:cs="Times New Roman"/>
          <w:color w:val="auto"/>
          <w:szCs w:val="21"/>
          <w:highlight w:val="none"/>
          <w:lang w:val="zh-CN"/>
        </w:rPr>
        <w:t>，如资质证书已过有效期，但依据资质证书主管部门相关通知/发文属于资质有效期延期的情况，提供相关通知/发文截图复印件以及官方网站网址链接</w:t>
      </w:r>
      <w:r>
        <w:rPr>
          <w:rFonts w:hint="eastAsia" w:ascii="宋体" w:hAnsi="宋体" w:eastAsia="宋体" w:cs="宋体"/>
          <w:color w:val="auto"/>
          <w:sz w:val="21"/>
          <w:szCs w:val="21"/>
          <w:highlight w:val="none"/>
          <w:lang w:val="en-US" w:eastAsia="zh-CN"/>
        </w:rPr>
        <w:t>/全国建筑市场监管公共服务平台（jzsc.mohurd.gov.cn）企业资质证书信息截图</w:t>
      </w:r>
      <w:r>
        <w:rPr>
          <w:rFonts w:hint="eastAsia" w:ascii="宋体" w:hAnsi="宋体" w:eastAsia="宋体" w:cs="Times New Roman"/>
          <w:color w:val="auto"/>
          <w:szCs w:val="21"/>
          <w:highlight w:val="none"/>
          <w:lang w:val="zh-CN"/>
        </w:rPr>
        <w:t>；</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4</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资格业绩【投标人提供一</w:t>
      </w:r>
      <w:r>
        <w:rPr>
          <w:rFonts w:hint="eastAsia" w:ascii="宋体" w:hAnsi="宋体" w:eastAsia="宋体"/>
          <w:color w:val="auto"/>
          <w:szCs w:val="21"/>
          <w:highlight w:val="none"/>
          <w:lang w:eastAsia="zh-CN"/>
        </w:rPr>
        <w:t>项</w:t>
      </w:r>
      <w:r>
        <w:rPr>
          <w:rFonts w:hint="eastAsia" w:ascii="宋体" w:hAnsi="宋体" w:eastAsia="宋体"/>
          <w:color w:val="auto"/>
          <w:szCs w:val="21"/>
          <w:highlight w:val="none"/>
        </w:rPr>
        <w:t>20</w:t>
      </w:r>
      <w:r>
        <w:rPr>
          <w:rFonts w:hint="eastAsia" w:ascii="宋体" w:hAnsi="宋体" w:eastAsia="宋体"/>
          <w:color w:val="auto"/>
          <w:szCs w:val="21"/>
          <w:highlight w:val="none"/>
          <w:lang w:val="en-US" w:eastAsia="zh-CN"/>
        </w:rPr>
        <w:t>20</w:t>
      </w:r>
      <w:r>
        <w:rPr>
          <w:rFonts w:hint="eastAsia" w:ascii="宋体" w:hAnsi="宋体" w:eastAsia="宋体"/>
          <w:color w:val="auto"/>
          <w:szCs w:val="21"/>
          <w:highlight w:val="none"/>
        </w:rPr>
        <w:t>年1月1日以来市政工程监测业绩（合同签订日期为20</w:t>
      </w:r>
      <w:r>
        <w:rPr>
          <w:rFonts w:hint="eastAsia" w:ascii="宋体" w:hAnsi="宋体" w:eastAsia="宋体"/>
          <w:color w:val="auto"/>
          <w:szCs w:val="21"/>
          <w:highlight w:val="none"/>
          <w:lang w:val="en-US" w:eastAsia="zh-CN"/>
        </w:rPr>
        <w:t>20</w:t>
      </w:r>
      <w:r>
        <w:rPr>
          <w:rFonts w:hint="eastAsia" w:ascii="宋体" w:hAnsi="宋体" w:eastAsia="宋体"/>
          <w:color w:val="auto"/>
          <w:szCs w:val="21"/>
          <w:highlight w:val="none"/>
        </w:rPr>
        <w:t>年1月1日或以后），资格业绩证明材料提交要求详见招标文件第六篇投标文件格式</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u w:val="single"/>
        </w:rPr>
        <w:t>.</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）拟投入人员情况；</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）投标保证金汇入情况说明；</w:t>
      </w:r>
    </w:p>
    <w:p>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（1）用户需求响应程度（格式见附件</w:t>
      </w:r>
      <w:r>
        <w:rPr>
          <w:rFonts w:hint="eastAsia" w:ascii="宋体" w:hAnsi="宋体" w:eastAsia="宋体" w:cs="宋体"/>
          <w:color w:val="auto"/>
          <w:kern w:val="0"/>
          <w:szCs w:val="21"/>
          <w:highlight w:val="none"/>
          <w:lang w:eastAsia="zh-CN"/>
        </w:rPr>
        <w:t>13.</w:t>
      </w:r>
      <w:r>
        <w:rPr>
          <w:rFonts w:hint="eastAsia" w:ascii="宋体" w:hAnsi="宋体" w:eastAsia="宋体" w:cs="宋体"/>
          <w:color w:val="auto"/>
          <w:kern w:val="0"/>
          <w:szCs w:val="21"/>
          <w:highlight w:val="none"/>
        </w:rPr>
        <w:t>1用户需求偏离表格式）；</w:t>
      </w:r>
    </w:p>
    <w:p>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监测方案</w:t>
      </w:r>
      <w:r>
        <w:rPr>
          <w:rFonts w:hint="eastAsia" w:ascii="宋体" w:hAnsi="宋体" w:eastAsia="宋体" w:cs="宋体"/>
          <w:color w:val="auto"/>
          <w:kern w:val="0"/>
          <w:szCs w:val="21"/>
          <w:highlight w:val="none"/>
          <w:lang w:val="zh-CN"/>
        </w:rPr>
        <w:t>（投标人自行编写）；</w:t>
      </w:r>
    </w:p>
    <w:p>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原始数据处理计算、整理分析方法及预警消警机制（</w:t>
      </w:r>
      <w:r>
        <w:rPr>
          <w:rFonts w:hint="eastAsia" w:ascii="宋体" w:hAnsi="宋体" w:eastAsia="宋体" w:cs="宋体"/>
          <w:color w:val="auto"/>
          <w:kern w:val="0"/>
          <w:szCs w:val="21"/>
          <w:highlight w:val="none"/>
          <w:lang w:val="zh-CN"/>
        </w:rPr>
        <w:t>投标人自行编写</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w:t>
      </w:r>
    </w:p>
    <w:p>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rPr>
        <w:t>）监测成果准确性承诺书（格式见附件13.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rPr>
        <w:t>监测成果准确性承诺书格式）；</w:t>
      </w:r>
    </w:p>
    <w:p>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val="zh-CN"/>
        </w:rPr>
        <w:t>）</w:t>
      </w:r>
      <w:bookmarkStart w:id="148" w:name="_Hlk82590478"/>
      <w:r>
        <w:rPr>
          <w:rFonts w:hint="eastAsia" w:ascii="宋体" w:hAnsi="宋体" w:eastAsia="宋体" w:cs="宋体"/>
          <w:color w:val="auto"/>
          <w:kern w:val="0"/>
          <w:szCs w:val="21"/>
          <w:highlight w:val="none"/>
          <w:lang w:val="zh-CN"/>
        </w:rPr>
        <w:t>服务响应时间承诺书（格式见附件13.</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val="zh-CN"/>
        </w:rPr>
        <w:t>服务响应时间承诺书格式）；</w:t>
      </w:r>
      <w:bookmarkEnd w:id="148"/>
    </w:p>
    <w:p>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val="zh-CN"/>
        </w:rPr>
        <w:t>）投标人认为有需要提供的其他文件（不做强制性要求）</w:t>
      </w:r>
      <w:r>
        <w:rPr>
          <w:rFonts w:hint="eastAsia" w:ascii="宋体" w:hAnsi="宋体" w:eastAsia="宋体" w:cs="宋体"/>
          <w:color w:val="auto"/>
          <w:kern w:val="0"/>
          <w:szCs w:val="21"/>
          <w:highlight w:val="none"/>
        </w:rPr>
        <w:t>。</w:t>
      </w:r>
    </w:p>
    <w:p>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9" w:name="_Toc11170"/>
      <w:bookmarkStart w:id="150" w:name="_Toc8675_WPSOffice_Level3"/>
      <w:bookmarkStart w:id="151" w:name="_Toc28166"/>
      <w:bookmarkStart w:id="152" w:name="_Toc20315"/>
      <w:bookmarkStart w:id="153" w:name="_Toc142508324"/>
      <w:bookmarkStart w:id="154" w:name="_Toc486167674"/>
      <w:bookmarkStart w:id="155" w:name="_Toc13214"/>
      <w:bookmarkStart w:id="156" w:name="_Toc450662860"/>
      <w:bookmarkStart w:id="157" w:name="_Toc31771"/>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49"/>
      <w:bookmarkEnd w:id="150"/>
      <w:bookmarkEnd w:id="151"/>
      <w:bookmarkEnd w:id="152"/>
      <w:bookmarkEnd w:id="153"/>
      <w:bookmarkEnd w:id="154"/>
      <w:bookmarkEnd w:id="155"/>
      <w:bookmarkEnd w:id="156"/>
      <w:bookmarkEnd w:id="157"/>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8" w:name="_Toc905"/>
      <w:bookmarkStart w:id="159" w:name="_Toc24311"/>
      <w:bookmarkStart w:id="160" w:name="_Toc142508325"/>
      <w:bookmarkStart w:id="161" w:name="_Toc20186"/>
      <w:bookmarkStart w:id="162" w:name="_Toc4385_WPSOffice_Level3"/>
      <w:bookmarkStart w:id="163" w:name="_Toc15427"/>
      <w:bookmarkStart w:id="164" w:name="_Toc20223"/>
      <w:bookmarkStart w:id="165" w:name="_Toc450662861"/>
      <w:bookmarkStart w:id="166" w:name="_Toc486167675"/>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58"/>
      <w:bookmarkEnd w:id="159"/>
      <w:bookmarkEnd w:id="160"/>
      <w:bookmarkEnd w:id="161"/>
      <w:bookmarkEnd w:id="162"/>
      <w:bookmarkEnd w:id="163"/>
      <w:bookmarkEnd w:id="164"/>
      <w:bookmarkEnd w:id="165"/>
      <w:bookmarkEnd w:id="166"/>
    </w:p>
    <w:p>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本项目的投标报价采用填报服务系数的方式，投标人须报出监测服务系数。本项目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pPr>
        <w:tabs>
          <w:tab w:val="left" w:pos="567"/>
        </w:tabs>
        <w:autoSpaceDE w:val="0"/>
        <w:autoSpaceDN w:val="0"/>
        <w:adjustRightInd w:val="0"/>
        <w:spacing w:line="360" w:lineRule="auto"/>
        <w:ind w:left="420" w:leftChars="200" w:firstLine="481" w:firstLineChars="228"/>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pPr>
        <w:tabs>
          <w:tab w:val="left" w:pos="567"/>
        </w:tabs>
        <w:autoSpaceDE w:val="0"/>
        <w:autoSpaceDN w:val="0"/>
        <w:adjustRightInd w:val="0"/>
        <w:spacing w:line="360" w:lineRule="auto"/>
        <w:ind w:left="420" w:leftChars="200" w:firstLine="481" w:firstLineChars="228"/>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Times New Roman"/>
          <w:b/>
          <w:bCs/>
          <w:color w:val="auto"/>
          <w:szCs w:val="21"/>
          <w:highlight w:val="none"/>
          <w:lang w:val="zh-CN"/>
        </w:rPr>
        <w:t>本项目的投标报价采用服务系数报价，投标人须报出监测服务系数</w:t>
      </w:r>
      <w:r>
        <w:rPr>
          <w:rFonts w:hint="eastAsia" w:ascii="宋体" w:hAnsi="宋体" w:eastAsia="宋体" w:cs="Times New Roman"/>
          <w:color w:val="auto"/>
          <w:szCs w:val="21"/>
          <w:highlight w:val="none"/>
          <w:lang w:val="zh-CN"/>
        </w:rPr>
        <w:t>。合同服务期内，监测服务的</w:t>
      </w:r>
      <w:r>
        <w:rPr>
          <w:rFonts w:hint="eastAsia" w:ascii="宋体" w:hAnsi="宋体" w:eastAsia="宋体" w:cs="Times New Roman"/>
          <w:color w:val="auto"/>
          <w:szCs w:val="21"/>
          <w:highlight w:val="none"/>
          <w:lang w:val="en-US" w:eastAsia="zh-CN"/>
        </w:rPr>
        <w:t>结算</w:t>
      </w:r>
      <w:r>
        <w:rPr>
          <w:rFonts w:hint="eastAsia" w:ascii="宋体" w:hAnsi="宋体" w:eastAsia="宋体" w:cs="Times New Roman"/>
          <w:color w:val="auto"/>
          <w:szCs w:val="21"/>
          <w:highlight w:val="none"/>
          <w:lang w:val="zh-CN"/>
        </w:rPr>
        <w:t>不含税综合单价按以下方式计算：</w:t>
      </w:r>
      <w:r>
        <w:rPr>
          <w:rFonts w:hint="eastAsia" w:ascii="宋体" w:hAnsi="宋体" w:eastAsia="宋体" w:cs="Times New Roman"/>
          <w:color w:val="auto"/>
          <w:szCs w:val="21"/>
          <w:highlight w:val="none"/>
          <w:lang w:val="en-US" w:eastAsia="zh-CN"/>
        </w:rPr>
        <w:t>结算</w:t>
      </w:r>
      <w:r>
        <w:rPr>
          <w:rFonts w:hint="eastAsia" w:ascii="宋体" w:hAnsi="宋体" w:eastAsia="宋体" w:cs="Times New Roman"/>
          <w:color w:val="auto"/>
          <w:szCs w:val="21"/>
          <w:highlight w:val="none"/>
          <w:lang w:val="zh-CN"/>
        </w:rPr>
        <w:t>不含税综合单价=不含税综合单价×中标服务系数，以实际发生的工程量进行结算，但最终结算价不得超出暂定总合同价款（含税）。</w:t>
      </w:r>
      <w:r>
        <w:rPr>
          <w:rFonts w:hint="eastAsia" w:ascii="宋体" w:hAnsi="宋体" w:eastAsia="宋体" w:cs="Times New Roman"/>
          <w:color w:val="auto"/>
          <w:szCs w:val="21"/>
          <w:highlight w:val="none"/>
          <w:lang w:val="en-US" w:eastAsia="zh-CN"/>
        </w:rPr>
        <w:t>结算</w:t>
      </w:r>
      <w:r>
        <w:rPr>
          <w:rFonts w:hint="eastAsia" w:ascii="宋体" w:hAnsi="宋体" w:eastAsia="宋体" w:cs="Times New Roman"/>
          <w:color w:val="auto"/>
          <w:szCs w:val="21"/>
          <w:highlight w:val="none"/>
          <w:lang w:val="zh-CN"/>
        </w:rPr>
        <w:t>不含税综合单价出现小数点，保留小数点后2位，从小数点后第3位四舍五入。本招标文件所称的</w:t>
      </w:r>
      <w:r>
        <w:rPr>
          <w:rFonts w:hint="eastAsia" w:ascii="宋体" w:hAnsi="宋体" w:eastAsia="宋体" w:cs="Times New Roman"/>
          <w:color w:val="auto"/>
          <w:kern w:val="0"/>
          <w:szCs w:val="21"/>
          <w:highlight w:val="none"/>
        </w:rPr>
        <w:t>不含税</w:t>
      </w:r>
      <w:r>
        <w:rPr>
          <w:rFonts w:hint="eastAsia" w:ascii="宋体" w:hAnsi="宋体" w:eastAsia="宋体" w:cs="Times New Roman"/>
          <w:color w:val="auto"/>
          <w:kern w:val="0"/>
          <w:szCs w:val="21"/>
          <w:highlight w:val="none"/>
          <w:lang w:val="en-US" w:eastAsia="zh-CN"/>
        </w:rPr>
        <w:t>综合单</w:t>
      </w:r>
      <w:r>
        <w:rPr>
          <w:rFonts w:hint="eastAsia" w:ascii="宋体" w:hAnsi="宋体" w:eastAsia="宋体" w:cs="Times New Roman"/>
          <w:color w:val="auto"/>
          <w:kern w:val="0"/>
          <w:szCs w:val="21"/>
          <w:highlight w:val="none"/>
        </w:rPr>
        <w:t>价和</w:t>
      </w:r>
      <w:r>
        <w:rPr>
          <w:rFonts w:hint="eastAsia" w:ascii="宋体" w:hAnsi="宋体" w:eastAsia="宋体" w:cs="Times New Roman"/>
          <w:color w:val="auto"/>
          <w:kern w:val="0"/>
          <w:szCs w:val="21"/>
          <w:highlight w:val="none"/>
          <w:lang w:val="en-US" w:eastAsia="zh-CN"/>
        </w:rPr>
        <w:t>暂定总</w:t>
      </w:r>
      <w:r>
        <w:rPr>
          <w:rFonts w:hint="eastAsia" w:ascii="宋体" w:hAnsi="宋体" w:eastAsia="宋体" w:cs="Times New Roman"/>
          <w:color w:val="auto"/>
          <w:kern w:val="0"/>
          <w:szCs w:val="21"/>
          <w:highlight w:val="none"/>
        </w:rPr>
        <w:t>合同价</w:t>
      </w:r>
      <w:r>
        <w:rPr>
          <w:rFonts w:hint="eastAsia" w:ascii="宋体" w:hAnsi="宋体" w:eastAsia="宋体" w:cs="Times New Roman"/>
          <w:color w:val="auto"/>
          <w:szCs w:val="21"/>
          <w:highlight w:val="none"/>
          <w:lang w:val="zh-CN"/>
        </w:rPr>
        <w:t>是指不含本采购项目投标人的销项税额，包含了投标人完成合同义务（含投标人代缴代扣、分包及委外服务、安装、采购货物等所产生的价税）的其他全部费用。本采购项目的销项税额由项目业主或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为实施和完成监测工程所需的人工费、机械费、材料设备费、水电费以及进出场费、试坑开挖、桩头处理、加荷体吊装运输、应力应变测试的传感费用、埋设安装费用、道路修填、重锤吊装及运输费、钻孔费、引孔费、临时设施费、检验试验、安全生产、管理、利润、规费、专家论证费等一切费用；</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（2）监测时，如需土建总包单位配合或向其租借设备时，自行与总包单位协调，配合及租借费用；</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（3）与工程施工总承包单位（或其他监测人）的配合关系、协调对接，并配合开展的相关工作所需的费用；</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）合理利润、投标人销项税额以外的税费等；</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）法律法规、商业公认、招标文件规定由投标人承担的其他直接及间接费用；</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w:t>
      </w:r>
      <w:r>
        <w:rPr>
          <w:rFonts w:hint="eastAsia" w:ascii="宋体" w:hAnsi="宋体" w:eastAsia="宋体" w:cs="Times New Roman"/>
          <w:b/>
          <w:bCs/>
          <w:color w:val="auto"/>
          <w:szCs w:val="21"/>
          <w:highlight w:val="none"/>
          <w:lang w:val="en-US" w:eastAsia="zh-CN"/>
        </w:rPr>
        <w:t>相关</w:t>
      </w:r>
      <w:r>
        <w:rPr>
          <w:rFonts w:hint="eastAsia" w:ascii="宋体" w:hAnsi="宋体" w:eastAsia="宋体" w:cs="Times New Roman"/>
          <w:b/>
          <w:bCs/>
          <w:color w:val="auto"/>
          <w:szCs w:val="21"/>
          <w:highlight w:val="none"/>
          <w:lang w:val="zh-CN"/>
        </w:rPr>
        <w:t>服务所需的费用，投标人都应计入投标报价总价。</w:t>
      </w:r>
    </w:p>
    <w:p>
      <w:pPr>
        <w:autoSpaceDE w:val="0"/>
        <w:autoSpaceDN w:val="0"/>
        <w:adjustRightInd w:val="0"/>
        <w:spacing w:line="360" w:lineRule="auto"/>
        <w:ind w:left="357" w:leftChars="-100" w:hanging="567"/>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zh-CN"/>
        </w:rPr>
        <w:t>11.6 投标人的监测服务系数报价</w:t>
      </w:r>
      <w:r>
        <w:rPr>
          <w:rFonts w:hint="eastAsia" w:ascii="宋体" w:hAnsi="宋体" w:eastAsia="宋体" w:cs="Times New Roman"/>
          <w:b/>
          <w:bCs/>
          <w:color w:val="auto"/>
          <w:szCs w:val="21"/>
          <w:highlight w:val="none"/>
          <w:lang w:val="en-US" w:eastAsia="zh-CN"/>
        </w:rPr>
        <w:t>不得超过0.80</w:t>
      </w:r>
      <w:r>
        <w:rPr>
          <w:rFonts w:hint="eastAsia" w:ascii="宋体" w:hAnsi="宋体" w:eastAsia="宋体" w:cs="Times New Roman"/>
          <w:b/>
          <w:bCs/>
          <w:color w:val="auto"/>
          <w:szCs w:val="21"/>
          <w:highlight w:val="none"/>
          <w:lang w:val="zh-CN"/>
        </w:rPr>
        <w:t>，</w:t>
      </w:r>
      <w:r>
        <w:rPr>
          <w:rFonts w:hint="eastAsia" w:ascii="宋体" w:hAnsi="宋体" w:eastAsia="宋体" w:cs="Times New Roman"/>
          <w:b/>
          <w:bCs/>
          <w:color w:val="auto"/>
          <w:szCs w:val="21"/>
          <w:highlight w:val="none"/>
          <w:lang w:val="en-US" w:eastAsia="zh-CN"/>
        </w:rPr>
        <w:t>且不能为0.00或负数</w:t>
      </w:r>
      <w:r>
        <w:rPr>
          <w:rFonts w:hint="eastAsia" w:ascii="宋体" w:hAnsi="宋体" w:eastAsia="宋体" w:cs="Times New Roman"/>
          <w:b/>
          <w:bCs/>
          <w:color w:val="auto"/>
          <w:szCs w:val="21"/>
          <w:highlight w:val="none"/>
          <w:lang w:val="zh-CN"/>
        </w:rPr>
        <w:t>，投标人未按招标文件要求进行监测服务系数报价的，该投标人的投标文件将被视为无效投标。监测服务系数</w:t>
      </w:r>
      <w:r>
        <w:rPr>
          <w:rFonts w:hint="eastAsia" w:ascii="宋体" w:hAnsi="宋体" w:eastAsia="宋体" w:cs="Times New Roman"/>
          <w:b/>
          <w:bCs/>
          <w:color w:val="auto"/>
          <w:szCs w:val="21"/>
          <w:highlight w:val="none"/>
          <w:lang w:val="en-US" w:eastAsia="zh-CN"/>
        </w:rPr>
        <w:t>报价</w:t>
      </w:r>
      <w:r>
        <w:rPr>
          <w:rFonts w:hint="eastAsia" w:ascii="宋体" w:hAnsi="宋体" w:eastAsia="宋体" w:cs="Times New Roman"/>
          <w:b/>
          <w:bCs/>
          <w:color w:val="auto"/>
          <w:szCs w:val="21"/>
          <w:highlight w:val="none"/>
          <w:u w:val="none"/>
        </w:rPr>
        <w:t>需保留小数点后两位，否则评标委员会按去“尾”或补“零”的方式进行修正为保留小数点后两位，投标人须接受被修正后的报价（例：如</w:t>
      </w:r>
      <w:r>
        <w:rPr>
          <w:rFonts w:hint="eastAsia" w:ascii="宋体" w:hAnsi="宋体" w:eastAsia="宋体" w:cs="Times New Roman"/>
          <w:b/>
          <w:bCs/>
          <w:color w:val="auto"/>
          <w:szCs w:val="21"/>
          <w:highlight w:val="none"/>
          <w:lang w:val="zh-CN"/>
        </w:rPr>
        <w:t>监测服务系数</w:t>
      </w:r>
      <w:r>
        <w:rPr>
          <w:rFonts w:hint="eastAsia" w:ascii="宋体" w:hAnsi="宋体" w:eastAsia="宋体" w:cs="Times New Roman"/>
          <w:b/>
          <w:bCs/>
          <w:color w:val="auto"/>
          <w:szCs w:val="21"/>
          <w:highlight w:val="none"/>
          <w:u w:val="none"/>
        </w:rPr>
        <w:t>为0.789，则被修正为0.78；如</w:t>
      </w:r>
      <w:r>
        <w:rPr>
          <w:rFonts w:hint="eastAsia" w:ascii="宋体" w:hAnsi="宋体" w:eastAsia="宋体" w:cs="Times New Roman"/>
          <w:b/>
          <w:bCs/>
          <w:color w:val="auto"/>
          <w:szCs w:val="21"/>
          <w:highlight w:val="none"/>
          <w:lang w:val="zh-CN"/>
        </w:rPr>
        <w:t>监测服务系数</w:t>
      </w:r>
      <w:r>
        <w:rPr>
          <w:rFonts w:hint="eastAsia" w:ascii="宋体" w:hAnsi="宋体" w:eastAsia="宋体" w:cs="Times New Roman"/>
          <w:b/>
          <w:bCs/>
          <w:color w:val="auto"/>
          <w:szCs w:val="21"/>
          <w:highlight w:val="none"/>
          <w:u w:val="none"/>
        </w:rPr>
        <w:t>为0.7，则被修正为0.70）</w:t>
      </w:r>
      <w:r>
        <w:rPr>
          <w:rFonts w:hint="eastAsia" w:ascii="宋体" w:hAnsi="宋体" w:eastAsia="宋体" w:cs="Times New Roman"/>
          <w:b/>
          <w:bCs/>
          <w:color w:val="auto"/>
          <w:szCs w:val="21"/>
          <w:highlight w:val="none"/>
          <w:u w:val="none"/>
          <w:lang w:eastAsia="zh-CN"/>
        </w:rPr>
        <w:t>。</w:t>
      </w:r>
      <w:r>
        <w:rPr>
          <w:rFonts w:hint="eastAsia" w:ascii="宋体" w:hAnsi="宋体" w:eastAsia="宋体" w:cs="宋体"/>
          <w:b/>
          <w:bCs/>
          <w:color w:val="auto"/>
          <w:szCs w:val="21"/>
          <w:highlight w:val="none"/>
          <w:lang w:val="zh-CN"/>
        </w:rPr>
        <w:t>本项目暂定含税</w:t>
      </w:r>
      <w:r>
        <w:rPr>
          <w:rFonts w:hint="eastAsia" w:ascii="宋体" w:hAnsi="宋体" w:eastAsia="宋体" w:cs="宋体"/>
          <w:b/>
          <w:bCs/>
          <w:color w:val="auto"/>
          <w:szCs w:val="21"/>
          <w:highlight w:val="none"/>
          <w:lang w:val="en-US" w:eastAsia="zh-CN"/>
        </w:rPr>
        <w:t>总</w:t>
      </w:r>
      <w:r>
        <w:rPr>
          <w:rFonts w:hint="eastAsia" w:ascii="宋体" w:hAnsi="宋体" w:eastAsia="宋体" w:cs="宋体"/>
          <w:b/>
          <w:bCs/>
          <w:color w:val="auto"/>
          <w:szCs w:val="21"/>
          <w:highlight w:val="none"/>
          <w:lang w:val="zh-CN"/>
        </w:rPr>
        <w:t>采购金额为1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val="zh-CN"/>
        </w:rPr>
        <w:t>938</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val="zh-CN"/>
        </w:rPr>
        <w:t>182.05元(大写：</w:t>
      </w:r>
      <w:r>
        <w:rPr>
          <w:rFonts w:hint="eastAsia" w:ascii="宋体" w:hAnsi="宋体" w:eastAsia="宋体" w:cs="宋体"/>
          <w:b/>
          <w:bCs/>
          <w:color w:val="auto"/>
          <w:szCs w:val="21"/>
          <w:highlight w:val="none"/>
          <w:lang w:val="en-US" w:eastAsia="zh-CN"/>
        </w:rPr>
        <w:t>人民币壹佰玖拾叁万捌仟壹佰捌拾贰元零伍分</w:t>
      </w:r>
      <w:r>
        <w:rPr>
          <w:rFonts w:hint="eastAsia" w:ascii="宋体" w:hAnsi="宋体" w:eastAsia="宋体" w:cs="宋体"/>
          <w:b/>
          <w:bCs/>
          <w:color w:val="auto"/>
          <w:szCs w:val="21"/>
          <w:highlight w:val="none"/>
          <w:lang w:val="zh-CN"/>
        </w:rPr>
        <w:t>)，暂定</w:t>
      </w:r>
      <w:r>
        <w:rPr>
          <w:rFonts w:hint="eastAsia" w:ascii="宋体" w:hAnsi="宋体" w:eastAsia="宋体" w:cs="宋体"/>
          <w:b/>
          <w:bCs/>
          <w:color w:val="auto"/>
          <w:szCs w:val="21"/>
          <w:highlight w:val="none"/>
          <w:lang w:val="en-US" w:eastAsia="zh-CN"/>
        </w:rPr>
        <w:t>不</w:t>
      </w:r>
      <w:r>
        <w:rPr>
          <w:rFonts w:hint="eastAsia" w:ascii="宋体" w:hAnsi="宋体" w:eastAsia="宋体" w:cs="宋体"/>
          <w:b/>
          <w:bCs/>
          <w:color w:val="auto"/>
          <w:szCs w:val="21"/>
          <w:highlight w:val="none"/>
          <w:lang w:val="zh-CN"/>
        </w:rPr>
        <w:t>含税</w:t>
      </w:r>
      <w:r>
        <w:rPr>
          <w:rFonts w:hint="eastAsia" w:ascii="宋体" w:hAnsi="宋体" w:eastAsia="宋体" w:cs="宋体"/>
          <w:b/>
          <w:bCs/>
          <w:color w:val="auto"/>
          <w:szCs w:val="21"/>
          <w:highlight w:val="none"/>
          <w:lang w:val="en-US" w:eastAsia="zh-CN"/>
        </w:rPr>
        <w:t>总</w:t>
      </w:r>
      <w:r>
        <w:rPr>
          <w:rFonts w:hint="eastAsia" w:ascii="宋体" w:hAnsi="宋体" w:eastAsia="宋体" w:cs="宋体"/>
          <w:b/>
          <w:bCs/>
          <w:color w:val="auto"/>
          <w:szCs w:val="21"/>
          <w:highlight w:val="none"/>
          <w:lang w:val="zh-CN"/>
        </w:rPr>
        <w:t>采购金额为1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val="zh-CN"/>
        </w:rPr>
        <w:t>828</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val="zh-CN"/>
        </w:rPr>
        <w:t>473.63</w:t>
      </w:r>
      <w:r>
        <w:rPr>
          <w:rFonts w:hint="eastAsia" w:ascii="宋体" w:hAnsi="宋体" w:eastAsia="宋体" w:cs="宋体"/>
          <w:b/>
          <w:bCs/>
          <w:color w:val="auto"/>
          <w:szCs w:val="21"/>
          <w:highlight w:val="none"/>
          <w:lang w:val="en-US" w:eastAsia="zh-CN"/>
        </w:rPr>
        <w:t>元</w:t>
      </w:r>
      <w:r>
        <w:rPr>
          <w:rFonts w:hint="eastAsia" w:ascii="宋体" w:hAnsi="宋体" w:eastAsia="宋体" w:cs="宋体"/>
          <w:b/>
          <w:bCs/>
          <w:color w:val="auto"/>
          <w:szCs w:val="21"/>
          <w:highlight w:val="none"/>
          <w:lang w:val="zh-CN"/>
        </w:rPr>
        <w:t>（大写：人民币壹佰捌拾贰万捌仟肆佰柒拾叁元陆角叁分）。</w:t>
      </w:r>
    </w:p>
    <w:p>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67" w:name="_Toc30042_WPSOffice_Level3"/>
      <w:bookmarkStart w:id="168" w:name="_Toc142508326"/>
      <w:bookmarkStart w:id="169" w:name="_Toc20312"/>
      <w:bookmarkStart w:id="170" w:name="_Toc11390"/>
      <w:bookmarkStart w:id="171" w:name="_Toc23240"/>
      <w:bookmarkStart w:id="172" w:name="_Toc450662862"/>
      <w:bookmarkStart w:id="173" w:name="_Toc8937"/>
      <w:bookmarkStart w:id="174" w:name="_Toc3469"/>
      <w:bookmarkStart w:id="175" w:name="_Toc486167676"/>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67"/>
      <w:bookmarkEnd w:id="168"/>
      <w:bookmarkEnd w:id="169"/>
      <w:bookmarkEnd w:id="170"/>
      <w:bookmarkEnd w:id="171"/>
      <w:bookmarkEnd w:id="172"/>
      <w:bookmarkEnd w:id="173"/>
      <w:bookmarkEnd w:id="174"/>
      <w:bookmarkEnd w:id="175"/>
    </w:p>
    <w:p>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本项目投标报价或以投标报价换算的金额采用的币种为人民币，以其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265" w:leftChars="119" w:hanging="15"/>
        <w:rPr>
          <w:rFonts w:ascii="宋体" w:hAnsi="宋体" w:eastAsia="宋体" w:cs="宋体"/>
          <w:color w:val="auto"/>
          <w:szCs w:val="21"/>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6" w:name="_Toc20031"/>
      <w:bookmarkStart w:id="177" w:name="_Toc3961"/>
      <w:bookmarkStart w:id="178" w:name="_Toc486167677"/>
      <w:bookmarkStart w:id="179" w:name="_Toc6100"/>
      <w:bookmarkStart w:id="180" w:name="_Toc1091"/>
      <w:bookmarkStart w:id="181" w:name="_Toc142508327"/>
      <w:bookmarkStart w:id="182" w:name="_Toc9411_WPSOffice_Level3"/>
      <w:bookmarkStart w:id="183" w:name="_Toc1474"/>
      <w:bookmarkStart w:id="184" w:name="_Toc450662863"/>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76"/>
      <w:bookmarkEnd w:id="177"/>
      <w:bookmarkEnd w:id="178"/>
      <w:bookmarkEnd w:id="179"/>
      <w:bookmarkEnd w:id="180"/>
      <w:bookmarkEnd w:id="181"/>
      <w:bookmarkEnd w:id="182"/>
      <w:bookmarkEnd w:id="183"/>
      <w:bookmarkEnd w:id="184"/>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根据招标文件载明的相关服务要求的实际情况，拟在中标后将中标项目的非主体、非关键性专业工作交由他人完成的，应当在投标文件中载明，并提供他人的资质、能力证明材料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5" w:name="_Toc16158"/>
      <w:bookmarkStart w:id="186" w:name="_Toc450662864"/>
      <w:bookmarkStart w:id="187" w:name="_Toc8615"/>
      <w:bookmarkStart w:id="188" w:name="_Toc19079"/>
      <w:bookmarkStart w:id="189" w:name="_Toc142508328"/>
      <w:bookmarkStart w:id="190" w:name="_Toc486167678"/>
      <w:bookmarkStart w:id="191" w:name="_Toc29754"/>
      <w:bookmarkStart w:id="192" w:name="_Toc27771_WPSOffice_Level3"/>
      <w:bookmarkStart w:id="193" w:name="_Toc16467"/>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证明服务的合格性并符合招标文件规定的声明文件</w:t>
      </w:r>
      <w:bookmarkEnd w:id="185"/>
      <w:bookmarkEnd w:id="186"/>
      <w:bookmarkEnd w:id="187"/>
      <w:bookmarkEnd w:id="188"/>
      <w:bookmarkEnd w:id="189"/>
      <w:bookmarkEnd w:id="190"/>
      <w:bookmarkEnd w:id="191"/>
      <w:bookmarkEnd w:id="192"/>
      <w:bookmarkEnd w:id="193"/>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pPr>
        <w:autoSpaceDE w:val="0"/>
        <w:autoSpaceDN w:val="0"/>
        <w:adjustRightInd w:val="0"/>
        <w:spacing w:line="360" w:lineRule="auto"/>
        <w:rPr>
          <w:rFonts w:ascii="宋体" w:hAnsi="宋体" w:eastAsia="宋体" w:cs="Times New Roman"/>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4" w:name="_Toc142508329"/>
      <w:bookmarkStart w:id="195" w:name="_Toc16828"/>
      <w:bookmarkStart w:id="196" w:name="_Toc8644"/>
      <w:bookmarkStart w:id="197" w:name="_Toc486167679"/>
      <w:bookmarkStart w:id="198" w:name="_Toc31113"/>
      <w:bookmarkStart w:id="199" w:name="_Toc30555"/>
      <w:bookmarkStart w:id="200" w:name="_Toc5356_WPSOffice_Level3"/>
      <w:bookmarkStart w:id="201" w:name="_Toc22800"/>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94"/>
      <w:bookmarkEnd w:id="195"/>
      <w:bookmarkEnd w:id="196"/>
      <w:bookmarkEnd w:id="197"/>
      <w:bookmarkEnd w:id="198"/>
      <w:bookmarkEnd w:id="199"/>
      <w:bookmarkEnd w:id="200"/>
      <w:bookmarkEnd w:id="201"/>
    </w:p>
    <w:p>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投标人投标时须附有投标保证金38,000.00元（大写：人民币叁万捌仟元整）。</w:t>
      </w:r>
    </w:p>
    <w:p>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pPr>
        <w:autoSpaceDE w:val="0"/>
        <w:autoSpaceDN w:val="0"/>
        <w:adjustRightInd w:val="0"/>
        <w:spacing w:line="360" w:lineRule="auto"/>
        <w:ind w:left="225" w:leftChars="107" w:firstLine="489" w:firstLineChars="233"/>
        <w:jc w:val="left"/>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开户名称：</w:t>
      </w:r>
      <w:r>
        <w:rPr>
          <w:rFonts w:hint="eastAsia" w:ascii="宋体" w:hAnsi="宋体" w:eastAsia="宋体" w:cs="宋体"/>
          <w:color w:val="auto"/>
          <w:kern w:val="0"/>
          <w:szCs w:val="21"/>
          <w:highlight w:val="none"/>
          <w:lang w:val="zh-CN"/>
        </w:rPr>
        <w:t>东莞市水务集团建设管理有限公司</w:t>
      </w:r>
    </w:p>
    <w:p>
      <w:pPr>
        <w:autoSpaceDE w:val="0"/>
        <w:autoSpaceDN w:val="0"/>
        <w:adjustRightInd w:val="0"/>
        <w:spacing w:line="360" w:lineRule="auto"/>
        <w:ind w:left="225" w:leftChars="107" w:firstLine="489" w:firstLineChars="233"/>
        <w:jc w:val="left"/>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开户银行：</w:t>
      </w:r>
      <w:r>
        <w:rPr>
          <w:rFonts w:hint="eastAsia" w:ascii="宋体" w:hAnsi="宋体" w:eastAsia="宋体" w:cs="宋体"/>
          <w:color w:val="auto"/>
          <w:kern w:val="0"/>
          <w:szCs w:val="21"/>
          <w:highlight w:val="none"/>
          <w:lang w:val="zh-CN"/>
        </w:rPr>
        <w:t>中国工商银行股份有限公司东莞分行</w:t>
      </w:r>
    </w:p>
    <w:p>
      <w:pPr>
        <w:autoSpaceDE w:val="0"/>
        <w:autoSpaceDN w:val="0"/>
        <w:adjustRightInd w:val="0"/>
        <w:spacing w:line="360" w:lineRule="auto"/>
        <w:ind w:left="225" w:leftChars="107" w:firstLine="489" w:firstLineChars="233"/>
        <w:jc w:val="left"/>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银行账号：2010021309200628330</w:t>
      </w:r>
    </w:p>
    <w:p>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2" w:name="_Toc486167680"/>
      <w:bookmarkStart w:id="203" w:name="_Toc1458"/>
      <w:bookmarkStart w:id="204" w:name="_Toc13537"/>
      <w:bookmarkStart w:id="205" w:name="_Toc19741"/>
      <w:bookmarkStart w:id="206" w:name="_Toc22649_WPSOffice_Level3"/>
      <w:bookmarkStart w:id="207" w:name="_Toc23267"/>
      <w:bookmarkStart w:id="208" w:name="_Toc450662865"/>
      <w:bookmarkStart w:id="209" w:name="_Toc142508330"/>
      <w:bookmarkStart w:id="210" w:name="_Toc29607"/>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202"/>
      <w:bookmarkEnd w:id="203"/>
      <w:bookmarkEnd w:id="204"/>
      <w:bookmarkEnd w:id="205"/>
      <w:bookmarkEnd w:id="206"/>
      <w:bookmarkEnd w:id="207"/>
      <w:bookmarkEnd w:id="208"/>
      <w:bookmarkEnd w:id="209"/>
      <w:bookmarkEnd w:id="210"/>
    </w:p>
    <w:p>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1" w:name="_Toc20422"/>
      <w:bookmarkStart w:id="212" w:name="_Toc12140"/>
      <w:bookmarkStart w:id="213" w:name="_Toc450662866"/>
      <w:bookmarkStart w:id="214" w:name="_Toc4290"/>
      <w:bookmarkStart w:id="215" w:name="_Toc142508331"/>
      <w:bookmarkStart w:id="216" w:name="_Toc486167681"/>
      <w:bookmarkStart w:id="217" w:name="_Toc15544"/>
      <w:bookmarkStart w:id="218" w:name="_Toc932"/>
      <w:bookmarkStart w:id="219" w:name="_Toc25637_WPSOffice_Level3"/>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211"/>
      <w:bookmarkEnd w:id="212"/>
      <w:bookmarkEnd w:id="213"/>
      <w:bookmarkEnd w:id="214"/>
      <w:bookmarkEnd w:id="215"/>
      <w:bookmarkEnd w:id="216"/>
      <w:bookmarkEnd w:id="217"/>
      <w:bookmarkEnd w:id="218"/>
      <w:bookmarkEnd w:id="219"/>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pPr>
        <w:autoSpaceDE w:val="0"/>
        <w:autoSpaceDN w:val="0"/>
        <w:adjustRightInd w:val="0"/>
        <w:jc w:val="left"/>
        <w:rPr>
          <w:rFonts w:ascii="宋体" w:hAnsi="宋体" w:eastAsia="宋体" w:cs="宋体"/>
          <w:color w:val="auto"/>
          <w:kern w:val="0"/>
          <w:sz w:val="24"/>
          <w:szCs w:val="24"/>
          <w:highlight w:val="none"/>
        </w:rPr>
      </w:pPr>
      <w:bookmarkStart w:id="220" w:name="_Toc450662867"/>
    </w:p>
    <w:p>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221" w:name="_Toc140596891"/>
      <w:bookmarkStart w:id="222" w:name="_Toc16145"/>
      <w:bookmarkStart w:id="223" w:name="_Toc10836"/>
      <w:bookmarkStart w:id="224" w:name="_Toc486167682"/>
      <w:bookmarkStart w:id="225" w:name="_Toc22356_WPSOffice_Level2"/>
      <w:bookmarkStart w:id="226" w:name="_Toc17199"/>
      <w:bookmarkStart w:id="227" w:name="_Toc13516"/>
      <w:bookmarkStart w:id="228" w:name="_Toc26605"/>
      <w:bookmarkStart w:id="229" w:name="_Toc142508332"/>
      <w:r>
        <w:rPr>
          <w:rFonts w:hint="eastAsia" w:ascii="宋体" w:hAnsi="宋体" w:eastAsia="宋体" w:cs="宋体"/>
          <w:b/>
          <w:bCs/>
          <w:color w:val="auto"/>
          <w:kern w:val="44"/>
          <w:szCs w:val="21"/>
          <w:highlight w:val="none"/>
          <w:lang w:val="zh-CN"/>
        </w:rPr>
        <w:t>四、投标文件的递交</w:t>
      </w:r>
      <w:bookmarkEnd w:id="220"/>
      <w:bookmarkEnd w:id="221"/>
      <w:bookmarkEnd w:id="222"/>
      <w:bookmarkEnd w:id="223"/>
      <w:bookmarkEnd w:id="224"/>
      <w:bookmarkEnd w:id="225"/>
      <w:bookmarkEnd w:id="226"/>
      <w:bookmarkEnd w:id="227"/>
      <w:bookmarkEnd w:id="228"/>
      <w:bookmarkEnd w:id="229"/>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0" w:name="_Toc29038"/>
      <w:bookmarkStart w:id="231" w:name="_Toc31551"/>
      <w:bookmarkStart w:id="232" w:name="_Toc450662868"/>
      <w:bookmarkStart w:id="233" w:name="_Toc10421"/>
      <w:bookmarkStart w:id="234" w:name="_Toc142508333"/>
      <w:bookmarkStart w:id="235" w:name="_Toc29885"/>
      <w:bookmarkStart w:id="236" w:name="_Toc12192_WPSOffice_Level3"/>
      <w:bookmarkStart w:id="237" w:name="_Toc486167683"/>
      <w:bookmarkStart w:id="238" w:name="_Toc4397"/>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30"/>
      <w:bookmarkEnd w:id="231"/>
      <w:bookmarkEnd w:id="232"/>
      <w:bookmarkEnd w:id="233"/>
      <w:bookmarkEnd w:id="234"/>
      <w:bookmarkEnd w:id="235"/>
      <w:bookmarkEnd w:id="236"/>
      <w:bookmarkEnd w:id="237"/>
      <w:bookmarkEnd w:id="238"/>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9" w:name="_Toc486167684"/>
      <w:bookmarkStart w:id="240" w:name="_Toc450662869"/>
      <w:bookmarkStart w:id="241" w:name="_Toc12582"/>
      <w:bookmarkStart w:id="242" w:name="_Toc142508334"/>
      <w:bookmarkStart w:id="243" w:name="_Toc29665_WPSOffice_Level3"/>
      <w:bookmarkStart w:id="244" w:name="_Toc20576"/>
      <w:bookmarkStart w:id="245" w:name="_Toc4979"/>
      <w:bookmarkStart w:id="246" w:name="_Toc23369"/>
      <w:bookmarkStart w:id="247" w:name="_Toc26130"/>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39"/>
      <w:bookmarkEnd w:id="240"/>
      <w:bookmarkEnd w:id="241"/>
      <w:bookmarkEnd w:id="242"/>
      <w:bookmarkEnd w:id="243"/>
      <w:bookmarkEnd w:id="244"/>
      <w:bookmarkEnd w:id="245"/>
      <w:bookmarkEnd w:id="246"/>
      <w:bookmarkEnd w:id="247"/>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248" w:name="_Toc22431_WPSOffice_Level3"/>
      <w:bookmarkStart w:id="249" w:name="_Toc486167685"/>
      <w:bookmarkStart w:id="250" w:name="_Toc19521"/>
      <w:bookmarkStart w:id="251" w:name="_Toc142508335"/>
      <w:bookmarkStart w:id="252" w:name="_Toc21327"/>
      <w:bookmarkStart w:id="253" w:name="_Toc20835"/>
      <w:bookmarkStart w:id="254" w:name="_Toc13086"/>
      <w:bookmarkStart w:id="255" w:name="_Toc450662870"/>
      <w:bookmarkStart w:id="256" w:name="_Toc30287"/>
      <w:r>
        <w:rPr>
          <w:rFonts w:hint="eastAsia" w:ascii="宋体" w:hAnsi="宋体" w:eastAsia="宋体" w:cs="宋体"/>
          <w:color w:val="auto"/>
          <w:szCs w:val="21"/>
          <w:highlight w:val="none"/>
          <w:lang w:val="zh-CN"/>
        </w:rPr>
        <w:t>20 迟交的投标文件</w:t>
      </w:r>
      <w:bookmarkEnd w:id="248"/>
      <w:bookmarkEnd w:id="249"/>
      <w:bookmarkEnd w:id="250"/>
      <w:bookmarkEnd w:id="251"/>
      <w:bookmarkEnd w:id="252"/>
      <w:bookmarkEnd w:id="253"/>
      <w:bookmarkEnd w:id="254"/>
      <w:bookmarkEnd w:id="255"/>
      <w:bookmarkEnd w:id="256"/>
    </w:p>
    <w:p>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pPr>
        <w:autoSpaceDE w:val="0"/>
        <w:autoSpaceDN w:val="0"/>
        <w:adjustRightInd w:val="0"/>
        <w:jc w:val="left"/>
        <w:rPr>
          <w:rFonts w:ascii="宋体" w:hAnsi="宋体" w:eastAsia="宋体" w:cs="宋体"/>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7" w:name="_Toc486167686"/>
      <w:bookmarkStart w:id="258" w:name="_Toc450662871"/>
      <w:bookmarkStart w:id="259" w:name="_Toc27851"/>
      <w:bookmarkStart w:id="260" w:name="_Toc2878"/>
      <w:bookmarkStart w:id="261" w:name="_Toc11814"/>
      <w:bookmarkStart w:id="262" w:name="_Toc4883_WPSOffice_Level3"/>
      <w:bookmarkStart w:id="263" w:name="_Toc3814"/>
      <w:bookmarkStart w:id="264" w:name="_Toc142508336"/>
      <w:bookmarkStart w:id="265" w:name="_Toc24876"/>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57"/>
      <w:bookmarkEnd w:id="258"/>
      <w:bookmarkEnd w:id="259"/>
      <w:bookmarkEnd w:id="260"/>
      <w:bookmarkEnd w:id="261"/>
      <w:bookmarkEnd w:id="262"/>
      <w:bookmarkEnd w:id="263"/>
      <w:bookmarkEnd w:id="264"/>
      <w:bookmarkEnd w:id="265"/>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66" w:name="_Toc30428"/>
      <w:bookmarkStart w:id="267" w:name="_Toc486167687"/>
      <w:bookmarkStart w:id="268" w:name="_Toc16909"/>
      <w:bookmarkStart w:id="269" w:name="_Toc20923"/>
      <w:bookmarkStart w:id="270" w:name="_Toc1049_WPSOffice_Level2"/>
      <w:bookmarkStart w:id="271" w:name="_Toc450662872"/>
      <w:bookmarkStart w:id="272" w:name="_Toc140596896"/>
      <w:bookmarkStart w:id="273" w:name="_Toc142508337"/>
      <w:bookmarkStart w:id="274" w:name="_Toc28824"/>
      <w:bookmarkStart w:id="275" w:name="_Toc6402"/>
      <w:r>
        <w:rPr>
          <w:rFonts w:hint="eastAsia" w:ascii="宋体" w:hAnsi="宋体" w:eastAsia="宋体" w:cs="宋体"/>
          <w:b/>
          <w:bCs/>
          <w:color w:val="auto"/>
          <w:kern w:val="44"/>
          <w:szCs w:val="21"/>
          <w:highlight w:val="none"/>
          <w:lang w:val="zh-CN"/>
        </w:rPr>
        <w:t>五、开标与评标</w:t>
      </w:r>
      <w:bookmarkEnd w:id="266"/>
      <w:bookmarkEnd w:id="267"/>
      <w:bookmarkEnd w:id="268"/>
      <w:bookmarkEnd w:id="269"/>
      <w:bookmarkEnd w:id="270"/>
      <w:bookmarkEnd w:id="271"/>
      <w:bookmarkEnd w:id="272"/>
      <w:bookmarkEnd w:id="273"/>
      <w:bookmarkEnd w:id="274"/>
      <w:bookmarkEnd w:id="275"/>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6" w:name="_Toc29052"/>
      <w:bookmarkStart w:id="277" w:name="_Toc27399"/>
      <w:bookmarkStart w:id="278" w:name="_Toc11256"/>
      <w:bookmarkStart w:id="279" w:name="_Toc450662873"/>
      <w:bookmarkStart w:id="280" w:name="_Toc32206"/>
      <w:bookmarkStart w:id="281" w:name="_Toc142508338"/>
      <w:bookmarkStart w:id="282" w:name="_Toc144_WPSOffice_Level3"/>
      <w:bookmarkStart w:id="283" w:name="_Toc8728"/>
      <w:bookmarkStart w:id="284" w:name="_Toc486167688"/>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76"/>
      <w:bookmarkEnd w:id="277"/>
      <w:bookmarkEnd w:id="278"/>
      <w:bookmarkEnd w:id="279"/>
      <w:bookmarkEnd w:id="280"/>
      <w:bookmarkEnd w:id="281"/>
      <w:bookmarkEnd w:id="282"/>
      <w:bookmarkEnd w:id="283"/>
      <w:bookmarkEnd w:id="284"/>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报价表内当以数字表示的监测服务系数报价与以文字表示的系数报价不一致时，以文字表示的系数报价为准；投标报价表内监测服务系数报价需保留小数点后两位，否则评标委员会按去“尾”或补“零”的方式进行修正为保留小数点后两位，投标人须接受被修正后的报价（例：如监测服务系数为0.789，则被修正为0.78；如监测服务系数为0.7，则被修正为0.70）。对不同文字文本投标文件的解释发生异议的，以中文文本为准。</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5" w:name="_Toc32534"/>
      <w:bookmarkStart w:id="286" w:name="_Toc23059"/>
      <w:bookmarkStart w:id="287" w:name="_Toc142508339"/>
      <w:bookmarkStart w:id="288" w:name="_Toc19900"/>
      <w:bookmarkStart w:id="289" w:name="_Toc22060"/>
      <w:bookmarkStart w:id="290" w:name="_Toc12165_WPSOffice_Level3"/>
      <w:bookmarkStart w:id="291" w:name="_Toc450662874"/>
      <w:bookmarkStart w:id="292" w:name="_Toc486167689"/>
      <w:bookmarkStart w:id="293" w:name="_Toc23491"/>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85"/>
      <w:bookmarkEnd w:id="286"/>
      <w:bookmarkEnd w:id="287"/>
      <w:bookmarkEnd w:id="288"/>
      <w:bookmarkEnd w:id="289"/>
      <w:bookmarkEnd w:id="290"/>
      <w:bookmarkEnd w:id="291"/>
      <w:bookmarkEnd w:id="292"/>
      <w:bookmarkEnd w:id="293"/>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4" w:name="_Toc10660"/>
      <w:bookmarkStart w:id="295" w:name="_Toc18693"/>
      <w:bookmarkStart w:id="296" w:name="_Toc800"/>
      <w:bookmarkStart w:id="297" w:name="_Toc17266"/>
      <w:bookmarkStart w:id="298" w:name="_Toc486167690"/>
      <w:bookmarkStart w:id="299" w:name="_Toc450662875"/>
      <w:bookmarkStart w:id="300" w:name="_Toc15565_WPSOffice_Level3"/>
      <w:bookmarkStart w:id="301" w:name="_Toc142508340"/>
      <w:bookmarkStart w:id="302" w:name="_Toc16920"/>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94"/>
      <w:bookmarkEnd w:id="295"/>
      <w:bookmarkEnd w:id="296"/>
      <w:bookmarkEnd w:id="297"/>
      <w:bookmarkEnd w:id="298"/>
      <w:bookmarkEnd w:id="299"/>
      <w:bookmarkEnd w:id="300"/>
      <w:bookmarkEnd w:id="301"/>
      <w:bookmarkEnd w:id="302"/>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03" w:name="_Toc12715"/>
      <w:bookmarkStart w:id="304" w:name="_Toc450662876"/>
      <w:bookmarkStart w:id="305" w:name="_Toc18668"/>
      <w:bookmarkStart w:id="306" w:name="_Toc8908"/>
      <w:bookmarkStart w:id="307" w:name="_Toc28910_WPSOffice_Level3"/>
      <w:bookmarkStart w:id="308" w:name="_Toc29442"/>
      <w:bookmarkStart w:id="309" w:name="_Toc486167691"/>
      <w:bookmarkStart w:id="310" w:name="_Toc14477"/>
      <w:bookmarkStart w:id="311" w:name="_Toc142508341"/>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303"/>
      <w:bookmarkEnd w:id="304"/>
      <w:bookmarkEnd w:id="305"/>
      <w:bookmarkEnd w:id="306"/>
      <w:bookmarkEnd w:id="307"/>
      <w:bookmarkEnd w:id="308"/>
      <w:bookmarkEnd w:id="309"/>
      <w:bookmarkEnd w:id="310"/>
      <w:bookmarkEnd w:id="311"/>
    </w:p>
    <w:p>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2" w:name="_Toc19456"/>
      <w:bookmarkStart w:id="313" w:name="_Toc4837"/>
      <w:bookmarkStart w:id="314" w:name="_Toc30225"/>
      <w:bookmarkStart w:id="315" w:name="_Toc486167692"/>
      <w:bookmarkStart w:id="316" w:name="_Toc13738"/>
      <w:bookmarkStart w:id="317" w:name="_Toc450662877"/>
      <w:bookmarkStart w:id="318" w:name="_Toc1046"/>
      <w:bookmarkStart w:id="319" w:name="_Toc142508342"/>
      <w:bookmarkStart w:id="320" w:name="_Toc338_WPSOffice_Level3"/>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312"/>
      <w:bookmarkEnd w:id="313"/>
      <w:bookmarkEnd w:id="314"/>
      <w:bookmarkEnd w:id="315"/>
      <w:bookmarkEnd w:id="316"/>
      <w:bookmarkEnd w:id="317"/>
      <w:bookmarkEnd w:id="318"/>
      <w:bookmarkEnd w:id="319"/>
      <w:bookmarkEnd w:id="320"/>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321"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p>
    <w:bookmarkEnd w:id="321"/>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2" w:name="_Toc6970"/>
      <w:bookmarkStart w:id="323" w:name="_Toc521918096"/>
      <w:bookmarkStart w:id="324" w:name="_Toc12150"/>
      <w:bookmarkStart w:id="325" w:name="_Toc522047355"/>
      <w:bookmarkStart w:id="326" w:name="_Toc142508343"/>
      <w:bookmarkStart w:id="327" w:name="_Toc10967"/>
      <w:bookmarkStart w:id="328" w:name="_Toc15363"/>
      <w:bookmarkStart w:id="329" w:name="_Toc22065"/>
      <w:bookmarkStart w:id="330" w:name="_Toc18368_WPSOffice_Level3"/>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322"/>
      <w:bookmarkEnd w:id="323"/>
      <w:bookmarkEnd w:id="324"/>
      <w:bookmarkEnd w:id="325"/>
      <w:bookmarkEnd w:id="326"/>
      <w:bookmarkEnd w:id="327"/>
      <w:bookmarkEnd w:id="328"/>
      <w:bookmarkEnd w:id="329"/>
      <w:bookmarkEnd w:id="330"/>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331" w:name="_Toc521918097"/>
      <w:bookmarkStart w:id="332" w:name="_Toc522047356"/>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3" w:name="_Toc142508344"/>
      <w:bookmarkStart w:id="334" w:name="_Toc27026"/>
      <w:bookmarkStart w:id="335" w:name="_Toc21460_WPSOffice_Level3"/>
      <w:bookmarkStart w:id="336" w:name="_Toc16829"/>
      <w:bookmarkStart w:id="337" w:name="_Toc31407"/>
      <w:bookmarkStart w:id="338" w:name="_Toc14804"/>
      <w:bookmarkStart w:id="339" w:name="_Toc7000"/>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331"/>
      <w:bookmarkEnd w:id="332"/>
      <w:bookmarkEnd w:id="333"/>
      <w:bookmarkEnd w:id="334"/>
      <w:bookmarkEnd w:id="335"/>
      <w:bookmarkEnd w:id="336"/>
      <w:bookmarkEnd w:id="337"/>
      <w:bookmarkEnd w:id="338"/>
      <w:bookmarkEnd w:id="339"/>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pPr>
        <w:tabs>
          <w:tab w:val="left" w:pos="360"/>
        </w:tabs>
        <w:autoSpaceDE w:val="0"/>
        <w:autoSpaceDN w:val="0"/>
        <w:adjustRightInd w:val="0"/>
        <w:spacing w:line="360" w:lineRule="auto"/>
        <w:ind w:left="330" w:leftChars="-100" w:right="44" w:rightChars="21" w:hanging="540" w:firstLineChars="0"/>
        <w:jc w:val="left"/>
        <w:rPr>
          <w:rFonts w:hint="eastAsia" w:ascii="宋体" w:hAnsi="宋体" w:eastAsia="宋体" w:cs="宋体"/>
          <w:b w:val="0"/>
          <w:bCs w:val="0"/>
          <w:color w:val="auto"/>
          <w:kern w:val="2"/>
          <w:sz w:val="21"/>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val="0"/>
          <w:bCs w:val="0"/>
          <w:color w:val="auto"/>
          <w:szCs w:val="21"/>
          <w:highlight w:val="none"/>
          <w:lang w:val="zh-CN"/>
        </w:rPr>
        <w:t>若本次招标过程中有效投标人不足三个时，公开招标失败。</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0" w:name="_Toc4819"/>
      <w:bookmarkStart w:id="341" w:name="_Toc486167694"/>
      <w:bookmarkStart w:id="342" w:name="_Toc29588"/>
      <w:bookmarkStart w:id="343" w:name="_Toc466882017"/>
      <w:bookmarkStart w:id="344" w:name="_Toc465358969"/>
      <w:bookmarkStart w:id="345" w:name="_Toc32498_WPSOffice_Level3"/>
      <w:bookmarkStart w:id="346" w:name="_Toc142508345"/>
      <w:bookmarkStart w:id="347" w:name="_Toc11615"/>
      <w:bookmarkStart w:id="348" w:name="_Toc21375"/>
      <w:bookmarkStart w:id="349" w:name="_Toc1488"/>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340"/>
      <w:bookmarkEnd w:id="341"/>
      <w:bookmarkEnd w:id="342"/>
      <w:bookmarkEnd w:id="343"/>
      <w:bookmarkEnd w:id="344"/>
      <w:bookmarkEnd w:id="345"/>
      <w:bookmarkEnd w:id="346"/>
      <w:bookmarkEnd w:id="347"/>
      <w:bookmarkEnd w:id="348"/>
      <w:bookmarkEnd w:id="349"/>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w:t>
      </w:r>
      <w:r>
        <w:rPr>
          <w:rFonts w:hint="eastAsia" w:ascii="宋体" w:hAnsi="宋体" w:eastAsia="宋体" w:cs="Times New Roman"/>
          <w:color w:val="auto"/>
          <w:szCs w:val="21"/>
          <w:highlight w:val="none"/>
          <w:lang w:val="en-US" w:eastAsia="zh-CN"/>
        </w:rPr>
        <w:t>不得少于3日（最后一日是节假日或公休日的，应顺延到节假日或公休日后第一个工作日）</w:t>
      </w:r>
      <w:r>
        <w:rPr>
          <w:rFonts w:hint="eastAsia" w:ascii="宋体" w:hAnsi="宋体" w:eastAsia="宋体" w:cs="Times New Roman"/>
          <w:color w:val="auto"/>
          <w:szCs w:val="21"/>
          <w:highlight w:val="none"/>
          <w:lang w:val="zh-CN"/>
        </w:rPr>
        <w:t>。投标人或者其他利害关系人对评标结果有异议的，应当在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pPr>
        <w:autoSpaceDE w:val="0"/>
        <w:autoSpaceDN w:val="0"/>
        <w:adjustRightInd w:val="0"/>
        <w:spacing w:line="360" w:lineRule="auto"/>
        <w:ind w:left="284" w:hanging="568"/>
        <w:jc w:val="both"/>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w:t>
      </w:r>
      <w:r>
        <w:rPr>
          <w:rFonts w:hint="eastAsia" w:ascii="宋体" w:hAnsi="宋体" w:eastAsia="宋体" w:cs="Times New Roman"/>
          <w:b/>
          <w:bCs/>
          <w:color w:val="auto"/>
          <w:szCs w:val="21"/>
          <w:highlight w:val="none"/>
          <w:lang w:val="en-US" w:eastAsia="zh-CN"/>
        </w:rPr>
        <w:t>（最后一日是节假日或公休日的，应顺延到节假日或公休日后第一个工作日）</w:t>
      </w:r>
      <w:r>
        <w:rPr>
          <w:rFonts w:hint="eastAsia" w:ascii="宋体" w:hAnsi="宋体" w:eastAsia="宋体" w:cs="Times New Roman"/>
          <w:b/>
          <w:color w:val="auto"/>
          <w:szCs w:val="21"/>
          <w:highlight w:val="none"/>
          <w:lang w:val="zh-CN"/>
        </w:rPr>
        <w:t>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pPr>
        <w:autoSpaceDE w:val="0"/>
        <w:autoSpaceDN w:val="0"/>
        <w:adjustRightInd w:val="0"/>
        <w:snapToGrid w:val="0"/>
        <w:spacing w:line="360" w:lineRule="auto"/>
        <w:ind w:left="246" w:leftChars="117" w:firstLine="422" w:firstLineChars="200"/>
        <w:jc w:val="both"/>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350" w:name="_Toc20029"/>
      <w:bookmarkStart w:id="351" w:name="_Toc1848_WPSOffice_Level3"/>
      <w:bookmarkStart w:id="352" w:name="_Toc465358970"/>
      <w:bookmarkStart w:id="353" w:name="_Toc142508346"/>
      <w:bookmarkStart w:id="354" w:name="_Toc3154"/>
      <w:bookmarkStart w:id="355" w:name="_Toc486167695"/>
      <w:bookmarkStart w:id="356" w:name="_Toc29188"/>
      <w:bookmarkStart w:id="357" w:name="_Toc26354"/>
      <w:bookmarkStart w:id="358" w:name="_Toc466882018"/>
      <w:bookmarkStart w:id="359" w:name="_Toc2077"/>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50"/>
      <w:bookmarkEnd w:id="351"/>
      <w:bookmarkEnd w:id="352"/>
      <w:bookmarkEnd w:id="353"/>
      <w:bookmarkEnd w:id="354"/>
      <w:bookmarkEnd w:id="355"/>
      <w:bookmarkEnd w:id="356"/>
      <w:bookmarkEnd w:id="357"/>
      <w:bookmarkEnd w:id="358"/>
      <w:bookmarkEnd w:id="359"/>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pPr>
        <w:autoSpaceDE w:val="0"/>
        <w:autoSpaceDN w:val="0"/>
        <w:adjustRightInd w:val="0"/>
        <w:snapToGrid w:val="0"/>
        <w:spacing w:line="360" w:lineRule="auto"/>
        <w:jc w:val="left"/>
        <w:rPr>
          <w:rFonts w:ascii="宋体" w:hAnsi="宋体" w:eastAsia="宋体" w:cs="宋体"/>
          <w:color w:val="auto"/>
          <w:szCs w:val="21"/>
          <w:highlight w:val="none"/>
        </w:rPr>
      </w:pPr>
      <w:bookmarkStart w:id="360" w:name="_Toc466882019"/>
      <w:bookmarkStart w:id="361" w:name="_Toc465358971"/>
    </w:p>
    <w:p>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362" w:name="_Toc8654"/>
      <w:bookmarkStart w:id="363" w:name="_Toc26345"/>
      <w:bookmarkStart w:id="364" w:name="_Toc15815"/>
      <w:bookmarkStart w:id="365" w:name="_Toc10867_WPSOffice_Level3"/>
      <w:bookmarkStart w:id="366" w:name="_Toc23672"/>
      <w:bookmarkStart w:id="367" w:name="_Toc9538"/>
      <w:bookmarkStart w:id="368" w:name="_Toc486167696"/>
      <w:bookmarkStart w:id="369" w:name="_Toc142508347"/>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60"/>
      <w:bookmarkEnd w:id="361"/>
      <w:bookmarkEnd w:id="362"/>
      <w:bookmarkEnd w:id="363"/>
      <w:bookmarkEnd w:id="364"/>
      <w:bookmarkEnd w:id="365"/>
      <w:bookmarkEnd w:id="366"/>
      <w:bookmarkEnd w:id="367"/>
      <w:bookmarkEnd w:id="368"/>
      <w:bookmarkEnd w:id="369"/>
    </w:p>
    <w:p>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70" w:name="_Toc450662880"/>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71" w:name="_Toc27936"/>
      <w:bookmarkStart w:id="372" w:name="_Toc11941"/>
      <w:bookmarkStart w:id="373" w:name="_Toc16789"/>
      <w:bookmarkStart w:id="374" w:name="_Toc534"/>
      <w:bookmarkStart w:id="375" w:name="_Toc486167697"/>
      <w:bookmarkStart w:id="376" w:name="_Toc27318"/>
      <w:bookmarkStart w:id="377" w:name="_Toc142508348"/>
      <w:bookmarkStart w:id="378" w:name="_Toc140596907"/>
      <w:bookmarkStart w:id="379" w:name="_Toc16848_WPSOffice_Level2"/>
      <w:r>
        <w:rPr>
          <w:rFonts w:hint="eastAsia" w:ascii="宋体" w:hAnsi="宋体" w:eastAsia="宋体" w:cs="宋体"/>
          <w:b/>
          <w:bCs/>
          <w:color w:val="auto"/>
          <w:kern w:val="44"/>
          <w:szCs w:val="21"/>
          <w:highlight w:val="none"/>
          <w:lang w:val="zh-CN"/>
        </w:rPr>
        <w:t>六、授予合同</w:t>
      </w:r>
      <w:bookmarkEnd w:id="370"/>
      <w:bookmarkEnd w:id="371"/>
      <w:bookmarkEnd w:id="372"/>
      <w:bookmarkEnd w:id="373"/>
      <w:bookmarkEnd w:id="374"/>
      <w:bookmarkEnd w:id="375"/>
      <w:bookmarkEnd w:id="376"/>
      <w:bookmarkEnd w:id="377"/>
      <w:bookmarkEnd w:id="378"/>
      <w:bookmarkEnd w:id="379"/>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0" w:name="_Toc142508349"/>
      <w:bookmarkStart w:id="381" w:name="_Toc6401_WPSOffice_Level3"/>
      <w:bookmarkStart w:id="382" w:name="_Toc486167698"/>
      <w:bookmarkStart w:id="383" w:name="_Toc450662881"/>
      <w:bookmarkStart w:id="384" w:name="_Toc19150"/>
      <w:bookmarkStart w:id="385" w:name="_Toc9067"/>
      <w:bookmarkStart w:id="386" w:name="_Toc31713"/>
      <w:bookmarkStart w:id="387" w:name="_Toc29383"/>
      <w:bookmarkStart w:id="388" w:name="_Toc24357"/>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80"/>
      <w:bookmarkEnd w:id="381"/>
      <w:bookmarkEnd w:id="382"/>
      <w:bookmarkEnd w:id="383"/>
      <w:bookmarkEnd w:id="384"/>
      <w:bookmarkEnd w:id="385"/>
      <w:bookmarkEnd w:id="386"/>
      <w:bookmarkEnd w:id="387"/>
      <w:bookmarkEnd w:id="388"/>
    </w:p>
    <w:p>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89" w:name="_Toc450662885"/>
    </w:p>
    <w:p>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90" w:name="_Toc6726_WPSOffice_Level3"/>
      <w:bookmarkStart w:id="391" w:name="_Toc10554"/>
      <w:bookmarkStart w:id="392" w:name="_Toc486167699"/>
      <w:bookmarkStart w:id="393" w:name="_Toc18984"/>
      <w:bookmarkStart w:id="394" w:name="_Toc10181"/>
      <w:bookmarkStart w:id="395" w:name="_Toc8196"/>
      <w:bookmarkStart w:id="396" w:name="_Toc142508350"/>
      <w:bookmarkStart w:id="397" w:name="_Toc14377"/>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89"/>
      <w:bookmarkEnd w:id="390"/>
      <w:bookmarkEnd w:id="391"/>
      <w:bookmarkEnd w:id="392"/>
      <w:bookmarkEnd w:id="393"/>
      <w:bookmarkEnd w:id="394"/>
      <w:bookmarkEnd w:id="395"/>
      <w:bookmarkEnd w:id="396"/>
      <w:bookmarkEnd w:id="397"/>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98"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99" w:name="_Toc142508351"/>
      <w:bookmarkStart w:id="400" w:name="_Toc3657"/>
      <w:bookmarkStart w:id="401" w:name="_Toc1331"/>
      <w:bookmarkStart w:id="402" w:name="_Toc16176"/>
      <w:bookmarkStart w:id="403" w:name="_Toc486167700"/>
      <w:bookmarkStart w:id="404" w:name="_Toc28020"/>
      <w:bookmarkStart w:id="405" w:name="_Toc19127"/>
      <w:bookmarkStart w:id="406" w:name="_Toc9694_WPSOffice_Level3"/>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98"/>
      <w:bookmarkEnd w:id="399"/>
      <w:bookmarkEnd w:id="400"/>
      <w:bookmarkEnd w:id="401"/>
      <w:bookmarkEnd w:id="402"/>
      <w:bookmarkEnd w:id="403"/>
      <w:bookmarkEnd w:id="404"/>
      <w:bookmarkEnd w:id="405"/>
      <w:bookmarkEnd w:id="406"/>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07" w:name="_Toc13055"/>
      <w:bookmarkStart w:id="408" w:name="_Toc3830"/>
      <w:bookmarkStart w:id="409" w:name="_Toc142508352"/>
      <w:bookmarkStart w:id="410" w:name="_Toc10513_WPSOffice_Level3"/>
      <w:bookmarkStart w:id="411" w:name="_Toc5304"/>
      <w:bookmarkStart w:id="412" w:name="_Toc486167701"/>
      <w:bookmarkStart w:id="413" w:name="_Toc10453"/>
      <w:bookmarkStart w:id="414" w:name="_Toc8181"/>
      <w:bookmarkStart w:id="415" w:name="_Toc450662887"/>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407"/>
      <w:bookmarkEnd w:id="408"/>
      <w:bookmarkEnd w:id="409"/>
      <w:bookmarkEnd w:id="410"/>
      <w:bookmarkEnd w:id="411"/>
      <w:bookmarkEnd w:id="412"/>
      <w:bookmarkEnd w:id="413"/>
      <w:bookmarkEnd w:id="414"/>
      <w:bookmarkEnd w:id="415"/>
    </w:p>
    <w:p>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416" w:name="_Toc465358977"/>
      <w:bookmarkStart w:id="417"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其中，采用履约保证金（银行转账形式）的金额为暂定总合同价（含税）的5%，采用不可撤销银行履约保函形式的金额为暂定总合同价（含税）的8%，采用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形式的金额为暂定总合同价（含税）的8%，采用担保公司履约担保书形式的金额为暂定总合同价（含税）的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可撤销银行履约保函（或履约保证保险或担保公司履约担保书）应从合同签订之日起至合同期限届满并履行完毕相关服务义务且结算完毕之后二十八（28）个日历天内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Times New Roman"/>
          <w:b/>
          <w:color w:val="auto"/>
          <w:kern w:val="0"/>
          <w:szCs w:val="21"/>
          <w:highlight w:val="none"/>
        </w:rPr>
        <w:t>开户</w:t>
      </w:r>
      <w:r>
        <w:rPr>
          <w:rFonts w:hint="eastAsia" w:ascii="宋体" w:hAnsi="宋体" w:eastAsia="宋体" w:cs="宋体"/>
          <w:b/>
          <w:color w:val="auto"/>
          <w:kern w:val="0"/>
          <w:szCs w:val="21"/>
          <w:highlight w:val="none"/>
        </w:rPr>
        <w:t>名称：东莞市水务集团建设管理有限公司</w:t>
      </w:r>
    </w:p>
    <w:p>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银行账号：2010021309200628330</w:t>
      </w:r>
    </w:p>
    <w:p>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开户银行：中国工商银行股份有限公司东莞分行</w:t>
      </w:r>
    </w:p>
    <w:p>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中标人以履约保证金（银行转账形式）提供履约担保的在依法完成本项目的所有合同义务，且结算完毕之后二十八（28）个日历天</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，经招标人确认，中标人可向招标人提交退回履约担保的申请。招标人审核无异议后，办理履约担保退还手续，退回时一律以银行转账的形式无息退回到中标人的账户。</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18" w:name="_Toc27162"/>
      <w:bookmarkStart w:id="419" w:name="_Toc9976"/>
      <w:bookmarkStart w:id="420" w:name="_Toc10548"/>
      <w:bookmarkStart w:id="421" w:name="_Toc142508353"/>
      <w:bookmarkStart w:id="422" w:name="_Toc486167702"/>
      <w:bookmarkStart w:id="423" w:name="_Toc16273"/>
      <w:bookmarkStart w:id="424" w:name="_Toc23546"/>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416"/>
      <w:bookmarkEnd w:id="417"/>
      <w:bookmarkEnd w:id="418"/>
      <w:bookmarkEnd w:id="419"/>
      <w:bookmarkEnd w:id="420"/>
      <w:bookmarkEnd w:id="421"/>
      <w:bookmarkEnd w:id="422"/>
      <w:bookmarkEnd w:id="423"/>
      <w:bookmarkEnd w:id="424"/>
    </w:p>
    <w:p>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25" w:name="_Toc450662888"/>
    </w:p>
    <w:p>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26" w:name="_Toc24393"/>
      <w:bookmarkStart w:id="427" w:name="_Toc142508354"/>
      <w:bookmarkStart w:id="428" w:name="_Toc486167703"/>
      <w:bookmarkStart w:id="429" w:name="_Toc26429"/>
      <w:bookmarkStart w:id="430" w:name="_Toc23218"/>
      <w:bookmarkStart w:id="431" w:name="_Toc23134"/>
      <w:bookmarkStart w:id="432" w:name="_Toc2401"/>
      <w:bookmarkStart w:id="433" w:name="_Toc28921_WPSOffice_Level3"/>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425"/>
      <w:bookmarkEnd w:id="426"/>
      <w:bookmarkEnd w:id="427"/>
      <w:bookmarkEnd w:id="428"/>
      <w:bookmarkEnd w:id="429"/>
      <w:bookmarkEnd w:id="430"/>
      <w:bookmarkEnd w:id="431"/>
      <w:bookmarkEnd w:id="432"/>
      <w:bookmarkEnd w:id="433"/>
    </w:p>
    <w:p>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w:t>
      </w:r>
      <w:r>
        <w:rPr>
          <w:rFonts w:hint="eastAsia" w:ascii="宋体" w:hAnsi="宋体" w:eastAsia="宋体" w:cs="宋体"/>
          <w:color w:val="auto"/>
          <w:szCs w:val="21"/>
          <w:highlight w:val="none"/>
          <w:lang w:val="en-US" w:eastAsia="zh-CN"/>
        </w:rPr>
        <w:t>项目业主</w:t>
      </w:r>
      <w:r>
        <w:rPr>
          <w:rFonts w:hint="eastAsia" w:ascii="宋体" w:hAnsi="宋体" w:eastAsia="宋体" w:cs="宋体"/>
          <w:color w:val="auto"/>
          <w:szCs w:val="21"/>
          <w:highlight w:val="none"/>
          <w:lang w:val="zh-CN"/>
        </w:rPr>
        <w:t>向招标代理机构支付。</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34" w:name="_Toc450662889"/>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35" w:name="_Toc6796"/>
      <w:bookmarkStart w:id="436" w:name="_Toc30600"/>
      <w:bookmarkStart w:id="437" w:name="_Toc21757"/>
      <w:bookmarkStart w:id="438" w:name="_Toc486167704"/>
      <w:bookmarkStart w:id="439" w:name="_Toc21985"/>
      <w:bookmarkStart w:id="440" w:name="_Toc30509"/>
      <w:bookmarkStart w:id="441" w:name="_Toc6764_WPSOffice_Level3"/>
      <w:bookmarkStart w:id="442" w:name="_Toc142508355"/>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434"/>
      <w:bookmarkEnd w:id="435"/>
      <w:bookmarkEnd w:id="436"/>
      <w:bookmarkEnd w:id="437"/>
      <w:bookmarkEnd w:id="438"/>
      <w:bookmarkEnd w:id="439"/>
      <w:bookmarkEnd w:id="440"/>
      <w:bookmarkEnd w:id="441"/>
      <w:bookmarkEnd w:id="442"/>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443" w:name="_Toc486167705"/>
      <w:bookmarkStart w:id="444" w:name="_Toc31106_WPSOffice_Level3"/>
      <w:r>
        <w:rPr>
          <w:rFonts w:hint="eastAsia" w:ascii="宋体" w:hAnsi="宋体" w:eastAsia="宋体" w:cs="宋体"/>
          <w:color w:val="auto"/>
          <w:szCs w:val="21"/>
          <w:highlight w:val="none"/>
          <w:lang w:val="zh-CN"/>
        </w:rPr>
        <w:t>该项目获得中标的中标人在执行合同过程中，向</w:t>
      </w:r>
      <w:r>
        <w:rPr>
          <w:rFonts w:hint="eastAsia" w:ascii="宋体" w:hAnsi="宋体" w:eastAsia="宋体" w:cs="宋体"/>
          <w:color w:val="auto"/>
          <w:szCs w:val="21"/>
          <w:highlight w:val="none"/>
          <w:lang w:val="en-US" w:eastAsia="zh-CN"/>
        </w:rPr>
        <w:t>项目业主或招标人</w:t>
      </w:r>
      <w:r>
        <w:rPr>
          <w:rFonts w:hint="eastAsia" w:ascii="宋体" w:hAnsi="宋体" w:eastAsia="宋体" w:cs="宋体"/>
          <w:color w:val="auto"/>
          <w:szCs w:val="21"/>
          <w:highlight w:val="none"/>
          <w:lang w:val="zh-CN"/>
        </w:rPr>
        <w:t>出具的发票必须是由中标人开具，不得以其他单位或个人名义出具，本项目中标人向</w:t>
      </w:r>
      <w:r>
        <w:rPr>
          <w:rFonts w:hint="eastAsia" w:ascii="宋体" w:hAnsi="宋体" w:eastAsia="宋体" w:cs="宋体"/>
          <w:color w:val="auto"/>
          <w:szCs w:val="21"/>
          <w:highlight w:val="none"/>
          <w:lang w:val="en-US" w:eastAsia="zh-CN"/>
        </w:rPr>
        <w:t>项目业主或招标人</w:t>
      </w:r>
      <w:r>
        <w:rPr>
          <w:rFonts w:hint="eastAsia" w:ascii="宋体" w:hAnsi="宋体" w:eastAsia="宋体" w:cs="宋体"/>
          <w:color w:val="auto"/>
          <w:szCs w:val="21"/>
          <w:highlight w:val="none"/>
          <w:lang w:val="zh-CN"/>
        </w:rPr>
        <w:t>出具的发票类型为</w:t>
      </w:r>
      <w:r>
        <w:rPr>
          <w:rFonts w:hint="eastAsia" w:ascii="宋体" w:hAnsi="宋体" w:eastAsia="宋体" w:cs="Times New Roman"/>
          <w:color w:val="auto"/>
          <w:szCs w:val="21"/>
          <w:highlight w:val="none"/>
          <w:lang w:val="zh-CN"/>
        </w:rPr>
        <w:t>增值税普通发票</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445" w:name="_Toc8619"/>
      <w:bookmarkStart w:id="446" w:name="_Toc142508356"/>
      <w:bookmarkStart w:id="447" w:name="_Toc27075"/>
      <w:bookmarkStart w:id="448" w:name="_Toc12681"/>
      <w:bookmarkStart w:id="449" w:name="_Toc31355"/>
      <w:bookmarkStart w:id="450" w:name="_Toc24547"/>
      <w:r>
        <w:rPr>
          <w:rFonts w:ascii="宋体" w:hAnsi="宋体" w:eastAsia="宋体" w:cs="宋体"/>
          <w:b/>
          <w:color w:val="auto"/>
          <w:szCs w:val="21"/>
          <w:highlight w:val="none"/>
        </w:rPr>
        <w:t>39 招标相关补充约定</w:t>
      </w:r>
      <w:bookmarkEnd w:id="445"/>
      <w:bookmarkEnd w:id="446"/>
      <w:bookmarkEnd w:id="447"/>
      <w:bookmarkEnd w:id="448"/>
      <w:bookmarkEnd w:id="449"/>
      <w:bookmarkEnd w:id="450"/>
    </w:p>
    <w:p>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3</w:t>
      </w:r>
      <w:r>
        <w:rPr>
          <w:rFonts w:hint="eastAsia" w:ascii="宋体" w:hAnsi="宋体" w:eastAsia="宋体" w:cs="Times New Roman"/>
          <w:b/>
          <w:color w:val="auto"/>
          <w:szCs w:val="21"/>
          <w:highlight w:val="none"/>
          <w:lang w:val="en-US" w:eastAsia="zh-CN"/>
        </w:rPr>
        <w:t>9</w:t>
      </w:r>
      <w:r>
        <w:rPr>
          <w:rFonts w:hint="eastAsia" w:ascii="宋体" w:hAnsi="宋体" w:eastAsia="宋体" w:cs="Times New Roman"/>
          <w:b/>
          <w:color w:val="auto"/>
          <w:szCs w:val="21"/>
          <w:highlight w:val="none"/>
          <w:lang w:val="zh-CN"/>
        </w:rPr>
        <w:t>.</w:t>
      </w:r>
      <w:r>
        <w:rPr>
          <w:rFonts w:hint="eastAsia" w:ascii="宋体" w:hAnsi="宋体" w:eastAsia="宋体" w:cs="Times New Roman"/>
          <w:b/>
          <w:color w:val="auto"/>
          <w:szCs w:val="21"/>
          <w:highlight w:val="none"/>
        </w:rPr>
        <w:t>2</w:t>
      </w:r>
      <w:r>
        <w:rPr>
          <w:rFonts w:hint="eastAsia" w:ascii="宋体" w:hAnsi="宋体" w:eastAsia="宋体" w:cs="Times New Roman"/>
          <w:b/>
          <w:color w:val="auto"/>
          <w:szCs w:val="21"/>
          <w:highlight w:val="none"/>
          <w:lang w:val="zh-CN"/>
        </w:rPr>
        <w:t xml:space="preserve"> 已参与本工程的勘察单位、设计单位、施工单位、监理单位（包括与上述单位法定代表人或负责人为同一人的单位，或者与上述单位存在控股、管理关系的单位，或者与上述单位存在其他利害关系）不得参与本监测项目投标。</w:t>
      </w:r>
    </w:p>
    <w:p>
      <w:pPr>
        <w:pStyle w:val="128"/>
        <w:numPr>
          <w:ilvl w:val="255"/>
          <w:numId w:val="0"/>
        </w:numPr>
        <w:tabs>
          <w:tab w:val="left" w:pos="426"/>
        </w:tabs>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本工程相关参建单位统计表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3"/>
        <w:gridCol w:w="1742"/>
        <w:gridCol w:w="4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3" w:type="dxa"/>
            <w:vMerge w:val="restart"/>
            <w:vAlign w:val="center"/>
          </w:tcPr>
          <w:p>
            <w:pPr>
              <w:pStyle w:val="128"/>
              <w:keepNext w:val="0"/>
              <w:keepLines w:val="0"/>
              <w:numPr>
                <w:ilvl w:val="255"/>
                <w:numId w:val="0"/>
              </w:numPr>
              <w:suppressLineNumbers w:val="0"/>
              <w:tabs>
                <w:tab w:val="left" w:pos="426"/>
              </w:tabs>
              <w:spacing w:before="0" w:beforeAutospacing="0" w:after="0" w:afterAutospacing="0" w:line="360" w:lineRule="auto"/>
              <w:ind w:left="0" w:right="0"/>
              <w:jc w:val="center"/>
              <w:rPr>
                <w:rFonts w:hint="eastAsia" w:ascii="宋体" w:hAnsi="宋体" w:eastAsia="宋体" w:cs="宋体"/>
                <w:color w:val="auto"/>
                <w:highlight w:val="none"/>
                <w:lang w:val="zh-CN" w:eastAsia="zh-CN"/>
              </w:rPr>
            </w:pPr>
            <w:r>
              <w:rPr>
                <w:rFonts w:hint="eastAsia" w:ascii="宋体" w:hAnsi="宋体" w:eastAsia="宋体" w:cs="宋体"/>
                <w:b/>
                <w:bCs/>
                <w:color w:val="auto"/>
                <w:sz w:val="21"/>
                <w:szCs w:val="21"/>
                <w:highlight w:val="none"/>
                <w:lang w:eastAsia="zh-CN"/>
              </w:rPr>
              <w:t>东莞市供水设施更新改造项目-松山湖新城路给水管网改造工程</w:t>
            </w:r>
          </w:p>
        </w:tc>
        <w:tc>
          <w:tcPr>
            <w:tcW w:w="1742" w:type="dxa"/>
            <w:vAlign w:val="center"/>
          </w:tcPr>
          <w:p>
            <w:pPr>
              <w:pStyle w:val="128"/>
              <w:keepNext w:val="0"/>
              <w:keepLines w:val="0"/>
              <w:numPr>
                <w:ilvl w:val="255"/>
                <w:numId w:val="0"/>
              </w:numPr>
              <w:suppressLineNumbers w:val="0"/>
              <w:tabs>
                <w:tab w:val="left" w:pos="426"/>
              </w:tabs>
              <w:spacing w:before="0" w:beforeAutospacing="0" w:after="0" w:afterAutospacing="0" w:line="360" w:lineRule="auto"/>
              <w:ind w:left="0" w:right="0"/>
              <w:jc w:val="center"/>
              <w:rPr>
                <w:rFonts w:hint="eastAsia" w:ascii="宋体" w:hAnsi="宋体" w:eastAsia="宋体" w:cs="宋体"/>
                <w:color w:val="auto"/>
                <w:highlight w:val="none"/>
                <w:lang w:val="zh-CN"/>
              </w:rPr>
            </w:pPr>
            <w:r>
              <w:rPr>
                <w:rFonts w:hint="eastAsia" w:ascii="宋体" w:hAnsi="宋体" w:eastAsia="宋体" w:cs="宋体"/>
                <w:b/>
                <w:bCs/>
                <w:color w:val="auto"/>
                <w:sz w:val="21"/>
                <w:szCs w:val="21"/>
                <w:highlight w:val="none"/>
              </w:rPr>
              <w:t>勘察单位</w:t>
            </w:r>
          </w:p>
        </w:tc>
        <w:tc>
          <w:tcPr>
            <w:tcW w:w="4292" w:type="dxa"/>
            <w:vAlign w:val="center"/>
          </w:tcPr>
          <w:p>
            <w:pPr>
              <w:pStyle w:val="128"/>
              <w:keepNext w:val="0"/>
              <w:keepLines w:val="0"/>
              <w:numPr>
                <w:ilvl w:val="255"/>
                <w:numId w:val="0"/>
              </w:numPr>
              <w:suppressLineNumbers w:val="0"/>
              <w:tabs>
                <w:tab w:val="left" w:pos="426"/>
              </w:tabs>
              <w:spacing w:before="0" w:beforeAutospacing="0" w:after="0" w:afterAutospacing="0" w:line="360" w:lineRule="auto"/>
              <w:ind w:left="0" w:leftChars="0" w:right="0" w:firstLine="0" w:firstLineChars="0"/>
              <w:jc w:val="center"/>
              <w:rPr>
                <w:rFonts w:hint="default"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广东有色工程勘察设计院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3" w:type="dxa"/>
            <w:vMerge w:val="continue"/>
            <w:vAlign w:val="center"/>
          </w:tcPr>
          <w:p>
            <w:pPr>
              <w:pStyle w:val="128"/>
              <w:keepNext w:val="0"/>
              <w:keepLines w:val="0"/>
              <w:numPr>
                <w:ilvl w:val="255"/>
                <w:numId w:val="0"/>
              </w:numPr>
              <w:suppressLineNumbers w:val="0"/>
              <w:tabs>
                <w:tab w:val="left" w:pos="426"/>
              </w:tabs>
              <w:spacing w:before="0" w:beforeAutospacing="0" w:after="0" w:afterAutospacing="0" w:line="360" w:lineRule="auto"/>
              <w:ind w:left="0" w:right="0"/>
              <w:jc w:val="center"/>
              <w:rPr>
                <w:rFonts w:hint="eastAsia" w:ascii="宋体" w:hAnsi="宋体" w:eastAsia="宋体" w:cs="宋体"/>
                <w:color w:val="auto"/>
                <w:highlight w:val="none"/>
                <w:lang w:val="zh-CN"/>
              </w:rPr>
            </w:pPr>
          </w:p>
        </w:tc>
        <w:tc>
          <w:tcPr>
            <w:tcW w:w="1742" w:type="dxa"/>
            <w:vAlign w:val="center"/>
          </w:tcPr>
          <w:p>
            <w:pPr>
              <w:pStyle w:val="128"/>
              <w:keepNext w:val="0"/>
              <w:keepLines w:val="0"/>
              <w:numPr>
                <w:ilvl w:val="255"/>
                <w:numId w:val="0"/>
              </w:numPr>
              <w:suppressLineNumbers w:val="0"/>
              <w:tabs>
                <w:tab w:val="left" w:pos="426"/>
              </w:tabs>
              <w:spacing w:before="0" w:beforeAutospacing="0" w:after="0" w:afterAutospacing="0" w:line="360" w:lineRule="auto"/>
              <w:ind w:left="0" w:right="0"/>
              <w:jc w:val="center"/>
              <w:rPr>
                <w:rFonts w:hint="eastAsia" w:ascii="宋体" w:hAnsi="宋体" w:eastAsia="宋体" w:cs="宋体"/>
                <w:color w:val="auto"/>
                <w:highlight w:val="none"/>
                <w:lang w:val="zh-CN"/>
              </w:rPr>
            </w:pPr>
            <w:r>
              <w:rPr>
                <w:rFonts w:hint="eastAsia" w:ascii="宋体" w:hAnsi="宋体" w:eastAsia="宋体" w:cs="宋体"/>
                <w:b/>
                <w:bCs/>
                <w:color w:val="auto"/>
                <w:sz w:val="21"/>
                <w:szCs w:val="21"/>
                <w:highlight w:val="none"/>
              </w:rPr>
              <w:t>设计单位</w:t>
            </w:r>
          </w:p>
        </w:tc>
        <w:tc>
          <w:tcPr>
            <w:tcW w:w="4292" w:type="dxa"/>
            <w:vAlign w:val="center"/>
          </w:tcPr>
          <w:p>
            <w:pPr>
              <w:pStyle w:val="128"/>
              <w:keepNext w:val="0"/>
              <w:keepLines w:val="0"/>
              <w:numPr>
                <w:ilvl w:val="255"/>
                <w:numId w:val="0"/>
              </w:numPr>
              <w:suppressLineNumbers w:val="0"/>
              <w:tabs>
                <w:tab w:val="left" w:pos="426"/>
              </w:tabs>
              <w:spacing w:before="0" w:beforeAutospacing="0" w:after="0" w:afterAutospacing="0" w:line="360" w:lineRule="auto"/>
              <w:ind w:left="0" w:leftChars="0" w:right="0" w:firstLine="0" w:firstLineChars="0"/>
              <w:jc w:val="center"/>
              <w:rPr>
                <w:rFonts w:hint="default"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广州市市政工程设计研究总院有限公司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3" w:type="dxa"/>
            <w:vMerge w:val="continue"/>
            <w:vAlign w:val="center"/>
          </w:tcPr>
          <w:p>
            <w:pPr>
              <w:pStyle w:val="128"/>
              <w:keepNext w:val="0"/>
              <w:keepLines w:val="0"/>
              <w:numPr>
                <w:ilvl w:val="255"/>
                <w:numId w:val="0"/>
              </w:numPr>
              <w:suppressLineNumbers w:val="0"/>
              <w:tabs>
                <w:tab w:val="left" w:pos="426"/>
              </w:tabs>
              <w:spacing w:before="0" w:beforeAutospacing="0" w:after="0" w:afterAutospacing="0" w:line="360" w:lineRule="auto"/>
              <w:ind w:left="0" w:right="0"/>
              <w:jc w:val="center"/>
              <w:rPr>
                <w:rFonts w:hint="eastAsia" w:ascii="宋体" w:hAnsi="宋体" w:eastAsia="宋体" w:cs="宋体"/>
                <w:color w:val="auto"/>
                <w:highlight w:val="none"/>
                <w:lang w:val="zh-CN"/>
              </w:rPr>
            </w:pPr>
          </w:p>
        </w:tc>
        <w:tc>
          <w:tcPr>
            <w:tcW w:w="1742" w:type="dxa"/>
            <w:vAlign w:val="center"/>
          </w:tcPr>
          <w:p>
            <w:pPr>
              <w:pStyle w:val="128"/>
              <w:keepNext w:val="0"/>
              <w:keepLines w:val="0"/>
              <w:numPr>
                <w:ilvl w:val="255"/>
                <w:numId w:val="0"/>
              </w:numPr>
              <w:suppressLineNumbers w:val="0"/>
              <w:tabs>
                <w:tab w:val="left" w:pos="426"/>
              </w:tabs>
              <w:spacing w:before="0" w:beforeAutospacing="0" w:after="0" w:afterAutospacing="0" w:line="36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施工单位</w:t>
            </w:r>
          </w:p>
        </w:tc>
        <w:tc>
          <w:tcPr>
            <w:tcW w:w="4292" w:type="dxa"/>
            <w:vAlign w:val="center"/>
          </w:tcPr>
          <w:p>
            <w:pPr>
              <w:pStyle w:val="128"/>
              <w:keepNext w:val="0"/>
              <w:keepLines w:val="0"/>
              <w:numPr>
                <w:ilvl w:val="255"/>
                <w:numId w:val="0"/>
              </w:numPr>
              <w:suppressLineNumbers w:val="0"/>
              <w:tabs>
                <w:tab w:val="left" w:pos="426"/>
              </w:tabs>
              <w:spacing w:before="0" w:beforeAutospacing="0" w:after="0" w:afterAutospacing="0" w:line="360" w:lineRule="auto"/>
              <w:ind w:left="0" w:leftChars="0" w:right="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3" w:type="dxa"/>
            <w:vMerge w:val="continue"/>
            <w:vAlign w:val="center"/>
          </w:tcPr>
          <w:p>
            <w:pPr>
              <w:pStyle w:val="128"/>
              <w:keepNext w:val="0"/>
              <w:keepLines w:val="0"/>
              <w:numPr>
                <w:ilvl w:val="255"/>
                <w:numId w:val="0"/>
              </w:numPr>
              <w:suppressLineNumbers w:val="0"/>
              <w:tabs>
                <w:tab w:val="left" w:pos="426"/>
              </w:tabs>
              <w:spacing w:before="0" w:beforeAutospacing="0" w:after="0" w:afterAutospacing="0" w:line="360" w:lineRule="auto"/>
              <w:ind w:left="0" w:right="0"/>
              <w:jc w:val="center"/>
              <w:rPr>
                <w:rFonts w:hint="eastAsia" w:ascii="宋体" w:hAnsi="宋体" w:eastAsia="宋体" w:cs="宋体"/>
                <w:color w:val="auto"/>
                <w:highlight w:val="none"/>
                <w:lang w:val="zh-CN"/>
              </w:rPr>
            </w:pPr>
          </w:p>
        </w:tc>
        <w:tc>
          <w:tcPr>
            <w:tcW w:w="1742" w:type="dxa"/>
            <w:vAlign w:val="center"/>
          </w:tcPr>
          <w:p>
            <w:pPr>
              <w:pStyle w:val="128"/>
              <w:keepNext w:val="0"/>
              <w:keepLines w:val="0"/>
              <w:numPr>
                <w:ilvl w:val="255"/>
                <w:numId w:val="0"/>
              </w:numPr>
              <w:suppressLineNumbers w:val="0"/>
              <w:tabs>
                <w:tab w:val="left" w:pos="426"/>
              </w:tabs>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t>施工监理单位</w:t>
            </w:r>
          </w:p>
        </w:tc>
        <w:tc>
          <w:tcPr>
            <w:tcW w:w="4292" w:type="dxa"/>
            <w:vAlign w:val="center"/>
          </w:tcPr>
          <w:p>
            <w:pPr>
              <w:pStyle w:val="128"/>
              <w:keepNext w:val="0"/>
              <w:keepLines w:val="0"/>
              <w:numPr>
                <w:ilvl w:val="255"/>
                <w:numId w:val="0"/>
              </w:numPr>
              <w:suppressLineNumbers w:val="0"/>
              <w:tabs>
                <w:tab w:val="left" w:pos="426"/>
              </w:tabs>
              <w:spacing w:before="0" w:beforeAutospacing="0" w:after="0" w:afterAutospacing="0" w:line="360" w:lineRule="auto"/>
              <w:ind w:left="0" w:leftChars="0" w:right="0" w:firstLine="0" w:firstLineChars="0"/>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广东粤建工程项目管理有限公司</w:t>
            </w:r>
          </w:p>
        </w:tc>
      </w:tr>
    </w:tbl>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451" w:name="_Toc142508357"/>
      <w:bookmarkStart w:id="452" w:name="_Toc29758"/>
      <w:bookmarkStart w:id="453" w:name="_Toc26594"/>
      <w:bookmarkStart w:id="454" w:name="_Toc15956"/>
      <w:bookmarkStart w:id="455" w:name="_Toc5205"/>
      <w:bookmarkStart w:id="456" w:name="_Toc121"/>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443"/>
      <w:bookmarkEnd w:id="444"/>
      <w:bookmarkEnd w:id="451"/>
      <w:bookmarkEnd w:id="452"/>
      <w:bookmarkEnd w:id="453"/>
      <w:bookmarkEnd w:id="454"/>
      <w:bookmarkEnd w:id="455"/>
      <w:bookmarkEnd w:id="456"/>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57" w:name="_Toc14879"/>
      <w:bookmarkStart w:id="458" w:name="_Toc450662891"/>
      <w:bookmarkStart w:id="459" w:name="_Toc14514"/>
      <w:bookmarkStart w:id="460" w:name="_Toc21446"/>
      <w:bookmarkStart w:id="461" w:name="_Toc486167706"/>
      <w:bookmarkStart w:id="462" w:name="_Toc27939_WPSOffice_Level1"/>
      <w:bookmarkStart w:id="463" w:name="_Toc142508358"/>
      <w:bookmarkStart w:id="464" w:name="_Toc19781"/>
      <w:bookmarkStart w:id="465" w:name="_Toc4386"/>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457"/>
      <w:bookmarkEnd w:id="458"/>
      <w:bookmarkEnd w:id="459"/>
      <w:bookmarkEnd w:id="460"/>
      <w:bookmarkEnd w:id="461"/>
      <w:bookmarkEnd w:id="462"/>
      <w:bookmarkEnd w:id="463"/>
      <w:bookmarkEnd w:id="464"/>
      <w:bookmarkEnd w:id="465"/>
    </w:p>
    <w:p>
      <w:pPr>
        <w:spacing w:line="360" w:lineRule="auto"/>
        <w:rPr>
          <w:rFonts w:ascii="宋体" w:hAnsi="宋体" w:eastAsia="宋体" w:cs="Times New Roman"/>
          <w:b/>
          <w:color w:val="auto"/>
          <w:szCs w:val="21"/>
          <w:highlight w:val="none"/>
          <w:lang w:val="zh-CN"/>
        </w:rPr>
      </w:pPr>
    </w:p>
    <w:p>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东莞市水务集团供水有限公司（以下简称“项目业主”）为东莞市供水设施更新改造项目-松山湖新城路给水管网改造工程的项目业主，招标人为上述项目的代建单位，项目业主已将东莞市供水设施更新改造项目-松山湖新城路给水管网改造工程委托给招标人实施代建。</w:t>
      </w:r>
    </w:p>
    <w:p>
      <w:pPr>
        <w:pStyle w:val="128"/>
        <w:keepNext w:val="0"/>
        <w:keepLines w:val="0"/>
        <w:pageBreakBefore w:val="0"/>
        <w:widowControl w:val="0"/>
        <w:kinsoku/>
        <w:wordWrap/>
        <w:overflowPunct/>
        <w:topLinePunct w:val="0"/>
        <w:autoSpaceDE/>
        <w:autoSpaceDN/>
        <w:bidi w:val="0"/>
        <w:adjustRightInd/>
        <w:snapToGrid w:val="0"/>
        <w:spacing w:line="360" w:lineRule="auto"/>
        <w:ind w:firstLine="422"/>
        <w:jc w:val="both"/>
        <w:textAlignment w:val="auto"/>
        <w:rPr>
          <w:rFonts w:hint="eastAsia" w:ascii="宋体" w:hAnsi="宋体" w:eastAsia="宋体" w:cs="宋体"/>
          <w:b/>
          <w:color w:val="auto"/>
          <w:sz w:val="21"/>
          <w:szCs w:val="21"/>
          <w:highlight w:val="none"/>
        </w:rPr>
      </w:pPr>
    </w:p>
    <w:p>
      <w:pPr>
        <w:pStyle w:val="128"/>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outlineLvl w:val="1"/>
        <w:rPr>
          <w:rFonts w:hint="eastAsia" w:ascii="宋体" w:hAnsi="宋体" w:eastAsia="宋体" w:cs="宋体"/>
          <w:b/>
          <w:color w:val="auto"/>
          <w:sz w:val="21"/>
          <w:szCs w:val="21"/>
          <w:highlight w:val="none"/>
        </w:rPr>
      </w:pPr>
      <w:bookmarkStart w:id="466" w:name="_Toc26813"/>
      <w:r>
        <w:rPr>
          <w:rFonts w:hint="eastAsia" w:ascii="宋体" w:hAnsi="宋体" w:eastAsia="宋体" w:cs="宋体"/>
          <w:b/>
          <w:color w:val="auto"/>
          <w:sz w:val="21"/>
          <w:szCs w:val="21"/>
          <w:highlight w:val="none"/>
        </w:rPr>
        <w:t>一、项目概况</w:t>
      </w:r>
      <w:bookmarkEnd w:id="466"/>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供水设施更新改造项目一松山湖新城路给水管网改造工程（以下简称“本项目”），主要建设内容为沿新城路、兴园路、科苑路、沁园路、科苑横路废除现状管线后，新建给水管总长约49.92km,其中新建DN25~DN300接驳管约3.64km,新建DN200支管约4.3km,新建DN300支管约17.77km,新建DN400配水管约10.24km,新建DN500配水管约0.02km,新建DN600配水管约2.61km,新建DN700配水管约0.002km,新建DN800配水管约1.47km,新建DN1000配水管约0.53km(含0.19km外套管),新建DN1200配水管约0.12km,新建DN1400供水主管约9.22km。</w:t>
      </w:r>
    </w:p>
    <w:p>
      <w:pPr>
        <w:rPr>
          <w:rFonts w:hint="default"/>
          <w:color w:val="auto"/>
          <w:highlight w:val="none"/>
          <w:lang w:val="en-US" w:eastAsia="zh-CN"/>
        </w:rPr>
      </w:pPr>
    </w:p>
    <w:p>
      <w:pPr>
        <w:pStyle w:val="128"/>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outlineLvl w:val="1"/>
        <w:rPr>
          <w:rFonts w:hint="eastAsia" w:ascii="宋体" w:hAnsi="宋体" w:eastAsia="宋体" w:cs="宋体"/>
          <w:b/>
          <w:color w:val="auto"/>
          <w:sz w:val="21"/>
          <w:szCs w:val="21"/>
          <w:highlight w:val="none"/>
          <w:lang w:val="en-US" w:eastAsia="zh-CN"/>
        </w:rPr>
      </w:pPr>
      <w:bookmarkStart w:id="467" w:name="_Toc17583"/>
      <w:r>
        <w:rPr>
          <w:rFonts w:hint="eastAsia" w:ascii="宋体" w:hAnsi="宋体" w:eastAsia="宋体" w:cs="宋体"/>
          <w:b/>
          <w:color w:val="auto"/>
          <w:sz w:val="21"/>
          <w:szCs w:val="21"/>
          <w:highlight w:val="none"/>
          <w:lang w:val="en-US" w:eastAsia="zh-CN"/>
        </w:rPr>
        <w:t>二、总体服务要求</w:t>
      </w:r>
      <w:bookmarkEnd w:id="467"/>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监测</w:t>
      </w:r>
      <w:r>
        <w:rPr>
          <w:rFonts w:hint="eastAsia" w:ascii="宋体" w:hAnsi="宋体" w:eastAsia="宋体" w:cs="宋体"/>
          <w:color w:val="auto"/>
          <w:sz w:val="21"/>
          <w:szCs w:val="21"/>
          <w:highlight w:val="none"/>
          <w:lang w:eastAsia="zh-CN"/>
        </w:rPr>
        <w:t>周期</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自</w:t>
      </w:r>
      <w:r>
        <w:rPr>
          <w:rFonts w:hint="eastAsia" w:ascii="宋体" w:hAnsi="宋体" w:eastAsia="宋体" w:cs="宋体"/>
          <w:color w:val="auto"/>
          <w:sz w:val="21"/>
          <w:szCs w:val="21"/>
          <w:highlight w:val="none"/>
          <w:lang w:val="en-US" w:eastAsia="zh-CN"/>
        </w:rPr>
        <w:t>本项目</w:t>
      </w:r>
      <w:r>
        <w:rPr>
          <w:rFonts w:hint="default" w:ascii="宋体" w:hAnsi="宋体" w:eastAsia="宋体" w:cs="宋体"/>
          <w:color w:val="auto"/>
          <w:sz w:val="21"/>
          <w:szCs w:val="21"/>
          <w:highlight w:val="none"/>
          <w:lang w:val="en-US" w:eastAsia="zh-CN"/>
        </w:rPr>
        <w:t>开工</w:t>
      </w:r>
      <w:r>
        <w:rPr>
          <w:rFonts w:hint="default" w:ascii="宋体" w:hAnsi="宋体" w:eastAsia="宋体" w:cs="宋体"/>
          <w:color w:val="auto"/>
          <w:sz w:val="21"/>
          <w:szCs w:val="21"/>
          <w:highlight w:val="none"/>
        </w:rPr>
        <w:t>至</w:t>
      </w:r>
      <w:r>
        <w:rPr>
          <w:rFonts w:hint="eastAsia" w:ascii="宋体" w:hAnsi="宋体" w:eastAsia="宋体" w:cs="宋体"/>
          <w:color w:val="auto"/>
          <w:sz w:val="21"/>
          <w:szCs w:val="21"/>
          <w:highlight w:val="none"/>
        </w:rPr>
        <w:t>完成约定的各项</w:t>
      </w:r>
      <w:r>
        <w:rPr>
          <w:rFonts w:hint="eastAsia" w:ascii="宋体" w:hAnsi="宋体" w:eastAsia="宋体" w:cs="宋体"/>
          <w:color w:val="auto"/>
          <w:sz w:val="21"/>
          <w:szCs w:val="21"/>
          <w:highlight w:val="none"/>
          <w:lang w:val="en-US" w:eastAsia="zh-CN"/>
        </w:rPr>
        <w:t>监</w:t>
      </w:r>
      <w:r>
        <w:rPr>
          <w:rFonts w:hint="eastAsia" w:ascii="宋体" w:hAnsi="宋体" w:eastAsia="宋体" w:cs="宋体"/>
          <w:color w:val="auto"/>
          <w:sz w:val="21"/>
          <w:szCs w:val="21"/>
          <w:highlight w:val="none"/>
        </w:rPr>
        <w:t>测及相关技术工作为止。</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（二）监测</w:t>
      </w:r>
      <w:r>
        <w:rPr>
          <w:rFonts w:hint="eastAsia" w:ascii="宋体" w:hAnsi="宋体" w:eastAsia="宋体" w:cs="宋体"/>
          <w:color w:val="auto"/>
          <w:sz w:val="21"/>
          <w:szCs w:val="21"/>
          <w:highlight w:val="none"/>
          <w:lang w:eastAsia="zh-CN"/>
        </w:rPr>
        <w:t>依据</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1、《工程结构通用规范》（GB 55001-2021）</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2、《建筑与市政地基基础通用规范》（GB 55003-2021）</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3、《建筑基坑支护技术规程》JGJ 120-2012</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4、《建筑基坑工程监测技术标准》GB 50497-2019</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5、《工程测量标准》GB50026—2020</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6、《建筑变形测量规范》JGJ 8-2016</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7、《建筑基坑工程技术规程》（广东省标准）DBJ/T 15-20-2016</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8、《建筑基坑施工监测技术标准》（广东省标准）DBJ/T 15-162-2019</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9、设计资料/其他相关技术管理文件。</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以上规范若有更新版本，应按最新的版本执行。在合同执行期内，各专项施工的执行标准、规范，如未列举，则按国家、行业、地方颁布的相应的政策、法规、规范、标准等执行。</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（三）监测内容</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按设计图纸、相关规范标准以及设计方要求，结合施工现场实际，在基坑开挖和地下建筑施工期间对基坑的安全稳定性进行监测，需监测的主要项目（具体数量以《监测工程量清单计价表》为准）如下：</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支护桩</w:t>
      </w:r>
      <w:r>
        <w:rPr>
          <w:rFonts w:hint="eastAsia" w:ascii="宋体" w:hAnsi="宋体" w:eastAsia="宋体" w:cs="宋体"/>
          <w:color w:val="auto"/>
          <w:sz w:val="21"/>
          <w:szCs w:val="21"/>
          <w:highlight w:val="none"/>
        </w:rPr>
        <w:t>顶部水平及竖向位移；</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支护桩深层</w:t>
      </w:r>
      <w:r>
        <w:rPr>
          <w:rFonts w:hint="eastAsia" w:ascii="宋体" w:hAnsi="宋体" w:eastAsia="宋体" w:cs="宋体"/>
          <w:color w:val="auto"/>
          <w:sz w:val="21"/>
          <w:szCs w:val="21"/>
          <w:highlight w:val="none"/>
        </w:rPr>
        <w:t>水平位移；</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3、周边道路及地表竖向位移；</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4、地下水位；</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5、周边建构筑物竖向位移及倾斜；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6、周边建筑裂缝；</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7、支护结构裂缝；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8、周边管线位移（水平及竖向）；</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9、支撑轴力。</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具体布置以实际为准，基坑监测点布置方案应由专业单位编制实施。施工过程中须保护好测点，如遭破坏，应及时补设。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（四）质量要求</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hr-HR"/>
        </w:rPr>
        <w:t>工程</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质量要求</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（1）中标人</w:t>
      </w:r>
      <w:r>
        <w:rPr>
          <w:rFonts w:hint="eastAsia" w:ascii="宋体" w:hAnsi="宋体" w:eastAsia="宋体" w:cs="宋体"/>
          <w:color w:val="auto"/>
          <w:sz w:val="21"/>
          <w:szCs w:val="21"/>
          <w:highlight w:val="none"/>
          <w:lang w:val="hr-HR"/>
        </w:rPr>
        <w:t>提供检定合格、手续完备的</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仪器，及时出具具有法律</w:t>
      </w:r>
      <w:r>
        <w:rPr>
          <w:rFonts w:hint="eastAsia" w:ascii="宋体" w:hAnsi="宋体" w:eastAsia="宋体" w:cs="宋体"/>
          <w:color w:val="auto"/>
          <w:sz w:val="21"/>
          <w:szCs w:val="21"/>
          <w:highlight w:val="none"/>
        </w:rPr>
        <w:t>效力</w:t>
      </w:r>
      <w:r>
        <w:rPr>
          <w:rFonts w:hint="eastAsia" w:ascii="宋体" w:hAnsi="宋体" w:eastAsia="宋体" w:cs="宋体"/>
          <w:color w:val="auto"/>
          <w:sz w:val="21"/>
          <w:szCs w:val="21"/>
          <w:highlight w:val="none"/>
          <w:lang w:val="hr-HR"/>
        </w:rPr>
        <w:t>的</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报告。</w:t>
      </w:r>
      <w:r>
        <w:rPr>
          <w:rFonts w:hint="eastAsia" w:ascii="宋体" w:hAnsi="宋体" w:eastAsia="宋体" w:cs="宋体"/>
          <w:color w:val="auto"/>
          <w:sz w:val="21"/>
          <w:szCs w:val="21"/>
          <w:highlight w:val="none"/>
        </w:rPr>
        <w:t>中标人</w:t>
      </w:r>
      <w:r>
        <w:rPr>
          <w:rFonts w:hint="eastAsia" w:ascii="宋体" w:hAnsi="宋体" w:eastAsia="宋体" w:cs="宋体"/>
          <w:color w:val="auto"/>
          <w:sz w:val="21"/>
          <w:szCs w:val="21"/>
          <w:highlight w:val="none"/>
          <w:lang w:val="hr-HR"/>
        </w:rPr>
        <w:t>须保证</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成果质量，对技术成果负完全责任，如因</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不实，造成招标人经济损失费用全部由</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单位承担，并应负责重检。</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hr-HR"/>
        </w:rPr>
        <w:t>执行国家、广东省以及东莞市有关工程</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的标准规范的规定。</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（3）监测数据、设备的管理</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①对测点进行标识，加强检查，必要时设护栏，保证监测工作正常进行。</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②监测人员、监测线路、监测方法要相对固定，以保证观测资料、成果数据的准确与连续性。</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③对监测设备、仪器由专人负责保管、使用。在使用前必须经过检验，认为合格后方可使用。保证量测数据准确。</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④对量测的数据必须换手复核，认为准确无误后方可上报，并采用计算机系统进行管理。</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（4）当出现下列情况之一时，应提高监测频率</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①监测数据达到报警值。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②监测数据变化较大或者速率加快。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③存在勘察未发现的不良地质。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④超深、超长开挖或未及时加撑等违反设计工况施工。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⑤基坑及周边大量积水、长时间连续降雨、市政管道出现泄漏。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⑥基坑附近地面荷载突然增大或超过设计限值。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⑦支护结构出现开裂。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⑧周边地面突发较大沉降或出现严重开裂。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⑨邻近建筑突发较大沉降、不均匀沉降或出现严重开裂。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⑩基坑底部、侧壁出现管涌、潘漏或流沙等现象。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⑪基坑工程发生事故后重新组织施工。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⑫出现其他影响基坑及周边环境安全的异常情况。</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（5）监测数据发生突变的处理对策</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①立即停止开挖、调整各种设备参数。</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②上报项目部，由项目总工组织技术人员进行分析，制定相关措施，并将情况及时上报建设单位和监理单位、设计单位。</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③对突变发生地表和建筑物等实施实时监控。</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④如涉及地表安全，立即请相关部门协助，采用疏解交通等有效措施。</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⑤请建设单位组织设计单位、施工单位、监理单位等部门共同制定应对措施。</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hr-HR"/>
        </w:rPr>
        <w:t>其他质量要求</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hr-HR"/>
        </w:rPr>
        <w:t>中标人须根据国家标准及其它相关行业规程的要求，结合本工程施工图、预算文件及东莞市建筑工程质量安全监督站相关规定，制定</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方案。</w:t>
      </w:r>
      <w:r>
        <w:rPr>
          <w:rFonts w:hint="eastAsia" w:ascii="宋体" w:hAnsi="宋体" w:eastAsia="宋体" w:cs="宋体"/>
          <w:color w:val="auto"/>
          <w:sz w:val="21"/>
          <w:szCs w:val="21"/>
          <w:highlight w:val="none"/>
        </w:rPr>
        <w:t>本工程所有监测点位均根据设计单位提供的相关图纸进行布设，其位置及数量均可按照设计、监理、招标人单位的合理化建议适当调整。方案经监理、招标人、及施工单位审查确认合格后方可实施。</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（2）中标人须</w:t>
      </w:r>
      <w:r>
        <w:rPr>
          <w:rFonts w:hint="eastAsia" w:ascii="宋体" w:hAnsi="宋体" w:eastAsia="宋体" w:cs="宋体"/>
          <w:color w:val="auto"/>
          <w:sz w:val="21"/>
          <w:szCs w:val="21"/>
          <w:highlight w:val="none"/>
          <w:lang w:val="hr-HR"/>
        </w:rPr>
        <w:t>完成本工程</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方案内项目及数量，出具合法有效且符合</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规范要求的</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报告，为工程进度控制提供依据；提供</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咨询服务，为保证工程质量提供保障。</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（3）中标人应当建立健全并落实各项管理制度，保证监测项目工作正常进行，并接受招标人及有关主管部门对项目服务质量的监督检查。</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（4）中标人应建立并实施符合本项目各项要求的质量管理体系。</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（5）招标人代表有权在工作时间内进入中标人的工作地点检查其质量手册、质量计划及其它与质量相关的文件的实施情况。</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（五）成果要求</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1、技术资料包括但不限于以下内容：监测方案；测点布设记录；监测报告；监测总结报告等。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2、合同签订后15天内，中标人应根据批准的工程施工组织设计、工程设计文件、市政工程建设标准、国家及行业规范等制定并向招标人提交详细的可实施的监测方案1份。中标人</w:t>
      </w:r>
      <w:r>
        <w:rPr>
          <w:rFonts w:hint="eastAsia" w:ascii="宋体" w:hAnsi="宋体" w:eastAsia="宋体" w:cs="宋体"/>
          <w:color w:val="auto"/>
          <w:sz w:val="21"/>
          <w:szCs w:val="21"/>
          <w:highlight w:val="none"/>
          <w:lang w:val="hr-HR"/>
        </w:rPr>
        <w:t>应积极配合招标人调整优化</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方案，并提交招标人确认。</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3、测点布设需经招标人委托的工程监理单位签字确认，并最终提交招标人及工程监理单位。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4、每次监测在完成现场监测后24小时内，</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标人需向招标人提供相应的电子版监测报告（盖章的PDF格式），并在三个工作日内提交纸质版监测报告。对异常的监测数据（如监测值超报警值等），</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标人应在2小时内通知招标人。</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5、监测报告、监测总结报告纸质报告以一式三份提交。</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6、中标人所提供给招标人的成果资料所有权由招标人享有，未经招标人许可，中标人不得将成果泄露给第三方。</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7、中标人须保证监测成果质量，对技术成果负完全责任，如因监测不实，造成招标人经济损失费用全部由中标人承担。</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（六）安全要求</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1、安全文明监测要求</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①中标人应强化安全文明生产管理，通过组织落实，责任到人</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②中标人需全面了解施工现场安全管理的有关要求，并对需要进入施工现场观测的人员进行安全教育或安全交底</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③进入施工现场的观测人员必须佩戴安全帽和相关的安全防护用品，接受安全工程师的督导</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④埋设观测标志需临时用电，接电时，必须经同意在电气专业人员帮助下才可接用</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⑤进出施工现场应遵守各种安全文明施工和环境保护的规章制度，文明礼貌</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⑥在施工现场应听从施工现场管理人员的指挥</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⑦中标人应做好服务的安全防护措施，服务过程中出现的安全事故由中标人自行承担</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⑧中标人必须做好安全防护工作，由于中标人自身的原因发生的任何伤害（包括人身伤害），均由中标人自行承担。</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2、安全巡视要求</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①安全巡视检查包括以下内容：</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1）当日的天气情况和施工现场的工况；</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2）仪器监测项目各监测点的本次测试值、单次变化值、变化速率以及累计值等，必要时绘制有关曲线图；</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3）巡视检查的记录；</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4）对监测项目应有正常或异常、危险的判断性结论；</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5）对达到或超过监测报警值的监测点应有报警标识，并有分析和建议；</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6）对巡视检查发现的异常情况应有详细描述，危险情况应有报警标示标识，并有分析和建议；</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7）其他相关说明。</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②巡视检查宜以目测为主，可辅以锤、钎、量尺、放大镜等工器具以及摄像、摄影灯设备进行。对自然条件、支护结构、施工工况、周边环境、监测设施等的巡视检查情况应做好记录。检查记录应及时整理，并与仪器监测数据进行综合分析。巡视检查如发现异常和危险情况，应及时通知各参建</w:t>
      </w:r>
      <w:r>
        <w:rPr>
          <w:rFonts w:hint="eastAsia" w:ascii="宋体" w:hAnsi="宋体" w:eastAsia="宋体" w:cs="宋体"/>
          <w:color w:val="auto"/>
          <w:sz w:val="21"/>
          <w:szCs w:val="21"/>
          <w:highlight w:val="none"/>
          <w:lang w:eastAsia="zh-CN"/>
        </w:rPr>
        <w:t>方；</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每次现场监测工作实施时同时进行现场安全巡视，在施工影响期内确保每次监测必巡视，遇特殊情况时应加密巡视频率。在项目安全监测周期内的项目，依照安全监测周期频率实施监测，遇特殊情况时应加密巡视频率。</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（七）其他要求</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1、中标人派出的监测人员应具备相应的专业知识及技术水平，有足够能力完成本项目监测服务工作。</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2、中标人需配备1名项目负责人、1名技术负责人及数量充足的监测工作人员，保证监测工作有序、顺利完成。</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3、中标人应配备完成本项目所必须的监测设备，其性能良好并符合国家规定。同时配备数量充足的交通警示标志和施工围</w:t>
      </w:r>
      <w:r>
        <w:rPr>
          <w:rFonts w:hint="eastAsia" w:ascii="宋体" w:hAnsi="宋体" w:eastAsia="宋体" w:cs="宋体"/>
          <w:color w:val="auto"/>
          <w:sz w:val="21"/>
          <w:szCs w:val="21"/>
          <w:highlight w:val="none"/>
          <w:lang w:val="en-US" w:eastAsia="zh-CN"/>
        </w:rPr>
        <w:t>挡</w:t>
      </w:r>
      <w:r>
        <w:rPr>
          <w:rFonts w:hint="eastAsia" w:ascii="宋体" w:hAnsi="宋体" w:eastAsia="宋体" w:cs="宋体"/>
          <w:color w:val="auto"/>
          <w:sz w:val="21"/>
          <w:szCs w:val="21"/>
          <w:highlight w:val="none"/>
        </w:rPr>
        <w:t>，以及监测仪器、无线通讯设备、劳动防护用品等其它必须使用的工具。</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hr-HR"/>
        </w:rPr>
        <w:t>若</w:t>
      </w:r>
      <w:r>
        <w:rPr>
          <w:rFonts w:hint="eastAsia" w:ascii="宋体" w:hAnsi="宋体" w:eastAsia="宋体" w:cs="宋体"/>
          <w:color w:val="auto"/>
          <w:sz w:val="21"/>
          <w:szCs w:val="21"/>
          <w:highlight w:val="none"/>
        </w:rPr>
        <w:t>招标人、建设单位、上级行政主管部门</w:t>
      </w:r>
      <w:r>
        <w:rPr>
          <w:rFonts w:hint="eastAsia" w:ascii="宋体" w:hAnsi="宋体" w:eastAsia="宋体" w:cs="宋体"/>
          <w:color w:val="auto"/>
          <w:sz w:val="21"/>
          <w:szCs w:val="21"/>
          <w:highlight w:val="none"/>
          <w:lang w:val="hr-HR"/>
        </w:rPr>
        <w:t>要求（</w:t>
      </w:r>
      <w:r>
        <w:rPr>
          <w:rFonts w:hint="eastAsia" w:ascii="宋体" w:hAnsi="宋体" w:eastAsia="宋体" w:cs="宋体"/>
          <w:color w:val="auto"/>
          <w:sz w:val="21"/>
          <w:szCs w:val="21"/>
          <w:highlight w:val="none"/>
        </w:rPr>
        <w:t>含政策变动</w:t>
      </w:r>
      <w:r>
        <w:rPr>
          <w:rFonts w:hint="eastAsia" w:ascii="宋体" w:hAnsi="宋体" w:eastAsia="宋体" w:cs="宋体"/>
          <w:color w:val="auto"/>
          <w:sz w:val="21"/>
          <w:szCs w:val="21"/>
          <w:highlight w:val="none"/>
          <w:lang w:val="hr-HR"/>
        </w:rPr>
        <w:t>）</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内容和频次增加或减少，</w:t>
      </w:r>
      <w:r>
        <w:rPr>
          <w:rFonts w:hint="eastAsia" w:ascii="宋体" w:hAnsi="宋体" w:eastAsia="宋体" w:cs="宋体"/>
          <w:color w:val="auto"/>
          <w:sz w:val="21"/>
          <w:szCs w:val="21"/>
          <w:highlight w:val="none"/>
        </w:rPr>
        <w:t>中标人必须无条件</w:t>
      </w:r>
      <w:r>
        <w:rPr>
          <w:rFonts w:hint="eastAsia" w:ascii="宋体" w:hAnsi="宋体" w:eastAsia="宋体" w:cs="宋体"/>
          <w:color w:val="auto"/>
          <w:sz w:val="21"/>
          <w:szCs w:val="21"/>
          <w:highlight w:val="none"/>
          <w:lang w:val="hr-HR"/>
        </w:rPr>
        <w:t>遵守执行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hr-HR"/>
        </w:rPr>
        <w:t>实际</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量以招标人审核为准。</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hr-HR"/>
        </w:rPr>
        <w:t>在合同服务期内中标人不得因实际</w:t>
      </w:r>
      <w:r>
        <w:rPr>
          <w:rFonts w:hint="eastAsia" w:ascii="宋体" w:hAnsi="宋体" w:eastAsia="宋体" w:cs="宋体"/>
          <w:color w:val="auto"/>
          <w:sz w:val="21"/>
          <w:szCs w:val="21"/>
          <w:highlight w:val="none"/>
        </w:rPr>
        <w:t>监测数量</w:t>
      </w:r>
      <w:r>
        <w:rPr>
          <w:rFonts w:hint="eastAsia" w:ascii="宋体" w:hAnsi="宋体" w:eastAsia="宋体" w:cs="宋体"/>
          <w:color w:val="auto"/>
          <w:sz w:val="21"/>
          <w:szCs w:val="21"/>
          <w:highlight w:val="none"/>
          <w:lang w:val="hr-HR"/>
        </w:rPr>
        <w:t>过少或其他理由，而要求招标人提供任何形式的补偿或赔偿，或要求招标人所有的项目必须开展监测服务。</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6、中标人</w:t>
      </w:r>
      <w:r>
        <w:rPr>
          <w:rFonts w:hint="eastAsia" w:ascii="宋体" w:hAnsi="宋体" w:eastAsia="宋体" w:cs="宋体"/>
          <w:color w:val="auto"/>
          <w:sz w:val="21"/>
          <w:szCs w:val="21"/>
          <w:highlight w:val="none"/>
          <w:lang w:val="hr-HR"/>
        </w:rPr>
        <w:t>自行解决现场</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所需辅助劳务及相关费用。</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7、服务过程中涉及的设备、工具，由中标人自行解决。</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8、服务过程中涉及的用水、用电由中标人自行接入，中标人需做好用水、用电安全防护措施并无条件接受招标人监督。设备、设施的水、电费用由中标人承担。</w:t>
      </w:r>
    </w:p>
    <w:p>
      <w:pPr>
        <w:pStyle w:val="13"/>
        <w:rPr>
          <w:rFonts w:hint="eastAsia"/>
          <w:color w:val="auto"/>
          <w:highlight w:val="none"/>
        </w:rPr>
      </w:pPr>
    </w:p>
    <w:p>
      <w:pPr>
        <w:pStyle w:val="128"/>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outlineLvl w:val="1"/>
        <w:rPr>
          <w:rFonts w:hint="eastAsia" w:ascii="宋体" w:hAnsi="宋体" w:eastAsia="宋体" w:cs="宋体"/>
          <w:b/>
          <w:color w:val="auto"/>
          <w:sz w:val="21"/>
          <w:szCs w:val="21"/>
          <w:highlight w:val="none"/>
        </w:rPr>
      </w:pPr>
      <w:bookmarkStart w:id="468" w:name="_Toc18935"/>
      <w:r>
        <w:rPr>
          <w:rFonts w:hint="eastAsia" w:ascii="宋体" w:hAnsi="宋体" w:eastAsia="宋体" w:cs="宋体"/>
          <w:b/>
          <w:color w:val="auto"/>
          <w:sz w:val="21"/>
          <w:szCs w:val="21"/>
          <w:highlight w:val="none"/>
        </w:rPr>
        <w:t>三、合同价款</w:t>
      </w:r>
      <w:bookmarkEnd w:id="468"/>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本项目的《监测工程量清单计价表》（详见附件）的计费标准参照《广东省房屋建筑和市政工程质量安全检测收费指导价》（粤建检协[2015]8号）的对应项单价，暂定总合同价款按照招标文件所附《监测工程量清单计价表》（详见附件）的不含税综合单价（不含税综合单价=对应项单价÷1.06）×监测服务系数×实际监测工作量计算所得</w:t>
      </w:r>
      <w:r>
        <w:rPr>
          <w:rFonts w:hint="eastAsia" w:ascii="宋体" w:hAnsi="宋体" w:eastAsia="宋体" w:cs="宋体"/>
          <w:color w:val="auto"/>
          <w:sz w:val="21"/>
          <w:szCs w:val="21"/>
          <w:highlight w:val="none"/>
          <w:lang w:val="en-US" w:eastAsia="zh-CN"/>
        </w:rPr>
        <w:t>，最终结算价不得超出暂定总合同价款（含税）</w:t>
      </w:r>
      <w:r>
        <w:rPr>
          <w:rFonts w:hint="eastAsia" w:ascii="宋体" w:hAnsi="宋体" w:eastAsia="宋体" w:cs="宋体"/>
          <w:color w:val="auto"/>
          <w:sz w:val="21"/>
          <w:szCs w:val="21"/>
          <w:highlight w:val="none"/>
          <w:lang w:val="en-US"/>
        </w:rPr>
        <w:t>。</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不含税综合单价包含为实施和完成监测工程所需的人工费、机械费、材料设备费、水电费以及进出场费、试坑开挖、桩头处理、加荷体吊装运输、应力应变测试的传感费用、埋设安装费用、道路修填、重锤吊装及运输费、钻孔费、引孔费、临时设施费、检验试验、安全生产、管理、利润、规费、专家论证费、</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lang w:val="en-US"/>
        </w:rPr>
        <w:t>人销项税额以外的税金等一切费用，以及合同规定的所有责任、义务和一切风险。监测时，如需土建总包单位配合或向其租借设备时，自行与总包单位协调，配合及租借费用应包括在投标报价内。</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3、《监测工程量清单计价表》不作为中标人最终服务范围及业务承接数量的保证，招标人有权根据实际需求对监测工程量进行优化调整，最终服务费用按实际发生工程量结算</w:t>
      </w:r>
      <w:r>
        <w:rPr>
          <w:rFonts w:hint="eastAsia" w:ascii="宋体" w:hAnsi="宋体" w:eastAsia="宋体" w:cs="宋体"/>
          <w:color w:val="auto"/>
          <w:sz w:val="21"/>
          <w:szCs w:val="21"/>
          <w:highlight w:val="none"/>
          <w:lang w:val="en-US" w:eastAsia="zh-CN"/>
        </w:rPr>
        <w:t>，</w:t>
      </w:r>
      <w:r>
        <w:rPr>
          <w:rFonts w:hint="eastAsia" w:ascii="宋体" w:hAnsi="宋体" w:eastAsia="宋体" w:cs="Times New Roman"/>
          <w:color w:val="auto"/>
          <w:szCs w:val="21"/>
          <w:highlight w:val="none"/>
          <w:lang w:val="zh-CN"/>
        </w:rPr>
        <w:t>但最终结算价不得超出暂定总合同价款（含税）。</w:t>
      </w:r>
      <w:r>
        <w:rPr>
          <w:rFonts w:hint="eastAsia" w:ascii="宋体" w:hAnsi="宋体" w:eastAsia="宋体" w:cs="宋体"/>
          <w:color w:val="auto"/>
          <w:sz w:val="21"/>
          <w:szCs w:val="21"/>
          <w:highlight w:val="none"/>
          <w:lang w:val="en-US"/>
        </w:rPr>
        <w:t>在合同服务期内，中标人不得因实际监测项目数量及服务费用的增减而要求招标人提供任何形式的补偿或赔偿，或只按招标人暂定的《监测工程量清单计价表》提供相应的对应服务。否则，视为中标人违约，招标人有权依据合同约定追究中标人的违约责任。</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4、对于《监测工程量清单计价表》外新增的监测项目，不含税综合单价按以下方法计算：</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（1）按《广东省房屋建筑和市政工程工程质量安全检测收费指导价》（粤建检协〔2015〕8号）对应项单价÷1.06×监测服务系数；</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（2）《广东省房屋建筑和市政工程工程质量安全检测收费指导价》（粤建检协〔2015〕8号）无对应项的，由招标人结合本地及周边同类城市市场询价的不含税综合单价×监测服务系数。</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以上不含税综合单价均保留两位小数。</w:t>
      </w:r>
    </w:p>
    <w:p>
      <w:pPr>
        <w:pStyle w:val="13"/>
        <w:rPr>
          <w:rFonts w:hint="eastAsia"/>
          <w:color w:val="auto"/>
          <w:highlight w:val="none"/>
          <w:lang w:val="en-US"/>
        </w:rPr>
      </w:pPr>
    </w:p>
    <w:p>
      <w:pPr>
        <w:pStyle w:val="128"/>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outlineLvl w:val="1"/>
        <w:rPr>
          <w:rFonts w:hint="eastAsia" w:ascii="宋体" w:hAnsi="宋体" w:eastAsia="宋体" w:cs="宋体"/>
          <w:b/>
          <w:color w:val="auto"/>
          <w:sz w:val="21"/>
          <w:szCs w:val="21"/>
          <w:highlight w:val="none"/>
        </w:rPr>
      </w:pPr>
      <w:bookmarkStart w:id="469" w:name="_Toc16949"/>
      <w:r>
        <w:rPr>
          <w:rFonts w:hint="eastAsia" w:ascii="宋体" w:hAnsi="宋体" w:eastAsia="宋体" w:cs="宋体"/>
          <w:b/>
          <w:color w:val="auto"/>
          <w:sz w:val="21"/>
          <w:szCs w:val="21"/>
          <w:highlight w:val="none"/>
        </w:rPr>
        <w:t>四、费用支付</w:t>
      </w:r>
      <w:bookmarkEnd w:id="469"/>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lang w:val="en-US" w:eastAsia="zh-CN"/>
        </w:rPr>
        <w:t>中标人向招标人、项目业主承诺，项目业主有权直接向中标人支付合同价款，也有权委托招标人向中标人代付价款，具体支付方式以招标人通知为准，中标人对此不持异议。如项目业主委托招标人向中标人代付工程价款的，因招标人系受项目业主委托代付，中标人承诺不得就合同款项问题向招标人主张任何权利，中标人同意招标人亦无需承担任何责任；如因款项支付产生纠纷的(包括但不限于诉讼等)，由中标人与项目业主协调处理，与招标人无关。</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以季度为单位，即按季度计量支付进度款，中标人须向招标人提供相应的正式监测报告，经监理人及招标人审核通过后，项目业主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lang w:val="en-US"/>
        </w:rPr>
        <w:t>应在中标人提交对应的请款报告30天内向中标人支付进度款。</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rPr>
        <w:t>、项目业主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lang w:val="en-US"/>
        </w:rPr>
        <w:t>以季度为单位按经监理人及招标人审核通过的监测报告所涉款项的80%支付本合同进度款，但项目业主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lang w:val="en-US"/>
        </w:rPr>
        <w:t>累计支付的进度款不超过暂定总合同价款价税合计的80%，待工程竣工验收合格，项目结算完毕，并提交请款报告后30天内，项目业主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lang w:val="en-US"/>
        </w:rPr>
        <w:t>按结算价一次性支付余款。</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rPr>
        <w:t>、中标人收取每笔款项前，在提交请款报告的同时一并提供等额有效的</w:t>
      </w:r>
      <w:r>
        <w:rPr>
          <w:rFonts w:hint="eastAsia" w:ascii="宋体" w:hAnsi="宋体" w:eastAsia="宋体" w:cs="Times New Roman"/>
          <w:color w:val="auto"/>
          <w:szCs w:val="21"/>
          <w:highlight w:val="none"/>
          <w:lang w:val="zh-CN"/>
        </w:rPr>
        <w:t>增值税普通发票</w:t>
      </w:r>
      <w:r>
        <w:rPr>
          <w:rFonts w:hint="eastAsia" w:ascii="宋体" w:hAnsi="宋体" w:eastAsia="宋体" w:cs="宋体"/>
          <w:color w:val="auto"/>
          <w:sz w:val="21"/>
          <w:szCs w:val="21"/>
          <w:highlight w:val="none"/>
          <w:lang w:val="en-US"/>
        </w:rPr>
        <w:t>，项目业主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lang w:val="en-US"/>
        </w:rPr>
        <w:t>在收到相关请款材料审核后支付；中标人逾期提交请款材料或提供的发票不合格的，项目业主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lang w:val="en-US"/>
        </w:rPr>
        <w:t>的付款时间可相应顺延，且不视为违约。因支付产生的相关银行手续费用，根据有关银行规定执行，如不能明确费用承担主体的，相关手续费用由双方各承担50%。由于中标人提供的发票不符合税法规定，给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lang w:val="en-US"/>
        </w:rPr>
        <w:t>造成的损失由中标人承担赔偿责任。</w:t>
      </w:r>
    </w:p>
    <w:p>
      <w:pPr>
        <w:pStyle w:val="13"/>
        <w:rPr>
          <w:rFonts w:hint="eastAsia"/>
          <w:color w:val="auto"/>
          <w:highlight w:val="none"/>
          <w:lang w:val="en-US"/>
        </w:rPr>
      </w:pPr>
    </w:p>
    <w:p>
      <w:pPr>
        <w:pStyle w:val="128"/>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outlineLvl w:val="1"/>
        <w:rPr>
          <w:rFonts w:hint="eastAsia" w:ascii="宋体" w:hAnsi="宋体" w:eastAsia="宋体" w:cs="宋体"/>
          <w:b/>
          <w:color w:val="auto"/>
          <w:sz w:val="21"/>
          <w:szCs w:val="21"/>
          <w:highlight w:val="none"/>
        </w:rPr>
      </w:pPr>
      <w:bookmarkStart w:id="470" w:name="_Toc1770"/>
      <w:r>
        <w:rPr>
          <w:rFonts w:hint="eastAsia" w:ascii="宋体" w:hAnsi="宋体" w:eastAsia="宋体" w:cs="宋体"/>
          <w:b/>
          <w:color w:val="auto"/>
          <w:sz w:val="21"/>
          <w:szCs w:val="21"/>
          <w:highlight w:val="none"/>
        </w:rPr>
        <w:t>五、考核制度</w:t>
      </w:r>
      <w:bookmarkEnd w:id="470"/>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招标人每季度对中标人评价一次，出具考核评价结果。招标人将严格按照考核评分标准对中标人进行季度检查和考核。考评[70,80)分的，处相应付款周期内经招标人确认的监测费的10%作为违约金，考评[60,70)分的，处相应付款周期经招标人确认的监测费的20%作为违约金，考评60分以下的，处相应付款周期经招标人确认的监测的30%作为违约金。上述“[”代表闭区间，“)”代表开区间，如[70,80)代表该分数段范围为大于等于70且小于80。达到相应付款周期时,如中标人未申请支付本期费用, 招标人根据支付条件暂定本周期监测费并计算本周期内应缴纳的暂定违约金，中标人应予以缴纳。下一周期仍未申请时按上述做法执行，待到中标人申请支付费用时，根据合同付款流程确认监测费，同步对以往暂定违约金在本次一并确认并予以结算。</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spacing w:line="360" w:lineRule="auto"/>
        <w:contextualSpacing/>
        <w:rPr>
          <w:rFonts w:hint="eastAsia" w:ascii="宋体" w:hAnsi="宋体" w:eastAsia="宋体" w:cs="宋体"/>
          <w:color w:val="auto"/>
          <w:sz w:val="28"/>
          <w:szCs w:val="28"/>
          <w:highlight w:val="none"/>
        </w:rPr>
      </w:pPr>
      <w:r>
        <w:rPr>
          <w:rFonts w:hint="eastAsia" w:ascii="宋体" w:hAnsi="宋体" w:eastAsia="宋体" w:cs="宋体"/>
          <w:b/>
          <w:color w:val="auto"/>
          <w:highlight w:val="none"/>
        </w:rPr>
        <w:t>附件一：《</w:t>
      </w:r>
      <w:r>
        <w:rPr>
          <w:rFonts w:hint="eastAsia" w:ascii="宋体" w:hAnsi="宋体" w:eastAsia="宋体" w:cs="宋体"/>
          <w:b/>
          <w:color w:val="auto"/>
          <w:highlight w:val="none"/>
          <w:lang w:eastAsia="zh-CN"/>
        </w:rPr>
        <w:t>监测</w:t>
      </w:r>
      <w:r>
        <w:rPr>
          <w:rFonts w:hint="eastAsia" w:ascii="宋体" w:hAnsi="宋体" w:eastAsia="宋体" w:cs="宋体"/>
          <w:b/>
          <w:color w:val="auto"/>
          <w:highlight w:val="none"/>
        </w:rPr>
        <w:t>工程量清单计价表》（详见附件）</w:t>
      </w:r>
    </w:p>
    <w:p>
      <w:pPr>
        <w:spacing w:line="360" w:lineRule="auto"/>
        <w:rPr>
          <w:rFonts w:ascii="宋体" w:hAnsi="宋体" w:eastAsia="宋体" w:cs="Times New Roman"/>
          <w:color w:val="auto"/>
          <w:szCs w:val="21"/>
          <w:highlight w:val="none"/>
        </w:rPr>
      </w:pPr>
    </w:p>
    <w:p>
      <w:pPr>
        <w:rPr>
          <w:rFonts w:ascii="宋体" w:hAnsi="宋体" w:eastAsia="宋体" w:cs="Times New Roman"/>
          <w:b/>
          <w:color w:val="auto"/>
          <w:szCs w:val="21"/>
          <w:highlight w:val="none"/>
        </w:rPr>
      </w:pP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71" w:name="_Toc142508359"/>
      <w:bookmarkStart w:id="472" w:name="_Toc25251"/>
      <w:bookmarkStart w:id="473" w:name="_Toc10827"/>
      <w:bookmarkStart w:id="474" w:name="_Toc16287"/>
      <w:bookmarkStart w:id="475" w:name="_Toc8048"/>
      <w:bookmarkStart w:id="476" w:name="_Toc486167707"/>
      <w:bookmarkStart w:id="477" w:name="_Toc11281_WPSOffice_Level1"/>
      <w:bookmarkStart w:id="478" w:name="_Toc450662892"/>
      <w:bookmarkStart w:id="479" w:name="_Toc20401"/>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471"/>
      <w:bookmarkEnd w:id="472"/>
      <w:bookmarkEnd w:id="473"/>
      <w:bookmarkEnd w:id="474"/>
      <w:bookmarkEnd w:id="475"/>
      <w:bookmarkEnd w:id="476"/>
      <w:bookmarkEnd w:id="477"/>
      <w:bookmarkEnd w:id="478"/>
      <w:bookmarkEnd w:id="479"/>
    </w:p>
    <w:p>
      <w:pPr>
        <w:ind w:right="281"/>
        <w:jc w:val="right"/>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 xml:space="preserve">  合同编号：</w:t>
      </w:r>
      <w:r>
        <w:rPr>
          <w:rFonts w:hint="eastAsia" w:ascii="宋体" w:hAnsi="宋体" w:eastAsia="宋体" w:cs="宋体"/>
          <w:color w:val="auto"/>
          <w:sz w:val="30"/>
          <w:szCs w:val="30"/>
          <w:highlight w:val="none"/>
          <w:u w:val="single"/>
        </w:rPr>
        <w:t xml:space="preserve">         </w:t>
      </w:r>
    </w:p>
    <w:p>
      <w:pPr>
        <w:ind w:right="500" w:firstLine="2940" w:firstLineChars="1400"/>
        <w:rPr>
          <w:rFonts w:hint="eastAsia" w:ascii="宋体" w:hAnsi="宋体" w:eastAsia="宋体" w:cs="宋体"/>
          <w:color w:val="auto"/>
          <w:szCs w:val="28"/>
          <w:highlight w:val="none"/>
        </w:rPr>
      </w:pPr>
    </w:p>
    <w:p>
      <w:pPr>
        <w:spacing w:line="360" w:lineRule="auto"/>
        <w:rPr>
          <w:rFonts w:hint="eastAsia" w:ascii="宋体" w:hAnsi="宋体" w:eastAsia="宋体" w:cs="宋体"/>
          <w:b/>
          <w:bCs/>
          <w:snapToGrid w:val="0"/>
          <w:color w:val="auto"/>
          <w:sz w:val="52"/>
          <w:szCs w:val="32"/>
          <w:highlight w:val="none"/>
        </w:rPr>
      </w:pPr>
    </w:p>
    <w:p>
      <w:pPr>
        <w:spacing w:line="360" w:lineRule="auto"/>
        <w:jc w:val="center"/>
        <w:rPr>
          <w:rFonts w:hint="eastAsia" w:ascii="宋体" w:hAnsi="宋体" w:eastAsia="宋体" w:cs="宋体"/>
          <w:b/>
          <w:bCs/>
          <w:snapToGrid w:val="0"/>
          <w:color w:val="auto"/>
          <w:sz w:val="52"/>
          <w:szCs w:val="32"/>
          <w:highlight w:val="none"/>
        </w:rPr>
      </w:pPr>
      <w:r>
        <w:rPr>
          <w:rFonts w:hint="eastAsia" w:ascii="宋体" w:hAnsi="宋体" w:eastAsia="宋体" w:cs="宋体"/>
          <w:b/>
          <w:bCs/>
          <w:snapToGrid w:val="0"/>
          <w:color w:val="auto"/>
          <w:sz w:val="52"/>
          <w:szCs w:val="32"/>
          <w:highlight w:val="none"/>
        </w:rPr>
        <w:t>第 三 方 监 测 合 同</w:t>
      </w:r>
    </w:p>
    <w:p>
      <w:pPr>
        <w:spacing w:line="360" w:lineRule="auto"/>
        <w:ind w:left="420" w:leftChars="200"/>
        <w:rPr>
          <w:rFonts w:hint="eastAsia" w:ascii="宋体" w:hAnsi="宋体" w:eastAsia="宋体" w:cs="宋体"/>
          <w:b/>
          <w:bCs/>
          <w:snapToGrid w:val="0"/>
          <w:color w:val="auto"/>
          <w:highlight w:val="none"/>
        </w:rPr>
      </w:pPr>
    </w:p>
    <w:p>
      <w:pPr>
        <w:spacing w:line="360" w:lineRule="auto"/>
        <w:ind w:left="420" w:leftChars="200"/>
        <w:rPr>
          <w:rFonts w:hint="eastAsia" w:ascii="宋体" w:hAnsi="宋体" w:eastAsia="宋体" w:cs="宋体"/>
          <w:b/>
          <w:bCs/>
          <w:snapToGrid w:val="0"/>
          <w:color w:val="auto"/>
          <w:highlight w:val="none"/>
        </w:rPr>
      </w:pPr>
    </w:p>
    <w:p>
      <w:pPr>
        <w:spacing w:line="360" w:lineRule="auto"/>
        <w:ind w:left="420" w:leftChars="200"/>
        <w:rPr>
          <w:rFonts w:hint="eastAsia" w:ascii="宋体" w:hAnsi="宋体" w:eastAsia="宋体" w:cs="宋体"/>
          <w:color w:val="auto"/>
          <w:highlight w:val="none"/>
          <w:u w:val="single"/>
        </w:rPr>
      </w:pPr>
    </w:p>
    <w:p>
      <w:pPr>
        <w:spacing w:line="360" w:lineRule="auto"/>
        <w:ind w:left="420" w:leftChars="200"/>
        <w:rPr>
          <w:rFonts w:hint="eastAsia" w:ascii="宋体" w:hAnsi="宋体" w:eastAsia="宋体" w:cs="宋体"/>
          <w:color w:val="auto"/>
          <w:highlight w:val="none"/>
          <w:u w:val="single"/>
        </w:rPr>
      </w:pPr>
    </w:p>
    <w:p>
      <w:pPr>
        <w:spacing w:line="360" w:lineRule="auto"/>
        <w:ind w:left="420" w:leftChars="200"/>
        <w:rPr>
          <w:rFonts w:hint="eastAsia" w:ascii="宋体" w:hAnsi="宋体" w:eastAsia="宋体" w:cs="宋体"/>
          <w:color w:val="auto"/>
          <w:highlight w:val="none"/>
          <w:u w:val="single"/>
        </w:rPr>
      </w:pPr>
    </w:p>
    <w:p>
      <w:pPr>
        <w:spacing w:line="360" w:lineRule="auto"/>
        <w:ind w:left="420" w:leftChars="200"/>
        <w:rPr>
          <w:rFonts w:hint="eastAsia" w:ascii="宋体" w:hAnsi="宋体" w:eastAsia="宋体" w:cs="宋体"/>
          <w:color w:val="auto"/>
          <w:highlight w:val="none"/>
          <w:u w:val="single"/>
        </w:rPr>
      </w:pPr>
    </w:p>
    <w:p>
      <w:pPr>
        <w:spacing w:line="360" w:lineRule="auto"/>
        <w:ind w:left="420" w:leftChars="200"/>
        <w:rPr>
          <w:rFonts w:hint="eastAsia" w:ascii="宋体" w:hAnsi="宋体" w:eastAsia="宋体" w:cs="宋体"/>
          <w:color w:val="auto"/>
          <w:highlight w:val="none"/>
          <w:u w:val="single"/>
        </w:rPr>
      </w:pPr>
    </w:p>
    <w:p>
      <w:pPr>
        <w:spacing w:line="360" w:lineRule="auto"/>
        <w:rPr>
          <w:rFonts w:hint="eastAsia" w:ascii="宋体" w:hAnsi="宋体" w:eastAsia="宋体" w:cs="宋体"/>
          <w:color w:val="auto"/>
          <w:highlight w:val="none"/>
          <w:u w:val="single"/>
        </w:rPr>
      </w:pPr>
    </w:p>
    <w:p>
      <w:pPr>
        <w:spacing w:line="360" w:lineRule="auto"/>
        <w:ind w:left="420" w:leftChars="200"/>
        <w:rPr>
          <w:rFonts w:hint="eastAsia" w:ascii="宋体" w:hAnsi="宋体" w:eastAsia="宋体" w:cs="宋体"/>
          <w:color w:val="auto"/>
          <w:highlight w:val="none"/>
          <w:u w:val="single"/>
        </w:rPr>
      </w:pPr>
    </w:p>
    <w:p>
      <w:pPr>
        <w:spacing w:line="360" w:lineRule="auto"/>
        <w:rPr>
          <w:rFonts w:hint="eastAsia" w:ascii="宋体" w:hAnsi="宋体" w:eastAsia="宋体" w:cs="宋体"/>
          <w:b/>
          <w:color w:val="auto"/>
          <w:sz w:val="30"/>
          <w:szCs w:val="30"/>
          <w:highlight w:val="none"/>
          <w:u w:val="single"/>
        </w:rPr>
      </w:pPr>
    </w:p>
    <w:p>
      <w:pPr>
        <w:spacing w:line="360" w:lineRule="auto"/>
        <w:ind w:firstLine="1968" w:firstLineChars="7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项目名称：</w:t>
      </w:r>
      <w:r>
        <w:rPr>
          <w:rFonts w:hint="eastAsia" w:ascii="宋体" w:hAnsi="宋体" w:eastAsia="宋体" w:cs="宋体"/>
          <w:b/>
          <w:color w:val="auto"/>
          <w:sz w:val="28"/>
          <w:szCs w:val="28"/>
          <w:highlight w:val="none"/>
          <w:u w:val="single"/>
        </w:rPr>
        <w:t xml:space="preserve">                              </w:t>
      </w:r>
    </w:p>
    <w:p>
      <w:pPr>
        <w:spacing w:line="360" w:lineRule="auto"/>
        <w:ind w:firstLine="1968" w:firstLineChars="7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委 托 人：</w:t>
      </w:r>
      <w:r>
        <w:rPr>
          <w:rFonts w:hint="eastAsia" w:ascii="宋体" w:hAnsi="宋体" w:eastAsia="宋体" w:cs="宋体"/>
          <w:b/>
          <w:color w:val="auto"/>
          <w:sz w:val="28"/>
          <w:szCs w:val="28"/>
          <w:highlight w:val="none"/>
          <w:u w:val="single"/>
        </w:rPr>
        <w:t>东莞市水务集团建设管理有限公司</w:t>
      </w:r>
    </w:p>
    <w:p>
      <w:pPr>
        <w:spacing w:line="360" w:lineRule="auto"/>
        <w:ind w:firstLine="1968" w:firstLineChars="7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 测 人：</w:t>
      </w:r>
      <w:r>
        <w:rPr>
          <w:rFonts w:hint="eastAsia" w:ascii="宋体" w:hAnsi="宋体" w:eastAsia="宋体" w:cs="宋体"/>
          <w:b/>
          <w:color w:val="auto"/>
          <w:sz w:val="28"/>
          <w:szCs w:val="28"/>
          <w:highlight w:val="none"/>
          <w:u w:val="single"/>
        </w:rPr>
        <w:t xml:space="preserve">                              </w:t>
      </w:r>
    </w:p>
    <w:p>
      <w:pPr>
        <w:spacing w:line="360" w:lineRule="auto"/>
        <w:ind w:firstLine="1968" w:firstLineChars="700"/>
        <w:rPr>
          <w:rFonts w:hint="eastAsia" w:ascii="宋体" w:hAnsi="宋体" w:eastAsia="宋体" w:cs="宋体"/>
          <w:color w:val="auto"/>
          <w:highlight w:val="none"/>
        </w:rPr>
      </w:pPr>
      <w:r>
        <w:rPr>
          <w:rFonts w:hint="eastAsia" w:ascii="宋体" w:hAnsi="宋体" w:eastAsia="宋体" w:cs="宋体"/>
          <w:b/>
          <w:color w:val="auto"/>
          <w:sz w:val="28"/>
          <w:szCs w:val="28"/>
          <w:highlight w:val="none"/>
        </w:rPr>
        <w:t>项目业主：</w:t>
      </w:r>
      <w:r>
        <w:rPr>
          <w:rFonts w:hint="eastAsia" w:ascii="宋体" w:hAnsi="宋体" w:eastAsia="宋体" w:cs="宋体"/>
          <w:b/>
          <w:color w:val="auto"/>
          <w:sz w:val="28"/>
          <w:szCs w:val="28"/>
          <w:highlight w:val="none"/>
          <w:u w:val="single"/>
          <w:lang w:eastAsia="zh-CN"/>
        </w:rPr>
        <w:t>东莞市水务集团供水有限公司</w:t>
      </w:r>
      <w:r>
        <w:rPr>
          <w:rFonts w:hint="eastAsia" w:ascii="宋体" w:hAnsi="宋体" w:eastAsia="宋体" w:cs="宋体"/>
          <w:b/>
          <w:color w:val="auto"/>
          <w:sz w:val="28"/>
          <w:szCs w:val="28"/>
          <w:highlight w:val="none"/>
          <w:u w:val="single"/>
        </w:rPr>
        <w:t xml:space="preserve">    </w:t>
      </w:r>
    </w:p>
    <w:p>
      <w:pPr>
        <w:pStyle w:val="22"/>
        <w:rPr>
          <w:rFonts w:hint="eastAsia" w:ascii="宋体" w:hAnsi="宋体" w:eastAsia="宋体" w:cs="宋体"/>
          <w:color w:val="auto"/>
          <w:highlight w:val="none"/>
        </w:rPr>
      </w:pPr>
    </w:p>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202</w:t>
      </w:r>
      <w:r>
        <w:rPr>
          <w:rFonts w:hint="eastAsia" w:ascii="宋体" w:hAnsi="宋体" w:eastAsia="宋体" w:cs="宋体"/>
          <w:b/>
          <w:color w:val="auto"/>
          <w:sz w:val="28"/>
          <w:szCs w:val="28"/>
          <w:highlight w:val="none"/>
          <w:lang w:val="en-US" w:eastAsia="zh-CN"/>
        </w:rPr>
        <w:t>5</w:t>
      </w:r>
      <w:r>
        <w:rPr>
          <w:rFonts w:hint="eastAsia" w:ascii="宋体" w:hAnsi="宋体" w:eastAsia="宋体" w:cs="宋体"/>
          <w:b/>
          <w:color w:val="auto"/>
          <w:sz w:val="28"/>
          <w:szCs w:val="28"/>
          <w:highlight w:val="none"/>
        </w:rPr>
        <w:t>年    月    日</w:t>
      </w:r>
    </w:p>
    <w:p>
      <w:pPr>
        <w:spacing w:before="240" w:beforeLines="100" w:after="120" w:afterLines="50" w:line="48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pPr>
        <w:tabs>
          <w:tab w:val="left" w:pos="840"/>
        </w:tabs>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委托人（甲方）：</w:t>
      </w:r>
      <w:r>
        <w:rPr>
          <w:rFonts w:hint="eastAsia" w:ascii="宋体" w:hAnsi="宋体" w:eastAsia="宋体" w:cs="宋体"/>
          <w:bCs/>
          <w:color w:val="auto"/>
          <w:sz w:val="21"/>
          <w:szCs w:val="21"/>
          <w:highlight w:val="none"/>
          <w:u w:val="single"/>
        </w:rPr>
        <w:t>东莞市水务集团建设管理有限公司</w:t>
      </w:r>
    </w:p>
    <w:p>
      <w:pPr>
        <w:tabs>
          <w:tab w:val="left" w:pos="840"/>
        </w:tabs>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监测人（乙方）：</w:t>
      </w:r>
      <w:r>
        <w:rPr>
          <w:rFonts w:hint="eastAsia" w:ascii="宋体" w:hAnsi="宋体" w:eastAsia="宋体" w:cs="宋体"/>
          <w:b/>
          <w:color w:val="auto"/>
          <w:kern w:val="2"/>
          <w:sz w:val="21"/>
          <w:szCs w:val="21"/>
          <w:highlight w:val="none"/>
          <w:u w:val="single"/>
        </w:rPr>
        <w:t xml:space="preserve">                             </w:t>
      </w:r>
    </w:p>
    <w:p>
      <w:pPr>
        <w:tabs>
          <w:tab w:val="left" w:pos="840"/>
        </w:tabs>
        <w:spacing w:line="360" w:lineRule="auto"/>
        <w:ind w:firstLine="42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项目业主（丙方）：</w:t>
      </w:r>
      <w:r>
        <w:rPr>
          <w:rFonts w:hint="eastAsia" w:ascii="宋体" w:hAnsi="宋体" w:eastAsia="宋体" w:cs="宋体"/>
          <w:bCs/>
          <w:color w:val="auto"/>
          <w:sz w:val="21"/>
          <w:szCs w:val="21"/>
          <w:highlight w:val="none"/>
          <w:u w:val="single"/>
          <w:lang w:eastAsia="zh-CN"/>
        </w:rPr>
        <w:t>东莞市水务集团供水有限公司</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p>
    <w:p>
      <w:pPr>
        <w:autoSpaceDE/>
        <w:autoSpaceDN/>
        <w:adjustRightInd/>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1.乙方已明确知悉：</w:t>
      </w:r>
      <w:r>
        <w:rPr>
          <w:rFonts w:hint="eastAsia" w:ascii="宋体" w:hAnsi="宋体" w:eastAsia="宋体" w:cs="宋体"/>
          <w:bCs/>
          <w:color w:val="auto"/>
          <w:kern w:val="2"/>
          <w:sz w:val="21"/>
          <w:szCs w:val="21"/>
          <w:highlight w:val="none"/>
          <w:u w:val="single"/>
          <w:lang w:eastAsia="zh-CN"/>
        </w:rPr>
        <w:t>东莞市水务集团供水有限公司</w:t>
      </w:r>
      <w:r>
        <w:rPr>
          <w:rFonts w:hint="eastAsia" w:ascii="宋体" w:hAnsi="宋体" w:eastAsia="宋体" w:cs="宋体"/>
          <w:color w:val="auto"/>
          <w:kern w:val="2"/>
          <w:sz w:val="21"/>
          <w:szCs w:val="21"/>
          <w:highlight w:val="none"/>
        </w:rPr>
        <w:t>（以下简称“丙方”）为</w:t>
      </w:r>
      <w:r>
        <w:rPr>
          <w:rFonts w:hint="eastAsia" w:ascii="宋体" w:hAnsi="宋体" w:eastAsia="宋体" w:cs="宋体"/>
          <w:color w:val="auto"/>
          <w:kern w:val="2"/>
          <w:sz w:val="21"/>
          <w:szCs w:val="21"/>
          <w:highlight w:val="none"/>
          <w:u w:val="single"/>
          <w:lang w:eastAsia="zh-CN"/>
        </w:rPr>
        <w:t>东莞市供水设施更新改造项目-松山湖新城路给水管网改造工程</w:t>
      </w:r>
      <w:r>
        <w:rPr>
          <w:rFonts w:hint="eastAsia" w:ascii="宋体" w:hAnsi="宋体" w:eastAsia="宋体" w:cs="宋体"/>
          <w:color w:val="auto"/>
          <w:kern w:val="2"/>
          <w:sz w:val="21"/>
          <w:szCs w:val="21"/>
          <w:highlight w:val="none"/>
        </w:rPr>
        <w:t>的项目业主，</w:t>
      </w:r>
      <w:r>
        <w:rPr>
          <w:rFonts w:hint="eastAsia" w:ascii="宋体" w:hAnsi="宋体" w:eastAsia="宋体" w:cs="宋体"/>
          <w:color w:val="auto"/>
          <w:kern w:val="2"/>
          <w:sz w:val="21"/>
          <w:szCs w:val="21"/>
          <w:highlight w:val="none"/>
          <w:u w:val="single"/>
        </w:rPr>
        <w:t>东莞市水务集团建设管理有限公司</w:t>
      </w:r>
      <w:r>
        <w:rPr>
          <w:rFonts w:hint="eastAsia" w:ascii="宋体" w:hAnsi="宋体" w:eastAsia="宋体" w:cs="宋体"/>
          <w:color w:val="auto"/>
          <w:kern w:val="2"/>
          <w:sz w:val="21"/>
          <w:szCs w:val="21"/>
          <w:highlight w:val="none"/>
        </w:rPr>
        <w:t>（以下简称“甲方”）为上述项目的代建单位。</w:t>
      </w:r>
      <w:r>
        <w:rPr>
          <w:rFonts w:hint="eastAsia" w:ascii="宋体" w:hAnsi="宋体" w:eastAsia="宋体" w:cs="宋体"/>
          <w:color w:val="auto"/>
          <w:kern w:val="2"/>
          <w:sz w:val="21"/>
          <w:szCs w:val="21"/>
          <w:highlight w:val="none"/>
          <w:u w:val="single"/>
          <w:lang w:eastAsia="zh-CN"/>
        </w:rPr>
        <w:t>东莞市水务集团供水有限公司</w:t>
      </w:r>
      <w:r>
        <w:rPr>
          <w:rFonts w:hint="eastAsia" w:ascii="宋体" w:hAnsi="宋体" w:eastAsia="宋体" w:cs="宋体"/>
          <w:color w:val="auto"/>
          <w:kern w:val="2"/>
          <w:sz w:val="21"/>
          <w:szCs w:val="21"/>
          <w:highlight w:val="none"/>
        </w:rPr>
        <w:t>已将</w:t>
      </w:r>
      <w:r>
        <w:rPr>
          <w:rFonts w:hint="eastAsia" w:ascii="宋体" w:hAnsi="宋体" w:eastAsia="宋体" w:cs="宋体"/>
          <w:color w:val="auto"/>
          <w:kern w:val="2"/>
          <w:sz w:val="21"/>
          <w:szCs w:val="21"/>
          <w:highlight w:val="none"/>
          <w:u w:val="single"/>
          <w:lang w:eastAsia="zh-CN"/>
        </w:rPr>
        <w:t>东莞市供水设施更新改造项目-松山湖新城路给水管网改造工程第三方监测服务采购项目</w:t>
      </w:r>
      <w:r>
        <w:rPr>
          <w:rFonts w:hint="eastAsia" w:ascii="宋体" w:hAnsi="宋体" w:eastAsia="宋体" w:cs="宋体"/>
          <w:color w:val="auto"/>
          <w:kern w:val="2"/>
          <w:sz w:val="21"/>
          <w:szCs w:val="21"/>
          <w:highlight w:val="none"/>
        </w:rPr>
        <w:t>委托给</w:t>
      </w:r>
      <w:r>
        <w:rPr>
          <w:rFonts w:hint="eastAsia" w:ascii="宋体" w:hAnsi="宋体" w:eastAsia="宋体" w:cs="宋体"/>
          <w:color w:val="auto"/>
          <w:kern w:val="2"/>
          <w:sz w:val="21"/>
          <w:szCs w:val="21"/>
          <w:highlight w:val="none"/>
          <w:u w:val="single"/>
        </w:rPr>
        <w:t>东莞市水务集团建设管理有限公司</w:t>
      </w:r>
      <w:r>
        <w:rPr>
          <w:rFonts w:hint="eastAsia" w:ascii="宋体" w:hAnsi="宋体" w:eastAsia="宋体" w:cs="宋体"/>
          <w:color w:val="auto"/>
          <w:kern w:val="2"/>
          <w:sz w:val="21"/>
          <w:szCs w:val="21"/>
          <w:highlight w:val="none"/>
        </w:rPr>
        <w:t>实施代建，</w:t>
      </w:r>
      <w:r>
        <w:rPr>
          <w:rFonts w:hint="eastAsia" w:ascii="宋体" w:hAnsi="宋体" w:eastAsia="宋体" w:cs="宋体"/>
          <w:color w:val="auto"/>
          <w:kern w:val="2"/>
          <w:sz w:val="21"/>
          <w:szCs w:val="21"/>
          <w:highlight w:val="none"/>
          <w:u w:val="single"/>
          <w:lang w:eastAsia="zh-CN"/>
        </w:rPr>
        <w:t>东莞市供水设施更新改造项目-松山湖新城路给水管网改造工程第三方监测服务采购项目</w:t>
      </w:r>
      <w:r>
        <w:rPr>
          <w:rFonts w:hint="eastAsia" w:ascii="宋体" w:hAnsi="宋体" w:eastAsia="宋体" w:cs="宋体"/>
          <w:color w:val="auto"/>
          <w:kern w:val="2"/>
          <w:sz w:val="21"/>
          <w:szCs w:val="21"/>
          <w:highlight w:val="none"/>
          <w:u w:val="none"/>
          <w:lang w:val="en-US" w:eastAsia="zh-CN"/>
        </w:rPr>
        <w:t>由</w:t>
      </w:r>
      <w:r>
        <w:rPr>
          <w:rFonts w:hint="eastAsia" w:ascii="宋体" w:hAnsi="宋体" w:eastAsia="宋体" w:cs="宋体"/>
          <w:bCs/>
          <w:color w:val="auto"/>
          <w:sz w:val="21"/>
          <w:szCs w:val="21"/>
          <w:highlight w:val="none"/>
          <w:u w:val="none"/>
        </w:rPr>
        <w:t>东莞市水务集团建设管理有限公司</w:t>
      </w:r>
      <w:r>
        <w:rPr>
          <w:rFonts w:hint="eastAsia" w:ascii="宋体" w:hAnsi="宋体" w:eastAsia="宋体" w:cs="宋体"/>
          <w:bCs/>
          <w:color w:val="auto"/>
          <w:sz w:val="21"/>
          <w:szCs w:val="21"/>
          <w:highlight w:val="none"/>
          <w:u w:val="none"/>
          <w:lang w:val="en-US" w:eastAsia="zh-CN"/>
        </w:rPr>
        <w:t>实施招标，</w:t>
      </w:r>
      <w:r>
        <w:rPr>
          <w:rFonts w:hint="eastAsia" w:ascii="宋体" w:hAnsi="宋体" w:eastAsia="宋体" w:cs="宋体"/>
          <w:color w:val="auto"/>
          <w:kern w:val="2"/>
          <w:sz w:val="21"/>
          <w:szCs w:val="21"/>
          <w:highlight w:val="none"/>
        </w:rPr>
        <w:t>并且乙方已认真查阅、理解甲方招标文件的全部内容，并对丙方授予甲方的权利义务无任何异议。</w:t>
      </w:r>
    </w:p>
    <w:p>
      <w:pPr>
        <w:autoSpaceDE/>
        <w:autoSpaceDN/>
        <w:adjustRightInd/>
        <w:spacing w:line="360" w:lineRule="auto"/>
        <w:ind w:firstLine="422" w:firstLineChars="200"/>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2.甲方履行本合同约定的除支付合同价款</w:t>
      </w:r>
      <w:r>
        <w:rPr>
          <w:rFonts w:hint="eastAsia" w:ascii="宋体" w:hAnsi="宋体" w:eastAsia="宋体" w:cs="宋体"/>
          <w:b/>
          <w:bCs/>
          <w:color w:val="auto"/>
          <w:kern w:val="2"/>
          <w:sz w:val="21"/>
          <w:szCs w:val="21"/>
          <w:highlight w:val="none"/>
          <w:lang w:eastAsia="zh-Hans"/>
        </w:rPr>
        <w:t>及</w:t>
      </w:r>
      <w:r>
        <w:rPr>
          <w:rFonts w:hint="eastAsia" w:ascii="宋体" w:hAnsi="宋体" w:eastAsia="宋体" w:cs="宋体"/>
          <w:b/>
          <w:bCs/>
          <w:color w:val="auto"/>
          <w:kern w:val="2"/>
          <w:sz w:val="21"/>
          <w:szCs w:val="21"/>
          <w:highlight w:val="none"/>
        </w:rPr>
        <w:t>应由丙方承担违约责任以外的全部责任义务。丙方按照合同约定的期限和方式支付合同价款且不承担除支付合同价款及承担合同约定应由丙方承担违约责任之外的任何责任义务。乙方因违反本合同约定应承担的违约责任中涉及的各类履约担保、押金、质量保证金及违约金、利息等款项及由此产生的孳息等均归甲方所有，甲方有权自行处置、使用上述款项，丙方对此予以确认并不持异议。</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根据《中华人民共和国民法典》、《中华人民共和国招标投标法》等相关法律法规的规定，遵循平等、自愿、公平和诚实信用的原则，三方就</w:t>
      </w:r>
      <w:r>
        <w:rPr>
          <w:rFonts w:hint="eastAsia" w:ascii="宋体" w:hAnsi="宋体" w:eastAsia="宋体" w:cs="宋体"/>
          <w:color w:val="auto"/>
          <w:sz w:val="21"/>
          <w:szCs w:val="21"/>
          <w:highlight w:val="none"/>
          <w:lang w:eastAsia="zh-CN"/>
        </w:rPr>
        <w:t>东莞市供水设施更新改造项目-松山湖新城路给水管网改造工程第三方监测服务采购项目</w:t>
      </w:r>
      <w:r>
        <w:rPr>
          <w:rFonts w:hint="eastAsia" w:ascii="宋体" w:hAnsi="宋体" w:eastAsia="宋体" w:cs="宋体"/>
          <w:color w:val="auto"/>
          <w:sz w:val="21"/>
          <w:szCs w:val="21"/>
          <w:highlight w:val="none"/>
        </w:rPr>
        <w:t>有关事项协商一致，达成本合同。</w:t>
      </w: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outlineLvl w:val="2"/>
        <w:rPr>
          <w:rFonts w:hint="eastAsia" w:ascii="宋体" w:hAnsi="宋体" w:eastAsia="宋体" w:cs="宋体"/>
          <w:b/>
          <w:color w:val="auto"/>
          <w:kern w:val="2"/>
          <w:sz w:val="21"/>
          <w:szCs w:val="21"/>
          <w:highlight w:val="none"/>
        </w:rPr>
      </w:pPr>
      <w:bookmarkStart w:id="480" w:name="_Toc5412"/>
      <w:r>
        <w:rPr>
          <w:rFonts w:hint="eastAsia" w:ascii="宋体" w:hAnsi="宋体" w:eastAsia="宋体" w:cs="宋体"/>
          <w:b/>
          <w:color w:val="auto"/>
          <w:kern w:val="2"/>
          <w:sz w:val="21"/>
          <w:szCs w:val="21"/>
          <w:highlight w:val="none"/>
        </w:rPr>
        <w:t>一、工程概况</w:t>
      </w:r>
      <w:bookmarkEnd w:id="480"/>
    </w:p>
    <w:p>
      <w:pPr>
        <w:widowControl/>
        <w:autoSpaceDE/>
        <w:autoSpaceDN/>
        <w:adjustRightInd/>
        <w:spacing w:line="360" w:lineRule="auto"/>
        <w:ind w:firstLine="422"/>
        <w:jc w:val="left"/>
        <w:rPr>
          <w:rFonts w:hint="eastAsia" w:ascii="宋体" w:hAnsi="宋体" w:eastAsia="宋体" w:cs="宋体"/>
          <w:color w:val="auto"/>
          <w:kern w:val="2"/>
          <w:sz w:val="21"/>
          <w:szCs w:val="21"/>
          <w:highlight w:val="none"/>
          <w:u w:val="single"/>
          <w:lang w:eastAsia="zh-CN"/>
        </w:rPr>
      </w:pPr>
      <w:r>
        <w:rPr>
          <w:rFonts w:hint="eastAsia" w:ascii="宋体" w:hAnsi="宋体" w:eastAsia="宋体" w:cs="宋体"/>
          <w:b/>
          <w:color w:val="auto"/>
          <w:kern w:val="2"/>
          <w:sz w:val="21"/>
          <w:szCs w:val="21"/>
          <w:highlight w:val="none"/>
        </w:rPr>
        <w:t>1</w:t>
      </w:r>
      <w:r>
        <w:rPr>
          <w:rFonts w:hint="eastAsia" w:ascii="宋体" w:hAnsi="宋体" w:eastAsia="宋体" w:cs="宋体"/>
          <w:color w:val="auto"/>
          <w:sz w:val="21"/>
          <w:szCs w:val="21"/>
          <w:highlight w:val="none"/>
        </w:rPr>
        <w:t>.</w:t>
      </w:r>
      <w:r>
        <w:rPr>
          <w:rFonts w:hint="eastAsia" w:ascii="宋体" w:hAnsi="宋体" w:eastAsia="宋体" w:cs="宋体"/>
          <w:b/>
          <w:color w:val="auto"/>
          <w:kern w:val="2"/>
          <w:sz w:val="21"/>
          <w:szCs w:val="21"/>
          <w:highlight w:val="none"/>
        </w:rPr>
        <w:t>项目名称：</w:t>
      </w:r>
      <w:r>
        <w:rPr>
          <w:rFonts w:hint="eastAsia" w:ascii="宋体" w:hAnsi="宋体" w:eastAsia="宋体" w:cs="宋体"/>
          <w:color w:val="auto"/>
          <w:kern w:val="2"/>
          <w:sz w:val="21"/>
          <w:szCs w:val="21"/>
          <w:highlight w:val="none"/>
          <w:u w:val="single"/>
          <w:lang w:eastAsia="zh-CN"/>
        </w:rPr>
        <w:t>东莞市供水设施更新改造项目-松山湖新城路给水管网改造工程</w:t>
      </w:r>
    </w:p>
    <w:p>
      <w:pPr>
        <w:autoSpaceDE/>
        <w:autoSpaceDN/>
        <w:adjustRightInd/>
        <w:spacing w:line="360" w:lineRule="auto"/>
        <w:ind w:firstLine="424" w:firstLineChars="201"/>
        <w:jc w:val="both"/>
        <w:rPr>
          <w:rFonts w:hint="eastAsia" w:ascii="宋体" w:hAnsi="宋体" w:eastAsia="宋体" w:cs="宋体"/>
          <w:color w:val="auto"/>
          <w:kern w:val="2"/>
          <w:sz w:val="21"/>
          <w:szCs w:val="21"/>
          <w:highlight w:val="none"/>
          <w:u w:val="single"/>
        </w:rPr>
      </w:pPr>
      <w:r>
        <w:rPr>
          <w:rFonts w:hint="eastAsia" w:ascii="宋体" w:hAnsi="宋体" w:eastAsia="宋体" w:cs="宋体"/>
          <w:b/>
          <w:color w:val="auto"/>
          <w:kern w:val="2"/>
          <w:sz w:val="21"/>
          <w:szCs w:val="21"/>
          <w:highlight w:val="none"/>
        </w:rPr>
        <w:t>2</w:t>
      </w:r>
      <w:r>
        <w:rPr>
          <w:rFonts w:hint="eastAsia" w:ascii="宋体" w:hAnsi="宋体" w:eastAsia="宋体" w:cs="宋体"/>
          <w:color w:val="auto"/>
          <w:sz w:val="21"/>
          <w:szCs w:val="21"/>
          <w:highlight w:val="none"/>
        </w:rPr>
        <w:t>.</w:t>
      </w:r>
      <w:r>
        <w:rPr>
          <w:rFonts w:hint="eastAsia" w:ascii="宋体" w:hAnsi="宋体" w:eastAsia="宋体" w:cs="宋体"/>
          <w:b/>
          <w:color w:val="auto"/>
          <w:kern w:val="2"/>
          <w:sz w:val="21"/>
          <w:szCs w:val="21"/>
          <w:highlight w:val="none"/>
        </w:rPr>
        <w:t>建设地点：</w:t>
      </w:r>
      <w:r>
        <w:rPr>
          <w:rFonts w:hint="eastAsia" w:ascii="宋体" w:hAnsi="宋体" w:eastAsia="宋体" w:cs="宋体"/>
          <w:color w:val="auto"/>
          <w:kern w:val="2"/>
          <w:sz w:val="21"/>
          <w:szCs w:val="21"/>
          <w:highlight w:val="none"/>
          <w:u w:val="single"/>
        </w:rPr>
        <w:t>东莞市。</w:t>
      </w:r>
    </w:p>
    <w:p>
      <w:pPr>
        <w:autoSpaceDE/>
        <w:autoSpaceDN/>
        <w:adjustRightInd/>
        <w:spacing w:line="360" w:lineRule="auto"/>
        <w:ind w:firstLine="424" w:firstLineChars="201"/>
        <w:jc w:val="both"/>
        <w:rPr>
          <w:rFonts w:hint="eastAsia" w:ascii="宋体" w:hAnsi="宋体" w:eastAsia="宋体" w:cs="宋体"/>
          <w:bCs/>
          <w:color w:val="auto"/>
          <w:kern w:val="2"/>
          <w:sz w:val="21"/>
          <w:szCs w:val="21"/>
          <w:highlight w:val="none"/>
          <w:u w:val="single"/>
        </w:rPr>
      </w:pPr>
      <w:r>
        <w:rPr>
          <w:rFonts w:hint="eastAsia" w:ascii="宋体" w:hAnsi="宋体" w:eastAsia="宋体" w:cs="宋体"/>
          <w:b/>
          <w:color w:val="auto"/>
          <w:kern w:val="2"/>
          <w:sz w:val="21"/>
          <w:szCs w:val="21"/>
          <w:highlight w:val="none"/>
        </w:rPr>
        <w:t>3</w:t>
      </w:r>
      <w:r>
        <w:rPr>
          <w:rFonts w:hint="eastAsia" w:ascii="宋体" w:hAnsi="宋体" w:eastAsia="宋体" w:cs="宋体"/>
          <w:color w:val="auto"/>
          <w:sz w:val="21"/>
          <w:szCs w:val="21"/>
          <w:highlight w:val="none"/>
        </w:rPr>
        <w:t>.</w:t>
      </w:r>
      <w:r>
        <w:rPr>
          <w:rFonts w:hint="eastAsia" w:ascii="宋体" w:hAnsi="宋体" w:eastAsia="宋体" w:cs="宋体"/>
          <w:b/>
          <w:color w:val="auto"/>
          <w:kern w:val="2"/>
          <w:sz w:val="21"/>
          <w:szCs w:val="21"/>
          <w:highlight w:val="none"/>
        </w:rPr>
        <w:t>项目基本情况：</w:t>
      </w:r>
      <w:r>
        <w:rPr>
          <w:rFonts w:hint="eastAsia" w:ascii="宋体" w:hAnsi="宋体" w:eastAsia="宋体" w:cs="宋体"/>
          <w:color w:val="auto"/>
          <w:sz w:val="21"/>
          <w:szCs w:val="21"/>
          <w:highlight w:val="none"/>
          <w:lang w:eastAsia="zh-CN"/>
        </w:rPr>
        <w:t>东莞市供水设施更新改造项目一松山湖新城路给水管网改造工程（以下简称“本项目”），主要建设内容为沿新城路、兴园路、科苑路、沁园路、科苑横路废除现状管线后，新建给水管总长约49.92km,其中新建DN25~DN300接驳管约3.64km,新建DN200支管约4.3km,新建DN300支管约17.77km,新建DN400配水管约10.24km,新建DN500配水管约0.02km,新建DN600配水管约2.61km,新建DN700配水管约0.002km,新建DN800配水管约1.47km,新建DN1000配水管约0.53km(含0.19km外套管),新建DN1200配水管约0.12km,新建DN1400供水主管约9.22km。</w:t>
      </w:r>
    </w:p>
    <w:p>
      <w:pPr>
        <w:spacing w:line="360" w:lineRule="auto"/>
        <w:ind w:firstLine="420"/>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outlineLvl w:val="2"/>
        <w:rPr>
          <w:rFonts w:hint="eastAsia" w:ascii="宋体" w:hAnsi="宋体" w:eastAsia="宋体" w:cs="宋体"/>
          <w:b/>
          <w:color w:val="auto"/>
          <w:kern w:val="2"/>
          <w:sz w:val="21"/>
          <w:szCs w:val="21"/>
          <w:highlight w:val="none"/>
        </w:rPr>
      </w:pPr>
      <w:bookmarkStart w:id="481" w:name="_Toc23714"/>
      <w:r>
        <w:rPr>
          <w:rFonts w:hint="eastAsia" w:ascii="宋体" w:hAnsi="宋体" w:eastAsia="宋体" w:cs="宋体"/>
          <w:b/>
          <w:color w:val="auto"/>
          <w:kern w:val="2"/>
          <w:sz w:val="21"/>
          <w:szCs w:val="21"/>
          <w:highlight w:val="none"/>
        </w:rPr>
        <w:t>二、服务概况</w:t>
      </w:r>
      <w:bookmarkEnd w:id="481"/>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1.乙方作为</w:t>
      </w:r>
      <w:r>
        <w:rPr>
          <w:rFonts w:hint="eastAsia" w:ascii="宋体" w:hAnsi="宋体" w:eastAsia="宋体" w:cs="宋体"/>
          <w:color w:val="auto"/>
          <w:sz w:val="21"/>
          <w:szCs w:val="21"/>
          <w:highlight w:val="none"/>
          <w:lang w:eastAsia="zh-CN"/>
        </w:rPr>
        <w:t>东莞市供水设施更新改造项目-松山湖新城路给水管网改造工程第三方监测服务采购项目</w:t>
      </w:r>
      <w:r>
        <w:rPr>
          <w:rFonts w:hint="eastAsia" w:ascii="宋体" w:hAnsi="宋体" w:eastAsia="宋体" w:cs="宋体"/>
          <w:color w:val="auto"/>
          <w:sz w:val="21"/>
          <w:szCs w:val="21"/>
          <w:highlight w:val="none"/>
        </w:rPr>
        <w:t>的监测服务单位，在本合同服务期内承担服务期间进行约定的各项监测及相关技术工作等。合同服务期：自</w:t>
      </w:r>
      <w:r>
        <w:rPr>
          <w:rFonts w:hint="eastAsia" w:ascii="宋体" w:hAnsi="宋体" w:eastAsia="宋体" w:cs="宋体"/>
          <w:color w:val="auto"/>
          <w:sz w:val="21"/>
          <w:szCs w:val="21"/>
          <w:highlight w:val="none"/>
          <w:lang w:eastAsia="zh-CN"/>
        </w:rPr>
        <w:t>东莞市供水设施更新改造项目-松山湖新城路给水管网改造工程</w:t>
      </w:r>
      <w:r>
        <w:rPr>
          <w:rFonts w:hint="eastAsia" w:ascii="宋体" w:hAnsi="宋体" w:eastAsia="宋体" w:cs="宋体"/>
          <w:color w:val="auto"/>
          <w:sz w:val="21"/>
          <w:szCs w:val="21"/>
          <w:highlight w:val="none"/>
        </w:rPr>
        <w:t>开工至完成约定的各项监测及相关技术工作为止。</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2.监测依据</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《工程结构通用规范》（GB 55001-2021）</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《建筑与市政地基基础通用规范》（GB 55003-2021）</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《建筑基坑支护技术规程》JGJ 120-2012</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《建筑基坑工程监测技术标准》GB 50497-2019</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《工程测量标准》GB50026—2020</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《建筑变形测量规范》JGJ 8-2016</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《建筑基坑工程技术规程》（广东省标准）DBJ/T 15-20-2016</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《建筑基坑施工监测技术标准》（广东省标准）DBJ/T 15-162-2019</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设计资料/其他相关技术管理文件。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以上规范若有更新版本，应按最新的版本执行。在合同执行期内，各专项施工的执行标准、规范，如未列举，则按国家、行业、地方颁布的相应的政策、法规、规范、标准等执行。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范围：按设计图纸、相关规范标准以及设计方要求，结合施工现场实际，在基坑开挖和地下建筑施工期间对基坑的安全稳定性进行监测，需监测的主要项目（具体数量以《监测工程量清单计价表》为准）如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支护桩顶部水平及竖向位移；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支护桩深层水平位移；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周边道路及地表竖向位移；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地下水位；</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周边建构筑物竖向位移及倾斜；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周边建筑裂缝；</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支护结构裂缝；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周边管线位移（水平及竖向）；</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支撑轴力。</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具体布置以实际为准，基坑监测点布置方案应由专业单位编制实施。施工过程中须保护好测点，如遭破坏，应及时补设。</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4.质量要求</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工程监测质量要求</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提供检定合格、手续完备的监测仪器，及时出具具有法律效力的监测报告。</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须保证监测成果质量，对技术成果负完全责任，如因监测不实，造成</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经济损失费用全部由监测单位承担，并应负责重检。</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执行国家、广东省以及东莞市有关工程监测的标准规范的规定。</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监测数据、设备的管理</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rPr>
        <w:t>对测点进行标识，加强检查，必要时设护栏，保证监测工作正常进行。</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监测人员、监测线路、监测方法要相对固定，以保证观测资料、成果数据的准确与连续性。</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对监测设备、仪器由专人负责保管、使用。在使用前必须经过检验，认为合格后方可使用。保证量测数据准确。</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对量测的数据必须换手复核，认为准确无误后方可上报，并采用计算机系统进行管理。</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当出现下列情况之一时，应提高监测频率</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rPr>
        <w:t xml:space="preserve">监测数据达到报警值。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 xml:space="preserve">监测数据变化较大或者速率加快。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 xml:space="preserve">存在勘察未发现的不良地质。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 xml:space="preserve">超深、超长开挖或未及时加撑等违反设计工况施工。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rPr>
        <w:t xml:space="preserve">基坑及周边大量积水、长时间连续降雨、市政管道出现泄漏。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.6 </w:t>
      </w:r>
      <w:r>
        <w:rPr>
          <w:rFonts w:hint="eastAsia" w:ascii="宋体" w:hAnsi="宋体" w:eastAsia="宋体" w:cs="宋体"/>
          <w:color w:val="auto"/>
          <w:sz w:val="21"/>
          <w:szCs w:val="21"/>
          <w:highlight w:val="none"/>
        </w:rPr>
        <w:t xml:space="preserve">基坑附近地面荷载突然增大或超过设计限值。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.7 </w:t>
      </w:r>
      <w:r>
        <w:rPr>
          <w:rFonts w:hint="eastAsia" w:ascii="宋体" w:hAnsi="宋体" w:eastAsia="宋体" w:cs="宋体"/>
          <w:color w:val="auto"/>
          <w:sz w:val="21"/>
          <w:szCs w:val="21"/>
          <w:highlight w:val="none"/>
        </w:rPr>
        <w:t xml:space="preserve">支护结构出现开裂。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.8 </w:t>
      </w:r>
      <w:r>
        <w:rPr>
          <w:rFonts w:hint="eastAsia" w:ascii="宋体" w:hAnsi="宋体" w:eastAsia="宋体" w:cs="宋体"/>
          <w:color w:val="auto"/>
          <w:sz w:val="21"/>
          <w:szCs w:val="21"/>
          <w:highlight w:val="none"/>
        </w:rPr>
        <w:t xml:space="preserve">周边地面突发较大沉降或出现严重开裂。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.9 </w:t>
      </w:r>
      <w:r>
        <w:rPr>
          <w:rFonts w:hint="eastAsia" w:ascii="宋体" w:hAnsi="宋体" w:eastAsia="宋体" w:cs="宋体"/>
          <w:color w:val="auto"/>
          <w:sz w:val="21"/>
          <w:szCs w:val="21"/>
          <w:highlight w:val="none"/>
        </w:rPr>
        <w:t xml:space="preserve">邻近建筑突发较大沉降、不均匀沉降或出现严重开裂。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.10 </w:t>
      </w:r>
      <w:r>
        <w:rPr>
          <w:rFonts w:hint="eastAsia" w:ascii="宋体" w:hAnsi="宋体" w:eastAsia="宋体" w:cs="宋体"/>
          <w:color w:val="auto"/>
          <w:sz w:val="21"/>
          <w:szCs w:val="21"/>
          <w:highlight w:val="none"/>
        </w:rPr>
        <w:t xml:space="preserve">基坑底部、侧壁出现管涌、潘漏或流沙等现象。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.11 </w:t>
      </w:r>
      <w:r>
        <w:rPr>
          <w:rFonts w:hint="eastAsia" w:ascii="宋体" w:hAnsi="宋体" w:eastAsia="宋体" w:cs="宋体"/>
          <w:color w:val="auto"/>
          <w:sz w:val="21"/>
          <w:szCs w:val="21"/>
          <w:highlight w:val="none"/>
        </w:rPr>
        <w:t xml:space="preserve">基坑工程发生事故后重新组织施工。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.12 </w:t>
      </w:r>
      <w:r>
        <w:rPr>
          <w:rFonts w:hint="eastAsia" w:ascii="宋体" w:hAnsi="宋体" w:eastAsia="宋体" w:cs="宋体"/>
          <w:color w:val="auto"/>
          <w:sz w:val="21"/>
          <w:szCs w:val="21"/>
          <w:highlight w:val="none"/>
        </w:rPr>
        <w:t>出现其他影响基坑及周边环境安全的异常情况。</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监测数据发生突变的处理对策</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rPr>
        <w:t>立即停止开挖、调整各种设备参数。</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上报项目部，由项目总工组织技术人员进行分析，制定相关措施，并将情况及时上报建设单位和监理单位、设计单位。</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对突变发生地表和建筑物等实施实时监控。</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如涉及地表安全，立即请相关部门协助，采用疏解交通等有效措施。</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rPr>
        <w:t>请建设单位组织设计单位、施工单位、监理单位等部门共同制定应对措施。</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其他质量要求</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根据国家标准及其它相关行业规程的要求，结合本工程施工图、预算文件及东莞市建筑工程质量安全监督站相关规定，制定监测方案。本工程所有监测点位均根据设计单位提供的相关图纸进行布设，其位置及数量均可按照设计、监理、</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单位的合理化建议适当调整。方案经监理、</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、及施工单位审查确认合格后方可实施。</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须完成本工程监测方案内项目及数量，出具合法有效且符合监测规范要求的监测报告，为工程进度控制提供依据；提供监测咨询服务，为保证工程质量提供保障。</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应当建立健全并落实各项管理制度，保证监测项目工作正常进行，并接受</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及有关主管部门对项目服务质量的监督检查。</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应建立并实施符合本项目各项要求的质量管理体系。</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代表有权在工作时间内进入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的工作地点检查其质量手册、质量计划及其它与质量相关的文件的实施情况。</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5.成果要求</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技术资料包括但不限于以下内容：监测方案；测点布设记录；监测报告；监测总结报告等。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合同签订后15天内，</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应根据批准的工程施工组织设计、工程设计文件、市政工程建设标准、国家及行业规范等制定并向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提交详细的可实施的监测方案1份。</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hr-HR"/>
        </w:rPr>
        <w:t>应积极配合</w:t>
      </w:r>
      <w:r>
        <w:rPr>
          <w:rFonts w:hint="eastAsia" w:ascii="宋体" w:hAnsi="宋体" w:eastAsia="宋体" w:cs="宋体"/>
          <w:color w:val="auto"/>
          <w:sz w:val="21"/>
          <w:szCs w:val="21"/>
          <w:highlight w:val="none"/>
          <w:lang w:val="hr-HR" w:eastAsia="zh-CN"/>
        </w:rPr>
        <w:t>甲方</w:t>
      </w:r>
      <w:r>
        <w:rPr>
          <w:rFonts w:hint="eastAsia" w:ascii="宋体" w:hAnsi="宋体" w:eastAsia="宋体" w:cs="宋体"/>
          <w:color w:val="auto"/>
          <w:sz w:val="21"/>
          <w:szCs w:val="21"/>
          <w:highlight w:val="none"/>
          <w:lang w:val="hr-HR"/>
        </w:rPr>
        <w:t>调整优化</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方案，并提交</w:t>
      </w:r>
      <w:r>
        <w:rPr>
          <w:rFonts w:hint="eastAsia" w:ascii="宋体" w:hAnsi="宋体" w:eastAsia="宋体" w:cs="宋体"/>
          <w:color w:val="auto"/>
          <w:sz w:val="21"/>
          <w:szCs w:val="21"/>
          <w:highlight w:val="none"/>
          <w:lang w:val="hr-HR" w:eastAsia="zh-CN"/>
        </w:rPr>
        <w:t>甲方</w:t>
      </w:r>
      <w:r>
        <w:rPr>
          <w:rFonts w:hint="eastAsia" w:ascii="宋体" w:hAnsi="宋体" w:eastAsia="宋体" w:cs="宋体"/>
          <w:color w:val="auto"/>
          <w:sz w:val="21"/>
          <w:szCs w:val="21"/>
          <w:highlight w:val="none"/>
          <w:lang w:val="hr-HR"/>
        </w:rPr>
        <w:t>确认。</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测点布设需经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委托的工程监理单位签字确认，并最终提交</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 xml:space="preserve">及工程监理单位。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每次监测在完成现场监测后24小时内，</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提供相应的电子版监测报告（盖章的PDF格式），并在三个工作日内提交纸质版监测报告。对异常的监测数据（如监测值超报警值等），</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应在2小时内通知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监测报告、监测总结报告纸质报告以一式三份提交。</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所提供给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的成果资料所有权由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享有，未经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许可，</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不得将成果泄露给第三方。</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须保证监测成果质量，对技术成果负完全责任，如因监测不实，造成</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经济损失费用全部由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6.安全要求</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安全文明监测要求</w:t>
      </w:r>
    </w:p>
    <w:p>
      <w:pPr>
        <w:widowControl/>
        <w:spacing w:line="360" w:lineRule="auto"/>
        <w:ind w:firstLine="420"/>
        <w:textAlignment w:val="bottom"/>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应强化安全文明生产管理，通过组织落实，责任到人</w:t>
      </w:r>
      <w:r>
        <w:rPr>
          <w:rFonts w:hint="eastAsia" w:ascii="宋体" w:hAnsi="宋体" w:eastAsia="宋体" w:cs="宋体"/>
          <w:color w:val="auto"/>
          <w:sz w:val="21"/>
          <w:szCs w:val="21"/>
          <w:highlight w:val="none"/>
          <w:lang w:eastAsia="zh-CN"/>
        </w:rPr>
        <w:t>；</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需全面了解施工现场安全管理的有关要求，并对需要进入施工现场观测的人员进行安全教育或安全交底；</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进入施工现场的观测人员必须佩戴安全帽和相关的安全防护用品，接受安全工程师的督导；</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埋设观测标志需临时用电，接电时，必须经同意在电气专业人员帮助下才可接用；</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rPr>
        <w:t>进出施工现场应遵守各种安全文明施工和环境保护的规章制度，文明礼貌；</w:t>
      </w:r>
    </w:p>
    <w:p>
      <w:pPr>
        <w:widowControl/>
        <w:spacing w:line="360" w:lineRule="auto"/>
        <w:ind w:firstLine="420"/>
        <w:textAlignment w:val="bottom"/>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.6 </w:t>
      </w:r>
      <w:r>
        <w:rPr>
          <w:rFonts w:hint="eastAsia" w:ascii="宋体" w:hAnsi="宋体" w:eastAsia="宋体" w:cs="宋体"/>
          <w:color w:val="auto"/>
          <w:sz w:val="21"/>
          <w:szCs w:val="21"/>
          <w:highlight w:val="none"/>
        </w:rPr>
        <w:t>在施工现场应听从施工现场管理人员的指挥</w:t>
      </w:r>
      <w:r>
        <w:rPr>
          <w:rFonts w:hint="eastAsia" w:ascii="宋体" w:hAnsi="宋体" w:eastAsia="宋体" w:cs="宋体"/>
          <w:color w:val="auto"/>
          <w:sz w:val="21"/>
          <w:szCs w:val="21"/>
          <w:highlight w:val="none"/>
          <w:lang w:eastAsia="zh-CN"/>
        </w:rPr>
        <w:t>；</w:t>
      </w:r>
    </w:p>
    <w:p>
      <w:pPr>
        <w:widowControl/>
        <w:spacing w:line="360" w:lineRule="auto"/>
        <w:ind w:firstLine="420"/>
        <w:textAlignment w:val="bottom"/>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.7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应做好服务的安全防护措施，服务过程中出现的安全事故由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自行承担</w:t>
      </w:r>
      <w:r>
        <w:rPr>
          <w:rFonts w:hint="eastAsia" w:ascii="宋体" w:hAnsi="宋体" w:eastAsia="宋体" w:cs="宋体"/>
          <w:color w:val="auto"/>
          <w:sz w:val="21"/>
          <w:szCs w:val="21"/>
          <w:highlight w:val="none"/>
          <w:lang w:eastAsia="zh-CN"/>
        </w:rPr>
        <w:t>；</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.8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必须做好安全防护工作，由于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自身的原因发生的任何伤害（包括人身伤害），均由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自行承担。</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安全巡视要求</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6.2.1 </w:t>
      </w:r>
      <w:r>
        <w:rPr>
          <w:rFonts w:hint="eastAsia" w:ascii="宋体" w:hAnsi="宋体" w:eastAsia="宋体" w:cs="宋体"/>
          <w:color w:val="auto"/>
          <w:sz w:val="21"/>
          <w:szCs w:val="21"/>
          <w:highlight w:val="none"/>
        </w:rPr>
        <w:t>安全巡视检查包括以下内容：</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6.2.1.</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当日的天气情况和施工现场的工况；</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6.2.1.</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仪器监测项目各监测点的本次测试值、单次变化值、变化速率以及累计值等，必要时绘制有关曲线图；</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6.2.1.</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巡视检查的记录；</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6.2.1.</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对监测项目应有正常或异常、危险的判断性结论；</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6.2.1.</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对达到或超过监测报警值的监测点应有报警标识，并有分析和建议；</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6.2.1.</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对巡视检查发现的异常情况应有详细描述，危险情况应有报警标示标识，并有分析和建议；</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6.2.1.</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其他相关说明。</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6.2.2 </w:t>
      </w:r>
      <w:r>
        <w:rPr>
          <w:rFonts w:hint="eastAsia" w:ascii="宋体" w:hAnsi="宋体" w:eastAsia="宋体" w:cs="宋体"/>
          <w:color w:val="auto"/>
          <w:sz w:val="21"/>
          <w:szCs w:val="21"/>
          <w:highlight w:val="none"/>
        </w:rPr>
        <w:t>巡视检查宜以目测为主，可辅以锤、钎、量尺、放大镜等工器具以及摄像、摄影灯设备进行。对自然条件、支护结构、施工工况、周边环境、监测设施等的巡视检查情况应做好记录。检查记录应及时整理，并与仪器监测数据进行综合分析。巡视检查如发现异常和危险情况，应及时通知各参建</w:t>
      </w:r>
      <w:r>
        <w:rPr>
          <w:rFonts w:hint="eastAsia" w:ascii="宋体" w:hAnsi="宋体" w:eastAsia="宋体" w:cs="宋体"/>
          <w:color w:val="auto"/>
          <w:sz w:val="21"/>
          <w:szCs w:val="21"/>
          <w:highlight w:val="none"/>
          <w:lang w:eastAsia="zh-CN"/>
        </w:rPr>
        <w:t>方</w:t>
      </w:r>
      <w:r>
        <w:rPr>
          <w:rFonts w:hint="eastAsia" w:ascii="宋体" w:hAnsi="宋体" w:eastAsia="宋体" w:cs="宋体"/>
          <w:color w:val="auto"/>
          <w:sz w:val="21"/>
          <w:szCs w:val="21"/>
          <w:highlight w:val="none"/>
        </w:rPr>
        <w:t>。</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6.2.3 </w:t>
      </w:r>
      <w:r>
        <w:rPr>
          <w:rFonts w:hint="eastAsia" w:ascii="宋体" w:hAnsi="宋体" w:eastAsia="宋体" w:cs="宋体"/>
          <w:color w:val="auto"/>
          <w:sz w:val="21"/>
          <w:szCs w:val="21"/>
          <w:highlight w:val="none"/>
        </w:rPr>
        <w:t>每次现场监测工作实施时同时进行现场安全巡视，在施工影响期内确保每次监测必巡视，遇特殊情况时应加密巡视频率。在项目安全监测周期内的项目，依照安全监测周期频率实施监测，遇特殊情况时应加密巡视频率。</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7.其他要求</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派出的监测人员应具备相应的专业知识及技术水平，有足够能力完成本项目监测服务工作。</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需配备1名项目负责人、1名技术负责人及数量充足的监测工作人员，保证监测工作有序、顺利完成。</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应配备完成本</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rPr>
        <w:t>所必须的监测设备，其性能良好并符合国家规定。同时配备数量充足的交通警示标志和施工围</w:t>
      </w:r>
      <w:r>
        <w:rPr>
          <w:rFonts w:hint="eastAsia" w:ascii="宋体" w:hAnsi="宋体" w:eastAsia="宋体" w:cs="宋体"/>
          <w:color w:val="auto"/>
          <w:sz w:val="21"/>
          <w:szCs w:val="21"/>
          <w:highlight w:val="none"/>
          <w:lang w:val="en-US" w:eastAsia="zh-CN"/>
        </w:rPr>
        <w:t>挡</w:t>
      </w:r>
      <w:r>
        <w:rPr>
          <w:rFonts w:hint="eastAsia" w:ascii="宋体" w:hAnsi="宋体" w:eastAsia="宋体" w:cs="宋体"/>
          <w:color w:val="auto"/>
          <w:sz w:val="21"/>
          <w:szCs w:val="21"/>
          <w:highlight w:val="none"/>
        </w:rPr>
        <w:t>，以及监测仪器、无线通讯设备、劳动防护用品等其它必须使用的工具。</w:t>
      </w:r>
    </w:p>
    <w:p>
      <w:pPr>
        <w:widowControl/>
        <w:spacing w:line="360" w:lineRule="auto"/>
        <w:ind w:firstLine="420"/>
        <w:textAlignment w:val="bottom"/>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hr-HR"/>
        </w:rPr>
        <w:t>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、建设单位、上级行政主管部门</w:t>
      </w:r>
      <w:r>
        <w:rPr>
          <w:rFonts w:hint="eastAsia" w:ascii="宋体" w:hAnsi="宋体" w:eastAsia="宋体" w:cs="宋体"/>
          <w:color w:val="auto"/>
          <w:sz w:val="21"/>
          <w:szCs w:val="21"/>
          <w:highlight w:val="none"/>
          <w:lang w:val="hr-HR"/>
        </w:rPr>
        <w:t>要求（</w:t>
      </w:r>
      <w:r>
        <w:rPr>
          <w:rFonts w:hint="eastAsia" w:ascii="宋体" w:hAnsi="宋体" w:eastAsia="宋体" w:cs="宋体"/>
          <w:color w:val="auto"/>
          <w:sz w:val="21"/>
          <w:szCs w:val="21"/>
          <w:highlight w:val="none"/>
        </w:rPr>
        <w:t>含政策变动</w:t>
      </w:r>
      <w:r>
        <w:rPr>
          <w:rFonts w:hint="eastAsia" w:ascii="宋体" w:hAnsi="宋体" w:eastAsia="宋体" w:cs="宋体"/>
          <w:color w:val="auto"/>
          <w:sz w:val="21"/>
          <w:szCs w:val="21"/>
          <w:highlight w:val="none"/>
          <w:lang w:val="hr-HR"/>
        </w:rPr>
        <w:t>）</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内容和频次增加或减少，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必须无条件</w:t>
      </w:r>
      <w:r>
        <w:rPr>
          <w:rFonts w:hint="eastAsia" w:ascii="宋体" w:hAnsi="宋体" w:eastAsia="宋体" w:cs="宋体"/>
          <w:color w:val="auto"/>
          <w:sz w:val="21"/>
          <w:szCs w:val="21"/>
          <w:highlight w:val="none"/>
          <w:lang w:val="hr-HR"/>
        </w:rPr>
        <w:t>遵守执行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hr-HR"/>
        </w:rPr>
        <w:t>实际</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量以</w:t>
      </w:r>
      <w:r>
        <w:rPr>
          <w:rFonts w:hint="eastAsia" w:ascii="宋体" w:hAnsi="宋体" w:eastAsia="宋体" w:cs="宋体"/>
          <w:color w:val="auto"/>
          <w:sz w:val="21"/>
          <w:szCs w:val="21"/>
          <w:highlight w:val="none"/>
          <w:lang w:val="hr-HR" w:eastAsia="zh-CN"/>
        </w:rPr>
        <w:t>甲方</w:t>
      </w:r>
      <w:r>
        <w:rPr>
          <w:rFonts w:hint="eastAsia" w:ascii="宋体" w:hAnsi="宋体" w:eastAsia="宋体" w:cs="宋体"/>
          <w:color w:val="auto"/>
          <w:sz w:val="21"/>
          <w:szCs w:val="21"/>
          <w:highlight w:val="none"/>
          <w:lang w:val="hr-HR"/>
        </w:rPr>
        <w:t>审核为准。</w:t>
      </w:r>
    </w:p>
    <w:p>
      <w:pPr>
        <w:widowControl/>
        <w:spacing w:line="360" w:lineRule="auto"/>
        <w:ind w:firstLine="420"/>
        <w:textAlignment w:val="bottom"/>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hr-HR"/>
        </w:rPr>
        <w:t>在合同服务期内</w:t>
      </w:r>
      <w:r>
        <w:rPr>
          <w:rFonts w:hint="eastAsia" w:ascii="宋体" w:hAnsi="宋体" w:eastAsia="宋体" w:cs="宋体"/>
          <w:color w:val="auto"/>
          <w:sz w:val="21"/>
          <w:szCs w:val="21"/>
          <w:highlight w:val="none"/>
          <w:lang w:val="hr-HR" w:eastAsia="zh-CN"/>
        </w:rPr>
        <w:t>乙方</w:t>
      </w:r>
      <w:r>
        <w:rPr>
          <w:rFonts w:hint="eastAsia" w:ascii="宋体" w:hAnsi="宋体" w:eastAsia="宋体" w:cs="宋体"/>
          <w:color w:val="auto"/>
          <w:sz w:val="21"/>
          <w:szCs w:val="21"/>
          <w:highlight w:val="none"/>
          <w:lang w:val="hr-HR"/>
        </w:rPr>
        <w:t>不得因实际</w:t>
      </w:r>
      <w:r>
        <w:rPr>
          <w:rFonts w:hint="eastAsia" w:ascii="宋体" w:hAnsi="宋体" w:eastAsia="宋体" w:cs="宋体"/>
          <w:color w:val="auto"/>
          <w:sz w:val="21"/>
          <w:szCs w:val="21"/>
          <w:highlight w:val="none"/>
        </w:rPr>
        <w:t>监测数量</w:t>
      </w:r>
      <w:r>
        <w:rPr>
          <w:rFonts w:hint="eastAsia" w:ascii="宋体" w:hAnsi="宋体" w:eastAsia="宋体" w:cs="宋体"/>
          <w:color w:val="auto"/>
          <w:sz w:val="21"/>
          <w:szCs w:val="21"/>
          <w:highlight w:val="none"/>
          <w:lang w:val="hr-HR"/>
        </w:rPr>
        <w:t>过少或其他理由，而要求</w:t>
      </w:r>
      <w:r>
        <w:rPr>
          <w:rFonts w:hint="eastAsia" w:ascii="宋体" w:hAnsi="宋体" w:eastAsia="宋体" w:cs="宋体"/>
          <w:color w:val="auto"/>
          <w:sz w:val="21"/>
          <w:szCs w:val="21"/>
          <w:highlight w:val="none"/>
          <w:lang w:val="hr-HR" w:eastAsia="zh-CN"/>
        </w:rPr>
        <w:t>甲方</w:t>
      </w:r>
      <w:r>
        <w:rPr>
          <w:rFonts w:hint="eastAsia" w:ascii="宋体" w:hAnsi="宋体" w:eastAsia="宋体" w:cs="宋体"/>
          <w:color w:val="auto"/>
          <w:sz w:val="21"/>
          <w:szCs w:val="21"/>
          <w:highlight w:val="none"/>
          <w:lang w:val="hr-HR"/>
        </w:rPr>
        <w:t>提供任何形式的补偿或赔偿，或要求</w:t>
      </w:r>
      <w:r>
        <w:rPr>
          <w:rFonts w:hint="eastAsia" w:ascii="宋体" w:hAnsi="宋体" w:eastAsia="宋体" w:cs="宋体"/>
          <w:color w:val="auto"/>
          <w:sz w:val="21"/>
          <w:szCs w:val="21"/>
          <w:highlight w:val="none"/>
          <w:lang w:val="hr-HR" w:eastAsia="zh-CN"/>
        </w:rPr>
        <w:t>甲方</w:t>
      </w:r>
      <w:r>
        <w:rPr>
          <w:rFonts w:hint="eastAsia" w:ascii="宋体" w:hAnsi="宋体" w:eastAsia="宋体" w:cs="宋体"/>
          <w:color w:val="auto"/>
          <w:sz w:val="21"/>
          <w:szCs w:val="21"/>
          <w:highlight w:val="none"/>
          <w:lang w:val="hr-HR"/>
        </w:rPr>
        <w:t>所有的项目必须开展监测服务。</w:t>
      </w:r>
    </w:p>
    <w:p>
      <w:pPr>
        <w:widowControl/>
        <w:spacing w:line="360" w:lineRule="auto"/>
        <w:ind w:firstLine="420"/>
        <w:textAlignment w:val="bottom"/>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hr-HR"/>
        </w:rPr>
        <w:t>自行解决现场</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所需辅助劳务及相关费用。</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服务过程中涉及的设备、工具，由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自行解决。</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服务过程中涉及的用水、用电由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自行接入，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需做好用水、用电安全防护措施并无条件接受</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监督。设备、设施的水、电费用由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提供的设备、人员及其他材料，数量及技术性能必须满足招标文件的各项要求及乙方的投标承诺。如原招标文件的各项要求及乙方的投标承诺有设备、人员及其他材料投入不能满足服务的实际需要时，乙方必须根据服务的需要，自行增加相应的设备及人员，并承担相应费用。</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9.乙方提供工程监测服务不得低于国家标准、招标文件的要求及投标文件承诺的标准。</w:t>
      </w:r>
    </w:p>
    <w:p>
      <w:pPr>
        <w:widowControl/>
        <w:spacing w:line="360" w:lineRule="auto"/>
        <w:ind w:firstLine="420"/>
        <w:textAlignment w:val="bottom"/>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outlineLvl w:val="2"/>
        <w:rPr>
          <w:rFonts w:hint="eastAsia" w:ascii="宋体" w:hAnsi="宋体" w:eastAsia="宋体" w:cs="宋体"/>
          <w:b/>
          <w:color w:val="auto"/>
          <w:kern w:val="2"/>
          <w:sz w:val="21"/>
          <w:szCs w:val="21"/>
          <w:highlight w:val="none"/>
        </w:rPr>
      </w:pPr>
      <w:bookmarkStart w:id="482" w:name="_Toc6407"/>
      <w:r>
        <w:rPr>
          <w:rFonts w:hint="eastAsia" w:ascii="宋体" w:hAnsi="宋体" w:eastAsia="宋体" w:cs="宋体"/>
          <w:b/>
          <w:color w:val="auto"/>
          <w:kern w:val="2"/>
          <w:sz w:val="21"/>
          <w:szCs w:val="21"/>
          <w:highlight w:val="none"/>
        </w:rPr>
        <w:t>三、服务价格及合同价款</w:t>
      </w:r>
      <w:bookmarkEnd w:id="482"/>
    </w:p>
    <w:p>
      <w:pPr>
        <w:autoSpaceDE/>
        <w:autoSpaceDN/>
        <w:adjustRightInd/>
        <w:spacing w:line="360" w:lineRule="auto"/>
        <w:ind w:firstLine="422" w:firstLineChars="201"/>
        <w:jc w:val="both"/>
        <w:rPr>
          <w:rFonts w:hint="eastAsia" w:ascii="宋体" w:hAnsi="宋体" w:eastAsia="宋体" w:cs="宋体"/>
          <w:b/>
          <w:color w:val="auto"/>
          <w:kern w:val="2"/>
          <w:sz w:val="21"/>
          <w:szCs w:val="21"/>
          <w:highlight w:val="none"/>
        </w:rPr>
      </w:pPr>
      <w:r>
        <w:rPr>
          <w:rFonts w:hint="eastAsia" w:ascii="宋体" w:hAnsi="宋体" w:eastAsia="宋体" w:cs="宋体"/>
          <w:color w:val="auto"/>
          <w:sz w:val="21"/>
          <w:szCs w:val="21"/>
          <w:highlight w:val="none"/>
        </w:rPr>
        <w:t>1.合同价款：</w:t>
      </w:r>
      <w:r>
        <w:rPr>
          <w:rFonts w:hint="eastAsia" w:ascii="宋体" w:hAnsi="宋体" w:eastAsia="宋体" w:cs="宋体"/>
          <w:b/>
          <w:color w:val="auto"/>
          <w:kern w:val="2"/>
          <w:sz w:val="21"/>
          <w:szCs w:val="21"/>
          <w:highlight w:val="none"/>
        </w:rPr>
        <w:t xml:space="preserve"> </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暂定总合同价款（即销售额，不含</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销项税额）（大写）：人民币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rPr>
        <w:t>。监测服务系数为</w:t>
      </w:r>
      <w:r>
        <w:rPr>
          <w:rFonts w:hint="eastAsia" w:ascii="宋体" w:hAnsi="宋体" w:eastAsia="宋体" w:cs="宋体"/>
          <w:b/>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pPr>
        <w:autoSpaceDE/>
        <w:autoSpaceDN/>
        <w:adjustRightInd/>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依法计得并根据本合同约定确定的销项税额由</w:t>
      </w:r>
      <w:r>
        <w:rPr>
          <w:rFonts w:hint="eastAsia" w:ascii="宋体" w:hAnsi="宋体" w:eastAsia="宋体" w:cs="宋体"/>
          <w:color w:val="auto"/>
          <w:sz w:val="21"/>
          <w:szCs w:val="21"/>
          <w:highlight w:val="none"/>
          <w:lang w:val="en-US" w:eastAsia="zh-CN"/>
        </w:rPr>
        <w:t>丙方或甲方</w:t>
      </w:r>
      <w:r>
        <w:rPr>
          <w:rFonts w:hint="eastAsia" w:ascii="宋体" w:hAnsi="宋体" w:eastAsia="宋体" w:cs="宋体"/>
          <w:color w:val="auto"/>
          <w:sz w:val="21"/>
          <w:szCs w:val="21"/>
          <w:highlight w:val="none"/>
        </w:rPr>
        <w:t>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%，对应暂定总合同价款的销项税额为人民币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）。增值税税率根据《中华人民共和国增值税暂行条例》（国务院令第691号修订版）及当前税务部门的相关规定,支付和结算时按实进行调整。</w:t>
      </w:r>
    </w:p>
    <w:p>
      <w:pPr>
        <w:autoSpaceDE/>
        <w:autoSpaceDN/>
        <w:adjustRightInd/>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暂定总合同价款价税合计（以下简称“暂定总合同价款（含税）”，大写）：人民币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keepNext w:val="0"/>
        <w:keepLines w:val="0"/>
        <w:widowControl w:val="0"/>
        <w:suppressLineNumbers w:val="0"/>
        <w:autoSpaceDE w:val="0"/>
        <w:autoSpaceDN/>
        <w:adjustRightInd w:val="0"/>
        <w:snapToGrid w:val="0"/>
        <w:spacing w:before="0" w:beforeAutospacing="0" w:after="0" w:afterAutospacing="0" w:line="360" w:lineRule="auto"/>
        <w:ind w:left="0" w:right="0" w:firstLine="411" w:firstLineChars="196"/>
        <w:jc w:val="both"/>
        <w:rPr>
          <w:rFonts w:hint="eastAsia" w:ascii="宋体" w:hAnsi="宋体" w:eastAsia="宋体" w:cs="宋体"/>
          <w:bCs/>
          <w:color w:val="auto"/>
          <w:kern w:val="2"/>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kern w:val="2"/>
          <w:sz w:val="21"/>
          <w:szCs w:val="21"/>
          <w:highlight w:val="none"/>
          <w:lang w:val="en-US" w:eastAsia="zh-CN" w:bidi="ar"/>
        </w:rPr>
        <w:t>合同附件一《监测工程量清单计价表》的不含税综合单价（即结算不含税综合单价）等于招标文件附件一《监测工程量清单计价表》列出的不含税综合单价乘以中标报价（监测服务系数），结算时不作调整。</w:t>
      </w:r>
    </w:p>
    <w:p>
      <w:pPr>
        <w:keepNext w:val="0"/>
        <w:keepLines w:val="0"/>
        <w:widowControl w:val="0"/>
        <w:suppressLineNumbers w:val="0"/>
        <w:autoSpaceDE w:val="0"/>
        <w:autoSpaceDN/>
        <w:adjustRightInd w:val="0"/>
        <w:snapToGrid w:val="0"/>
        <w:spacing w:before="0" w:beforeAutospacing="0" w:after="0" w:afterAutospacing="0" w:line="360" w:lineRule="auto"/>
        <w:ind w:left="0" w:right="0" w:firstLine="411" w:firstLineChars="196"/>
        <w:jc w:val="both"/>
        <w:rPr>
          <w:rFonts w:hint="eastAsia" w:ascii="宋体" w:hAnsi="宋体" w:eastAsia="宋体" w:cs="宋体"/>
          <w:color w:val="auto"/>
          <w:sz w:val="21"/>
          <w:szCs w:val="21"/>
          <w:highlight w:val="none"/>
        </w:rPr>
      </w:pPr>
      <w:r>
        <w:rPr>
          <w:rFonts w:hint="eastAsia" w:ascii="宋体" w:hAnsi="宋体" w:eastAsia="宋体" w:cs="宋体"/>
          <w:bCs/>
          <w:color w:val="auto"/>
          <w:kern w:val="2"/>
          <w:sz w:val="21"/>
          <w:szCs w:val="21"/>
          <w:highlight w:val="none"/>
          <w:lang w:val="en-US" w:eastAsia="zh-CN" w:bidi="ar"/>
        </w:rPr>
        <w:t>3.本项目的计费标准按照合同附件一《监测工程量清单计价表》（详见附件）中的不含税</w:t>
      </w:r>
      <w:r>
        <w:rPr>
          <w:rFonts w:hint="eastAsia" w:ascii="宋体" w:hAnsi="宋体" w:eastAsia="宋体" w:cs="宋体"/>
          <w:color w:val="auto"/>
          <w:kern w:val="2"/>
          <w:sz w:val="21"/>
          <w:szCs w:val="21"/>
          <w:highlight w:val="none"/>
          <w:lang w:val="en-US" w:eastAsia="zh-CN" w:bidi="ar"/>
        </w:rPr>
        <w:t>综合单价×实际监测工作量进行结算，</w:t>
      </w:r>
      <w:r>
        <w:rPr>
          <w:rFonts w:hint="eastAsia" w:ascii="宋体" w:hAnsi="宋体" w:eastAsia="宋体" w:cs="Times New Roman"/>
          <w:color w:val="auto"/>
          <w:szCs w:val="21"/>
          <w:highlight w:val="none"/>
          <w:lang w:val="zh-CN"/>
        </w:rPr>
        <w:t>但最终结算价不得超出暂定总合同价款（含税）</w:t>
      </w:r>
      <w:r>
        <w:rPr>
          <w:rFonts w:hint="eastAsia" w:ascii="宋体" w:hAnsi="宋体" w:eastAsia="宋体" w:cs="宋体"/>
          <w:color w:val="auto"/>
          <w:kern w:val="2"/>
          <w:sz w:val="21"/>
          <w:szCs w:val="21"/>
          <w:highlight w:val="none"/>
          <w:lang w:val="en-US" w:eastAsia="zh-CN" w:bidi="ar"/>
        </w:rPr>
        <w:t>。</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不含税综合单价包含为实施和完成监测工程所需的人工费、机械费、材料设备费、水电费以及进出场费、试坑开挖、桩头处理、加荷体吊装运输、应力应变测试的传感费用、埋设安装费用、道路修填、重锤吊装及运输费、钻孔费、引孔费、临时设施费、检验试验、安全生产、管理、利润、规费、专家论证费、</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销项税额以外的税金等一切费用，以及合同规定的所有责任、义务和一切风险。监测时，如需土建总包单位配合或向其租借设备时，自行与总包单位协调，配合及租借费用应包括在合同价内。</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.《监测工程量清单计价表》不作为乙方最终服务范围及业务承接数量的保证，甲方有权根据实际需求对监测工程量进行优化调整，最终服务费用按实际发生工程量结算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但最终结算价不得超出暂定总合同价款（含税）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合同服务期内，乙方不得因实际监测项目数量及服务费用的增减而要求甲方提供任何形式的补偿或赔偿，或只按甲方暂定的《监测工程量清单计价表》提供相应的对应服务。否则，视为乙方违约，甲方有权追究乙方的违约责任。</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.对于《监测工程量清单计价表》外新增的监测项目，不含税综合单价按以下方法计算：</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（1）按《广东省房屋建筑和市政工程工程质量安全检测收费指导价》（粤建检协〔2015〕8号）对应项单价÷1.06×监测</w:t>
      </w:r>
      <w:r>
        <w:rPr>
          <w:rFonts w:hint="eastAsia" w:ascii="宋体" w:hAnsi="宋体" w:eastAsia="宋体" w:cs="宋体"/>
          <w:color w:val="auto"/>
          <w:kern w:val="2"/>
          <w:sz w:val="21"/>
          <w:szCs w:val="21"/>
          <w:highlight w:val="none"/>
        </w:rPr>
        <w:t>服务</w:t>
      </w:r>
      <w:r>
        <w:rPr>
          <w:rFonts w:hint="eastAsia" w:ascii="宋体" w:hAnsi="宋体" w:eastAsia="宋体" w:cs="宋体"/>
          <w:color w:val="auto"/>
          <w:sz w:val="21"/>
          <w:szCs w:val="21"/>
          <w:highlight w:val="none"/>
        </w:rPr>
        <w:t>系数；</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（2）《广东省房屋建筑和市政工程工程质量安全检测收费指导价》（粤建检协〔2015〕8号）无对应项的，由甲方结合本地</w:t>
      </w:r>
      <w:r>
        <w:rPr>
          <w:rFonts w:hint="eastAsia" w:ascii="宋体" w:hAnsi="宋体" w:eastAsia="宋体" w:cs="宋体"/>
          <w:b w:val="0"/>
          <w:bCs w:val="0"/>
          <w:color w:val="auto"/>
          <w:sz w:val="21"/>
          <w:szCs w:val="21"/>
          <w:highlight w:val="none"/>
          <w:lang w:val="en-US"/>
        </w:rPr>
        <w:t>及周边同类城市</w:t>
      </w:r>
      <w:r>
        <w:rPr>
          <w:rFonts w:hint="eastAsia" w:ascii="宋体" w:hAnsi="宋体" w:eastAsia="宋体" w:cs="宋体"/>
          <w:color w:val="auto"/>
          <w:sz w:val="21"/>
          <w:szCs w:val="21"/>
          <w:highlight w:val="none"/>
        </w:rPr>
        <w:t>市场询价</w:t>
      </w:r>
      <w:r>
        <w:rPr>
          <w:rFonts w:hint="eastAsia" w:ascii="宋体" w:hAnsi="宋体" w:eastAsia="宋体" w:cs="宋体"/>
          <w:b w:val="0"/>
          <w:bCs w:val="0"/>
          <w:color w:val="auto"/>
          <w:sz w:val="21"/>
          <w:szCs w:val="21"/>
          <w:highlight w:val="none"/>
          <w:lang w:val="en-US"/>
        </w:rPr>
        <w:t>的不含税综合单价</w:t>
      </w:r>
      <w:r>
        <w:rPr>
          <w:rFonts w:hint="eastAsia" w:ascii="宋体" w:hAnsi="宋体" w:eastAsia="宋体" w:cs="宋体"/>
          <w:color w:val="auto"/>
          <w:sz w:val="21"/>
          <w:szCs w:val="21"/>
          <w:highlight w:val="none"/>
        </w:rPr>
        <w:t>×监测</w:t>
      </w:r>
      <w:r>
        <w:rPr>
          <w:rFonts w:hint="eastAsia" w:ascii="宋体" w:hAnsi="宋体" w:eastAsia="宋体" w:cs="宋体"/>
          <w:color w:val="auto"/>
          <w:kern w:val="2"/>
          <w:sz w:val="21"/>
          <w:szCs w:val="21"/>
          <w:highlight w:val="none"/>
        </w:rPr>
        <w:t>服务</w:t>
      </w:r>
      <w:r>
        <w:rPr>
          <w:rFonts w:hint="eastAsia" w:ascii="宋体" w:hAnsi="宋体" w:eastAsia="宋体" w:cs="宋体"/>
          <w:color w:val="auto"/>
          <w:sz w:val="21"/>
          <w:szCs w:val="21"/>
          <w:highlight w:val="none"/>
        </w:rPr>
        <w:t>系数。</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以上不含税综合单价均保留两位小数。</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.结算调整规则、范围及方式</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（1）结算调整的范围：因设计变更、改线或者重大工艺变更等工程变更引起的监测项目的变更，包含监测项目增减和已有监测项目中工作量的增减，乙方在实施前，须提出变更申请，经本工程的设计</w:t>
      </w:r>
      <w:r>
        <w:rPr>
          <w:rFonts w:hint="eastAsia" w:ascii="宋体" w:hAnsi="宋体" w:eastAsia="宋体" w:cs="宋体"/>
          <w:color w:val="auto"/>
          <w:kern w:val="2"/>
          <w:sz w:val="21"/>
          <w:szCs w:val="21"/>
          <w:highlight w:val="none"/>
          <w:lang w:val="en-US" w:eastAsia="zh-CN"/>
        </w:rPr>
        <w:t>单位</w:t>
      </w:r>
      <w:r>
        <w:rPr>
          <w:rFonts w:hint="eastAsia" w:ascii="宋体" w:hAnsi="宋体" w:eastAsia="宋体" w:cs="宋体"/>
          <w:color w:val="auto"/>
          <w:kern w:val="2"/>
          <w:sz w:val="21"/>
          <w:szCs w:val="21"/>
          <w:highlight w:val="none"/>
        </w:rPr>
        <w:t>、监理</w:t>
      </w:r>
      <w:r>
        <w:rPr>
          <w:rFonts w:hint="eastAsia" w:ascii="宋体" w:hAnsi="宋体" w:eastAsia="宋体" w:cs="宋体"/>
          <w:color w:val="auto"/>
          <w:kern w:val="2"/>
          <w:sz w:val="21"/>
          <w:szCs w:val="21"/>
          <w:highlight w:val="none"/>
          <w:lang w:val="en-US" w:eastAsia="zh-CN"/>
        </w:rPr>
        <w:t>单位</w:t>
      </w:r>
      <w:r>
        <w:rPr>
          <w:rFonts w:hint="eastAsia" w:ascii="宋体" w:hAnsi="宋体" w:eastAsia="宋体" w:cs="宋体"/>
          <w:color w:val="auto"/>
          <w:kern w:val="2"/>
          <w:sz w:val="21"/>
          <w:szCs w:val="21"/>
          <w:highlight w:val="none"/>
        </w:rPr>
        <w:t>及甲方（含其委托的第三方审核机构）批准后方可实施。</w:t>
      </w:r>
    </w:p>
    <w:p>
      <w:pPr>
        <w:spacing w:line="360" w:lineRule="auto"/>
        <w:ind w:firstLine="420"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kern w:val="2"/>
          <w:sz w:val="21"/>
          <w:szCs w:val="21"/>
          <w:highlight w:val="none"/>
        </w:rPr>
        <w:t>（2）变更项目监测的计价：</w:t>
      </w:r>
      <w:r>
        <w:rPr>
          <w:rFonts w:hint="eastAsia" w:ascii="宋体" w:hAnsi="宋体" w:eastAsia="宋体" w:cs="宋体"/>
          <w:b/>
          <w:bCs/>
          <w:color w:val="auto"/>
          <w:kern w:val="2"/>
          <w:sz w:val="21"/>
          <w:szCs w:val="21"/>
          <w:highlight w:val="none"/>
        </w:rPr>
        <w:t>合同价中已有适用于变更监测项目的不含税综合单价，按合同已有的不含税综合单价变更合同价款；合同中已有类似变更监测项目的不含税综合单价，可参照类似监测项目不含税综合单价变更合同价款；合同中没有适用于变更监测项目的不含税综合单价，经批准变更后，按照《广东省房屋建筑和市政工程工程质量安全检测收费指导价》（粤建检协〔2015〕8号）对应项单价÷1.06×监测服务系数计算，《广东省房屋建筑和市政工程工程质量安全检测收费指导价》（粤建检协〔2015〕8号）无对应项的，由甲方结合本地</w:t>
      </w:r>
      <w:r>
        <w:rPr>
          <w:rFonts w:hint="eastAsia" w:ascii="宋体" w:hAnsi="宋体" w:eastAsia="宋体" w:cs="宋体"/>
          <w:b/>
          <w:bCs/>
          <w:color w:val="auto"/>
          <w:kern w:val="2"/>
          <w:sz w:val="21"/>
          <w:szCs w:val="21"/>
          <w:highlight w:val="none"/>
          <w:lang w:val="en-US"/>
        </w:rPr>
        <w:t>及周边同类城市</w:t>
      </w:r>
      <w:r>
        <w:rPr>
          <w:rFonts w:hint="eastAsia" w:ascii="宋体" w:hAnsi="宋体" w:eastAsia="宋体" w:cs="宋体"/>
          <w:b/>
          <w:bCs/>
          <w:color w:val="auto"/>
          <w:kern w:val="2"/>
          <w:sz w:val="21"/>
          <w:szCs w:val="21"/>
          <w:highlight w:val="none"/>
        </w:rPr>
        <w:t>市场询价的不含税综合单价×监测服务系数。所有变更的监测项目均须书面向甲方申报，经甲方（含其委托的第三方审核机构）审核批准同意后方可实施。</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rPr>
        <w:t>（3）在完成所有合同内容并具备结算条件3个月后，仍未报结算资料，甲方将书面发函督促办理结算，函中明确接到函件10个工作日后，仍未提交结算资料，或不配合甲方完成结算工作，丙方将根据已支付的进度款进行单方结算，由此所产生的法律责任均由乙方承担。</w:t>
      </w:r>
    </w:p>
    <w:p>
      <w:pPr>
        <w:pStyle w:val="13"/>
        <w:ind w:firstLine="400"/>
        <w:rPr>
          <w:rFonts w:hint="eastAsia" w:ascii="宋体" w:hAnsi="宋体" w:eastAsia="宋体" w:cs="宋体"/>
          <w:color w:val="auto"/>
          <w:highlight w:val="none"/>
        </w:rPr>
      </w:pP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outlineLvl w:val="2"/>
        <w:rPr>
          <w:rFonts w:hint="eastAsia" w:ascii="宋体" w:hAnsi="宋体" w:eastAsia="宋体" w:cs="宋体"/>
          <w:b/>
          <w:color w:val="auto"/>
          <w:kern w:val="2"/>
          <w:sz w:val="21"/>
          <w:szCs w:val="21"/>
          <w:highlight w:val="none"/>
        </w:rPr>
      </w:pPr>
      <w:bookmarkStart w:id="483" w:name="_Toc17708"/>
      <w:r>
        <w:rPr>
          <w:rFonts w:hint="eastAsia" w:ascii="宋体" w:hAnsi="宋体" w:eastAsia="宋体" w:cs="宋体"/>
          <w:b/>
          <w:color w:val="auto"/>
          <w:kern w:val="2"/>
          <w:sz w:val="21"/>
          <w:szCs w:val="21"/>
          <w:highlight w:val="none"/>
        </w:rPr>
        <w:t>四、付款方式</w:t>
      </w:r>
      <w:bookmarkEnd w:id="483"/>
    </w:p>
    <w:p>
      <w:pPr>
        <w:autoSpaceDE/>
        <w:autoSpaceDN/>
        <w:adjustRightInd/>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项目为代建类项目，丙方有权直接向乙方支付合同价款，也有权委托甲方向乙方代付价款，具体支付方式以甲方通知为准。如丙方委托甲方向乙方代付工程价款的，因甲方系受丙方委托代付，乙方承诺不得就合同款项问题向甲方主张任何权利，乙方同意甲方亦无需承担任何责任；如因款项支付产生纠纷的(包括但不限于诉讼等)，由乙方与丙方协调处理，与甲方无关。</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.以季度为单位，即按季度计量支付进度款，</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提供相应的正式监测报告，经监理人及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审核通过后，</w:t>
      </w:r>
      <w:r>
        <w:rPr>
          <w:rFonts w:hint="eastAsia" w:ascii="宋体" w:hAnsi="宋体" w:eastAsia="宋体" w:cs="宋体"/>
          <w:color w:val="auto"/>
          <w:sz w:val="21"/>
          <w:szCs w:val="21"/>
          <w:highlight w:val="none"/>
          <w:lang w:eastAsia="zh-CN"/>
        </w:rPr>
        <w:t>丙方</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提交对应的请款报告30天内向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支付进度款。</w:t>
      </w:r>
    </w:p>
    <w:p>
      <w:pPr>
        <w:autoSpaceDE/>
        <w:autoSpaceDN/>
        <w:adjustRightInd/>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丙方或甲方以季度为单位按经监理人及甲方审核通过的监测报告所涉款项的80%支付本合同进度款，但丙方或甲方累计支付的进度款不超过暂定总合同价款价税合计的80%，待工程竣工验收合格，项目结算完毕，并提交请款报告后30天内，丙方或甲方按结算价一次性支付余款。</w:t>
      </w:r>
    </w:p>
    <w:p>
      <w:pPr>
        <w:spacing w:line="360" w:lineRule="auto"/>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4.乙方收取每笔款项前，在提交请款报告的同时一并提供等额有效的</w:t>
      </w:r>
      <w:r>
        <w:rPr>
          <w:rFonts w:hint="eastAsia" w:ascii="宋体" w:hAnsi="宋体" w:eastAsia="宋体" w:cs="Times New Roman"/>
          <w:color w:val="auto"/>
          <w:szCs w:val="21"/>
          <w:highlight w:val="none"/>
          <w:lang w:val="zh-CN"/>
        </w:rPr>
        <w:t>增值税普通发票</w:t>
      </w:r>
      <w:r>
        <w:rPr>
          <w:rFonts w:hint="eastAsia" w:ascii="宋体" w:hAnsi="宋体" w:eastAsia="宋体" w:cs="宋体"/>
          <w:color w:val="auto"/>
          <w:sz w:val="21"/>
          <w:szCs w:val="21"/>
          <w:highlight w:val="none"/>
          <w:lang w:val="en-US" w:eastAsia="zh-CN"/>
        </w:rPr>
        <w:t>，丙方或甲方在收到相关请款材料审核后支付；乙方逾期提交请款材料或提供的发票不合格的，丙方或甲方的付款时间可相应顺延，且不视为违约。因支付产生的相关银行手续费用，根据有关银行规定执行，如不能明确费用承担主体的，相关手续费用由双方各承担50%。由于乙方提供的发票不符合税法规定，给丙方或甲方造成的损失由乙方承担赔偿责任。</w:t>
      </w:r>
    </w:p>
    <w:p>
      <w:pPr>
        <w:spacing w:line="360" w:lineRule="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outlineLvl w:val="2"/>
        <w:rPr>
          <w:rFonts w:hint="eastAsia" w:ascii="宋体" w:hAnsi="宋体" w:eastAsia="宋体" w:cs="宋体"/>
          <w:b/>
          <w:bCs/>
          <w:color w:val="auto"/>
          <w:sz w:val="21"/>
          <w:szCs w:val="21"/>
          <w:highlight w:val="none"/>
        </w:rPr>
      </w:pPr>
      <w:bookmarkStart w:id="484" w:name="_Toc3817"/>
      <w:r>
        <w:rPr>
          <w:rFonts w:hint="eastAsia" w:ascii="宋体" w:hAnsi="宋体" w:eastAsia="宋体" w:cs="宋体"/>
          <w:b/>
          <w:bCs/>
          <w:color w:val="auto"/>
          <w:sz w:val="21"/>
          <w:szCs w:val="21"/>
          <w:highlight w:val="none"/>
        </w:rPr>
        <w:t>五、履约担保</w:t>
      </w:r>
      <w:bookmarkEnd w:id="484"/>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履约保证金（银行转账形式）金额为暂定总合同价款（含税）的5%为¥     元（大写人民币      ）；</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银行不可撤销履约保函金额为暂定总合同价款（含税）的8%为¥     元（大写人民币      ）；</w:t>
      </w:r>
    </w:p>
    <w:p>
      <w:pPr>
        <w:widowControl/>
        <w:autoSpaceDE/>
        <w:autoSpaceDN/>
        <w:adjustRightInd/>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采用履约保证保险形式的金额为暂定总合同价款（含税）的8%</w:t>
      </w:r>
      <w:r>
        <w:rPr>
          <w:rFonts w:hint="eastAsia" w:ascii="宋体" w:hAnsi="宋体" w:eastAsia="宋体" w:cs="宋体"/>
          <w:color w:val="auto"/>
          <w:sz w:val="21"/>
          <w:szCs w:val="21"/>
          <w:highlight w:val="none"/>
        </w:rPr>
        <w:t>为¥     元（大写人民币      ）；</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担保公司履约担保书金额为暂定总合同价款（含税）的10%为¥     元（大写人民币      ）。</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全履行其合同义务而蒙受的损失或其他合同约定的事项，如发生下列任一情况时，甲方除有权依合同追究乙方给甲方造成的损失责任外，同时有权提取履约担保并进行相应处理：</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乙方</w:t>
      </w:r>
      <w:r>
        <w:rPr>
          <w:rFonts w:hint="eastAsia" w:ascii="宋体" w:hAnsi="宋体" w:eastAsia="宋体" w:cs="Times New Roman"/>
          <w:color w:val="auto"/>
          <w:kern w:val="0"/>
          <w:szCs w:val="21"/>
          <w:highlight w:val="none"/>
        </w:rPr>
        <w:t>将合同项下</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kern w:val="0"/>
          <w:szCs w:val="21"/>
          <w:highlight w:val="none"/>
        </w:rPr>
        <w:t>的权利义务全部转让给第三方，或未经</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书面同意将部分权利义务转让给第三方的，</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有权没收其履约担保。</w:t>
      </w:r>
    </w:p>
    <w:p>
      <w:pPr>
        <w:widowControl/>
        <w:autoSpaceDE/>
        <w:autoSpaceDN/>
        <w:adjustRightInd/>
        <w:spacing w:line="360" w:lineRule="auto"/>
        <w:ind w:firstLine="420" w:firstLineChars="200"/>
        <w:jc w:val="both"/>
        <w:rPr>
          <w:rFonts w:hint="eastAsia" w:ascii="宋体" w:hAnsi="宋体" w:eastAsia="宋体" w:cs="Times New Roman"/>
          <w:color w:val="auto"/>
          <w:kern w:val="0"/>
          <w:szCs w:val="21"/>
          <w:highlight w:val="none"/>
        </w:rPr>
      </w:pPr>
      <w:r>
        <w:rPr>
          <w:rFonts w:hint="eastAsia" w:ascii="宋体" w:hAnsi="宋体" w:eastAsia="宋体" w:cs="宋体"/>
          <w:color w:val="auto"/>
          <w:sz w:val="21"/>
          <w:szCs w:val="21"/>
          <w:highlight w:val="none"/>
        </w:rPr>
        <w:t>2.2</w:t>
      </w:r>
      <w:r>
        <w:rPr>
          <w:rFonts w:ascii="宋体" w:hAnsi="宋体" w:eastAsia="宋体" w:cs="Times New Roman"/>
          <w:color w:val="auto"/>
          <w:kern w:val="0"/>
          <w:szCs w:val="21"/>
          <w:highlight w:val="none"/>
        </w:rPr>
        <w:t>在合同履行期间，</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kern w:val="0"/>
          <w:szCs w:val="21"/>
          <w:highlight w:val="none"/>
        </w:rPr>
        <w:t>怠于履行合同义务，经</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通知或要求承担违约金后仍拒不改正的，</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可依法没收或适当扣除其履约担保。</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Times New Roman"/>
          <w:color w:val="auto"/>
          <w:kern w:val="0"/>
          <w:szCs w:val="21"/>
          <w:highlight w:val="none"/>
          <w:lang w:val="en-US" w:eastAsia="zh-CN"/>
        </w:rPr>
        <w:t>2.3</w:t>
      </w:r>
      <w:r>
        <w:rPr>
          <w:rFonts w:hint="eastAsia" w:ascii="宋体" w:hAnsi="宋体" w:eastAsia="宋体" w:cs="宋体"/>
          <w:color w:val="auto"/>
          <w:sz w:val="21"/>
          <w:szCs w:val="21"/>
          <w:highlight w:val="none"/>
        </w:rPr>
        <w:t>在合同履行期间，因乙方</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服务质量问题造成损害、侵权损失（包括但不限于甲方经济损失、第三人人身财产损失等）、</w:t>
      </w:r>
      <w:r>
        <w:rPr>
          <w:rFonts w:hint="eastAsia" w:ascii="宋体" w:hAnsi="宋体" w:eastAsia="宋体" w:cs="Times New Roman"/>
          <w:color w:val="auto"/>
          <w:kern w:val="0"/>
          <w:szCs w:val="21"/>
          <w:highlight w:val="none"/>
        </w:rPr>
        <w:t>拖欠原材料供应商货款</w:t>
      </w:r>
      <w:r>
        <w:rPr>
          <w:rFonts w:hint="eastAsia" w:ascii="宋体" w:hAnsi="宋体" w:eastAsia="宋体" w:cs="宋体"/>
          <w:color w:val="auto"/>
          <w:sz w:val="21"/>
          <w:szCs w:val="21"/>
          <w:highlight w:val="none"/>
        </w:rPr>
        <w:t>或与其所雇用员工发生劳资纠纷、上访、闹事或其他影响甲方生产经营等情况而其未及时妥善处理的，甲方有权使用履约担保予以支付或作出相应处理，由此产生的一切法律后果由乙方承担。</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在合同履行期间，乙方违约产生的违约金、赔偿或其他应付费用等款项，甲方有权直接启用履约担保予以支付。</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合同期内，乙方不能及时完成合同某项义务的，甲方有权提取履约担保用于处理该项工作。</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其他根据本合同约定或法律规定，甲方可启用履约担保的情形。</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如乙方提供履约保证金作为履约担保的，</w:t>
      </w:r>
      <w:r>
        <w:rPr>
          <w:rFonts w:hint="eastAsia" w:ascii="宋体" w:hAnsi="宋体" w:eastAsia="宋体" w:cs="宋体"/>
          <w:color w:val="auto"/>
          <w:sz w:val="21"/>
          <w:szCs w:val="21"/>
          <w:highlight w:val="none"/>
        </w:rPr>
        <w:t>在合同期限届满并履行完毕相关服务义务且结算完毕之后二十八（28）个日历天内，经甲方确认，乙方可向甲方提交退回履约担保的申请。甲方审核无异议后，办理履约担保退还手续，履约保证金形式提交的履约担保余额退回时一律以银行转账的形式无息退回到乙方的账户。</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4.如乙方提供不可撤销银行履约保函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或担保公司履约担保书作为履约担保的，不可撤销银行履约保函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或担保公司履约担保书期限应从合同签订之日起至合同期限届满并履行完毕相关服务义务且结算完毕之后二十八（28）个日历天内保持有效。如不可撤销银行履约保函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或担保公司履约担保书在规定有效期届满时而乙方未完成本合同及本合同下所有补充协议的全部服务义务且未结算完毕的，乙方必须在不可撤销银行履约保函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或担保公司履约担保书到期15个日历天前无条件办理办妥符合甲方要求的延期手续或重新提供不可撤销银行履约保函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或担保公司履约担保书；否则视为乙方违约，甲方有权在不可撤销银行履约保函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或担保公司履约担保书到期前向出具履约担保的机构提取履约担保金。在不可撤销银行履约保函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或担保公司履约担保书到期后乙方未按甲方要求重新提供的，甲方有权要求乙方以履约担保金额为限承担违约金，违约金可直接由丙方从未付款项中扣除并支付给甲方。</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履行过程中，不论何种原因导致履约担保数额不符合招标文件要求的，乙方应当在5个日历天内予以补足。逾期不予补足的，甲方有权按需补足的金额要求乙方承担违约金，并要求限期补足。如乙方仍不补足的，甲方有权单方解除合同。</w:t>
      </w:r>
    </w:p>
    <w:p>
      <w:pPr>
        <w:spacing w:line="360" w:lineRule="auto"/>
        <w:ind w:firstLine="420"/>
        <w:contextualSpacing/>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outlineLvl w:val="2"/>
        <w:rPr>
          <w:rFonts w:hint="eastAsia" w:ascii="宋体" w:hAnsi="宋体" w:eastAsia="宋体" w:cs="宋体"/>
          <w:b/>
          <w:bCs/>
          <w:color w:val="auto"/>
          <w:sz w:val="21"/>
          <w:szCs w:val="21"/>
          <w:highlight w:val="none"/>
        </w:rPr>
      </w:pPr>
      <w:bookmarkStart w:id="485" w:name="_Toc12448"/>
      <w:r>
        <w:rPr>
          <w:rFonts w:hint="eastAsia" w:ascii="宋体" w:hAnsi="宋体" w:eastAsia="宋体" w:cs="宋体"/>
          <w:b/>
          <w:bCs/>
          <w:color w:val="auto"/>
          <w:sz w:val="21"/>
          <w:szCs w:val="21"/>
          <w:highlight w:val="none"/>
        </w:rPr>
        <w:t>六、甲方权利和义务</w:t>
      </w:r>
      <w:bookmarkEnd w:id="485"/>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1.在合同履行期间，有权对乙方进行监督和检查，并要求其提供相关信息和资料。对乙方违反本合同约定、招投标文件规定的行为有权要求改正。</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2.甲方有权对乙方服务人员、设备投入等进行监督、检查。如发现不符合招投标文件、合同约定的，有权要求补充、更换及追究乙方其他违约责任。</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3.对发现乙方违反本合同、招投标文件或服务合同的有关规定或承诺，甲方有权追究乙方的违约责任，扣除或没收本合同履约担保。</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color w:val="auto"/>
          <w:sz w:val="21"/>
          <w:szCs w:val="21"/>
          <w:highlight w:val="none"/>
        </w:rPr>
        <w:t>.协助乙方仪器及运输设备顺利进场</w:t>
      </w:r>
      <w:r>
        <w:rPr>
          <w:rFonts w:hint="eastAsia" w:ascii="宋体" w:hAnsi="宋体" w:eastAsia="宋体" w:cs="宋体"/>
          <w:bCs/>
          <w:color w:val="auto"/>
          <w:sz w:val="21"/>
          <w:szCs w:val="21"/>
          <w:highlight w:val="none"/>
        </w:rPr>
        <w:t>。</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监督受监施工单位定时向乙方提供进度计划，协调作业时间，保证乙方有足够时间展开监测工作。</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r>
        <w:rPr>
          <w:rFonts w:hint="eastAsia" w:ascii="宋体" w:hAnsi="宋体" w:eastAsia="宋体" w:cs="宋体"/>
          <w:color w:val="auto"/>
          <w:sz w:val="21"/>
          <w:szCs w:val="21"/>
          <w:highlight w:val="none"/>
        </w:rPr>
        <w:t>.有权对乙方的监测工作进行监督；对其违约行为发出整改通知</w:t>
      </w:r>
      <w:r>
        <w:rPr>
          <w:rFonts w:hint="eastAsia" w:ascii="宋体" w:hAnsi="宋体" w:eastAsia="宋体" w:cs="宋体"/>
          <w:bCs/>
          <w:color w:val="auto"/>
          <w:sz w:val="21"/>
          <w:szCs w:val="21"/>
          <w:highlight w:val="none"/>
        </w:rPr>
        <w:t>。</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合同履约期间，甲方有权对监测范围、要求、规模及特征等根据项目实际情况作出相应调整，调整后</w:t>
      </w:r>
      <w:r>
        <w:rPr>
          <w:rFonts w:hint="eastAsia" w:ascii="宋体" w:hAnsi="宋体" w:eastAsia="宋体" w:cs="宋体"/>
          <w:bCs/>
          <w:color w:val="auto"/>
          <w:sz w:val="21"/>
          <w:szCs w:val="21"/>
          <w:highlight w:val="none"/>
          <w:lang w:val="en-US" w:eastAsia="zh-CN"/>
        </w:rPr>
        <w:t>三</w:t>
      </w:r>
      <w:r>
        <w:rPr>
          <w:rFonts w:hint="eastAsia" w:ascii="宋体" w:hAnsi="宋体" w:eastAsia="宋体" w:cs="宋体"/>
          <w:bCs/>
          <w:color w:val="auto"/>
          <w:sz w:val="21"/>
          <w:szCs w:val="21"/>
          <w:highlight w:val="none"/>
        </w:rPr>
        <w:t>方根据实际工作量进行结算。</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甲方按照既定的审批程序，及时办理服务费的审批手续。</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施工现场用水、用电在有条件的情况下由甲方负责提供水、电接入点，乙方自行接入。</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合同文件及附件内容约定的甲方其余权利义务。</w:t>
      </w:r>
    </w:p>
    <w:p>
      <w:pPr>
        <w:spacing w:line="360" w:lineRule="auto"/>
        <w:ind w:firstLine="420"/>
        <w:rPr>
          <w:rFonts w:hint="eastAsia" w:ascii="宋体" w:hAnsi="宋体" w:eastAsia="宋体" w:cs="宋体"/>
          <w:bCs/>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outlineLvl w:val="2"/>
        <w:rPr>
          <w:rFonts w:hint="eastAsia" w:ascii="宋体" w:hAnsi="宋体" w:eastAsia="宋体" w:cs="宋体"/>
          <w:b/>
          <w:bCs/>
          <w:color w:val="auto"/>
          <w:sz w:val="21"/>
          <w:szCs w:val="21"/>
          <w:highlight w:val="none"/>
        </w:rPr>
      </w:pPr>
      <w:bookmarkStart w:id="486" w:name="_Toc21091"/>
      <w:r>
        <w:rPr>
          <w:rFonts w:hint="eastAsia" w:ascii="宋体" w:hAnsi="宋体" w:eastAsia="宋体" w:cs="宋体"/>
          <w:b/>
          <w:bCs/>
          <w:color w:val="auto"/>
          <w:sz w:val="21"/>
          <w:szCs w:val="21"/>
          <w:highlight w:val="none"/>
        </w:rPr>
        <w:t>七、乙方权利和义务</w:t>
      </w:r>
      <w:bookmarkEnd w:id="486"/>
    </w:p>
    <w:p>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在合同的履行期间，乙方应当保持相应资质的有效性，且具备在东莞市开展监测服务工作的资格条件。因乙方资质条件丧失，导致无法开展监测工作的，甲方有权另行委托其他第三方，并且乙方需向甲方支付暂定总合同价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的20%的违约金。同时，造成甲方的经济损失（包括但不限于重新招标、委托第三方的费用），由乙方承担全部赔偿。</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.对甲方委派的监测工作，乙方应当根据本合同约定、招投标文件及甲方要求进行开展，不得借故拒绝接受委托。</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按照国家颁发的有关监测技术标准或规范，采用科学先进的方法进行监测评估和试验过程的全程监控、记录，保证数据真实可靠，对监控结果真实性、准确性、合法性、完整性负责。</w:t>
      </w:r>
    </w:p>
    <w:p>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提供的监测报告、数据成果、文件等质量不合格的，应负责无偿给予修改、补充完善使其达到甲方要求；如乙方怠于或无力修改、补充完善，甲方有权另委托其他单位继续进行，乙方应承担由此产生的全部监测费用及其他损失。</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eastAsia="宋体" w:cs="宋体"/>
          <w:color w:val="auto"/>
          <w:sz w:val="21"/>
          <w:szCs w:val="21"/>
          <w:highlight w:val="none"/>
        </w:rPr>
        <w:t>.因乙方提供的监测报告、数据成果、文件等质量不合格造成甲方经济损失（包括但不限于监测变更费、增加工程费用等）或工程事故的，乙方应对造成的损失承担赔偿责任（包括但不限于施工单位损失赔偿、第三人侵权赔偿责任等），并根据违约行为向甲方支付违约金壹万元/次。如甲方实际损失高于违约金的，甲方有权另行追偿</w:t>
      </w:r>
      <w:r>
        <w:rPr>
          <w:rFonts w:hint="eastAsia" w:ascii="宋体" w:hAnsi="宋体" w:eastAsia="宋体" w:cs="宋体"/>
          <w:bCs/>
          <w:color w:val="auto"/>
          <w:sz w:val="21"/>
          <w:szCs w:val="21"/>
          <w:highlight w:val="none"/>
        </w:rPr>
        <w:t>。</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在本合同履行期间，承担其聘请人员的用工责任及用人单位责任。为其雇员、劳动者依法提供劳动保护，为从事维护工作的人员购买社会保险或意外伤害保险，并为施工场地内自有人员生命财产和施工机械设备办理保险，承担并支付保险费用。如乙方人员（包括雇员、乙方劳动者等）在维护过程中发生意外事故、工伤、死亡的，由乙方承担全部责任并支付全部费用，甲方无须对这些意外事故、工伤、死亡承担任何责任，如甲方因此受到索赔并因此支付赔偿费用或者垫付了费用的，甲方有权向乙方追偿，甲方可启动履约担保支付。</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严格遵守国家法律、法规，协助甲方做好社会治安综合管理工作和计划生育等工作。乙方员工有违法乱纪或犯罪的行为，乙方应承担一切经济责任和法律责任。</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每逢法定节日（含元旦、春节、清明、端午、五一、中秋、国庆）或甲方上级单位或市有关部门进行监督检查时，乙方应无条件配合甲方及有关部门组织的突击性任务及迎检活动，按时、按标准、按要求完成甲方所分配的工作。积极响应并接受市、镇街相关主管部门及其他上级部门的监督检查并接受广大市民监督。</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建立健全内部管理制度，并接受甲方及有关主管部门对项目服务状况、服务质量的监督检查。如因质量问题、操作不当或乙方自身管理原因而造成一切责任及经济损失由乙方承担。因乙方原因导致甲方损失的，乙方应当全额赔偿甲方的损失。</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在合同期限内保存好全部与监测服务相关的文件资料，且不得将上述文件资料向第三人披露或用于本项目之外的目的。在合同解除或终止后，按照甲方的要求，做好本项目的交接工作。如因资料缺失对甲方后续工作造成影响的，由此产生的费用由乙方全部承担。</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如施工现场甲方无法提供水、电接入点，乙方自行解决施工用水、用电并承担相关费用。</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乙方应按本合同及招、投标文件的要求按时提供监测报告和其他甲方认为有必要提供的中间过程资料、图表、照片（包括电子资料）等，以及向甲方提供咨询服务和建议。</w:t>
      </w:r>
    </w:p>
    <w:p>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监测过程中，乙方自行对本单位的仪器、设备安全负责，自行承担保管职责；对监测所产生的水、电等费用由乙方负责。</w:t>
      </w:r>
    </w:p>
    <w:p>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与监测工程的施工单位、设计单位、监理单位等单位相互配合，数据共享。</w:t>
      </w:r>
    </w:p>
    <w:p>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本合同约定范围内必要的修改，补充，应由乙方负责，甲方不再另付监测费用或其他费用。</w:t>
      </w:r>
    </w:p>
    <w:p>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在监测现场的工作人员，应遵守的施工现场安全保卫及其他有关的规章制度，承担其有关资料保密义务，保密义务不因本合同终止而结束。乙方保证对其在讨论、签订、履行本合同及具体项目合同过程中所获悉的属于甲方的且无法从公开渠道获得的文件资料及项目信息予以严格保密并应采取相应的保密措施，保证其自身及工作人员不私自使用或向任何第三方泄露，否则乙方承担由此给甲方造成的一切损失。</w:t>
      </w:r>
    </w:p>
    <w:p>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17</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乙方提交给甲方的监测成果知识产权归属甲方，乙方须确保甲方在使用过程中免受第三方关于知识产权或其他合法权益的起诉，否则，乙方应承担由此给甲方造成的一切损失。</w:t>
      </w:r>
    </w:p>
    <w:p>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18</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乙方不得将本合同标的部分或全部转让给第三方。</w:t>
      </w:r>
    </w:p>
    <w:p>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19.乙方应确保其具备履行本合同工作所需的相关资质，否则，因此产生的一切后果由乙方承担。乙方应</w:t>
      </w:r>
      <w:r>
        <w:rPr>
          <w:rFonts w:hint="eastAsia" w:ascii="宋体" w:hAnsi="宋体" w:eastAsia="宋体" w:cs="宋体"/>
          <w:bCs/>
          <w:color w:val="auto"/>
          <w:sz w:val="21"/>
          <w:szCs w:val="21"/>
          <w:highlight w:val="none"/>
        </w:rPr>
        <w:t>建立健全内部管理制度，并接受甲方及有关主管部门对项目服务状况、服务质量的监督检查。</w:t>
      </w:r>
      <w:r>
        <w:rPr>
          <w:rFonts w:hint="eastAsia" w:ascii="宋体" w:hAnsi="宋体" w:eastAsia="宋体" w:cs="宋体"/>
          <w:color w:val="auto"/>
          <w:sz w:val="21"/>
          <w:szCs w:val="21"/>
          <w:highlight w:val="none"/>
          <w:lang w:bidi="ar"/>
        </w:rPr>
        <w:t>因乙方原因导致甲方损失的，应当全额赔偿甲方的损失。</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20</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在服务过程中，乙方应遵守有关安全生产管理规定，建立完善安全管理制度，安全生产事故报告制度，采取必要的安全防护措施，定期进行安全隐患排查，消除事故隐患。由于乙方的不尽职、操作不当、安全措施不力、人为疏失等原因造成双方及第三方的财产毁损、人身伤害（含各方雇员及临时聘用人员）及安全事故的责任和因此发生的费用，全部由乙方承担。若造成甲方（含其雇员及临时聘用人员）其他损失，乙方仍需赔偿。若产生劳动纠纷或仲裁或诉讼，均由乙方自行处理并承担损害赔偿，甲方不承担任何责任。</w:t>
      </w:r>
      <w:r>
        <w:rPr>
          <w:rFonts w:hint="eastAsia" w:ascii="宋体" w:hAnsi="宋体" w:eastAsia="宋体" w:cs="宋体"/>
          <w:color w:val="auto"/>
          <w:sz w:val="21"/>
          <w:szCs w:val="21"/>
          <w:highlight w:val="none"/>
        </w:rPr>
        <w:t>若甲方需参加诉讼，相关费用（包括但不限于诉讼费、律师费、鉴定费、公证费、交通住宿费等全部）及损失全部由乙方承担，甲方可在工程款中直接扣除或启动履约担保支付。</w:t>
      </w:r>
    </w:p>
    <w:p>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21</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本合同所述的乙方应承担的甲方损失，包括但不限于甲方支出的赔偿金、诉讼费、保全费、律师费、鉴定费等。</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本项目禁止转包；未经甲方书面同意不得分包。</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23</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合同文件及附件内容约定的乙方其他权利义务。</w:t>
      </w:r>
    </w:p>
    <w:p>
      <w:pPr>
        <w:spacing w:line="360" w:lineRule="auto"/>
        <w:ind w:firstLine="420"/>
        <w:rPr>
          <w:rFonts w:hint="eastAsia" w:ascii="宋体" w:hAnsi="宋体" w:eastAsia="宋体" w:cs="宋体"/>
          <w:bCs/>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outlineLvl w:val="2"/>
        <w:rPr>
          <w:rFonts w:hint="eastAsia" w:ascii="宋体" w:hAnsi="宋体" w:eastAsia="宋体" w:cs="宋体"/>
          <w:b/>
          <w:bCs/>
          <w:color w:val="auto"/>
          <w:sz w:val="21"/>
          <w:szCs w:val="21"/>
          <w:highlight w:val="none"/>
        </w:rPr>
      </w:pPr>
      <w:bookmarkStart w:id="487" w:name="_Toc3410"/>
      <w:r>
        <w:rPr>
          <w:rFonts w:hint="eastAsia" w:ascii="宋体" w:hAnsi="宋体" w:eastAsia="宋体" w:cs="宋体"/>
          <w:b/>
          <w:bCs/>
          <w:color w:val="auto"/>
          <w:sz w:val="21"/>
          <w:szCs w:val="21"/>
          <w:highlight w:val="none"/>
        </w:rPr>
        <w:t>八、违约责任</w:t>
      </w:r>
      <w:bookmarkEnd w:id="487"/>
    </w:p>
    <w:p>
      <w:pPr>
        <w:widowControl/>
        <w:spacing w:line="360" w:lineRule="auto"/>
        <w:ind w:right="-53"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1.乙方未按本合同约定配备必要的办公场所、设备或者服务人员的，甲方有权就违约事宜提出改正，如乙方仍拒不改正的，甲方有权选择解除本合同或服务合同，并没收全部履约担保。</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rPr>
        <w:t>在本合同履行过程中，无论何种原因，乙方均不得消极怠工或拒不履行合同义务（包括但不限于技术支持、专家会审、解答释疑、事故处理，修正监测报告及数据成果等），或履行的合同义务不符合要求的。如有违反，将视为乙方违约，甲方有权就违约事宜提出改正，要求乙方按</w:t>
      </w:r>
      <w:r>
        <w:rPr>
          <w:rFonts w:hint="eastAsia" w:ascii="宋体" w:hAnsi="宋体" w:eastAsia="宋体" w:cs="宋体"/>
          <w:color w:val="auto"/>
          <w:sz w:val="21"/>
          <w:szCs w:val="21"/>
          <w:highlight w:val="none"/>
        </w:rPr>
        <w:t>壹万元/次</w:t>
      </w:r>
      <w:r>
        <w:rPr>
          <w:rFonts w:hint="eastAsia" w:ascii="宋体" w:hAnsi="宋体" w:eastAsia="宋体" w:cs="宋体"/>
          <w:color w:val="auto"/>
          <w:kern w:val="2"/>
          <w:sz w:val="21"/>
          <w:szCs w:val="21"/>
          <w:highlight w:val="none"/>
        </w:rPr>
        <w:t>承担</w:t>
      </w:r>
      <w:r>
        <w:rPr>
          <w:rFonts w:hint="eastAsia" w:ascii="宋体" w:hAnsi="宋体" w:eastAsia="宋体" w:cs="宋体"/>
          <w:color w:val="auto"/>
          <w:sz w:val="21"/>
          <w:szCs w:val="21"/>
          <w:highlight w:val="none"/>
        </w:rPr>
        <w:t>违约金，</w:t>
      </w:r>
      <w:r>
        <w:rPr>
          <w:rFonts w:hint="eastAsia" w:ascii="宋体" w:hAnsi="宋体" w:eastAsia="宋体" w:cs="宋体"/>
          <w:color w:val="auto"/>
          <w:kern w:val="2"/>
          <w:sz w:val="21"/>
          <w:szCs w:val="21"/>
          <w:highlight w:val="none"/>
        </w:rPr>
        <w:t>若限期内未按照甲方要求进行整改或限期整改后不符合甲方要求的，甲方有权选择解除合同，要求乙方按暂定总合同价款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rPr>
        <w:t>的10%承担违约金，并有权依法委托有资质的第三方继续履行本合同义务，由此造成的一切损失由乙方承担。同时，甲方有权将情况如实报送至政府相关主管部门。</w:t>
      </w:r>
    </w:p>
    <w:p>
      <w:pPr>
        <w:widowControl/>
        <w:spacing w:line="360" w:lineRule="auto"/>
        <w:ind w:firstLine="420"/>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3.由于乙方原因造成监测报告、成果数据、文件等质量不合格，不能满足技术要求时，乙方除按合同约定承担责任外，其返工重新监测等产生的费用由乙方承担。</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4.合同履行期间，由于工程停建而终止合同或甲方要求解除合同时，</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方互不承担赔偿责任。乙方未进行监测工作的，应退还</w:t>
      </w:r>
      <w:r>
        <w:rPr>
          <w:rFonts w:hint="eastAsia" w:ascii="宋体" w:hAnsi="宋体" w:eastAsia="宋体" w:cs="宋体"/>
          <w:color w:val="auto"/>
          <w:sz w:val="21"/>
          <w:szCs w:val="21"/>
          <w:highlight w:val="none"/>
          <w:lang w:val="en-US" w:eastAsia="zh-CN"/>
        </w:rPr>
        <w:t>丙</w:t>
      </w:r>
      <w:r>
        <w:rPr>
          <w:rFonts w:hint="eastAsia" w:ascii="宋体" w:hAnsi="宋体" w:eastAsia="宋体" w:cs="宋体"/>
          <w:color w:val="auto"/>
          <w:sz w:val="21"/>
          <w:szCs w:val="21"/>
          <w:highlight w:val="none"/>
        </w:rPr>
        <w:t>方已预付的费用；已进行监测工作的，根据其中标报价按甲方审核确认实际完成的工作量进行结算。</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5.若非甲方原因，由于乙方原因未按</w:t>
      </w:r>
      <w:r>
        <w:rPr>
          <w:rFonts w:hint="eastAsia" w:ascii="宋体" w:hAnsi="宋体" w:eastAsia="宋体" w:cs="宋体"/>
          <w:color w:val="auto"/>
          <w:sz w:val="21"/>
          <w:szCs w:val="21"/>
          <w:highlight w:val="none"/>
          <w:lang w:val="en-US" w:eastAsia="zh-CN"/>
        </w:rPr>
        <w:t>甲方要求</w:t>
      </w:r>
      <w:r>
        <w:rPr>
          <w:rFonts w:hint="eastAsia" w:ascii="宋体" w:hAnsi="宋体" w:eastAsia="宋体" w:cs="宋体"/>
          <w:color w:val="auto"/>
          <w:sz w:val="21"/>
          <w:szCs w:val="21"/>
          <w:highlight w:val="none"/>
        </w:rPr>
        <w:t>时间（日期）提交监测方案、测点布设记录、监测报告和监测总结报告的，或未按期履行其他义务的，每逾期一日，乙方按贰仟元/天承担违约金。逾期超过</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日的，甲方有权单方解除合同，且乙方须承担履约担保等额的违约金，同时有权没收履约担保。同时，造成甲方的经济损失（包括但不限于重新采购、委托第三方的费用），由乙方承担全部赔偿。</w:t>
      </w:r>
    </w:p>
    <w:p>
      <w:pPr>
        <w:widowControl/>
        <w:spacing w:line="360" w:lineRule="auto"/>
        <w:ind w:firstLine="420"/>
        <w:textAlignment w:val="bottom"/>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6.合同履行期间，乙方未达到的投标时承诺的事项，每次</w:t>
      </w:r>
      <w:r>
        <w:rPr>
          <w:rFonts w:hint="eastAsia" w:ascii="宋体" w:hAnsi="宋体" w:eastAsia="宋体" w:cs="宋体"/>
          <w:color w:val="auto"/>
          <w:kern w:val="2"/>
          <w:sz w:val="21"/>
          <w:szCs w:val="21"/>
          <w:highlight w:val="none"/>
        </w:rPr>
        <w:t>按暂定总合同价款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rPr>
        <w:t>的</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%承担违约金</w:t>
      </w:r>
      <w:r>
        <w:rPr>
          <w:rFonts w:hint="eastAsia" w:ascii="宋体" w:hAnsi="宋体" w:eastAsia="宋体" w:cs="宋体"/>
          <w:color w:val="auto"/>
          <w:sz w:val="21"/>
          <w:szCs w:val="21"/>
          <w:highlight w:val="none"/>
          <w:lang w:val="en-US" w:eastAsia="zh-CN"/>
        </w:rPr>
        <w:t>。</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乙方违反约定非法转包、分包的，甲方有权单方解除合同，乙方须向甲方支付与履约担保等额的违约金，同时有权没收履约担保，并赔偿由此给甲方造成的一切损失。如因非法转包、分包导致安全事故或人身损害事故的，造成甲方其他损失的或甲方被认定需承担赔偿责任的，甲方有权向乙方追偿并要求乙方承担人民币壹拾万元整的违约金。</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.乙方存在如下情形之一的，甲方有权书面通知乙方单方解除本合同，并由乙方承担履约担保等额的违约金，同时有权没收履约担保，给甲方造成损失的，乙方还足额应赔偿甲方：</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（1）提供虚假信息、误导或欺骗</w:t>
      </w:r>
      <w:r>
        <w:rPr>
          <w:rFonts w:hint="eastAsia" w:ascii="宋体" w:hAnsi="宋体" w:eastAsia="宋体" w:cs="宋体"/>
          <w:color w:val="auto"/>
          <w:sz w:val="21"/>
          <w:szCs w:val="21"/>
          <w:highlight w:val="none"/>
          <w:lang w:val="en-US" w:eastAsia="zh-CN"/>
        </w:rPr>
        <w:t>甲方及丙方</w:t>
      </w:r>
      <w:r>
        <w:rPr>
          <w:rFonts w:hint="eastAsia" w:ascii="宋体" w:hAnsi="宋体" w:eastAsia="宋体" w:cs="宋体"/>
          <w:color w:val="auto"/>
          <w:sz w:val="21"/>
          <w:szCs w:val="21"/>
          <w:highlight w:val="none"/>
        </w:rPr>
        <w:t>，以谋取非法利益的；</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（2）违反诚信信用原则，没有严格执行相关质量、服务，损害</w:t>
      </w:r>
      <w:r>
        <w:rPr>
          <w:rFonts w:hint="eastAsia" w:ascii="宋体" w:hAnsi="宋体" w:eastAsia="宋体" w:cs="宋体"/>
          <w:color w:val="auto"/>
          <w:sz w:val="21"/>
          <w:szCs w:val="21"/>
          <w:highlight w:val="none"/>
          <w:lang w:val="en-US" w:eastAsia="zh-CN"/>
        </w:rPr>
        <w:t>甲方、丙方</w:t>
      </w:r>
      <w:r>
        <w:rPr>
          <w:rFonts w:hint="eastAsia" w:ascii="宋体" w:hAnsi="宋体" w:eastAsia="宋体" w:cs="宋体"/>
          <w:color w:val="auto"/>
          <w:sz w:val="21"/>
          <w:szCs w:val="21"/>
          <w:highlight w:val="none"/>
        </w:rPr>
        <w:t>或相关用户单位的利益的；</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（3）违反有关法律法规以及本合同的约定，损害甲方利益的；</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（4）拒绝接受甲方、</w:t>
      </w:r>
      <w:r>
        <w:rPr>
          <w:rFonts w:hint="eastAsia" w:ascii="宋体" w:hAnsi="宋体" w:eastAsia="宋体" w:cs="宋体"/>
          <w:color w:val="auto"/>
          <w:sz w:val="21"/>
          <w:szCs w:val="21"/>
          <w:highlight w:val="none"/>
          <w:lang w:val="en-US" w:eastAsia="zh-CN"/>
        </w:rPr>
        <w:t>丙方</w:t>
      </w:r>
      <w:r>
        <w:rPr>
          <w:rFonts w:hint="eastAsia" w:ascii="宋体" w:hAnsi="宋体" w:eastAsia="宋体" w:cs="宋体"/>
          <w:color w:val="auto"/>
          <w:sz w:val="21"/>
          <w:szCs w:val="21"/>
          <w:highlight w:val="none"/>
        </w:rPr>
        <w:t>及相关部门监督、检查的；</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（5）出现信用危机、财务危机、生产经营危机甚至破产、倒闭，无法继续履行本合同的；</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（6）采用非法手段进行不正当竞争的，构成恶劣影响；</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）违反本合同约定，泄露服务项目内容的。</w:t>
      </w:r>
    </w:p>
    <w:p>
      <w:pPr>
        <w:widowControl/>
        <w:autoSpaceDE/>
        <w:autoSpaceDN/>
        <w:adjustRightInd/>
        <w:spacing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乙方应按及时足额向工人发放工资待遇以及其他劳动待遇等，不得无故拖欠或克扣，如有违反的，由乙方全部负责。如对甲方工作造成影响的，根据工人诉求，甲方有权通知丙方直接从未付服务费用中直接扣除予以支付，由此导致的法律后果由乙方全部承担。并由乙方承担履约担保等额的违约金。严重者报相关行政主管部门处理，甲方保留终止合同的权利。</w:t>
      </w:r>
    </w:p>
    <w:p>
      <w:pPr>
        <w:widowControl/>
        <w:autoSpaceDE/>
        <w:autoSpaceDN/>
        <w:adjustRightInd/>
        <w:spacing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.乙方必须积极响应并接受相关部门的监督检查，若受到相关部门的批评，经调查认定情况属实的，视情节轻重</w:t>
      </w:r>
      <w:r>
        <w:rPr>
          <w:rFonts w:hint="eastAsia" w:ascii="宋体" w:hAnsi="宋体" w:eastAsia="宋体" w:cs="宋体"/>
          <w:color w:val="auto"/>
          <w:sz w:val="21"/>
          <w:szCs w:val="21"/>
          <w:highlight w:val="none"/>
          <w:lang w:val="en-US" w:eastAsia="zh-CN"/>
        </w:rPr>
        <w:t>要求乙方承担违约责任</w:t>
      </w:r>
      <w:r>
        <w:rPr>
          <w:rFonts w:hint="eastAsia" w:ascii="宋体" w:hAnsi="宋体" w:eastAsia="宋体" w:cs="宋体"/>
          <w:color w:val="auto"/>
          <w:sz w:val="21"/>
          <w:szCs w:val="21"/>
          <w:highlight w:val="none"/>
        </w:rPr>
        <w:t>；造成恶劣影响的，甲方有权解除合同。</w:t>
      </w:r>
    </w:p>
    <w:p>
      <w:pPr>
        <w:widowControl/>
        <w:autoSpaceDE/>
        <w:autoSpaceDN/>
        <w:adjustRightInd/>
        <w:spacing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乙方在服务年限内，在履行本合同约定的义务过程中出现违反国家法律法规、主管部门规章制度、擅自提高价格或提供伪劣服务内容、服务质量低劣造成甲方损失等情况的，甲方有权视不同情况分别给予警告、抵扣履约担保或取消合同等</w:t>
      </w:r>
      <w:r>
        <w:rPr>
          <w:rFonts w:hint="eastAsia" w:ascii="宋体" w:hAnsi="宋体" w:eastAsia="宋体" w:cs="宋体"/>
          <w:color w:val="auto"/>
          <w:sz w:val="21"/>
          <w:szCs w:val="21"/>
          <w:highlight w:val="none"/>
          <w:lang w:val="en-US" w:eastAsia="zh-CN"/>
        </w:rPr>
        <w:t>处理</w:t>
      </w:r>
      <w:r>
        <w:rPr>
          <w:rFonts w:hint="eastAsia" w:ascii="宋体" w:hAnsi="宋体" w:eastAsia="宋体" w:cs="宋体"/>
          <w:color w:val="auto"/>
          <w:sz w:val="21"/>
          <w:szCs w:val="21"/>
          <w:highlight w:val="none"/>
        </w:rPr>
        <w:t>。</w:t>
      </w:r>
    </w:p>
    <w:p>
      <w:pPr>
        <w:widowControl/>
        <w:autoSpaceDE/>
        <w:autoSpaceDN/>
        <w:adjustRightInd/>
        <w:spacing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.未经甲方书面同意，乙方变更项目负责人或技术负责人的，甲方有权要求乙方按伍万元/人/次承担违约金。</w:t>
      </w:r>
    </w:p>
    <w:p>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1</w:t>
      </w:r>
      <w:r>
        <w:rPr>
          <w:rFonts w:hint="eastAsia" w:hAnsi="宋体" w:cs="宋体"/>
          <w:b w:val="0"/>
          <w:bCs w:val="0"/>
          <w:color w:val="auto"/>
          <w:sz w:val="21"/>
          <w:szCs w:val="21"/>
          <w:highlight w:val="none"/>
          <w:lang w:val="en-US" w:eastAsia="zh-CN"/>
        </w:rPr>
        <w:t>3</w:t>
      </w:r>
      <w:r>
        <w:rPr>
          <w:rFonts w:hint="eastAsia" w:ascii="宋体" w:hAnsi="宋体" w:eastAsia="宋体" w:cs="宋体"/>
          <w:color w:val="auto"/>
          <w:sz w:val="21"/>
          <w:szCs w:val="21"/>
          <w:highlight w:val="none"/>
          <w:lang w:val="en-US"/>
        </w:rPr>
        <w:t>.</w:t>
      </w:r>
      <w:r>
        <w:rPr>
          <w:rFonts w:hint="eastAsia" w:ascii="宋体" w:hAnsi="宋体" w:eastAsia="宋体" w:cs="宋体"/>
          <w:b w:val="0"/>
          <w:bCs w:val="0"/>
          <w:color w:val="auto"/>
          <w:sz w:val="21"/>
          <w:szCs w:val="21"/>
          <w:highlight w:val="none"/>
          <w:lang w:val="en-US"/>
        </w:rPr>
        <w:t>甲方每季度根据合同附件五《监测单位履约考核评分表》对乙方评价一次，出具考核评价结果。甲方将严格按照考核评分标准对乙方进行季度检查和考核。考评[70,80)分的，处相应付款周期内经甲方确认的监测费的10%作为违约金，考评[60,70)分的，处相应付款周期经甲方确认的监测费的20%作为违约金，考评60分以下的，处相应付款周期经甲方确认的监测的30%作为违约金。上述“[”代表闭区间，“)”代表开区间，如[70,80)代表该分数段范围为大于等于70且小于80。达到相应付款周期时,如乙方未申请支付本期费用, 甲方根据支付条件暂定本周期监测费并计算本周期内应缴纳的暂定违约金，乙方应予以缴纳。下一周期仍未申请时按上述做法执行，待到乙方申请支付费用时，根据合同付款流程确认监测费，同步对以往暂定违约金在本次一并确认并予以结算。</w:t>
      </w:r>
    </w:p>
    <w:p>
      <w:pPr>
        <w:autoSpaceDE/>
        <w:autoSpaceDN/>
        <w:adjustRightInd/>
        <w:spacing w:line="360" w:lineRule="auto"/>
        <w:ind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.因乙方违约，甲方通过司法途径维护自身权益的，乙方应承担甲方由此支出的律师费、诉讼费、执行费、鉴定费、公证费、财产保全费及保险费等全部费用。</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甲方依据本合同条款对乙方处以违约金、赔偿、扣款等款项的，乙方应在收到违约（赔偿或扣款等款项）处理通知书之日起的五个工作日内书面授权乙方相关工作人员将款项交至甲方指定账户（须备注本项目名称）</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如规定时间内未按要求</w:t>
      </w:r>
      <w:r>
        <w:rPr>
          <w:rFonts w:hint="eastAsia" w:ascii="宋体" w:hAnsi="宋体" w:eastAsia="宋体" w:cs="宋体"/>
          <w:color w:val="auto"/>
          <w:kern w:val="2"/>
          <w:sz w:val="21"/>
          <w:szCs w:val="21"/>
          <w:highlight w:val="none"/>
        </w:rPr>
        <w:t>将款项交至指定账户</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甲方有权不审批进度款</w:t>
      </w:r>
      <w:r>
        <w:rPr>
          <w:rFonts w:hint="eastAsia" w:ascii="宋体" w:hAnsi="宋体" w:eastAsia="宋体" w:cs="宋体"/>
          <w:color w:val="auto"/>
          <w:kern w:val="2"/>
          <w:sz w:val="21"/>
          <w:szCs w:val="21"/>
          <w:highlight w:val="none"/>
        </w:rPr>
        <w:t>。甲方指定收款账户信息：</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开户名称：东莞市水务集团建设管理有限公司</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银行账号：2010021309200628330</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开户银行：中国工商银行股份有限公司东莞分行</w:t>
      </w:r>
    </w:p>
    <w:p>
      <w:pPr>
        <w:pStyle w:val="13"/>
        <w:ind w:firstLine="400"/>
        <w:rPr>
          <w:rFonts w:hint="eastAsia" w:ascii="宋体" w:hAnsi="宋体" w:eastAsia="宋体" w:cs="宋体"/>
          <w:color w:val="auto"/>
          <w:highlight w:val="none"/>
        </w:rPr>
      </w:pP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outlineLvl w:val="2"/>
        <w:rPr>
          <w:rFonts w:hint="eastAsia" w:ascii="宋体" w:hAnsi="宋体" w:eastAsia="宋体" w:cs="宋体"/>
          <w:b/>
          <w:bCs/>
          <w:color w:val="auto"/>
          <w:sz w:val="21"/>
          <w:szCs w:val="21"/>
          <w:highlight w:val="none"/>
        </w:rPr>
      </w:pPr>
      <w:bookmarkStart w:id="488" w:name="_Toc7442"/>
      <w:r>
        <w:rPr>
          <w:rFonts w:hint="eastAsia" w:ascii="宋体" w:hAnsi="宋体" w:eastAsia="宋体" w:cs="宋体"/>
          <w:b/>
          <w:bCs/>
          <w:color w:val="auto"/>
          <w:sz w:val="21"/>
          <w:szCs w:val="21"/>
          <w:highlight w:val="none"/>
        </w:rPr>
        <w:t>九、争议解决</w:t>
      </w:r>
      <w:bookmarkEnd w:id="488"/>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本合同发生争议，甲方、</w:t>
      </w:r>
      <w:r>
        <w:rPr>
          <w:rFonts w:hint="eastAsia" w:ascii="宋体" w:hAnsi="宋体" w:eastAsia="宋体" w:cs="宋体"/>
          <w:bCs/>
          <w:color w:val="auto"/>
          <w:kern w:val="2"/>
          <w:sz w:val="21"/>
          <w:szCs w:val="21"/>
          <w:highlight w:val="none"/>
        </w:rPr>
        <w:t>乙方、丙方</w:t>
      </w:r>
      <w:r>
        <w:rPr>
          <w:rFonts w:hint="eastAsia" w:ascii="宋体" w:hAnsi="宋体" w:eastAsia="宋体" w:cs="宋体"/>
          <w:color w:val="auto"/>
          <w:kern w:val="2"/>
          <w:sz w:val="21"/>
          <w:szCs w:val="21"/>
          <w:highlight w:val="none"/>
        </w:rPr>
        <w:t>三方应及时协商解决，也可由当地行政主管部门调解，协商或调解不成时，任何一方可向甲方所在地有管辖权的人民法院起诉。</w:t>
      </w:r>
    </w:p>
    <w:p>
      <w:pPr>
        <w:spacing w:line="360" w:lineRule="auto"/>
        <w:ind w:firstLine="422"/>
        <w:rPr>
          <w:rFonts w:hint="eastAsia" w:ascii="宋体" w:hAnsi="宋体" w:eastAsia="宋体" w:cs="宋体"/>
          <w:b/>
          <w:bCs/>
          <w:color w:val="auto"/>
          <w:sz w:val="21"/>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outlineLvl w:val="2"/>
        <w:rPr>
          <w:rFonts w:hint="eastAsia" w:ascii="宋体" w:hAnsi="宋体" w:eastAsia="宋体" w:cs="宋体"/>
          <w:b/>
          <w:bCs/>
          <w:color w:val="auto"/>
          <w:sz w:val="21"/>
          <w:szCs w:val="21"/>
          <w:highlight w:val="none"/>
          <w:lang w:val="en-US" w:eastAsia="zh-CN"/>
        </w:rPr>
      </w:pPr>
      <w:bookmarkStart w:id="489" w:name="_Toc2204"/>
      <w:r>
        <w:rPr>
          <w:rFonts w:hint="eastAsia" w:ascii="宋体" w:hAnsi="宋体" w:eastAsia="宋体" w:cs="宋体"/>
          <w:b/>
          <w:bCs/>
          <w:color w:val="auto"/>
          <w:sz w:val="21"/>
          <w:szCs w:val="21"/>
          <w:highlight w:val="none"/>
          <w:lang w:val="en-US" w:eastAsia="zh-CN"/>
        </w:rPr>
        <w:t>十、其他约定</w:t>
      </w:r>
      <w:bookmarkEnd w:id="489"/>
    </w:p>
    <w:p>
      <w:pPr>
        <w:spacing w:line="360" w:lineRule="auto"/>
        <w:ind w:firstLine="422"/>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本合同专用条款第十条“其他约定”若与本合同其他条款内容不相一致的，以第十条优先解释、处理。</w:t>
      </w:r>
    </w:p>
    <w:p>
      <w:pPr>
        <w:pStyle w:val="34"/>
        <w:autoSpaceDE w:val="0"/>
        <w:autoSpaceDN w:val="0"/>
        <w:adjustRightInd w:val="0"/>
        <w:spacing w:before="0" w:beforeAutospacing="0" w:after="0" w:afterAutospacing="0" w:line="360" w:lineRule="auto"/>
        <w:outlineLvl w:val="4"/>
        <w:rPr>
          <w:rFonts w:hint="eastAsia" w:ascii="宋体" w:hAnsi="宋体" w:eastAsia="宋体" w:cs="宋体"/>
          <w:b w:val="0"/>
          <w:bCs/>
          <w:color w:val="auto"/>
          <w:sz w:val="21"/>
          <w:szCs w:val="21"/>
          <w:highlight w:val="none"/>
          <w:lang w:eastAsia="zh-CN" w:bidi="ar"/>
        </w:rPr>
      </w:pPr>
      <w:r>
        <w:rPr>
          <w:rFonts w:hint="eastAsia" w:ascii="宋体" w:hAnsi="宋体" w:eastAsia="宋体" w:cs="宋体"/>
          <w:b w:val="0"/>
          <w:bCs/>
          <w:color w:val="auto"/>
          <w:sz w:val="21"/>
          <w:szCs w:val="21"/>
          <w:highlight w:val="none"/>
          <w:lang w:eastAsia="zh-CN" w:bidi="ar"/>
        </w:rPr>
        <w:t>1.支付、结算条款一览表</w:t>
      </w:r>
    </w:p>
    <w:tbl>
      <w:tblPr>
        <w:tblStyle w:val="3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087"/>
        <w:gridCol w:w="8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2" w:type="dxa"/>
            <w:vAlign w:val="center"/>
          </w:tcPr>
          <w:p>
            <w:pPr>
              <w:pStyle w:val="6"/>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087" w:type="dxa"/>
            <w:vAlign w:val="center"/>
          </w:tcPr>
          <w:p>
            <w:pPr>
              <w:pStyle w:val="6"/>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类别</w:t>
            </w:r>
          </w:p>
        </w:tc>
        <w:tc>
          <w:tcPr>
            <w:tcW w:w="8317" w:type="dxa"/>
            <w:vAlign w:val="center"/>
          </w:tcPr>
          <w:p>
            <w:pPr>
              <w:pStyle w:val="6"/>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具体条款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2" w:type="dxa"/>
            <w:vAlign w:val="center"/>
          </w:tcPr>
          <w:p>
            <w:pPr>
              <w:pStyle w:val="6"/>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87" w:type="dxa"/>
            <w:vAlign w:val="center"/>
          </w:tcPr>
          <w:p>
            <w:pPr>
              <w:pStyle w:val="6"/>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定金或预付款</w:t>
            </w:r>
          </w:p>
        </w:tc>
        <w:tc>
          <w:tcPr>
            <w:tcW w:w="8317" w:type="dxa"/>
            <w:vAlign w:val="center"/>
          </w:tcPr>
          <w:p>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2" w:firstLineChars="201"/>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丙方或甲方向乙方支付定金金额:</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lang w:val="en-US" w:eastAsia="zh-CN"/>
              </w:rPr>
              <w:t>或预付款的金额：</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lang w:val="en-US" w:eastAsia="zh-CN"/>
              </w:rPr>
              <w:t xml:space="preserve">   </w:t>
            </w:r>
          </w:p>
          <w:p>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2" w:firstLineChars="201"/>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定金或预付款在进度款中的抵扣办法：</w:t>
            </w:r>
            <w:r>
              <w:rPr>
                <w:rFonts w:hint="eastAsia" w:ascii="宋体" w:hAnsi="宋体" w:eastAsia="宋体" w:cs="宋体"/>
                <w:color w:val="auto"/>
                <w:sz w:val="21"/>
                <w:szCs w:val="21"/>
                <w:highlight w:val="none"/>
                <w:u w:val="single"/>
                <w:lang w:val="en-US" w:eastAsia="zh-CN"/>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2" w:type="dxa"/>
            <w:vAlign w:val="center"/>
          </w:tcPr>
          <w:p>
            <w:pPr>
              <w:pStyle w:val="6"/>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087" w:type="dxa"/>
            <w:vAlign w:val="center"/>
          </w:tcPr>
          <w:p>
            <w:pPr>
              <w:pStyle w:val="6"/>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付款方式</w:t>
            </w:r>
          </w:p>
        </w:tc>
        <w:tc>
          <w:tcPr>
            <w:tcW w:w="8317" w:type="dxa"/>
            <w:vAlign w:val="center"/>
          </w:tcPr>
          <w:p>
            <w:pPr>
              <w:keepNext w:val="0"/>
              <w:keepLines w:val="0"/>
              <w:suppressLineNumbers w:val="0"/>
              <w:autoSpaceDE/>
              <w:autoSpaceDN/>
              <w:adjustRightInd/>
              <w:spacing w:before="0" w:beforeAutospacing="0" w:after="0" w:afterAutospacing="0" w:line="360" w:lineRule="auto"/>
              <w:ind w:left="0" w:right="0"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项目为代建类项目，丙方有权直接向乙方支付合同价款，也有权委托甲方向乙方代付价款，具体支付方式以甲方通知为准。如丙方委托甲方向乙方代付工程价款的，因甲方系受丙方委托代付，乙方承诺不得就合同款项问题向甲方主张任何权利，乙方同意甲方亦无需承担任何责任；如因款项支付产生纠纷的(包括但不限于诉讼等)，由乙方与丙方协调处理，与甲方无关。</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.以季度为单位，即按季度计量支付进度款，</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提供相应的正式监测报告，经监理人及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审核通过后，</w:t>
            </w:r>
            <w:r>
              <w:rPr>
                <w:rFonts w:hint="eastAsia" w:ascii="宋体" w:hAnsi="宋体" w:eastAsia="宋体" w:cs="宋体"/>
                <w:color w:val="auto"/>
                <w:sz w:val="21"/>
                <w:szCs w:val="21"/>
                <w:highlight w:val="none"/>
                <w:lang w:eastAsia="zh-CN"/>
              </w:rPr>
              <w:t>丙方</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提交对应的请款报告30天内向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支付进度款。</w:t>
            </w:r>
          </w:p>
          <w:p>
            <w:pPr>
              <w:keepNext w:val="0"/>
              <w:keepLines w:val="0"/>
              <w:suppressLineNumbers w:val="0"/>
              <w:autoSpaceDE/>
              <w:autoSpaceDN/>
              <w:adjustRightInd/>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丙方或甲方以季度为单位按经监理人及甲方审核通过的监测报告所涉款项的80%支付本合同进度款，但丙方或甲方累计支付的进度款不超过暂定总合同价款价税合计的80%，待工程竣工验收合格，项目结算完毕，并提交请款报告后30天内，丙方或甲方按结算价一次性支付余款。</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4.乙方收取每笔款项前，在提交请款报告的同时一并提供等额有效的</w:t>
            </w:r>
            <w:r>
              <w:rPr>
                <w:rFonts w:hint="eastAsia" w:ascii="宋体" w:hAnsi="宋体" w:eastAsia="宋体" w:cs="Times New Roman"/>
                <w:color w:val="auto"/>
                <w:szCs w:val="21"/>
                <w:highlight w:val="none"/>
                <w:lang w:val="zh-CN"/>
              </w:rPr>
              <w:t>增值税普通发票</w:t>
            </w:r>
            <w:r>
              <w:rPr>
                <w:rFonts w:hint="eastAsia" w:ascii="宋体" w:hAnsi="宋体" w:eastAsia="宋体" w:cs="宋体"/>
                <w:color w:val="auto"/>
                <w:sz w:val="21"/>
                <w:szCs w:val="21"/>
                <w:highlight w:val="none"/>
                <w:lang w:val="en-US" w:eastAsia="zh-CN"/>
              </w:rPr>
              <w:t>，丙方或甲方在收到相关请款材料审核后支付；乙方逾期提交请款材料或提供的发票不合格的，丙方或甲方的付款时间可相应顺延，且不视为违约。因支付产生的相关银行手续费用，根据有关银行规定执行，如不能明确费用承担主体的，相关手续费用由双方各承担50%。由于乙方提供的发票不符合税法规定，给丙方或甲方造成的损失由乙方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2" w:type="dxa"/>
            <w:vAlign w:val="center"/>
          </w:tcPr>
          <w:p>
            <w:pPr>
              <w:pStyle w:val="6"/>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87" w:type="dxa"/>
            <w:vAlign w:val="center"/>
          </w:tcPr>
          <w:p>
            <w:pPr>
              <w:pStyle w:val="6"/>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合同价款结算</w:t>
            </w:r>
          </w:p>
        </w:tc>
        <w:tc>
          <w:tcPr>
            <w:tcW w:w="8317" w:type="dxa"/>
            <w:vAlign w:val="center"/>
          </w:tcPr>
          <w:p>
            <w:pPr>
              <w:keepNext w:val="0"/>
              <w:keepLines w:val="0"/>
              <w:suppressLineNumbers w:val="0"/>
              <w:autoSpaceDE/>
              <w:autoSpaceDN/>
              <w:adjustRightInd/>
              <w:spacing w:before="0" w:beforeAutospacing="0" w:after="0" w:afterAutospacing="0" w:line="360" w:lineRule="auto"/>
              <w:ind w:left="0" w:right="0" w:firstLine="420" w:firstLineChars="0"/>
              <w:jc w:val="left"/>
              <w:rPr>
                <w:rFonts w:hint="eastAsia" w:ascii="宋体" w:hAnsi="宋体" w:eastAsia="宋体" w:cs="宋体"/>
                <w:b/>
                <w:color w:val="auto"/>
                <w:kern w:val="2"/>
                <w:sz w:val="21"/>
                <w:szCs w:val="21"/>
                <w:highlight w:val="none"/>
              </w:rPr>
            </w:pPr>
            <w:r>
              <w:rPr>
                <w:rFonts w:hint="eastAsia" w:ascii="宋体" w:hAnsi="宋体" w:eastAsia="宋体" w:cs="宋体"/>
                <w:color w:val="auto"/>
                <w:sz w:val="21"/>
                <w:szCs w:val="21"/>
                <w:highlight w:val="none"/>
              </w:rPr>
              <w:t>1.合同价款：</w:t>
            </w:r>
            <w:r>
              <w:rPr>
                <w:rFonts w:hint="eastAsia" w:ascii="宋体" w:hAnsi="宋体" w:eastAsia="宋体" w:cs="宋体"/>
                <w:b/>
                <w:color w:val="auto"/>
                <w:kern w:val="2"/>
                <w:sz w:val="21"/>
                <w:szCs w:val="21"/>
                <w:highlight w:val="none"/>
              </w:rPr>
              <w:t xml:space="preserve"> </w:t>
            </w:r>
          </w:p>
          <w:p>
            <w:pPr>
              <w:keepNext w:val="0"/>
              <w:keepLines w:val="0"/>
              <w:suppressLineNumbers w:val="0"/>
              <w:autoSpaceDE/>
              <w:autoSpaceDN/>
              <w:adjustRightInd/>
              <w:spacing w:before="0" w:beforeAutospacing="0" w:after="0" w:afterAutospacing="0" w:line="360" w:lineRule="auto"/>
              <w:ind w:left="0" w:right="0" w:firstLine="42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暂定总合同价款（即销售额，不含</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销项税额）（大写）：人民币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rPr>
              <w:t>。监测服务系数为</w:t>
            </w:r>
            <w:r>
              <w:rPr>
                <w:rFonts w:hint="eastAsia" w:ascii="宋体" w:hAnsi="宋体" w:eastAsia="宋体" w:cs="宋体"/>
                <w:b/>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pPr>
              <w:keepNext w:val="0"/>
              <w:keepLines w:val="0"/>
              <w:suppressLineNumbers w:val="0"/>
              <w:autoSpaceDE/>
              <w:autoSpaceDN/>
              <w:adjustRightInd/>
              <w:spacing w:before="0" w:beforeAutospacing="0" w:after="0" w:afterAutospacing="0" w:line="360" w:lineRule="auto"/>
              <w:ind w:left="0" w:right="0" w:firstLine="420" w:firstLineChars="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依法计得并根据本合同约定确定的销项税额由</w:t>
            </w:r>
            <w:r>
              <w:rPr>
                <w:rFonts w:hint="eastAsia" w:ascii="宋体" w:hAnsi="宋体" w:eastAsia="宋体" w:cs="宋体"/>
                <w:color w:val="auto"/>
                <w:sz w:val="21"/>
                <w:szCs w:val="21"/>
                <w:highlight w:val="none"/>
                <w:lang w:val="en-US" w:eastAsia="zh-CN"/>
              </w:rPr>
              <w:t>丙方或甲方</w:t>
            </w:r>
            <w:r>
              <w:rPr>
                <w:rFonts w:hint="eastAsia" w:ascii="宋体" w:hAnsi="宋体" w:eastAsia="宋体" w:cs="宋体"/>
                <w:color w:val="auto"/>
                <w:sz w:val="21"/>
                <w:szCs w:val="21"/>
                <w:highlight w:val="none"/>
              </w:rPr>
              <w:t>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%，对应暂定总合同价款的销项税额为人民币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）。增值税税率根据《中华人民共和国增值税暂行条例》（国务院令第691号修订版）及当前税务部门的相关规定,支付和结算时按实进行调整。</w:t>
            </w:r>
          </w:p>
          <w:p>
            <w:pPr>
              <w:keepNext w:val="0"/>
              <w:keepLines w:val="0"/>
              <w:suppressLineNumbers w:val="0"/>
              <w:autoSpaceDE/>
              <w:autoSpaceDN/>
              <w:adjustRightInd/>
              <w:spacing w:before="0" w:beforeAutospacing="0" w:after="0" w:afterAutospacing="0" w:line="360" w:lineRule="auto"/>
              <w:ind w:left="0" w:right="0" w:firstLine="420" w:firstLineChars="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暂定总合同价款价税合计（以下简称“暂定总合同价款（含税）”，大写）：人民币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color w:val="auto"/>
                <w:sz w:val="21"/>
                <w:szCs w:val="21"/>
                <w:highlight w:val="none"/>
              </w:rPr>
              <w:t>2.</w:t>
            </w:r>
            <w:r>
              <w:rPr>
                <w:rFonts w:hint="eastAsia" w:ascii="宋体" w:hAnsi="宋体" w:eastAsia="宋体" w:cs="宋体"/>
                <w:bCs/>
                <w:color w:val="auto"/>
                <w:kern w:val="2"/>
                <w:sz w:val="21"/>
                <w:szCs w:val="21"/>
                <w:highlight w:val="none"/>
                <w:lang w:val="en-US" w:eastAsia="zh-CN" w:bidi="ar"/>
              </w:rPr>
              <w:t>合同附件一《监测工程量清单计价表》的不含税综合单价（即结算不含税综合单价）等于招标文件附件一《监测工程量清单计价表》列出的不含税综合单价乘以中标报价（监测服务系数），结算时不作调整，但最终结算价不得超出暂定总合同价款（含税）。</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不含税综合单价包含为实施和完成监测工程所需的人工费、机械费、材料设备费、水电费以及进出场费、试坑开挖、桩头处理、加荷体吊装运输、应力应变测试的传感费用、埋设安装费用、道路修填、重锤吊装及运输费、钻孔费、引孔费、临时设施费、检验试验、安全生产、管理、利润、规费、专家论证费、</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销项税额以外的税金等一切费用，以及合同规定的所有责任、义务和一切风险。监测时，如需土建总包单位配合或向其租借设备时，自行与总包单位协调，配合及租借费用应包括在合同价内。</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.《监测工程量清单计价表》不作为乙方最终服务范围及业务承接数量的保证，甲方有权根据实际需求对监测工程量进行优化调整，最终服务费用按实际发生工程量结算</w:t>
            </w:r>
            <w:r>
              <w:rPr>
                <w:rFonts w:hint="eastAsia" w:ascii="宋体" w:hAnsi="宋体" w:eastAsia="宋体" w:cs="宋体"/>
                <w:color w:val="auto"/>
                <w:sz w:val="21"/>
                <w:szCs w:val="21"/>
                <w:highlight w:val="none"/>
                <w:lang w:eastAsia="zh-CN"/>
              </w:rPr>
              <w:t>，但最终结算价不得超出暂定总合同价款（含税）</w:t>
            </w:r>
            <w:r>
              <w:rPr>
                <w:rFonts w:hint="eastAsia" w:ascii="宋体" w:hAnsi="宋体" w:eastAsia="宋体" w:cs="宋体"/>
                <w:color w:val="auto"/>
                <w:sz w:val="21"/>
                <w:szCs w:val="21"/>
                <w:highlight w:val="none"/>
              </w:rPr>
              <w:t>。在合同服务期内，乙方不得因实际监测项目数量及服务费用的增减而要求甲方提供任何形式的补偿或赔偿，或只按甲方暂定的《监测工程量清单计价表》提供相应的对应服务。否则，视为乙方违约，甲方有权追究乙方的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2" w:type="dxa"/>
            <w:vAlign w:val="center"/>
          </w:tcPr>
          <w:p>
            <w:pPr>
              <w:pStyle w:val="6"/>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087" w:type="dxa"/>
            <w:vAlign w:val="center"/>
          </w:tcPr>
          <w:p>
            <w:pPr>
              <w:pStyle w:val="6"/>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第三方监测计费依据</w:t>
            </w:r>
          </w:p>
        </w:tc>
        <w:tc>
          <w:tcPr>
            <w:tcW w:w="8317" w:type="dxa"/>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right="0" w:firstLine="411" w:firstLineChars="196"/>
              <w:jc w:val="both"/>
              <w:rPr>
                <w:rFonts w:hint="eastAsia" w:ascii="宋体" w:hAnsi="宋体" w:eastAsia="宋体" w:cs="宋体"/>
                <w:color w:val="auto"/>
                <w:sz w:val="21"/>
                <w:szCs w:val="21"/>
                <w:highlight w:val="none"/>
              </w:rPr>
            </w:pPr>
            <w:r>
              <w:rPr>
                <w:rFonts w:hint="eastAsia" w:ascii="宋体" w:hAnsi="宋体" w:eastAsia="宋体" w:cs="宋体"/>
                <w:bCs/>
                <w:color w:val="auto"/>
                <w:kern w:val="2"/>
                <w:sz w:val="21"/>
                <w:szCs w:val="21"/>
                <w:highlight w:val="none"/>
                <w:lang w:val="en-US" w:eastAsia="zh-CN" w:bidi="ar"/>
              </w:rPr>
              <w:t>1.本项目的计费标准按照合同附件一《监测工程量清单计价表》（详见附件）中的不含税</w:t>
            </w:r>
            <w:r>
              <w:rPr>
                <w:rFonts w:hint="eastAsia" w:ascii="宋体" w:hAnsi="宋体" w:eastAsia="宋体" w:cs="宋体"/>
                <w:color w:val="auto"/>
                <w:kern w:val="2"/>
                <w:sz w:val="21"/>
                <w:szCs w:val="21"/>
                <w:highlight w:val="none"/>
                <w:lang w:val="en-US" w:eastAsia="zh-CN" w:bidi="ar"/>
              </w:rPr>
              <w:t>综合单价×实际监测工作量进行结算，但最终结算价不得超出暂定总合同价款（含税）。</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.对于《监测工程量清单计价表》外新增的监测项目，不含税综合单价按以下方法计算：</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（1）按《广东省房屋建筑和市政工程工程质量安全检测收费指导价》（粤建检协〔2015〕8号）对应项单价÷1.06×监测</w:t>
            </w:r>
            <w:r>
              <w:rPr>
                <w:rFonts w:hint="eastAsia" w:ascii="宋体" w:hAnsi="宋体" w:eastAsia="宋体" w:cs="宋体"/>
                <w:color w:val="auto"/>
                <w:kern w:val="2"/>
                <w:sz w:val="21"/>
                <w:szCs w:val="21"/>
                <w:highlight w:val="none"/>
              </w:rPr>
              <w:t>服务</w:t>
            </w:r>
            <w:r>
              <w:rPr>
                <w:rFonts w:hint="eastAsia" w:ascii="宋体" w:hAnsi="宋体" w:eastAsia="宋体" w:cs="宋体"/>
                <w:color w:val="auto"/>
                <w:sz w:val="21"/>
                <w:szCs w:val="21"/>
                <w:highlight w:val="none"/>
              </w:rPr>
              <w:t>系数；</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（2）《广东省房屋建筑和市政工程工程质量安全检测收费指导价》（粤建检协〔2015〕8号）无对应项的，由甲方结合本地</w:t>
            </w:r>
            <w:r>
              <w:rPr>
                <w:rFonts w:hint="eastAsia" w:ascii="宋体" w:hAnsi="宋体" w:eastAsia="宋体" w:cs="宋体"/>
                <w:b w:val="0"/>
                <w:bCs w:val="0"/>
                <w:color w:val="auto"/>
                <w:sz w:val="21"/>
                <w:szCs w:val="21"/>
                <w:highlight w:val="none"/>
                <w:lang w:val="en-US"/>
              </w:rPr>
              <w:t>及周边同类城市</w:t>
            </w:r>
            <w:r>
              <w:rPr>
                <w:rFonts w:hint="eastAsia" w:ascii="宋体" w:hAnsi="宋体" w:eastAsia="宋体" w:cs="宋体"/>
                <w:color w:val="auto"/>
                <w:sz w:val="21"/>
                <w:szCs w:val="21"/>
                <w:highlight w:val="none"/>
              </w:rPr>
              <w:t>市场询价</w:t>
            </w:r>
            <w:r>
              <w:rPr>
                <w:rFonts w:hint="eastAsia" w:ascii="宋体" w:hAnsi="宋体" w:eastAsia="宋体" w:cs="宋体"/>
                <w:b w:val="0"/>
                <w:bCs w:val="0"/>
                <w:color w:val="auto"/>
                <w:sz w:val="21"/>
                <w:szCs w:val="21"/>
                <w:highlight w:val="none"/>
                <w:lang w:val="en-US"/>
              </w:rPr>
              <w:t>的不含税综合单价</w:t>
            </w:r>
            <w:r>
              <w:rPr>
                <w:rFonts w:hint="eastAsia" w:ascii="宋体" w:hAnsi="宋体" w:eastAsia="宋体" w:cs="宋体"/>
                <w:color w:val="auto"/>
                <w:sz w:val="21"/>
                <w:szCs w:val="21"/>
                <w:highlight w:val="none"/>
              </w:rPr>
              <w:t>×监测</w:t>
            </w:r>
            <w:r>
              <w:rPr>
                <w:rFonts w:hint="eastAsia" w:ascii="宋体" w:hAnsi="宋体" w:eastAsia="宋体" w:cs="宋体"/>
                <w:color w:val="auto"/>
                <w:kern w:val="2"/>
                <w:sz w:val="21"/>
                <w:szCs w:val="21"/>
                <w:highlight w:val="none"/>
              </w:rPr>
              <w:t>服务</w:t>
            </w:r>
            <w:r>
              <w:rPr>
                <w:rFonts w:hint="eastAsia" w:ascii="宋体" w:hAnsi="宋体" w:eastAsia="宋体" w:cs="宋体"/>
                <w:color w:val="auto"/>
                <w:sz w:val="21"/>
                <w:szCs w:val="21"/>
                <w:highlight w:val="none"/>
              </w:rPr>
              <w:t>系数。</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以上不含税综合单价均保留两位小数。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2" w:type="dxa"/>
            <w:vAlign w:val="center"/>
          </w:tcPr>
          <w:p>
            <w:pPr>
              <w:pStyle w:val="6"/>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087" w:type="dxa"/>
            <w:vAlign w:val="center"/>
          </w:tcPr>
          <w:p>
            <w:pPr>
              <w:pStyle w:val="6"/>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结算调整规则、范围及方式</w:t>
            </w:r>
          </w:p>
        </w:tc>
        <w:tc>
          <w:tcPr>
            <w:tcW w:w="8317" w:type="dxa"/>
            <w:vAlign w:val="center"/>
          </w:tcPr>
          <w:p>
            <w:pPr>
              <w:keepNext w:val="0"/>
              <w:keepLines w:val="0"/>
              <w:suppressLineNumbers w:val="0"/>
              <w:autoSpaceDE/>
              <w:autoSpaceDN/>
              <w:adjustRightInd/>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（1）结算调整的范围：因设计变更、改线或者重大工艺变更等工程变更引起的监测项目的变更，包含监测项目增减和已有监测项目中工作量的增减，乙方在实施前，须提出变更申请，经本工程的设计</w:t>
            </w:r>
            <w:r>
              <w:rPr>
                <w:rFonts w:hint="eastAsia" w:ascii="宋体" w:hAnsi="宋体" w:eastAsia="宋体" w:cs="宋体"/>
                <w:color w:val="auto"/>
                <w:kern w:val="2"/>
                <w:sz w:val="21"/>
                <w:szCs w:val="21"/>
                <w:highlight w:val="none"/>
                <w:lang w:val="en-US" w:eastAsia="zh-CN"/>
              </w:rPr>
              <w:t>单位</w:t>
            </w:r>
            <w:r>
              <w:rPr>
                <w:rFonts w:hint="eastAsia" w:ascii="宋体" w:hAnsi="宋体" w:eastAsia="宋体" w:cs="宋体"/>
                <w:color w:val="auto"/>
                <w:kern w:val="2"/>
                <w:sz w:val="21"/>
                <w:szCs w:val="21"/>
                <w:highlight w:val="none"/>
              </w:rPr>
              <w:t>、监理</w:t>
            </w:r>
            <w:r>
              <w:rPr>
                <w:rFonts w:hint="eastAsia" w:ascii="宋体" w:hAnsi="宋体" w:eastAsia="宋体" w:cs="宋体"/>
                <w:color w:val="auto"/>
                <w:kern w:val="2"/>
                <w:sz w:val="21"/>
                <w:szCs w:val="21"/>
                <w:highlight w:val="none"/>
                <w:lang w:val="en-US" w:eastAsia="zh-CN"/>
              </w:rPr>
              <w:t>单位</w:t>
            </w:r>
            <w:r>
              <w:rPr>
                <w:rFonts w:hint="eastAsia" w:ascii="宋体" w:hAnsi="宋体" w:eastAsia="宋体" w:cs="宋体"/>
                <w:color w:val="auto"/>
                <w:kern w:val="2"/>
                <w:sz w:val="21"/>
                <w:szCs w:val="21"/>
                <w:highlight w:val="none"/>
              </w:rPr>
              <w:t>及甲方（含其委托的第三方审核机构）批准后方可实施。</w:t>
            </w:r>
          </w:p>
          <w:p>
            <w:pPr>
              <w:keepNext w:val="0"/>
              <w:keepLines w:val="0"/>
              <w:suppressLineNumbers w:val="0"/>
              <w:spacing w:before="0" w:beforeAutospacing="0" w:after="0" w:afterAutospacing="0" w:line="360" w:lineRule="auto"/>
              <w:ind w:left="0" w:right="0" w:firstLine="420"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kern w:val="2"/>
                <w:sz w:val="21"/>
                <w:szCs w:val="21"/>
                <w:highlight w:val="none"/>
              </w:rPr>
              <w:t>（2）变更项目监测的计价：</w:t>
            </w:r>
            <w:r>
              <w:rPr>
                <w:rFonts w:hint="eastAsia" w:ascii="宋体" w:hAnsi="宋体" w:eastAsia="宋体" w:cs="宋体"/>
                <w:b/>
                <w:bCs/>
                <w:color w:val="auto"/>
                <w:kern w:val="2"/>
                <w:sz w:val="21"/>
                <w:szCs w:val="21"/>
                <w:highlight w:val="none"/>
              </w:rPr>
              <w:t>合同价中已有适用于变更监测项目的不含税综合单价，按合同已有的不含税综合单价变更合同价款；合同中已有类似变更监测项目的不含税综合单价，可参照类似监测项目不含税综合单价变更合同价款；合同中没有适用于变更监测项目的不含税综合单价，经批准变更后，按照《广东省房屋建筑和市政工程工程质量安全检测收费指导价》（粤建检协〔2015〕8号）对应项单价÷1.06×监测服务系数计算，《广东省房屋建筑和市政工程工程质量安全检测收费指导价》（粤建检协〔2015〕8号）无对应项的，由甲方结合本地</w:t>
            </w:r>
            <w:r>
              <w:rPr>
                <w:rFonts w:hint="eastAsia" w:ascii="宋体" w:hAnsi="宋体" w:eastAsia="宋体" w:cs="宋体"/>
                <w:b/>
                <w:bCs/>
                <w:color w:val="auto"/>
                <w:kern w:val="2"/>
                <w:sz w:val="21"/>
                <w:szCs w:val="21"/>
                <w:highlight w:val="none"/>
                <w:lang w:val="en-US"/>
              </w:rPr>
              <w:t>及周边同类城市</w:t>
            </w:r>
            <w:r>
              <w:rPr>
                <w:rFonts w:hint="eastAsia" w:ascii="宋体" w:hAnsi="宋体" w:eastAsia="宋体" w:cs="宋体"/>
                <w:b/>
                <w:bCs/>
                <w:color w:val="auto"/>
                <w:kern w:val="2"/>
                <w:sz w:val="21"/>
                <w:szCs w:val="21"/>
                <w:highlight w:val="none"/>
              </w:rPr>
              <w:t>市场询价的不含税综合单价×监测服务系数。所有变更的监测项目均须书面向甲方申报，经甲方（含其委托的第三方审核机构）审核批准同意后方可实施。</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2"/>
                <w:sz w:val="21"/>
                <w:szCs w:val="21"/>
                <w:highlight w:val="none"/>
              </w:rPr>
              <w:t>（3）在完成所有合同内容并具备结算条件3个月后，仍未报结算资料，甲方将书面发函督促办理结算，函中明确接到函件10个工作日后，仍未提交结算资料，或不配合甲方完成结算工作，丙方将根据已支付的进度款进行单方结算，由此所产生的法律责任均由乙方承担。</w:t>
            </w:r>
          </w:p>
        </w:tc>
      </w:tr>
    </w:tbl>
    <w:p>
      <w:pPr>
        <w:pStyle w:val="34"/>
        <w:autoSpaceDE w:val="0"/>
        <w:autoSpaceDN w:val="0"/>
        <w:adjustRightInd w:val="0"/>
        <w:spacing w:before="0" w:beforeAutospacing="0" w:after="0" w:afterAutospacing="0" w:line="360" w:lineRule="auto"/>
        <w:outlineLvl w:val="4"/>
        <w:rPr>
          <w:rFonts w:hint="eastAsia" w:ascii="宋体" w:hAnsi="宋体" w:eastAsia="宋体" w:cs="宋体"/>
          <w:b w:val="0"/>
          <w:bCs/>
          <w:color w:val="auto"/>
          <w:sz w:val="21"/>
          <w:szCs w:val="21"/>
          <w:highlight w:val="none"/>
          <w:lang w:eastAsia="zh-CN" w:bidi="ar"/>
        </w:rPr>
      </w:pPr>
      <w:r>
        <w:rPr>
          <w:rFonts w:hint="eastAsia" w:ascii="宋体" w:hAnsi="宋体" w:eastAsia="宋体" w:cs="宋体"/>
          <w:b w:val="0"/>
          <w:bCs/>
          <w:color w:val="auto"/>
          <w:sz w:val="21"/>
          <w:szCs w:val="21"/>
          <w:highlight w:val="none"/>
          <w:lang w:val="en-US" w:eastAsia="zh-CN" w:bidi="ar"/>
        </w:rPr>
        <w:t>2</w:t>
      </w:r>
      <w:r>
        <w:rPr>
          <w:rFonts w:hint="eastAsia" w:ascii="宋体" w:hAnsi="宋体" w:eastAsia="宋体" w:cs="宋体"/>
          <w:b w:val="0"/>
          <w:bCs/>
          <w:color w:val="auto"/>
          <w:sz w:val="21"/>
          <w:szCs w:val="21"/>
          <w:highlight w:val="none"/>
          <w:lang w:eastAsia="zh-CN" w:bidi="ar"/>
        </w:rPr>
        <w:t>.权利和义务一览表</w:t>
      </w:r>
    </w:p>
    <w:tbl>
      <w:tblPr>
        <w:tblStyle w:val="37"/>
        <w:tblW w:w="4998" w:type="pct"/>
        <w:tblInd w:w="0" w:type="dxa"/>
        <w:tblLayout w:type="fixed"/>
        <w:tblCellMar>
          <w:top w:w="0" w:type="dxa"/>
          <w:left w:w="108" w:type="dxa"/>
          <w:bottom w:w="0" w:type="dxa"/>
          <w:right w:w="108" w:type="dxa"/>
        </w:tblCellMar>
      </w:tblPr>
      <w:tblGrid>
        <w:gridCol w:w="966"/>
        <w:gridCol w:w="1095"/>
        <w:gridCol w:w="8305"/>
      </w:tblGrid>
      <w:tr>
        <w:tblPrEx>
          <w:tblCellMar>
            <w:top w:w="0" w:type="dxa"/>
            <w:left w:w="108" w:type="dxa"/>
            <w:bottom w:w="0" w:type="dxa"/>
            <w:right w:w="108" w:type="dxa"/>
          </w:tblCellMar>
        </w:tblPrEx>
        <w:trPr>
          <w:trHeight w:val="680" w:hRule="atLeast"/>
        </w:trPr>
        <w:tc>
          <w:tcPr>
            <w:tcW w:w="96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0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类别</w:t>
            </w:r>
          </w:p>
        </w:tc>
        <w:tc>
          <w:tcPr>
            <w:tcW w:w="8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具体条款</w:t>
            </w:r>
          </w:p>
        </w:tc>
      </w:tr>
      <w:tr>
        <w:tblPrEx>
          <w:tblCellMar>
            <w:top w:w="0" w:type="dxa"/>
            <w:left w:w="108" w:type="dxa"/>
            <w:bottom w:w="0" w:type="dxa"/>
            <w:right w:w="108" w:type="dxa"/>
          </w:tblCellMar>
        </w:tblPrEx>
        <w:trPr>
          <w:trHeight w:val="1077" w:hRule="atLeast"/>
        </w:trPr>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1</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甲方权利和义务</w:t>
            </w:r>
          </w:p>
        </w:tc>
        <w:tc>
          <w:tcPr>
            <w:tcW w:w="8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1.在合同履行期间，有权对乙方进行监督和检查，并要求其提供相关信息和资料。对乙方违反本合同约定、招投标文件规定的行为有权要求改正。</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2.甲方有权对乙方服务人员、设备投入等进行监督、检查。如发现不符合招投标文件、合同约定的，有权要求补充、更换及追究乙方其他违约责任。</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3.对发现乙方违反本合同、招投标文件或服务合同的有关规定或承诺，甲方有权追究乙方的违约责任，扣除或没收本合同履约担保。</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color w:val="auto"/>
                <w:sz w:val="21"/>
                <w:szCs w:val="21"/>
                <w:highlight w:val="none"/>
              </w:rPr>
              <w:t>.协助乙方仪器及运输设备顺利进场</w:t>
            </w:r>
            <w:r>
              <w:rPr>
                <w:rFonts w:hint="eastAsia" w:ascii="宋体" w:hAnsi="宋体" w:eastAsia="宋体" w:cs="宋体"/>
                <w:bCs/>
                <w:color w:val="auto"/>
                <w:sz w:val="21"/>
                <w:szCs w:val="21"/>
                <w:highlight w:val="none"/>
              </w:rPr>
              <w:t>。</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监督受监施工单位定时向乙方提供进度计划，协调作业时间，保证乙方有足够时间展开监测工作。</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r>
              <w:rPr>
                <w:rFonts w:hint="eastAsia" w:ascii="宋体" w:hAnsi="宋体" w:eastAsia="宋体" w:cs="宋体"/>
                <w:color w:val="auto"/>
                <w:sz w:val="21"/>
                <w:szCs w:val="21"/>
                <w:highlight w:val="none"/>
              </w:rPr>
              <w:t>.有权对乙方的监测工作进行监督；对其违约行为发出整改通知</w:t>
            </w:r>
            <w:r>
              <w:rPr>
                <w:rFonts w:hint="eastAsia" w:ascii="宋体" w:hAnsi="宋体" w:eastAsia="宋体" w:cs="宋体"/>
                <w:bCs/>
                <w:color w:val="auto"/>
                <w:sz w:val="21"/>
                <w:szCs w:val="21"/>
                <w:highlight w:val="none"/>
              </w:rPr>
              <w:t>。</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合同履约期间，甲方有权对监测范围、要求、规模及特征等根据项目实际情况作出相应调整，调整后</w:t>
            </w:r>
            <w:r>
              <w:rPr>
                <w:rFonts w:hint="eastAsia" w:ascii="宋体" w:hAnsi="宋体" w:eastAsia="宋体" w:cs="宋体"/>
                <w:bCs/>
                <w:color w:val="auto"/>
                <w:sz w:val="21"/>
                <w:szCs w:val="21"/>
                <w:highlight w:val="none"/>
                <w:lang w:val="en-US" w:eastAsia="zh-CN"/>
              </w:rPr>
              <w:t>三</w:t>
            </w:r>
            <w:r>
              <w:rPr>
                <w:rFonts w:hint="eastAsia" w:ascii="宋体" w:hAnsi="宋体" w:eastAsia="宋体" w:cs="宋体"/>
                <w:bCs/>
                <w:color w:val="auto"/>
                <w:sz w:val="21"/>
                <w:szCs w:val="21"/>
                <w:highlight w:val="none"/>
              </w:rPr>
              <w:t>方根据实际工作量进行结算。</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甲方按照既定的审批程序，及时办理服务费的审批手续。</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施工现场用水、用电在有条件的情况下由甲方负责提供水、电接入点，乙方自行接入。</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lang w:bidi="ar"/>
              </w:rPr>
            </w:pPr>
            <w:r>
              <w:rPr>
                <w:rFonts w:hint="eastAsia" w:ascii="宋体" w:hAnsi="宋体" w:eastAsia="宋体" w:cs="宋体"/>
                <w:bCs/>
                <w:color w:val="auto"/>
                <w:sz w:val="21"/>
                <w:szCs w:val="21"/>
                <w:highlight w:val="none"/>
              </w:rPr>
              <w:t>10</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合同文件及附件内容约定的甲方其余权利义务。</w:t>
            </w:r>
          </w:p>
        </w:tc>
      </w:tr>
      <w:tr>
        <w:tblPrEx>
          <w:tblCellMar>
            <w:top w:w="0" w:type="dxa"/>
            <w:left w:w="108" w:type="dxa"/>
            <w:bottom w:w="0" w:type="dxa"/>
            <w:right w:w="108" w:type="dxa"/>
          </w:tblCellMar>
        </w:tblPrEx>
        <w:trPr>
          <w:trHeight w:val="1624" w:hRule="atLeast"/>
        </w:trPr>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乙方权利和义务</w:t>
            </w:r>
          </w:p>
        </w:tc>
        <w:tc>
          <w:tcPr>
            <w:tcW w:w="8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在合同的履行期间，乙方应当保持相应资质的有效性，且具备在东莞市开展监测服务工作的资格条件。因乙方资质条件丧失，导致无法开展监测工作的，甲方有权另行委托其他第三方，并且乙方需向甲方支付暂定总合同价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的20%的违约金。同时，造成甲方的经济损失（包括但不限于重新招标、委托第三方的费用），由乙方承担全部赔偿。</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.对甲方委派的监测工作，乙方应当根据本合同约定、招投标文件及甲方要求进行开展，不得借故拒绝接受委托。</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按照国家颁发的有关监测技术标准或规范，采用科学先进的方法进行监测评估和试验过程的全程监控、记录，保证数据真实可靠，对监控结果真实性、准确性、合法性、完整性负责。</w:t>
            </w:r>
          </w:p>
          <w:p>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提供的监测报告、数据成果、文件等质量不合格的，应负责无偿给予修改、补充完善使其达到甲方要求；如乙方怠于或无力修改、补充完善，甲方有权另委托其他单位继续进行，乙方应承担由此产生的全部监测费用及其他损失。</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eastAsia="宋体" w:cs="宋体"/>
                <w:color w:val="auto"/>
                <w:sz w:val="21"/>
                <w:szCs w:val="21"/>
                <w:highlight w:val="none"/>
              </w:rPr>
              <w:t>.因乙方提供的监测报告、数据成果、文件等质量不合格造成甲方经济损失（包括但不限于监测变更费、增加工程费用等）或工程事故的，乙方应对造成的损失承担赔偿责任（包括但不限于施工单位损失赔偿、第三人侵权赔偿责任等），并根据违约行为向甲方支付违约金壹万元/次。如甲方实际损失高于违约金的，甲方有权另行追偿</w:t>
            </w:r>
            <w:r>
              <w:rPr>
                <w:rFonts w:hint="eastAsia" w:ascii="宋体" w:hAnsi="宋体" w:eastAsia="宋体" w:cs="宋体"/>
                <w:bCs/>
                <w:color w:val="auto"/>
                <w:sz w:val="21"/>
                <w:szCs w:val="21"/>
                <w:highlight w:val="none"/>
              </w:rPr>
              <w:t>。</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在本合同履行期间，承担其聘请人员的用工责任及用人单位责任。为其雇员、劳动者依法提供劳动保护，为从事维护工作的人员购买社会保险或意外伤害保险，并为施工场地内自有人员生命财产和施工机械设备办理保险，承担并支付保险费用。如乙方人员（包括雇员、乙方劳动者等）在维护过程中发生意外事故、工伤、死亡的，由乙方承担全部责任并支付全部费用，甲方无须对这些意外事故、工伤、死亡承担任何责任，如甲方因此受到索赔并因此支付赔偿费用或者垫付了费用的，甲方有权向乙方追偿，甲方可启动履约担保支付。</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严格遵守国家法律、法规，协助甲方做好社会治安综合管理工作和计划生育等工作。乙方员工有违法乱纪或犯罪的行为，乙方应承担一切经济责任和法律责任。</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每逢法定节日（含元旦、春节、清明、端午、五一、中秋、国庆）或甲方上级单位或市有关部门进行监督检查时，乙方应无条件配合甲方及有关部门组织的突击性任务及迎检活动，按时、按标准、按要求完成甲方所分配的工作。积极响应并接受市、镇街相关主管部门及其他上级部门的监督检查并接受广大市民监督。</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建立健全内部管理制度，并接受甲方及有关主管部门对项目服务状况、服务质量的监督检查。如因质量问题、操作不当或乙方自身管理原因而造成一切责任及经济损失由乙方承担。因乙方原因导致甲方损失的，乙方应当全额赔偿甲方的损失。</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在合同期限内保存好全部与监测服务相关的文件资料，且不得将上述文件资料向第三人披露或用于本项目之外的目的。在合同解除或终止后，按照甲方的要求，做好本项目的交接工作。如因资料缺失对甲方后续工作造成影响的，由此产生的费用由乙方全部承担。</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如施工现场甲方无法提供水、电接入点，乙方自行解决施工用水、用电并承担相关费用。</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乙方应按本合同及招、投标文件的要求按时提供监测报告和其他甲方认为有必要提供的中间过程资料、图表、照片（包括电子资料）等，以及向甲方提供咨询服务和建议。</w:t>
            </w:r>
          </w:p>
          <w:p>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监测过程中，乙方自行对本单位的仪器、设备安全负责，自行承担保管职责；对监测所产生的水、电等费用由乙方负责。</w:t>
            </w:r>
          </w:p>
          <w:p>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与监测工程的施工单位、设计单位、监理单位等单位相互配合，数据共享。</w:t>
            </w:r>
          </w:p>
          <w:p>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本合同约定范围内必要的修改，补充，应由乙方负责，甲方不再另付监测费用或其他费用。</w:t>
            </w:r>
          </w:p>
          <w:p>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在监测现场的工作人员，应遵守的施工现场安全保卫及其他有关的规章制度，承担其有关资料保密义务，保密义务不因本合同终止而结束。乙方保证对其在讨论、签订、履行本合同及具体项目合同过程中所获悉的属于甲方的且无法从公开渠道获得的文件资料及项目信息予以严格保密并应采取相应的保密措施，保证其自身及工作人员不私自使用或向任何第三方泄露，否则乙方承担由此给甲方造成的一切损失。</w:t>
            </w:r>
          </w:p>
          <w:p>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17</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乙方提交给甲方的监测成果知识产权归属甲方，乙方须确保甲方在使用过程中免受第三方关于知识产权或其他合法权益的起诉，否则，乙方应承担由此给甲方造成的一切损失。</w:t>
            </w:r>
          </w:p>
          <w:p>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18</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乙方不得将本合同标的部分或全部转让给第三方。</w:t>
            </w:r>
          </w:p>
          <w:p>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19.乙方应确保其具备履行本合同工作所需的相关资质，否则，因此产生的一切后果由乙方承担。乙方应</w:t>
            </w:r>
            <w:r>
              <w:rPr>
                <w:rFonts w:hint="eastAsia" w:ascii="宋体" w:hAnsi="宋体" w:eastAsia="宋体" w:cs="宋体"/>
                <w:bCs/>
                <w:color w:val="auto"/>
                <w:sz w:val="21"/>
                <w:szCs w:val="21"/>
                <w:highlight w:val="none"/>
              </w:rPr>
              <w:t>建立健全内部管理制度，并接受甲方及有关主管部门对项目服务状况、服务质量的监督检查。</w:t>
            </w:r>
            <w:r>
              <w:rPr>
                <w:rFonts w:hint="eastAsia" w:ascii="宋体" w:hAnsi="宋体" w:eastAsia="宋体" w:cs="宋体"/>
                <w:color w:val="auto"/>
                <w:sz w:val="21"/>
                <w:szCs w:val="21"/>
                <w:highlight w:val="none"/>
                <w:lang w:bidi="ar"/>
              </w:rPr>
              <w:t>因乙方原因导致甲方损失的，应当全额赔偿甲方的损失。</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20</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在服务过程中，乙方应遵守有关安全生产管理规定，建立完善安全管理制度，安全生产事故报告制度，采取必要的安全防护措施，定期进行安全隐患排查，消除事故隐患。由于乙方的不尽职、操作不当、安全措施不力、人为疏失等原因造成双方及第三方的财产毁损、人身伤害（含各方雇员及临时聘用人员）及安全事故的责任和因此发生的费用，全部由乙方承担。若造成甲方（含其雇员及临时聘用人员）其他损失，乙方仍需赔偿。若产生劳动纠纷或仲裁或诉讼，均由乙方自行处理并承担损害赔偿，甲方不承担任何责任。</w:t>
            </w:r>
            <w:r>
              <w:rPr>
                <w:rFonts w:hint="eastAsia" w:ascii="宋体" w:hAnsi="宋体" w:eastAsia="宋体" w:cs="宋体"/>
                <w:color w:val="auto"/>
                <w:sz w:val="21"/>
                <w:szCs w:val="21"/>
                <w:highlight w:val="none"/>
              </w:rPr>
              <w:t>若甲方需参加诉讼，相关费用（包括但不限于诉讼费、律师费、鉴定费、公证费、交通住宿费等全部）及损失全部由乙方承担，甲方可在工程款中直接扣除或启动履约担保支付。</w:t>
            </w:r>
          </w:p>
          <w:p>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21</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本合同所述的乙方应承担的甲方损失，包括但不限于甲方支出的赔偿金、诉讼费、保全费、律师费、鉴定费等。</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本项目禁止转包；未经甲方书面同意不得分包。</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lang w:bidi="ar"/>
              </w:rPr>
            </w:pPr>
            <w:r>
              <w:rPr>
                <w:rFonts w:hint="eastAsia" w:ascii="宋体" w:hAnsi="宋体" w:eastAsia="宋体" w:cs="宋体"/>
                <w:bCs/>
                <w:color w:val="auto"/>
                <w:sz w:val="21"/>
                <w:szCs w:val="21"/>
                <w:highlight w:val="none"/>
              </w:rPr>
              <w:t>23</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合同文件及附件内容约定的乙方其他权利义务。</w:t>
            </w:r>
          </w:p>
        </w:tc>
      </w:tr>
    </w:tbl>
    <w:p>
      <w:pPr>
        <w:pStyle w:val="34"/>
        <w:autoSpaceDE w:val="0"/>
        <w:autoSpaceDN w:val="0"/>
        <w:adjustRightInd w:val="0"/>
        <w:spacing w:before="0" w:beforeAutospacing="0" w:after="0" w:afterAutospacing="0" w:line="360" w:lineRule="auto"/>
        <w:outlineLvl w:val="4"/>
        <w:rPr>
          <w:rFonts w:hint="eastAsia" w:ascii="宋体" w:hAnsi="宋体" w:eastAsia="宋体" w:cs="宋体"/>
          <w:b w:val="0"/>
          <w:bCs/>
          <w:color w:val="auto"/>
          <w:sz w:val="21"/>
          <w:szCs w:val="21"/>
          <w:highlight w:val="none"/>
          <w:lang w:val="en-US" w:eastAsia="zh-CN" w:bidi="ar"/>
        </w:rPr>
      </w:pPr>
      <w:r>
        <w:rPr>
          <w:rFonts w:hint="eastAsia" w:ascii="宋体" w:hAnsi="宋体" w:eastAsia="宋体" w:cs="宋体"/>
          <w:b w:val="0"/>
          <w:bCs/>
          <w:color w:val="auto"/>
          <w:sz w:val="21"/>
          <w:szCs w:val="21"/>
          <w:highlight w:val="none"/>
          <w:lang w:val="en-US" w:eastAsia="zh-CN" w:bidi="ar"/>
        </w:rPr>
        <w:t>3.乙方违约处理一览表</w:t>
      </w:r>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3943"/>
        <w:gridCol w:w="5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3943"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违约行为</w:t>
            </w:r>
          </w:p>
        </w:tc>
        <w:tc>
          <w:tcPr>
            <w:tcW w:w="5424"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违约处理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val="en-US" w:eastAsia="zh-CN" w:bidi="ar"/>
              </w:rPr>
              <w:t>1</w:t>
            </w:r>
          </w:p>
        </w:tc>
        <w:tc>
          <w:tcPr>
            <w:tcW w:w="3943"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因乙方资质条件丧失，导致无法开展监测</w:t>
            </w:r>
            <w:r>
              <w:rPr>
                <w:rFonts w:hint="eastAsia" w:ascii="宋体" w:hAnsi="宋体" w:eastAsia="宋体" w:cs="宋体"/>
                <w:color w:val="auto"/>
                <w:sz w:val="21"/>
                <w:szCs w:val="21"/>
                <w:highlight w:val="none"/>
                <w:lang w:eastAsia="zh-CN"/>
              </w:rPr>
              <w:t>工作。</w:t>
            </w:r>
          </w:p>
        </w:tc>
        <w:tc>
          <w:tcPr>
            <w:tcW w:w="5424"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甲方有权另行委托其他第三方，并且乙方需向甲方支付暂定总合同价款（含税）</w:t>
            </w:r>
            <w:r>
              <w:rPr>
                <w:rFonts w:hint="eastAsia" w:ascii="宋体" w:hAnsi="宋体" w:eastAsia="宋体" w:cs="宋体"/>
                <w:color w:val="auto"/>
                <w:sz w:val="21"/>
                <w:szCs w:val="21"/>
                <w:highlight w:val="none"/>
                <w:lang w:val="en-US" w:eastAsia="zh-CN"/>
              </w:rPr>
              <w:t>的20%</w:t>
            </w:r>
            <w:r>
              <w:rPr>
                <w:rFonts w:hint="eastAsia" w:ascii="宋体" w:hAnsi="宋体" w:eastAsia="宋体" w:cs="宋体"/>
                <w:color w:val="auto"/>
                <w:sz w:val="21"/>
                <w:szCs w:val="21"/>
                <w:highlight w:val="none"/>
              </w:rPr>
              <w:t>的违约金。同时，造成甲方的经济损失（包括但不限于重新招标、委托第三方的费用），由乙方承担全部赔偿。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val="en-US" w:eastAsia="zh-CN" w:bidi="ar"/>
              </w:rPr>
              <w:t>2</w:t>
            </w:r>
          </w:p>
        </w:tc>
        <w:tc>
          <w:tcPr>
            <w:tcW w:w="3943"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乙方提供的</w:t>
            </w:r>
            <w:r>
              <w:rPr>
                <w:rFonts w:hint="eastAsia" w:ascii="宋体" w:hAnsi="宋体" w:eastAsia="宋体" w:cs="宋体"/>
                <w:bCs/>
                <w:color w:val="auto"/>
                <w:sz w:val="21"/>
                <w:szCs w:val="21"/>
                <w:highlight w:val="none"/>
                <w:lang w:eastAsia="zh-CN"/>
              </w:rPr>
              <w:t>监测报告</w:t>
            </w:r>
            <w:r>
              <w:rPr>
                <w:rFonts w:hint="eastAsia" w:ascii="宋体" w:hAnsi="宋体" w:eastAsia="宋体" w:cs="宋体"/>
                <w:bCs/>
                <w:color w:val="auto"/>
                <w:sz w:val="21"/>
                <w:szCs w:val="21"/>
                <w:highlight w:val="none"/>
              </w:rPr>
              <w:t>、数据成果、文件等质量不合格</w:t>
            </w:r>
            <w:r>
              <w:rPr>
                <w:rFonts w:hint="eastAsia" w:ascii="宋体" w:hAnsi="宋体" w:eastAsia="宋体" w:cs="宋体"/>
                <w:color w:val="auto"/>
                <w:sz w:val="21"/>
                <w:szCs w:val="21"/>
                <w:highlight w:val="none"/>
              </w:rPr>
              <w:t>，不能满足技术要求</w:t>
            </w:r>
            <w:r>
              <w:rPr>
                <w:rFonts w:hint="eastAsia" w:ascii="宋体" w:hAnsi="宋体" w:eastAsia="宋体" w:cs="宋体"/>
                <w:color w:val="auto"/>
                <w:sz w:val="21"/>
                <w:szCs w:val="21"/>
                <w:highlight w:val="none"/>
                <w:lang w:eastAsia="zh-CN"/>
              </w:rPr>
              <w:t>。</w:t>
            </w:r>
          </w:p>
        </w:tc>
        <w:tc>
          <w:tcPr>
            <w:tcW w:w="5424"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负责无偿给予修改、补充完善使其达到甲方要求</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返工重新</w:t>
            </w:r>
            <w:r>
              <w:rPr>
                <w:rFonts w:hint="eastAsia" w:ascii="宋体" w:hAnsi="宋体" w:eastAsia="宋体" w:cs="宋体"/>
                <w:color w:val="auto"/>
                <w:sz w:val="21"/>
                <w:szCs w:val="21"/>
                <w:highlight w:val="none"/>
                <w:lang w:eastAsia="zh-CN"/>
              </w:rPr>
              <w:t>监测</w:t>
            </w:r>
            <w:r>
              <w:rPr>
                <w:rFonts w:hint="eastAsia" w:ascii="宋体" w:hAnsi="宋体" w:eastAsia="宋体" w:cs="宋体"/>
                <w:color w:val="auto"/>
                <w:sz w:val="21"/>
                <w:szCs w:val="21"/>
                <w:highlight w:val="none"/>
              </w:rPr>
              <w:t>等产生的费用由乙方承担</w:t>
            </w:r>
            <w:r>
              <w:rPr>
                <w:rFonts w:hint="eastAsia" w:ascii="宋体" w:hAnsi="宋体" w:eastAsia="宋体" w:cs="宋体"/>
                <w:bCs/>
                <w:color w:val="auto"/>
                <w:sz w:val="21"/>
                <w:szCs w:val="21"/>
                <w:highlight w:val="none"/>
              </w:rPr>
              <w:t>；如乙方怠于或无力修改、补充完善，甲方有权另委托其他单位继续进行，乙方应承担由此产生的全部</w:t>
            </w:r>
            <w:r>
              <w:rPr>
                <w:rFonts w:hint="eastAsia" w:ascii="宋体" w:hAnsi="宋体" w:eastAsia="宋体" w:cs="宋体"/>
                <w:bCs/>
                <w:color w:val="auto"/>
                <w:sz w:val="21"/>
                <w:szCs w:val="21"/>
                <w:highlight w:val="none"/>
                <w:lang w:eastAsia="zh-CN"/>
              </w:rPr>
              <w:t>监测</w:t>
            </w:r>
            <w:r>
              <w:rPr>
                <w:rFonts w:hint="eastAsia" w:ascii="宋体" w:hAnsi="宋体" w:eastAsia="宋体" w:cs="宋体"/>
                <w:bCs/>
                <w:color w:val="auto"/>
                <w:sz w:val="21"/>
                <w:szCs w:val="21"/>
                <w:highlight w:val="none"/>
              </w:rPr>
              <w:t>费用及其他损失。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999"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3</w:t>
            </w:r>
          </w:p>
        </w:tc>
        <w:tc>
          <w:tcPr>
            <w:tcW w:w="3943"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因乙方提供的</w:t>
            </w:r>
            <w:r>
              <w:rPr>
                <w:rFonts w:hint="eastAsia" w:ascii="宋体" w:hAnsi="宋体" w:eastAsia="宋体" w:cs="宋体"/>
                <w:color w:val="auto"/>
                <w:sz w:val="21"/>
                <w:szCs w:val="21"/>
                <w:highlight w:val="none"/>
                <w:lang w:eastAsia="zh-CN"/>
              </w:rPr>
              <w:t>监测报告</w:t>
            </w:r>
            <w:r>
              <w:rPr>
                <w:rFonts w:hint="eastAsia" w:ascii="宋体" w:hAnsi="宋体" w:eastAsia="宋体" w:cs="宋体"/>
                <w:color w:val="auto"/>
                <w:sz w:val="21"/>
                <w:szCs w:val="21"/>
                <w:highlight w:val="none"/>
              </w:rPr>
              <w:t>、数据成果、文件等质量不合格造成甲方经济损失（包括但不限于</w:t>
            </w:r>
            <w:r>
              <w:rPr>
                <w:rFonts w:hint="eastAsia" w:ascii="宋体" w:hAnsi="宋体" w:eastAsia="宋体" w:cs="宋体"/>
                <w:color w:val="auto"/>
                <w:sz w:val="21"/>
                <w:szCs w:val="21"/>
                <w:highlight w:val="none"/>
                <w:lang w:eastAsia="zh-CN"/>
              </w:rPr>
              <w:t>监测</w:t>
            </w:r>
            <w:r>
              <w:rPr>
                <w:rFonts w:hint="eastAsia" w:ascii="宋体" w:hAnsi="宋体" w:eastAsia="宋体" w:cs="宋体"/>
                <w:color w:val="auto"/>
                <w:sz w:val="21"/>
                <w:szCs w:val="21"/>
                <w:highlight w:val="none"/>
              </w:rPr>
              <w:t>变更费、增加工程费用等）或工程事故</w:t>
            </w:r>
            <w:r>
              <w:rPr>
                <w:rFonts w:hint="eastAsia" w:ascii="宋体" w:hAnsi="宋体" w:eastAsia="宋体" w:cs="宋体"/>
                <w:color w:val="auto"/>
                <w:sz w:val="21"/>
                <w:szCs w:val="21"/>
                <w:highlight w:val="none"/>
                <w:lang w:eastAsia="zh-CN"/>
              </w:rPr>
              <w:t>。</w:t>
            </w:r>
          </w:p>
        </w:tc>
        <w:tc>
          <w:tcPr>
            <w:tcW w:w="5424"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乙方应对造成的损失承担赔偿责任（包括但不限于施工单位损失赔偿、第三人侵权赔偿责任等），并根据违约行为向甲方支付违约金壹万元</w:t>
            </w:r>
            <w:r>
              <w:rPr>
                <w:rFonts w:hint="eastAsia" w:ascii="宋体" w:hAnsi="宋体" w:eastAsia="宋体" w:cs="宋体"/>
                <w:color w:val="auto"/>
                <w:sz w:val="21"/>
                <w:szCs w:val="21"/>
                <w:highlight w:val="none"/>
                <w:lang w:val="en-US" w:eastAsia="zh-CN"/>
              </w:rPr>
              <w:t>/次</w:t>
            </w:r>
            <w:r>
              <w:rPr>
                <w:rFonts w:hint="eastAsia" w:ascii="宋体" w:hAnsi="宋体" w:eastAsia="宋体" w:cs="宋体"/>
                <w:color w:val="auto"/>
                <w:sz w:val="21"/>
                <w:szCs w:val="21"/>
                <w:highlight w:val="none"/>
              </w:rPr>
              <w:t>。如甲方实际损失高于违约金的，甲方有权另行追偿</w:t>
            </w:r>
            <w:r>
              <w:rPr>
                <w:rFonts w:hint="eastAsia" w:ascii="宋体" w:hAnsi="宋体" w:eastAsia="宋体" w:cs="宋体"/>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4</w:t>
            </w:r>
          </w:p>
        </w:tc>
        <w:tc>
          <w:tcPr>
            <w:tcW w:w="3943"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rPr>
              <w:t>乙方未按本合同约定配备必要的办公场所、设备或者服务人员</w:t>
            </w:r>
            <w:r>
              <w:rPr>
                <w:rFonts w:hint="eastAsia" w:ascii="宋体" w:hAnsi="宋体" w:eastAsia="宋体" w:cs="宋体"/>
                <w:color w:val="auto"/>
                <w:sz w:val="21"/>
                <w:szCs w:val="21"/>
                <w:highlight w:val="none"/>
                <w:lang w:eastAsia="zh-CN"/>
              </w:rPr>
              <w:t>。</w:t>
            </w:r>
          </w:p>
        </w:tc>
        <w:tc>
          <w:tcPr>
            <w:tcW w:w="5424"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甲方有权就违约事宜提出改正，如乙方仍拒不改正的，甲方有权选择解除本合同或服务合同，并没收全部履约担保。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5</w:t>
            </w:r>
          </w:p>
        </w:tc>
        <w:tc>
          <w:tcPr>
            <w:tcW w:w="3943"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消极怠工或拒不履行合同义务（包括但不限于技术支持、专家会审、解答释疑、事故处理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修</w:t>
            </w:r>
            <w:r>
              <w:rPr>
                <w:rFonts w:hint="eastAsia" w:ascii="宋体" w:hAnsi="宋体" w:eastAsia="宋体" w:cs="宋体"/>
                <w:color w:val="auto"/>
                <w:kern w:val="2"/>
                <w:sz w:val="21"/>
                <w:szCs w:val="21"/>
                <w:highlight w:val="none"/>
                <w:lang w:val="en-US" w:eastAsia="zh-CN"/>
              </w:rPr>
              <w:t>正监</w:t>
            </w:r>
            <w:r>
              <w:rPr>
                <w:rFonts w:hint="eastAsia" w:ascii="宋体" w:hAnsi="宋体" w:eastAsia="宋体" w:cs="宋体"/>
                <w:color w:val="auto"/>
                <w:kern w:val="2"/>
                <w:sz w:val="21"/>
                <w:szCs w:val="21"/>
                <w:highlight w:val="none"/>
              </w:rPr>
              <w:t>测报告</w:t>
            </w:r>
            <w:r>
              <w:rPr>
                <w:rFonts w:hint="eastAsia" w:ascii="宋体" w:hAnsi="宋体" w:eastAsia="宋体" w:cs="宋体"/>
                <w:color w:val="auto"/>
                <w:kern w:val="2"/>
                <w:sz w:val="21"/>
                <w:szCs w:val="21"/>
                <w:highlight w:val="none"/>
                <w:lang w:val="en-US" w:eastAsia="zh-CN"/>
              </w:rPr>
              <w:t>及</w:t>
            </w:r>
            <w:r>
              <w:rPr>
                <w:rFonts w:hint="eastAsia" w:ascii="宋体" w:hAnsi="宋体" w:eastAsia="宋体" w:cs="宋体"/>
                <w:color w:val="auto"/>
                <w:kern w:val="2"/>
                <w:sz w:val="21"/>
                <w:szCs w:val="21"/>
                <w:highlight w:val="none"/>
              </w:rPr>
              <w:t>数据成果等），或履行的合同义务不符合要求的。</w:t>
            </w:r>
          </w:p>
        </w:tc>
        <w:tc>
          <w:tcPr>
            <w:tcW w:w="5424"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有权就违约事宜提出改正，要求</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按</w:t>
            </w:r>
            <w:r>
              <w:rPr>
                <w:rFonts w:hint="eastAsia" w:ascii="宋体" w:hAnsi="宋体" w:eastAsia="宋体" w:cs="宋体"/>
                <w:color w:val="auto"/>
                <w:sz w:val="21"/>
                <w:szCs w:val="21"/>
                <w:highlight w:val="none"/>
                <w:lang w:val="en-US" w:eastAsia="zh-CN"/>
              </w:rPr>
              <w:t>壹</w:t>
            </w:r>
            <w:r>
              <w:rPr>
                <w:rFonts w:hint="eastAsia" w:ascii="宋体" w:hAnsi="宋体" w:eastAsia="宋体" w:cs="宋体"/>
                <w:color w:val="auto"/>
                <w:sz w:val="21"/>
                <w:szCs w:val="21"/>
                <w:highlight w:val="none"/>
              </w:rPr>
              <w:t>万元/次</w:t>
            </w:r>
            <w:r>
              <w:rPr>
                <w:rFonts w:hint="eastAsia" w:ascii="宋体" w:hAnsi="宋体" w:eastAsia="宋体" w:cs="宋体"/>
                <w:color w:val="auto"/>
                <w:kern w:val="2"/>
                <w:sz w:val="21"/>
                <w:szCs w:val="21"/>
                <w:highlight w:val="none"/>
              </w:rPr>
              <w:t>承担</w:t>
            </w:r>
            <w:r>
              <w:rPr>
                <w:rFonts w:hint="eastAsia" w:ascii="宋体" w:hAnsi="宋体" w:eastAsia="宋体" w:cs="宋体"/>
                <w:color w:val="auto"/>
                <w:sz w:val="21"/>
                <w:szCs w:val="21"/>
                <w:highlight w:val="none"/>
              </w:rPr>
              <w:t>违约金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rPr>
              <w:t>若限期内未按照甲方要求进行整改或限期整改后不符合甲方要求</w:t>
            </w:r>
            <w:r>
              <w:rPr>
                <w:rFonts w:hint="eastAsia" w:ascii="宋体" w:hAnsi="宋体" w:eastAsia="宋体" w:cs="宋体"/>
                <w:color w:val="auto"/>
                <w:kern w:val="2"/>
                <w:sz w:val="21"/>
                <w:szCs w:val="21"/>
                <w:highlight w:val="none"/>
                <w:lang w:eastAsia="zh-CN"/>
              </w:rPr>
              <w:t>的</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有权选择解除合同，要求</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按暂定总合同价款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rPr>
              <w:t>的10%承担违约金，并有权依法委托有资质的第三方继续履行本合同义务，由此造成的一切损失由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承担。同时，</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有权将情况如实报送至政府相关主管部门。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6</w:t>
            </w:r>
          </w:p>
        </w:tc>
        <w:tc>
          <w:tcPr>
            <w:tcW w:w="3943"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由于乙方原因未按</w:t>
            </w:r>
            <w:r>
              <w:rPr>
                <w:rFonts w:hint="eastAsia" w:ascii="宋体" w:hAnsi="宋体" w:eastAsia="宋体" w:cs="宋体"/>
                <w:color w:val="auto"/>
                <w:sz w:val="21"/>
                <w:szCs w:val="21"/>
                <w:highlight w:val="none"/>
                <w:lang w:eastAsia="zh-CN"/>
              </w:rPr>
              <w:t>甲方要求</w:t>
            </w:r>
            <w:r>
              <w:rPr>
                <w:rFonts w:hint="eastAsia" w:ascii="宋体" w:hAnsi="宋体" w:eastAsia="宋体" w:cs="宋体"/>
                <w:color w:val="auto"/>
                <w:sz w:val="21"/>
                <w:szCs w:val="21"/>
                <w:highlight w:val="none"/>
              </w:rPr>
              <w:t>时间（日期）提交</w:t>
            </w:r>
            <w:r>
              <w:rPr>
                <w:rFonts w:hint="eastAsia" w:ascii="宋体" w:hAnsi="宋体" w:eastAsia="宋体" w:cs="宋体"/>
                <w:color w:val="auto"/>
                <w:sz w:val="21"/>
                <w:szCs w:val="21"/>
                <w:highlight w:val="none"/>
                <w:lang w:eastAsia="zh-CN"/>
              </w:rPr>
              <w:t>监测方案、测点布设记录、监测报告和监测总结报告</w:t>
            </w:r>
            <w:r>
              <w:rPr>
                <w:rFonts w:hint="eastAsia" w:ascii="宋体" w:hAnsi="宋体" w:eastAsia="宋体" w:cs="宋体"/>
                <w:color w:val="auto"/>
                <w:sz w:val="21"/>
                <w:szCs w:val="21"/>
                <w:highlight w:val="none"/>
              </w:rPr>
              <w:t>的，或未按期履行其他义务的</w:t>
            </w:r>
            <w:r>
              <w:rPr>
                <w:rFonts w:hint="eastAsia" w:ascii="宋体" w:hAnsi="宋体" w:eastAsia="宋体" w:cs="宋体"/>
                <w:color w:val="auto"/>
                <w:sz w:val="21"/>
                <w:szCs w:val="21"/>
                <w:highlight w:val="none"/>
                <w:lang w:eastAsia="zh-CN"/>
              </w:rPr>
              <w:t>。</w:t>
            </w:r>
          </w:p>
        </w:tc>
        <w:tc>
          <w:tcPr>
            <w:tcW w:w="5424"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每逾期一日，乙方按</w:t>
            </w:r>
            <w:r>
              <w:rPr>
                <w:rFonts w:hint="eastAsia" w:ascii="宋体" w:hAnsi="宋体" w:eastAsia="宋体" w:cs="宋体"/>
                <w:color w:val="auto"/>
                <w:sz w:val="21"/>
                <w:szCs w:val="21"/>
                <w:highlight w:val="none"/>
                <w:lang w:val="en-US" w:eastAsia="zh-CN"/>
              </w:rPr>
              <w:t>贰仟</w:t>
            </w:r>
            <w:r>
              <w:rPr>
                <w:rFonts w:hint="eastAsia" w:ascii="宋体" w:hAnsi="宋体" w:eastAsia="宋体" w:cs="宋体"/>
                <w:color w:val="auto"/>
                <w:sz w:val="21"/>
                <w:szCs w:val="21"/>
                <w:highlight w:val="none"/>
              </w:rPr>
              <w:t>元/天承担违约金。逾期超过</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日的，甲方有权单方解除合同，且乙方须承担履约担保等额的违约金，同时有权没收履约担保。同时，造成甲方的经济损失（包括但不限于重新采购、委托第三方的费用），由乙方承担全部赔偿。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7</w:t>
            </w:r>
          </w:p>
        </w:tc>
        <w:tc>
          <w:tcPr>
            <w:tcW w:w="3943" w:type="dxa"/>
            <w:shd w:val="clear" w:color="auto" w:fill="auto"/>
            <w:vAlign w:val="center"/>
          </w:tcPr>
          <w:p>
            <w:pPr>
              <w:keepNext w:val="0"/>
              <w:keepLines w:val="0"/>
              <w:widowControl/>
              <w:suppressLineNumbers w:val="0"/>
              <w:spacing w:before="0" w:beforeAutospacing="0" w:after="0" w:afterAutospacing="0" w:line="360" w:lineRule="auto"/>
              <w:ind w:left="0" w:right="0" w:firstLine="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合同履行期间，乙方未达到的投标时承诺的事项</w:t>
            </w:r>
          </w:p>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p>
        </w:tc>
        <w:tc>
          <w:tcPr>
            <w:tcW w:w="5424" w:type="dxa"/>
            <w:shd w:val="clear" w:color="auto" w:fill="auto"/>
            <w:vAlign w:val="center"/>
          </w:tcPr>
          <w:p>
            <w:pPr>
              <w:keepNext w:val="0"/>
              <w:keepLines w:val="0"/>
              <w:widowControl/>
              <w:suppressLineNumbers w:val="0"/>
              <w:spacing w:before="0" w:beforeAutospacing="0" w:after="0" w:afterAutospacing="0" w:line="360" w:lineRule="auto"/>
              <w:ind w:left="0" w:right="0" w:firstLine="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每次</w:t>
            </w:r>
            <w:r>
              <w:rPr>
                <w:rFonts w:hint="eastAsia" w:ascii="宋体" w:hAnsi="宋体" w:eastAsia="宋体" w:cs="宋体"/>
                <w:color w:val="auto"/>
                <w:kern w:val="2"/>
                <w:sz w:val="21"/>
                <w:szCs w:val="21"/>
                <w:highlight w:val="none"/>
              </w:rPr>
              <w:t>按暂定总合同价款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rPr>
              <w:t>的</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%承担违约金</w:t>
            </w:r>
            <w:r>
              <w:rPr>
                <w:rFonts w:hint="eastAsia" w:ascii="宋体" w:hAnsi="宋体" w:eastAsia="宋体" w:cs="宋体"/>
                <w:color w:val="auto"/>
                <w:sz w:val="21"/>
                <w:szCs w:val="21"/>
                <w:highlight w:val="none"/>
                <w:lang w:val="en-US"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8</w:t>
            </w:r>
          </w:p>
        </w:tc>
        <w:tc>
          <w:tcPr>
            <w:tcW w:w="3943"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乙方违反约定非法转包、分包</w:t>
            </w:r>
            <w:r>
              <w:rPr>
                <w:rFonts w:hint="eastAsia" w:ascii="宋体" w:hAnsi="宋体" w:eastAsia="宋体" w:cs="宋体"/>
                <w:color w:val="auto"/>
                <w:sz w:val="21"/>
                <w:szCs w:val="21"/>
                <w:highlight w:val="none"/>
                <w:lang w:eastAsia="zh-CN"/>
              </w:rPr>
              <w:t>。</w:t>
            </w:r>
          </w:p>
        </w:tc>
        <w:tc>
          <w:tcPr>
            <w:tcW w:w="5424"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有权单方解除合同，乙方须向甲方支付与履约担保等额的违约金，同时有权没收履约担保，并赔偿由此给甲方造成的一切损失。如因非法转包、分包导致安全事故或人身损害事故的，造成甲方其他损失的或甲方被认定需承担赔偿责任的，甲方有权向乙方追偿并要求乙方承担人民币</w:t>
            </w:r>
            <w:r>
              <w:rPr>
                <w:rFonts w:hint="eastAsia" w:ascii="宋体" w:hAnsi="宋体" w:eastAsia="宋体" w:cs="宋体"/>
                <w:color w:val="auto"/>
                <w:sz w:val="21"/>
                <w:szCs w:val="21"/>
                <w:highlight w:val="none"/>
                <w:lang w:eastAsia="zh-CN"/>
              </w:rPr>
              <w:t>壹</w:t>
            </w:r>
            <w:r>
              <w:rPr>
                <w:rFonts w:hint="eastAsia" w:ascii="宋体" w:hAnsi="宋体" w:eastAsia="宋体" w:cs="宋体"/>
                <w:color w:val="auto"/>
                <w:sz w:val="21"/>
                <w:szCs w:val="21"/>
                <w:highlight w:val="none"/>
              </w:rPr>
              <w:t>拾万元整的违约金。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9</w:t>
            </w:r>
          </w:p>
        </w:tc>
        <w:tc>
          <w:tcPr>
            <w:tcW w:w="3943"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乙方存在如下情形之一的：</w:t>
            </w:r>
          </w:p>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（1）提供虚假信息、误导或欺骗建设单位，以谋取非法利益的；</w:t>
            </w:r>
          </w:p>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（2）违反诚信信用原则，没有严格执行相关质量、服务，损害建设单位或相关用户单位的利益的；</w:t>
            </w:r>
          </w:p>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（3）违反有关法律法规以及本合同的约定，损害甲方利益的；</w:t>
            </w:r>
          </w:p>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（4）拒绝接受甲方、建设单位及相关部门监督、检查的；</w:t>
            </w:r>
          </w:p>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（5）出现信用危机、财务危机、生产经营危机甚至破产、倒闭，无法继续履行本合同的；</w:t>
            </w:r>
          </w:p>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（6）采用非法手段进行不正当竞争的，构成恶劣影响；</w:t>
            </w:r>
          </w:p>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）违反本合同约定，泄露服务项目内容的。</w:t>
            </w:r>
          </w:p>
        </w:tc>
        <w:tc>
          <w:tcPr>
            <w:tcW w:w="5424"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甲方有权书面通知乙方单方解除本合同，并由乙方承担履约担保等额的违约金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同时有权没收履约担保，给甲方造成损失的，乙方还足额应赔偿甲方</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10</w:t>
            </w:r>
          </w:p>
        </w:tc>
        <w:tc>
          <w:tcPr>
            <w:tcW w:w="3943"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无故拖欠或克扣工人工资待遇以及其他劳动待遇等</w:t>
            </w:r>
            <w:r>
              <w:rPr>
                <w:rFonts w:hint="eastAsia" w:ascii="宋体" w:hAnsi="宋体" w:eastAsia="宋体" w:cs="宋体"/>
                <w:color w:val="auto"/>
                <w:sz w:val="21"/>
                <w:szCs w:val="21"/>
                <w:highlight w:val="none"/>
                <w:lang w:eastAsia="zh-CN"/>
              </w:rPr>
              <w:t>。</w:t>
            </w:r>
          </w:p>
        </w:tc>
        <w:tc>
          <w:tcPr>
            <w:tcW w:w="5424"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如有违反的，由乙方全部负责。如对甲方工作造成影响的，根据工人诉求，甲方有权</w:t>
            </w:r>
            <w:r>
              <w:rPr>
                <w:rFonts w:hint="eastAsia" w:ascii="宋体" w:hAnsi="宋体" w:eastAsia="宋体" w:cs="宋体"/>
                <w:color w:val="auto"/>
                <w:sz w:val="21"/>
                <w:szCs w:val="21"/>
                <w:highlight w:val="none"/>
                <w:lang w:eastAsia="zh-CN"/>
              </w:rPr>
              <w:t>通知丙方</w:t>
            </w:r>
            <w:r>
              <w:rPr>
                <w:rFonts w:hint="eastAsia" w:ascii="宋体" w:hAnsi="宋体" w:eastAsia="宋体" w:cs="宋体"/>
                <w:color w:val="auto"/>
                <w:sz w:val="21"/>
                <w:szCs w:val="21"/>
                <w:highlight w:val="none"/>
              </w:rPr>
              <w:t>直接从未付服务费用中直接扣除予以支付，由此导致的法律后果由乙方全部承担。并由乙方承担履约担保等额的违约金。严重者报相关行政主管部门处理，甲方保留终止合同的权利。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11</w:t>
            </w:r>
          </w:p>
        </w:tc>
        <w:tc>
          <w:tcPr>
            <w:tcW w:w="3943"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受到相关部门的批评，经调查认定情况属实</w:t>
            </w:r>
            <w:r>
              <w:rPr>
                <w:rFonts w:hint="eastAsia" w:ascii="宋体" w:hAnsi="宋体" w:eastAsia="宋体" w:cs="宋体"/>
                <w:color w:val="auto"/>
                <w:sz w:val="21"/>
                <w:szCs w:val="21"/>
                <w:highlight w:val="none"/>
                <w:lang w:eastAsia="zh-CN"/>
              </w:rPr>
              <w:t>。</w:t>
            </w:r>
          </w:p>
        </w:tc>
        <w:tc>
          <w:tcPr>
            <w:tcW w:w="5424"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视情节轻重</w:t>
            </w:r>
            <w:r>
              <w:rPr>
                <w:rFonts w:hint="eastAsia" w:ascii="宋体" w:hAnsi="宋体" w:eastAsia="宋体" w:cs="宋体"/>
                <w:color w:val="auto"/>
                <w:sz w:val="21"/>
                <w:szCs w:val="21"/>
                <w:highlight w:val="none"/>
                <w:lang w:val="en-US" w:eastAsia="zh-CN"/>
              </w:rPr>
              <w:t>要求乙方承担违约责任</w:t>
            </w:r>
            <w:r>
              <w:rPr>
                <w:rFonts w:hint="eastAsia" w:ascii="宋体" w:hAnsi="宋体" w:eastAsia="宋体" w:cs="宋体"/>
                <w:color w:val="auto"/>
                <w:sz w:val="21"/>
                <w:szCs w:val="21"/>
                <w:highlight w:val="none"/>
              </w:rPr>
              <w:t>；造成恶劣影响的，甲方有权解除合同。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12</w:t>
            </w:r>
          </w:p>
        </w:tc>
        <w:tc>
          <w:tcPr>
            <w:tcW w:w="3943"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乙方在服务年限内，在履行本合同约定的义务过程中出现违反国家法律法规、主管部门规章制度、擅自提高价格或提供伪劣服务内容、服务质量低劣造成甲方损失等情况</w:t>
            </w:r>
            <w:r>
              <w:rPr>
                <w:rFonts w:hint="eastAsia" w:ascii="宋体" w:hAnsi="宋体" w:eastAsia="宋体" w:cs="宋体"/>
                <w:color w:val="auto"/>
                <w:sz w:val="21"/>
                <w:szCs w:val="21"/>
                <w:highlight w:val="none"/>
                <w:lang w:eastAsia="zh-CN"/>
              </w:rPr>
              <w:t>。</w:t>
            </w:r>
          </w:p>
        </w:tc>
        <w:tc>
          <w:tcPr>
            <w:tcW w:w="5424"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甲方有权视不同情况分别给予警告、抵扣履约担保或取消</w:t>
            </w: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13</w:t>
            </w:r>
          </w:p>
        </w:tc>
        <w:tc>
          <w:tcPr>
            <w:tcW w:w="3943"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未经甲方书面同意，乙方变更项目负责人或技术负责人</w:t>
            </w:r>
            <w:r>
              <w:rPr>
                <w:rFonts w:hint="eastAsia" w:ascii="宋体" w:hAnsi="宋体" w:eastAsia="宋体" w:cs="宋体"/>
                <w:color w:val="auto"/>
                <w:sz w:val="21"/>
                <w:szCs w:val="21"/>
                <w:highlight w:val="none"/>
                <w:lang w:eastAsia="zh-CN"/>
              </w:rPr>
              <w:t>。</w:t>
            </w:r>
          </w:p>
        </w:tc>
        <w:tc>
          <w:tcPr>
            <w:tcW w:w="5424"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甲方有权要求乙方按伍万元/人/次承担违约金。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14</w:t>
            </w:r>
          </w:p>
        </w:tc>
        <w:tc>
          <w:tcPr>
            <w:tcW w:w="3943"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甲方每季度根据合同附件五《监测单位履约考核评分表》对乙方评价一次，出具考核评价结果。甲方将严格按照考核评分标准对乙方进行季度检查和考核，考评80分以下的。</w:t>
            </w:r>
          </w:p>
        </w:tc>
        <w:tc>
          <w:tcPr>
            <w:tcW w:w="5424"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rPr>
              <w:t>考评[70,80)分的，处相应付款周期内经甲方确认的监测费的10%作为违约金，考评[60,70)分的，处相应付款周期经甲方确认的监测费的20%作为违约金，考评60分以下的，处相应付款周期经甲方确认的监测的30%作为违约金。上述“[”代表闭区间，“)”代表开区间，如[70,80)代表该分数段范围为大于等于70且小于80。达到相应付款周期时,如乙方未申请支付本期费用, 甲方根据支付条件暂定本周期监测费并计算本周期内应缴纳的暂定违约金，乙方应予以缴纳。下一周期仍未申请时按上述做法执行，待到乙方申请支付费用时，根据合同付款流程确认监测费，同步对以往暂定违约金在本次一并确认并予以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15</w:t>
            </w:r>
          </w:p>
        </w:tc>
        <w:tc>
          <w:tcPr>
            <w:tcW w:w="39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5424"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color w:val="auto"/>
                <w:kern w:val="2"/>
                <w:sz w:val="21"/>
                <w:szCs w:val="21"/>
                <w:highlight w:val="none"/>
              </w:rPr>
              <w:t>因乙方违约，甲方通过司法途径维护自身权益的，乙方应承担甲方由此支出的律师费、诉讼费、执行费、鉴定费、公证费、财产保全费及保险费等全部费用。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16</w:t>
            </w:r>
          </w:p>
        </w:tc>
        <w:tc>
          <w:tcPr>
            <w:tcW w:w="39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5424" w:type="dxa"/>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甲方依据本合同条款对乙方处以违约金、赔偿、扣款等款项的，乙方应在收到违约（赔偿或扣款等款项）处理通知书之日起的五个工作日内书面授权乙方相关工作人员将款项交至甲方指定账户（须备注本项目名称）</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如规定时间内未按要求</w:t>
            </w:r>
            <w:r>
              <w:rPr>
                <w:rFonts w:hint="eastAsia" w:ascii="宋体" w:hAnsi="宋体" w:eastAsia="宋体" w:cs="宋体"/>
                <w:color w:val="auto"/>
                <w:kern w:val="2"/>
                <w:sz w:val="21"/>
                <w:szCs w:val="21"/>
                <w:highlight w:val="none"/>
              </w:rPr>
              <w:t>将款项交至指定账户</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甲方有权不审批进度款</w:t>
            </w:r>
            <w:r>
              <w:rPr>
                <w:rFonts w:hint="eastAsia" w:ascii="宋体" w:hAnsi="宋体" w:eastAsia="宋体" w:cs="宋体"/>
                <w:color w:val="auto"/>
                <w:kern w:val="2"/>
                <w:sz w:val="21"/>
                <w:szCs w:val="21"/>
                <w:highlight w:val="none"/>
              </w:rPr>
              <w:t>。甲方指定收款账户信息：</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开户名称：东莞市水务集团建设管理有限公司</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银行账号：2010021309200628330</w:t>
            </w:r>
          </w:p>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color w:val="auto"/>
                <w:kern w:val="2"/>
                <w:sz w:val="21"/>
                <w:szCs w:val="21"/>
                <w:highlight w:val="none"/>
              </w:rPr>
              <w:t>开户银行：中国工商银行股份有限公司东莞分行</w:t>
            </w:r>
          </w:p>
        </w:tc>
      </w:tr>
    </w:tbl>
    <w:p>
      <w:pPr>
        <w:spacing w:line="360" w:lineRule="auto"/>
        <w:ind w:firstLine="422"/>
        <w:rPr>
          <w:rFonts w:hint="eastAsia" w:ascii="宋体" w:hAnsi="宋体" w:eastAsia="宋体" w:cs="宋体"/>
          <w:b/>
          <w:bCs/>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outlineLvl w:val="2"/>
        <w:rPr>
          <w:rFonts w:hint="eastAsia" w:ascii="宋体" w:hAnsi="宋体" w:eastAsia="宋体" w:cs="宋体"/>
          <w:b/>
          <w:bCs/>
          <w:color w:val="auto"/>
          <w:sz w:val="21"/>
          <w:szCs w:val="21"/>
          <w:highlight w:val="none"/>
          <w:lang w:eastAsia="zh-CN"/>
        </w:rPr>
      </w:pPr>
      <w:bookmarkStart w:id="490" w:name="_Toc8270"/>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附则</w:t>
      </w:r>
      <w:bookmarkEnd w:id="490"/>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1.在合同期内，因建设需要或者因甲方管理需要等因素调整监测服务范围时，乙方应遵照执行。由此造成的经济损失，甲方不需承担任何赔偿责任。</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期内，乙方在进入甲方场地前应签订《安全生产责任书》。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3.本合同如有未尽事宜，由甲、乙、丙三方订立补充协议，补充协议与本合同具有同等的法律效力。</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4.本合同所列之附件，均与本合同具有同等的法律效力。</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份，甲、乙、丙三方各执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kern w:val="2"/>
          <w:sz w:val="21"/>
          <w:szCs w:val="21"/>
          <w:highlight w:val="none"/>
        </w:rPr>
        <w:t>招标代理机构各</w:t>
      </w:r>
      <w:r>
        <w:rPr>
          <w:rFonts w:hint="eastAsia" w:ascii="宋体" w:hAnsi="宋体" w:eastAsia="宋体" w:cs="宋体"/>
          <w:color w:val="auto"/>
          <w:kern w:val="2"/>
          <w:sz w:val="21"/>
          <w:szCs w:val="21"/>
          <w:highlight w:val="none"/>
          <w:u w:val="single"/>
        </w:rPr>
        <w:t xml:space="preserve"> 壹 </w:t>
      </w:r>
      <w:r>
        <w:rPr>
          <w:rFonts w:hint="eastAsia" w:ascii="宋体" w:hAnsi="宋体" w:eastAsia="宋体" w:cs="宋体"/>
          <w:color w:val="auto"/>
          <w:kern w:val="2"/>
          <w:sz w:val="21"/>
          <w:szCs w:val="21"/>
          <w:highlight w:val="none"/>
        </w:rPr>
        <w:t>份</w:t>
      </w:r>
      <w:r>
        <w:rPr>
          <w:rFonts w:hint="eastAsia" w:ascii="宋体" w:hAnsi="宋体" w:eastAsia="宋体" w:cs="宋体"/>
          <w:color w:val="auto"/>
          <w:sz w:val="21"/>
          <w:szCs w:val="21"/>
          <w:highlight w:val="none"/>
        </w:rPr>
        <w:t>，均具有同等效力。本合同自三方法定代表人（或负责人）签字并盖章后生效。</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合同及相关招投标文件、中标通知书等作为本合同附件均为合同的有效组成部分，与本合同同具法律效力。合同条款与附件、招标文件、用户需求书、投标文件等其他文件不一致的，以有利于甲方的条款为准。</w:t>
      </w:r>
    </w:p>
    <w:p>
      <w:pPr>
        <w:ind w:firstLine="420"/>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以下无正文内容为签字盖章页</w:t>
      </w:r>
    </w:p>
    <w:p>
      <w:pPr>
        <w:ind w:firstLine="420"/>
        <w:rPr>
          <w:rFonts w:hint="eastAsia" w:ascii="宋体" w:hAnsi="宋体" w:eastAsia="宋体" w:cs="宋体"/>
          <w:color w:val="auto"/>
          <w:sz w:val="21"/>
          <w:szCs w:val="21"/>
          <w:highlight w:val="none"/>
        </w:rPr>
      </w:pPr>
    </w:p>
    <w:tbl>
      <w:tblPr>
        <w:tblStyle w:val="37"/>
        <w:tblW w:w="5000" w:type="pct"/>
        <w:tblInd w:w="0" w:type="dxa"/>
        <w:tblLayout w:type="fixed"/>
        <w:tblCellMar>
          <w:top w:w="0" w:type="dxa"/>
          <w:left w:w="108" w:type="dxa"/>
          <w:bottom w:w="0" w:type="dxa"/>
          <w:right w:w="108" w:type="dxa"/>
        </w:tblCellMar>
      </w:tblPr>
      <w:tblGrid>
        <w:gridCol w:w="5185"/>
        <w:gridCol w:w="5185"/>
      </w:tblGrid>
      <w:tr>
        <w:tblPrEx>
          <w:tblCellMar>
            <w:top w:w="0" w:type="dxa"/>
            <w:left w:w="108" w:type="dxa"/>
            <w:bottom w:w="0" w:type="dxa"/>
            <w:right w:w="108" w:type="dxa"/>
          </w:tblCellMar>
        </w:tblPrEx>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pPr>
              <w:keepNext w:val="0"/>
              <w:keepLines w:val="0"/>
              <w:suppressLineNumbers w:val="0"/>
              <w:autoSpaceDE/>
              <w:autoSpaceDN/>
              <w:adjustRightInd/>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pPr>
              <w:keepNext w:val="0"/>
              <w:keepLines w:val="0"/>
              <w:suppressLineNumbers w:val="0"/>
              <w:autoSpaceDE/>
              <w:autoSpaceDN/>
              <w:adjustRightInd/>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r>
      <w:tr>
        <w:tblPrEx>
          <w:tblCellMar>
            <w:top w:w="0" w:type="dxa"/>
            <w:left w:w="108" w:type="dxa"/>
            <w:bottom w:w="0" w:type="dxa"/>
            <w:right w:w="108" w:type="dxa"/>
          </w:tblCellMar>
        </w:tblPrEx>
        <w:tc>
          <w:tcPr>
            <w:tcW w:w="5185" w:type="dxa"/>
          </w:tcPr>
          <w:p>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（签字或盖私章）：</w:t>
            </w:r>
          </w:p>
        </w:tc>
        <w:tc>
          <w:tcPr>
            <w:tcW w:w="5185" w:type="dxa"/>
          </w:tcPr>
          <w:p>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（签字或盖私章）：</w:t>
            </w:r>
          </w:p>
        </w:tc>
      </w:tr>
      <w:tr>
        <w:tblPrEx>
          <w:tblCellMar>
            <w:top w:w="0" w:type="dxa"/>
            <w:left w:w="108" w:type="dxa"/>
            <w:bottom w:w="0" w:type="dxa"/>
            <w:right w:w="108" w:type="dxa"/>
          </w:tblCellMar>
        </w:tblPrEx>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r>
      <w:tr>
        <w:tblPrEx>
          <w:tblCellMar>
            <w:top w:w="0" w:type="dxa"/>
            <w:left w:w="108" w:type="dxa"/>
            <w:bottom w:w="0" w:type="dxa"/>
            <w:right w:w="108" w:type="dxa"/>
          </w:tblCellMar>
        </w:tblPrEx>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tblPrEx>
          <w:tblCellMar>
            <w:top w:w="0" w:type="dxa"/>
            <w:left w:w="108" w:type="dxa"/>
            <w:bottom w:w="0" w:type="dxa"/>
            <w:right w:w="108" w:type="dxa"/>
          </w:tblCellMar>
        </w:tblPrEx>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r>
      <w:tr>
        <w:tblPrEx>
          <w:tblCellMar>
            <w:top w:w="0" w:type="dxa"/>
            <w:left w:w="108" w:type="dxa"/>
            <w:bottom w:w="0" w:type="dxa"/>
            <w:right w:w="108" w:type="dxa"/>
          </w:tblCellMar>
        </w:tblPrEx>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tblPrEx>
          <w:tblCellMar>
            <w:top w:w="0" w:type="dxa"/>
            <w:left w:w="108" w:type="dxa"/>
            <w:bottom w:w="0" w:type="dxa"/>
            <w:right w:w="108" w:type="dxa"/>
          </w:tblCellMar>
        </w:tblPrEx>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r>
      <w:tr>
        <w:tblPrEx>
          <w:tblCellMar>
            <w:top w:w="0" w:type="dxa"/>
            <w:left w:w="108" w:type="dxa"/>
            <w:bottom w:w="0" w:type="dxa"/>
            <w:right w:w="108" w:type="dxa"/>
          </w:tblCellMar>
        </w:tblPrEx>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tblPrEx>
          <w:tblCellMar>
            <w:top w:w="0" w:type="dxa"/>
            <w:left w:w="108" w:type="dxa"/>
            <w:bottom w:w="0" w:type="dxa"/>
            <w:right w:w="108" w:type="dxa"/>
          </w:tblCellMar>
        </w:tblPrEx>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丙方：</w:t>
            </w:r>
          </w:p>
          <w:p>
            <w:pPr>
              <w:keepNext w:val="0"/>
              <w:keepLines w:val="0"/>
              <w:suppressLineNumbers w:val="0"/>
              <w:autoSpaceDE/>
              <w:autoSpaceDN/>
              <w:adjustRightInd/>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c>
          <w:tcPr>
            <w:tcW w:w="5185" w:type="dxa"/>
          </w:tcPr>
          <w:p>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（签字或盖私章）：</w:t>
            </w:r>
          </w:p>
        </w:tc>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r>
    </w:tbl>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autoSpaceDE/>
        <w:autoSpaceDN/>
        <w:adjustRightInd/>
        <w:spacing w:line="48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签订日期：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p>
      <w:pPr>
        <w:autoSpaceDE/>
        <w:autoSpaceDN/>
        <w:adjustRightInd/>
        <w:spacing w:line="48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签订地点：</w:t>
      </w:r>
      <w:r>
        <w:rPr>
          <w:rFonts w:hint="eastAsia" w:ascii="宋体" w:hAnsi="宋体" w:eastAsia="宋体" w:cs="宋体"/>
          <w:color w:val="auto"/>
          <w:kern w:val="2"/>
          <w:sz w:val="21"/>
          <w:szCs w:val="21"/>
          <w:highlight w:val="none"/>
          <w:u w:val="single"/>
        </w:rPr>
        <w:t xml:space="preserve"> 东莞市 </w:t>
      </w:r>
    </w:p>
    <w:p>
      <w:pPr>
        <w:rPr>
          <w:rFonts w:hint="eastAsia" w:ascii="宋体" w:hAnsi="宋体" w:eastAsia="宋体" w:cs="宋体"/>
          <w:color w:val="auto"/>
          <w:sz w:val="21"/>
          <w:szCs w:val="21"/>
          <w:highlight w:val="none"/>
        </w:rPr>
      </w:pPr>
    </w:p>
    <w:p>
      <w:pPr>
        <w:autoSpaceDE/>
        <w:autoSpaceDN/>
        <w:adjustRightInd/>
        <w:spacing w:line="48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附件一：《监测工程量清单计价表》</w:t>
      </w:r>
    </w:p>
    <w:p>
      <w:pPr>
        <w:autoSpaceDE/>
        <w:autoSpaceDN/>
        <w:adjustRightInd/>
        <w:spacing w:line="480" w:lineRule="auto"/>
        <w:jc w:val="both"/>
        <w:rPr>
          <w:rFonts w:hint="eastAsia" w:ascii="宋体" w:hAnsi="宋体" w:eastAsia="宋体" w:cs="宋体"/>
          <w:color w:val="auto"/>
          <w:kern w:val="2"/>
          <w:sz w:val="21"/>
          <w:szCs w:val="21"/>
          <w:highlight w:val="none"/>
        </w:rPr>
      </w:pPr>
      <w:bookmarkStart w:id="491" w:name="_Toc351203652"/>
      <w:r>
        <w:rPr>
          <w:rFonts w:hint="eastAsia" w:ascii="宋体" w:hAnsi="宋体" w:eastAsia="宋体" w:cs="宋体"/>
          <w:color w:val="auto"/>
          <w:kern w:val="2"/>
          <w:sz w:val="21"/>
          <w:szCs w:val="21"/>
          <w:highlight w:val="none"/>
        </w:rPr>
        <w:t>附件二：</w:t>
      </w:r>
      <w:bookmarkEnd w:id="491"/>
      <w:r>
        <w:rPr>
          <w:rFonts w:hint="eastAsia" w:ascii="宋体" w:hAnsi="宋体" w:eastAsia="宋体" w:cs="宋体"/>
          <w:color w:val="auto"/>
          <w:kern w:val="2"/>
          <w:sz w:val="21"/>
          <w:szCs w:val="21"/>
          <w:highlight w:val="none"/>
        </w:rPr>
        <w:t>廉洁协议书</w:t>
      </w:r>
    </w:p>
    <w:p>
      <w:pPr>
        <w:autoSpaceDE/>
        <w:autoSpaceDN/>
        <w:adjustRightInd/>
        <w:spacing w:line="48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附件三：安全生产责任书</w:t>
      </w:r>
    </w:p>
    <w:p>
      <w:pPr>
        <w:autoSpaceDE/>
        <w:autoSpaceDN/>
        <w:adjustRightInd/>
        <w:spacing w:line="48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附件四：诚信履约承诺书</w:t>
      </w:r>
    </w:p>
    <w:p>
      <w:pPr>
        <w:autoSpaceDE/>
        <w:autoSpaceDN/>
        <w:adjustRightInd/>
        <w:spacing w:line="48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附件五：监测单位履约考核评分表</w:t>
      </w:r>
    </w:p>
    <w:p>
      <w:pPr>
        <w:autoSpaceDE/>
        <w:autoSpaceDN/>
        <w:adjustRightInd/>
        <w:spacing w:line="48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eastAsia="zh-CN"/>
        </w:rPr>
        <w:t>六</w:t>
      </w:r>
      <w:r>
        <w:rPr>
          <w:rFonts w:hint="eastAsia" w:ascii="宋体" w:hAnsi="宋体" w:eastAsia="宋体" w:cs="宋体"/>
          <w:color w:val="auto"/>
          <w:kern w:val="2"/>
          <w:sz w:val="21"/>
          <w:szCs w:val="21"/>
          <w:highlight w:val="none"/>
        </w:rPr>
        <w:t>：中标通知书</w:t>
      </w:r>
    </w:p>
    <w:p>
      <w:pPr>
        <w:autoSpaceDE/>
        <w:autoSpaceDN/>
        <w:adjustRightInd/>
        <w:spacing w:line="48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eastAsia="zh-CN"/>
        </w:rPr>
        <w:t>七</w:t>
      </w:r>
      <w:r>
        <w:rPr>
          <w:rFonts w:hint="eastAsia" w:ascii="宋体" w:hAnsi="宋体" w:eastAsia="宋体" w:cs="宋体"/>
          <w:color w:val="auto"/>
          <w:kern w:val="2"/>
          <w:sz w:val="21"/>
          <w:szCs w:val="21"/>
          <w:highlight w:val="none"/>
        </w:rPr>
        <w:t>：用户需求书</w:t>
      </w:r>
    </w:p>
    <w:p>
      <w:pPr>
        <w:pStyle w:val="18"/>
        <w:rPr>
          <w:rFonts w:hint="eastAsia" w:ascii="宋体" w:hAnsi="宋体" w:eastAsia="宋体" w:cs="宋体"/>
          <w:color w:val="auto"/>
          <w:szCs w:val="21"/>
          <w:highlight w:val="none"/>
        </w:rPr>
      </w:pPr>
    </w:p>
    <w:p>
      <w:pPr>
        <w:tabs>
          <w:tab w:val="left" w:pos="0"/>
          <w:tab w:val="left" w:pos="405"/>
          <w:tab w:val="left" w:pos="567"/>
          <w:tab w:val="left" w:pos="601"/>
          <w:tab w:val="left" w:pos="1980"/>
        </w:tabs>
        <w:spacing w:line="360" w:lineRule="auto"/>
        <w:rPr>
          <w:rFonts w:hint="eastAsia" w:ascii="宋体" w:hAnsi="宋体" w:eastAsia="宋体" w:cs="宋体"/>
          <w:color w:val="auto"/>
          <w:sz w:val="20"/>
          <w:highlight w:val="none"/>
        </w:rPr>
      </w:pPr>
      <w:r>
        <w:rPr>
          <w:rFonts w:hint="eastAsia" w:ascii="宋体" w:hAnsi="宋体" w:eastAsia="宋体" w:cs="宋体"/>
          <w:color w:val="auto"/>
          <w:sz w:val="20"/>
          <w:highlight w:val="none"/>
        </w:rPr>
        <w:br w:type="page"/>
      </w:r>
    </w:p>
    <w:p>
      <w:pPr>
        <w:keepNext w:val="0"/>
        <w:keepLines w:val="0"/>
        <w:pageBreakBefore w:val="0"/>
        <w:widowControl w:val="0"/>
        <w:tabs>
          <w:tab w:val="left" w:pos="0"/>
          <w:tab w:val="left" w:pos="405"/>
          <w:tab w:val="left" w:pos="567"/>
          <w:tab w:val="left" w:pos="601"/>
          <w:tab w:val="left" w:pos="1980"/>
        </w:tabs>
        <w:kinsoku/>
        <w:wordWrap/>
        <w:overflowPunct/>
        <w:topLinePunct w:val="0"/>
        <w:autoSpaceDE/>
        <w:autoSpaceDN/>
        <w:bidi w:val="0"/>
        <w:adjustRightInd/>
        <w:snapToGrid/>
        <w:spacing w:line="360" w:lineRule="auto"/>
        <w:textAlignment w:val="auto"/>
        <w:outlineLvl w:val="2"/>
        <w:rPr>
          <w:rFonts w:hint="eastAsia" w:ascii="宋体" w:hAnsi="宋体" w:eastAsia="宋体" w:cs="宋体"/>
          <w:b/>
          <w:color w:val="auto"/>
          <w:highlight w:val="none"/>
        </w:rPr>
      </w:pPr>
      <w:bookmarkStart w:id="492" w:name="_Toc2616"/>
      <w:r>
        <w:rPr>
          <w:rFonts w:hint="eastAsia" w:ascii="宋体" w:hAnsi="宋体" w:eastAsia="宋体" w:cs="宋体"/>
          <w:b/>
          <w:color w:val="auto"/>
          <w:highlight w:val="none"/>
        </w:rPr>
        <w:t>附件一：</w:t>
      </w:r>
      <w:r>
        <w:rPr>
          <w:rFonts w:hint="eastAsia" w:ascii="宋体" w:hAnsi="宋体" w:eastAsia="宋体" w:cs="宋体"/>
          <w:b/>
          <w:color w:val="auto"/>
          <w:kern w:val="2"/>
          <w:sz w:val="21"/>
          <w:highlight w:val="none"/>
        </w:rPr>
        <w:t>《监测工程量清单计价表》</w:t>
      </w:r>
      <w:bookmarkEnd w:id="492"/>
    </w:p>
    <w:p>
      <w:pPr>
        <w:tabs>
          <w:tab w:val="left" w:pos="0"/>
          <w:tab w:val="left" w:pos="405"/>
          <w:tab w:val="left" w:pos="567"/>
          <w:tab w:val="left" w:pos="601"/>
          <w:tab w:val="left" w:pos="1980"/>
        </w:tabs>
        <w:spacing w:line="360" w:lineRule="auto"/>
        <w:rPr>
          <w:rFonts w:hint="eastAsia" w:ascii="宋体" w:hAnsi="宋体" w:eastAsia="宋体" w:cs="宋体"/>
          <w:color w:val="auto"/>
          <w:sz w:val="20"/>
          <w:highlight w:val="none"/>
        </w:rPr>
      </w:pPr>
    </w:p>
    <w:p>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pPr>
        <w:keepNext w:val="0"/>
        <w:keepLines w:val="0"/>
        <w:pageBreakBefore w:val="0"/>
        <w:widowControl w:val="0"/>
        <w:tabs>
          <w:tab w:val="left" w:pos="0"/>
          <w:tab w:val="left" w:pos="405"/>
          <w:tab w:val="left" w:pos="567"/>
          <w:tab w:val="left" w:pos="601"/>
          <w:tab w:val="left" w:pos="1980"/>
        </w:tabs>
        <w:kinsoku/>
        <w:wordWrap/>
        <w:overflowPunct/>
        <w:topLinePunct w:val="0"/>
        <w:autoSpaceDE/>
        <w:autoSpaceDN/>
        <w:bidi w:val="0"/>
        <w:adjustRightInd/>
        <w:snapToGrid/>
        <w:spacing w:line="360" w:lineRule="auto"/>
        <w:textAlignment w:val="auto"/>
        <w:outlineLvl w:val="2"/>
        <w:rPr>
          <w:rFonts w:hint="eastAsia" w:ascii="宋体" w:hAnsi="宋体" w:eastAsia="宋体" w:cs="宋体"/>
          <w:b/>
          <w:color w:val="auto"/>
          <w:highlight w:val="none"/>
        </w:rPr>
      </w:pPr>
      <w:bookmarkStart w:id="493" w:name="_Toc14756"/>
      <w:r>
        <w:rPr>
          <w:rFonts w:hint="eastAsia" w:ascii="宋体" w:hAnsi="宋体" w:eastAsia="宋体" w:cs="宋体"/>
          <w:b/>
          <w:color w:val="auto"/>
          <w:highlight w:val="none"/>
        </w:rPr>
        <w:t>附件二：廉洁协议书</w:t>
      </w:r>
      <w:bookmarkEnd w:id="493"/>
    </w:p>
    <w:p>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廉洁协议书</w:t>
      </w:r>
    </w:p>
    <w:p>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东莞市供水设施更新改造项目-松山湖新城路给水管网改造工程第三方监测服务采购项目</w:t>
      </w:r>
    </w:p>
    <w:p>
      <w:pPr>
        <w:spacing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lang w:eastAsia="zh-CN"/>
        </w:rPr>
        <w:t>0832-SFCX24DG197C</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委托人（甲方）：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监测人（乙方）：</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项目业主（丙方）：</w:t>
      </w:r>
    </w:p>
    <w:p>
      <w:pPr>
        <w:spacing w:line="360" w:lineRule="auto"/>
        <w:ind w:firstLine="420" w:firstLineChars="200"/>
        <w:contextualSpacing/>
        <w:rPr>
          <w:rFonts w:hint="eastAsia" w:ascii="宋体" w:hAnsi="宋体" w:eastAsia="宋体" w:cs="宋体"/>
          <w:color w:val="auto"/>
          <w:sz w:val="21"/>
          <w:szCs w:val="21"/>
          <w:highlight w:val="none"/>
        </w:rPr>
      </w:pP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丙三方在订立、履行合同及经济业务往来过程中的行为，保持廉洁自律的工作作风,防止各种违法及不正当行为的发生,确保甲乙丙三方及其工作人员自觉遵守国家法律、法规及廉洁从业各项规定，特订立本协议。</w:t>
      </w:r>
    </w:p>
    <w:p>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甲乙丙三方的权利和义务</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（三）三方的业务活动坚持公开、公正、诚信、透明的原则（除法律认定的商业秘密和合同文件另有规定之外）不得损害国家和集体利益，违反工程建设管理及其他法律法规规章制度。</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甲方与丙方的义务</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（一）甲方、丙方及其工作人员不得索要或接受乙方的礼金、有价证券和贵重物品，不得在乙方报销任何应由甲方、丙方或个人支付的费用。</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（二）甲方、丙方工作人员不得参加乙方安排的高消费宴请和娱乐活动；不得接受乙方提供的通讯工具、交通工具和高档办公用品。</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（三）甲方、丙方及其工作人员不得要求或者接受乙方为其住房装修、婚丧嫁娶活动、家属或亲友的工作安排以及出国出境、旅游等提供方便。</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（四）甲方、丙方工作人员不得向乙方介绍其家属或者亲友（包括家属或亲友开办的公司企业）从事于本项目涉及的经济业务活动。</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（五）甲方、丙方及其工作人员不得以任何理由向乙方推荐分包单位，不得要求乙方购买合同规定外的材料和设备。</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（六）甲方、丙方及其工作人员不得进行违反廉洁规定的其他活动。</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丙方应分别对甲方、丙方工作人员进行廉洁监督管理，如甲方、丙方工作人员违反本协议第一、第二条，甲方、丙方应依据有关法律法规、党纪规定对其进行处理；涉嫌犯罪的，甲方、丙方应将其移交司法机关追究刑事责任。</w:t>
      </w:r>
    </w:p>
    <w:p>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乙方义务</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（一）乙方不得以任何理由向甲方、丙方及其工作人员馈赠礼金、有价证券、贵重礼品，或报销应由甲方、丙方单位或个人支付的任何费用。</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（二）乙方及其工作人员不得以考察、参观、洽谈业务、签订合同等的借口邀请甲方、丙方及其工作人员参加高消费的宴请、娱乐和健身等活动。</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（三）乙方不得为甲方、丙方单位和个人购置或提供通讯工具、交通工具和高档办公用品等。</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（四）乙方及其工作人员不得为甲方、丙方工作人员购买、装修、维修私人住房、汽车等。</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（五）乙方及其工作人员不得为甲方、丙方工作人员的婚丧嫁娶、家属或亲友的工作安排，及出国出境提供方便以及报销任何私人消费的费用。</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（六）乙方及其工作人员不得进行影响甲方、丙方及其工作人员公正执行合同和履行职务的其他活动。</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违约责任</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（一）甲方、丙方违反本协议第一、第二条给乙方单位造成经济损失的，应予以赔偿。</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（二）乙方违反本协议第一、第三条给甲方、丙方单位造成经济损失的，应予以赔偿。</w:t>
      </w:r>
    </w:p>
    <w:p>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  监督检查</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甲乙丙三方的廉洁从业行为由三方或三方上级单位的纪检、监察部门负责监督，对本协议履行情况进行检查。</w:t>
      </w:r>
    </w:p>
    <w:p>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第六条 举报信访受理</w:t>
      </w:r>
    </w:p>
    <w:p>
      <w:pPr>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（一）举报受理部门：东莞市水务集团有限公司纪检监察部。</w:t>
      </w:r>
    </w:p>
    <w:p>
      <w:pPr>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（二）举报电话：（0769）23076092。</w:t>
      </w:r>
    </w:p>
    <w:p>
      <w:pPr>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（三）举报邮箱：</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"mailto:jcsj@dgswjt.cn。" </w:instrText>
      </w:r>
      <w:r>
        <w:rPr>
          <w:rFonts w:hint="eastAsia" w:ascii="宋体" w:hAnsi="宋体" w:eastAsia="宋体" w:cs="宋体"/>
          <w:color w:val="auto"/>
          <w:sz w:val="21"/>
          <w:szCs w:val="21"/>
          <w:highlight w:val="none"/>
        </w:rPr>
        <w:fldChar w:fldCharType="separate"/>
      </w:r>
      <w:r>
        <w:rPr>
          <w:rStyle w:val="43"/>
          <w:rFonts w:hint="eastAsia" w:ascii="宋体" w:hAnsi="宋体" w:eastAsia="宋体" w:cs="宋体"/>
          <w:color w:val="auto"/>
          <w:sz w:val="21"/>
          <w:szCs w:val="21"/>
          <w:highlight w:val="none"/>
        </w:rPr>
        <w:t>jcsj@dgswjt.cn。</w:t>
      </w:r>
      <w:r>
        <w:rPr>
          <w:rFonts w:hint="eastAsia" w:ascii="宋体" w:hAnsi="宋体" w:eastAsia="宋体" w:cs="宋体"/>
          <w:color w:val="auto"/>
          <w:sz w:val="21"/>
          <w:szCs w:val="21"/>
          <w:highlight w:val="none"/>
        </w:rPr>
        <w:fldChar w:fldCharType="end"/>
      </w:r>
    </w:p>
    <w:p>
      <w:pPr>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（四）信访地址：广东省东莞市东城街道育华路1号。</w:t>
      </w:r>
    </w:p>
    <w:p>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 其他</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本协议有效期为甲乙丙三方签字并加盖公章之日起至该工程/采购项目竣工验收完毕，质保期/服务期满后止。本协议一式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份，甲、乙、丙三方各执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份，甲、乙、丙三方上级主管部门各执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pPr>
        <w:snapToGrid w:val="0"/>
        <w:spacing w:line="360" w:lineRule="auto"/>
        <w:rPr>
          <w:rFonts w:hint="eastAsia" w:ascii="宋体" w:hAnsi="宋体" w:eastAsia="宋体" w:cs="宋体"/>
          <w:color w:val="auto"/>
          <w:sz w:val="21"/>
          <w:szCs w:val="21"/>
          <w:highlight w:val="none"/>
        </w:rPr>
      </w:pP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                  或授权代理人（签名或私章）：</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                          年  月  日</w:t>
      </w:r>
    </w:p>
    <w:p>
      <w:pPr>
        <w:snapToGrid w:val="0"/>
        <w:spacing w:line="360" w:lineRule="auto"/>
        <w:ind w:firstLine="420" w:firstLineChars="200"/>
        <w:rPr>
          <w:rFonts w:hint="eastAsia" w:ascii="宋体" w:hAnsi="宋体" w:eastAsia="宋体" w:cs="宋体"/>
          <w:color w:val="auto"/>
          <w:sz w:val="21"/>
          <w:szCs w:val="21"/>
          <w:highlight w:val="none"/>
        </w:rPr>
      </w:pP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丙方（盖章）：</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签订日期：    年  月  日 </w:t>
      </w:r>
    </w:p>
    <w:p>
      <w:pPr>
        <w:spacing w:line="360" w:lineRule="auto"/>
        <w:rPr>
          <w:rFonts w:hint="eastAsia" w:ascii="宋体" w:hAnsi="宋体" w:eastAsia="宋体" w:cs="宋体"/>
          <w:color w:val="auto"/>
          <w:highlight w:val="none"/>
        </w:rPr>
      </w:pPr>
    </w:p>
    <w:p>
      <w:pPr>
        <w:pStyle w:val="18"/>
        <w:jc w:val="left"/>
        <w:rPr>
          <w:rFonts w:hint="eastAsia" w:ascii="宋体" w:hAnsi="宋体" w:eastAsia="宋体" w:cs="宋体"/>
          <w:bCs w:val="0"/>
          <w:color w:val="auto"/>
          <w:sz w:val="24"/>
          <w:highlight w:val="none"/>
        </w:rPr>
      </w:pPr>
    </w:p>
    <w:p>
      <w:pPr>
        <w:keepNext w:val="0"/>
        <w:keepLines w:val="0"/>
        <w:pageBreakBefore w:val="0"/>
        <w:widowControl w:val="0"/>
        <w:tabs>
          <w:tab w:val="left" w:pos="0"/>
          <w:tab w:val="left" w:pos="405"/>
          <w:tab w:val="left" w:pos="567"/>
          <w:tab w:val="left" w:pos="601"/>
          <w:tab w:val="left" w:pos="1980"/>
        </w:tabs>
        <w:kinsoku/>
        <w:wordWrap/>
        <w:overflowPunct/>
        <w:topLinePunct w:val="0"/>
        <w:autoSpaceDE/>
        <w:autoSpaceDN/>
        <w:bidi w:val="0"/>
        <w:adjustRightInd/>
        <w:snapToGrid/>
        <w:spacing w:line="360" w:lineRule="auto"/>
        <w:textAlignment w:val="auto"/>
        <w:outlineLvl w:val="2"/>
        <w:rPr>
          <w:rFonts w:hint="eastAsia" w:ascii="宋体" w:hAnsi="宋体" w:eastAsia="宋体" w:cs="宋体"/>
          <w:b/>
          <w:color w:val="auto"/>
          <w:highlight w:val="none"/>
        </w:rPr>
      </w:pPr>
      <w:r>
        <w:rPr>
          <w:rFonts w:hint="eastAsia" w:ascii="宋体" w:hAnsi="宋体" w:eastAsia="宋体" w:cs="宋体"/>
          <w:color w:val="auto"/>
          <w:highlight w:val="none"/>
        </w:rPr>
        <w:br w:type="page"/>
      </w:r>
      <w:bookmarkStart w:id="494" w:name="_Toc9044"/>
      <w:r>
        <w:rPr>
          <w:rFonts w:hint="eastAsia" w:ascii="宋体" w:hAnsi="宋体" w:eastAsia="宋体" w:cs="宋体"/>
          <w:b/>
          <w:color w:val="auto"/>
          <w:highlight w:val="none"/>
        </w:rPr>
        <w:t>附件三：安全生产责任书</w:t>
      </w:r>
      <w:bookmarkEnd w:id="494"/>
    </w:p>
    <w:p>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安全生产责任书</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更好地贯彻“安全第一、预防为主、以人为本、强化管理、落实责任”的安全生产方针，全面落实企业安全生产主体责任，推进安全生产标准化管理，切实做好东莞市水务集团建设管理有限公司（以下简称：建设公司）的安全生产工作，杜绝各类事故的发生，保障建设公司财产和员工的人身安全，实现安全生产目标，建设公司、项目业主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签订安全生产责任书。</w:t>
      </w:r>
    </w:p>
    <w:p>
      <w:pPr>
        <w:numPr>
          <w:ilvl w:val="0"/>
          <w:numId w:val="3"/>
        </w:numPr>
        <w:adjustRightIn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安全生产目标</w:t>
      </w:r>
    </w:p>
    <w:p>
      <w:pPr>
        <w:numPr>
          <w:ilvl w:val="0"/>
          <w:numId w:val="4"/>
        </w:numPr>
        <w:adjustRightIn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杜绝重伤及以上生产安全事故；</w:t>
      </w:r>
    </w:p>
    <w:p>
      <w:pPr>
        <w:numPr>
          <w:ilvl w:val="0"/>
          <w:numId w:val="4"/>
        </w:numPr>
        <w:adjustRightIn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杜绝火灾、爆炸责任事故；</w:t>
      </w:r>
    </w:p>
    <w:p>
      <w:pPr>
        <w:numPr>
          <w:ilvl w:val="0"/>
          <w:numId w:val="4"/>
        </w:numPr>
        <w:adjustRightIn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杜绝多人严重急性中毒事故；</w:t>
      </w:r>
    </w:p>
    <w:p>
      <w:pPr>
        <w:numPr>
          <w:ilvl w:val="0"/>
          <w:numId w:val="4"/>
        </w:numPr>
        <w:adjustRightIn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工伤事故中轻伤率不超过3‰；</w:t>
      </w:r>
    </w:p>
    <w:p>
      <w:pPr>
        <w:numPr>
          <w:ilvl w:val="0"/>
          <w:numId w:val="4"/>
        </w:numPr>
        <w:adjustRightIn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生产经营范围内无刑事案件发生。</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二、安全生产责任</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u w:val="single"/>
          <w:shd w:val="clear" w:color="090000" w:fill="FFFFFF"/>
        </w:rPr>
        <w:t xml:space="preserve">              </w:t>
      </w:r>
      <w:r>
        <w:rPr>
          <w:rFonts w:hint="eastAsia" w:ascii="宋体" w:hAnsi="宋体" w:eastAsia="宋体" w:cs="宋体"/>
          <w:color w:val="auto"/>
          <w:sz w:val="21"/>
          <w:szCs w:val="21"/>
          <w:highlight w:val="none"/>
          <w:shd w:val="clear" w:color="090000" w:fill="FFFFFF"/>
        </w:rPr>
        <w:t>为</w:t>
      </w:r>
      <w:r>
        <w:rPr>
          <w:rFonts w:hint="eastAsia" w:ascii="宋体" w:hAnsi="宋体" w:eastAsia="宋体" w:cs="Times New Roman"/>
          <w:color w:val="auto"/>
          <w:kern w:val="0"/>
          <w:szCs w:val="21"/>
          <w:highlight w:val="none"/>
          <w:lang w:eastAsia="zh-CN"/>
        </w:rPr>
        <w:t>东莞市供水设施更新改造项目-松山湖新城路给水管网改造工程第三方监测服务采购</w:t>
      </w:r>
      <w:r>
        <w:rPr>
          <w:rFonts w:hint="eastAsia" w:ascii="宋体" w:hAnsi="宋体" w:eastAsia="宋体" w:cs="宋体"/>
          <w:color w:val="auto"/>
          <w:sz w:val="21"/>
          <w:szCs w:val="21"/>
          <w:highlight w:val="none"/>
          <w:shd w:val="clear" w:color="090000" w:fill="FFFFFF"/>
        </w:rPr>
        <w:t>安全生产工作的第一责任人，对</w:t>
      </w:r>
      <w:r>
        <w:rPr>
          <w:rFonts w:hint="eastAsia" w:ascii="宋体" w:hAnsi="宋体" w:eastAsia="宋体" w:cs="Times New Roman"/>
          <w:color w:val="auto"/>
          <w:kern w:val="0"/>
          <w:szCs w:val="21"/>
          <w:highlight w:val="none"/>
          <w:lang w:eastAsia="zh-CN"/>
        </w:rPr>
        <w:t>东莞市供水设施更新改造项目-松山湖新城路给水管网改造工程第三方监测服务采购</w:t>
      </w:r>
      <w:r>
        <w:rPr>
          <w:rFonts w:hint="eastAsia" w:ascii="宋体" w:hAnsi="宋体" w:eastAsia="宋体" w:cs="宋体"/>
          <w:color w:val="auto"/>
          <w:sz w:val="21"/>
          <w:szCs w:val="21"/>
          <w:highlight w:val="none"/>
          <w:shd w:val="clear" w:color="090000" w:fill="FFFFFF"/>
        </w:rPr>
        <w:t>安全生产工作负全面领导责任；其他人员对业务工作范围内的安全生产工作负直接责任</w:t>
      </w:r>
      <w:r>
        <w:rPr>
          <w:rFonts w:hint="eastAsia" w:ascii="宋体" w:hAnsi="宋体" w:eastAsia="宋体" w:cs="宋体"/>
          <w:color w:val="auto"/>
          <w:sz w:val="21"/>
          <w:szCs w:val="21"/>
          <w:highlight w:val="none"/>
        </w:rPr>
        <w:t>。</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遵守《安全生产法》、《消防法》、《劳动法》等法律法规，贯彻和执行</w:t>
      </w:r>
      <w:r>
        <w:rPr>
          <w:rFonts w:hint="eastAsia" w:ascii="宋体" w:hAnsi="宋体" w:eastAsia="宋体" w:cs="宋体"/>
          <w:color w:val="auto"/>
          <w:sz w:val="21"/>
          <w:szCs w:val="21"/>
          <w:highlight w:val="none"/>
          <w:shd w:val="clear" w:color="090000" w:fill="FFFFFF"/>
        </w:rPr>
        <w:t>建设公司</w:t>
      </w:r>
      <w:r>
        <w:rPr>
          <w:rFonts w:hint="eastAsia" w:ascii="宋体" w:hAnsi="宋体" w:eastAsia="宋体" w:cs="宋体"/>
          <w:color w:val="auto"/>
          <w:sz w:val="21"/>
          <w:szCs w:val="21"/>
          <w:highlight w:val="none"/>
        </w:rPr>
        <w:t>有关安全生产的制度、规程和标准，全面推动安全管理工作。</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积极参与</w:t>
      </w: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组织的安全培训、“安全生产活动月”、“消防安全月”等活动。</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参加</w:t>
      </w: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召开安全生产工作会议，落实会议的相关要求。</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参与</w:t>
      </w: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组织开展生产安全事故应急预案演练，提高应急技能及应急管理水平。</w:t>
      </w:r>
    </w:p>
    <w:p>
      <w:pPr>
        <w:spacing w:line="360" w:lineRule="auto"/>
        <w:ind w:firstLine="424" w:firstLineChars="202"/>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发生安全事故时及时组织救援并上报，协助开展事故调查分析工作。</w:t>
      </w:r>
    </w:p>
    <w:p>
      <w:pPr>
        <w:numPr>
          <w:ilvl w:val="0"/>
          <w:numId w:val="5"/>
        </w:numPr>
        <w:adjustRightIn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考核与奖惩</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负责对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的安全生产管理工作进行检查和考核。</w:t>
      </w:r>
    </w:p>
    <w:p>
      <w:pPr>
        <w:numPr>
          <w:ilvl w:val="0"/>
          <w:numId w:val="5"/>
        </w:numPr>
        <w:adjustRightIn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p>
      <w:pPr>
        <w:spacing w:line="360" w:lineRule="auto"/>
        <w:ind w:right="-26" w:firstLine="420" w:firstLineChars="200"/>
        <w:contextualSpacing/>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本安全生产责任书自考核方与责任方盖章签字之日起生效，有效期至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日止。</w:t>
      </w:r>
    </w:p>
    <w:p>
      <w:pPr>
        <w:spacing w:line="360" w:lineRule="auto"/>
        <w:ind w:firstLine="420"/>
        <w:rPr>
          <w:rFonts w:hint="eastAsia" w:ascii="宋体" w:hAnsi="宋体" w:eastAsia="宋体" w:cs="宋体"/>
          <w:b/>
          <w:color w:val="auto"/>
          <w:sz w:val="21"/>
          <w:szCs w:val="21"/>
          <w:highlight w:val="none"/>
        </w:rPr>
      </w:pPr>
    </w:p>
    <w:p>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目标考核方1：东莞市水务集团建设管理有限公司   目标考核方2：</w:t>
      </w:r>
      <w:r>
        <w:rPr>
          <w:rFonts w:hint="eastAsia" w:ascii="宋体" w:hAnsi="宋体" w:eastAsia="宋体" w:cs="宋体"/>
          <w:b/>
          <w:color w:val="auto"/>
          <w:sz w:val="21"/>
          <w:szCs w:val="21"/>
          <w:highlight w:val="none"/>
          <w:lang w:eastAsia="zh-CN"/>
        </w:rPr>
        <w:t>东莞市水务集团供水有限公司</w:t>
      </w:r>
    </w:p>
    <w:p>
      <w:pPr>
        <w:spacing w:line="360" w:lineRule="auto"/>
        <w:rPr>
          <w:rFonts w:hint="eastAsia" w:ascii="宋体" w:hAnsi="宋体" w:eastAsia="宋体" w:cs="宋体"/>
          <w:b/>
          <w:color w:val="auto"/>
          <w:sz w:val="21"/>
          <w:szCs w:val="21"/>
          <w:highlight w:val="none"/>
        </w:rPr>
      </w:pP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                  或授权代理人（签名或私章）：</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                          年  月  日</w:t>
      </w:r>
    </w:p>
    <w:p>
      <w:pPr>
        <w:spacing w:line="360" w:lineRule="auto"/>
        <w:rPr>
          <w:rFonts w:hint="eastAsia" w:ascii="宋体" w:hAnsi="宋体" w:eastAsia="宋体" w:cs="宋体"/>
          <w:color w:val="auto"/>
          <w:sz w:val="21"/>
          <w:szCs w:val="21"/>
          <w:highlight w:val="none"/>
        </w:rPr>
      </w:pPr>
    </w:p>
    <w:p>
      <w:pPr>
        <w:spacing w:line="360" w:lineRule="auto"/>
        <w:ind w:right="-26"/>
        <w:rPr>
          <w:rFonts w:hint="eastAsia" w:ascii="宋体" w:hAnsi="宋体" w:eastAsia="宋体" w:cs="宋体"/>
          <w:b/>
          <w:bCs/>
          <w:color w:val="auto"/>
          <w:sz w:val="21"/>
          <w:szCs w:val="21"/>
          <w:highlight w:val="none"/>
          <w:lang w:val="zh-CN"/>
        </w:rPr>
      </w:pP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目标责任方：          </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签订日期：    年  月  日 </w:t>
      </w:r>
    </w:p>
    <w:p>
      <w:pPr>
        <w:widowControl/>
        <w:autoSpaceDE/>
        <w:autoSpaceDN/>
        <w:adjustRightInd/>
        <w:rPr>
          <w:rFonts w:hint="eastAsia" w:ascii="宋体" w:hAnsi="宋体" w:eastAsia="宋体" w:cs="宋体"/>
          <w:color w:val="auto"/>
          <w:highlight w:val="none"/>
        </w:rPr>
      </w:pPr>
      <w:r>
        <w:rPr>
          <w:rFonts w:hint="eastAsia" w:ascii="宋体" w:hAnsi="宋体" w:eastAsia="宋体" w:cs="宋体"/>
          <w:color w:val="auto"/>
          <w:highlight w:val="none"/>
        </w:rPr>
        <w:br w:type="page"/>
      </w:r>
    </w:p>
    <w:p>
      <w:pPr>
        <w:keepNext w:val="0"/>
        <w:keepLines w:val="0"/>
        <w:pageBreakBefore w:val="0"/>
        <w:widowControl w:val="0"/>
        <w:tabs>
          <w:tab w:val="left" w:pos="0"/>
          <w:tab w:val="left" w:pos="405"/>
          <w:tab w:val="left" w:pos="567"/>
          <w:tab w:val="left" w:pos="601"/>
          <w:tab w:val="left" w:pos="1980"/>
        </w:tabs>
        <w:kinsoku/>
        <w:wordWrap/>
        <w:overflowPunct/>
        <w:topLinePunct w:val="0"/>
        <w:autoSpaceDE/>
        <w:autoSpaceDN/>
        <w:bidi w:val="0"/>
        <w:adjustRightInd/>
        <w:snapToGrid/>
        <w:spacing w:line="360" w:lineRule="auto"/>
        <w:textAlignment w:val="auto"/>
        <w:outlineLvl w:val="2"/>
        <w:rPr>
          <w:rFonts w:hint="eastAsia" w:ascii="宋体" w:hAnsi="宋体" w:eastAsia="宋体" w:cs="宋体"/>
          <w:b/>
          <w:color w:val="auto"/>
          <w:highlight w:val="none"/>
        </w:rPr>
      </w:pPr>
      <w:bookmarkStart w:id="495" w:name="_Toc22"/>
      <w:r>
        <w:rPr>
          <w:rFonts w:hint="eastAsia" w:ascii="宋体" w:hAnsi="宋体" w:eastAsia="宋体" w:cs="宋体"/>
          <w:b/>
          <w:color w:val="auto"/>
          <w:highlight w:val="none"/>
        </w:rPr>
        <w:t>附件四：诚信履约承诺书</w:t>
      </w:r>
      <w:bookmarkEnd w:id="495"/>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诚信履约承诺书</w:t>
      </w:r>
    </w:p>
    <w:p>
      <w:pPr>
        <w:rPr>
          <w:rFonts w:hint="eastAsia" w:ascii="宋体" w:hAnsi="宋体" w:eastAsia="宋体" w:cs="宋体"/>
          <w:color w:val="auto"/>
          <w:highlight w:val="none"/>
        </w:rPr>
      </w:pPr>
    </w:p>
    <w:p>
      <w:pPr>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东莞市水务集团建设管理有限公司、</w:t>
      </w:r>
      <w:r>
        <w:rPr>
          <w:rFonts w:hint="eastAsia" w:ascii="宋体" w:hAnsi="宋体" w:eastAsia="宋体" w:cs="宋体"/>
          <w:color w:val="auto"/>
          <w:sz w:val="21"/>
          <w:szCs w:val="21"/>
          <w:highlight w:val="none"/>
          <w:lang w:eastAsia="zh-CN"/>
        </w:rPr>
        <w:t>东莞市水务集团供水有限公司</w:t>
      </w:r>
      <w:r>
        <w:rPr>
          <w:rFonts w:hint="eastAsia" w:ascii="宋体" w:hAnsi="宋体" w:eastAsia="宋体" w:cs="宋体"/>
          <w:color w:val="auto"/>
          <w:sz w:val="21"/>
          <w:szCs w:val="21"/>
          <w:highlight w:val="none"/>
        </w:rPr>
        <w:t>：</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我司根据《XXXXXXX合同》相关条款全力配合贵公司工作，并自愿做出如下承诺：</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如我司有拖欠所雇用员工工资等，发生劳资纠纷、上访、闹事或其他影响贵公司生产经营等情况而未及时妥善处理的，贵公司有权启用履约担保或未付款等予以支付或作出相应处理，由此产生的一切法律后果由我司承担。</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（二）如我司有违反本项目管理及合同约定等行为，我司无条件同意并接受贵公司根据合同及相关约定追究我司的违约责任。</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b/>
          <w:bCs/>
          <w:color w:val="auto"/>
          <w:sz w:val="21"/>
          <w:szCs w:val="21"/>
          <w:highlight w:val="none"/>
        </w:rPr>
        <w:t>如我司在投标过程中或合同履行过程中存在以下等情形的：</w:t>
      </w:r>
      <w:r>
        <w:rPr>
          <w:rFonts w:hint="eastAsia" w:ascii="宋体" w:hAnsi="宋体" w:eastAsia="宋体" w:cs="宋体"/>
          <w:color w:val="auto"/>
          <w:sz w:val="21"/>
          <w:szCs w:val="21"/>
          <w:highlight w:val="none"/>
        </w:rPr>
        <w:t>（1）通过虚假响应招标文件要求等弄虚作假手段骗取中标的或未按照招标文件约定按时提供原件核查的；（2）利用虚假材料、以欺骗手段取得中标资格的；（3）将合同义务转包或违法分包的；（4）提供的服务不符合有关法律、行政法规的规定和质量标准、安全标准、行业规范以及合同的约定的。</w:t>
      </w:r>
      <w:r>
        <w:rPr>
          <w:rFonts w:hint="eastAsia" w:ascii="宋体" w:hAnsi="宋体" w:eastAsia="宋体" w:cs="宋体"/>
          <w:b/>
          <w:bCs/>
          <w:color w:val="auto"/>
          <w:sz w:val="21"/>
          <w:szCs w:val="21"/>
          <w:highlight w:val="none"/>
        </w:rPr>
        <w:t>我司同意并接受贵公司采取包括但不限于以下措施：</w:t>
      </w:r>
      <w:r>
        <w:rPr>
          <w:rFonts w:hint="eastAsia" w:ascii="宋体" w:hAnsi="宋体" w:eastAsia="宋体" w:cs="宋体"/>
          <w:color w:val="auto"/>
          <w:sz w:val="21"/>
          <w:szCs w:val="21"/>
          <w:highlight w:val="none"/>
        </w:rPr>
        <w:t>（1）将我司列入东莞市水务集团有限公司单位“黑名单”，在东莞市水务集团有限公司官网上进行公告，并在委托人以后的招标采购项目评标时充分考虑我司的不良行为和履约问题；（2）向东莞阳光网、东莞日报等媒体公开我公司失信行为；（3）上报东莞市住建局、东莞市水务局、东莞市水污染治理现场指挥部等部门要求将我司列入重点监管名单、在东莞市以后的招标采购项目评标时会充分考虑我司的不良行为和履约问题甚至取消我司参加东莞市公开招标项目的投标资格；（4）向广东省住建厅、国资委等部门进行通报和投诉等。</w:t>
      </w:r>
    </w:p>
    <w:p>
      <w:pPr>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我司并愿按相关规定接受处理，由此产生的一切法律责任和不利后果全部由我司承担。</w:t>
      </w:r>
    </w:p>
    <w:p>
      <w:pPr>
        <w:pStyle w:val="18"/>
        <w:rPr>
          <w:rFonts w:hint="eastAsia" w:ascii="宋体" w:hAnsi="宋体" w:eastAsia="宋体" w:cs="宋体"/>
          <w:color w:val="auto"/>
          <w:sz w:val="21"/>
          <w:szCs w:val="21"/>
          <w:highlight w:val="none"/>
          <w:lang w:val="en-US"/>
        </w:rPr>
      </w:pPr>
    </w:p>
    <w:p>
      <w:pPr>
        <w:spacing w:line="360" w:lineRule="auto"/>
        <w:ind w:firstLine="4200" w:firstLineChars="20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承诺人（盖章）：</w:t>
      </w:r>
    </w:p>
    <w:p>
      <w:pPr>
        <w:spacing w:line="360" w:lineRule="auto"/>
        <w:ind w:firstLine="4200" w:firstLineChars="20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w:t>
      </w:r>
      <w:r>
        <w:rPr>
          <w:rFonts w:hint="eastAsia" w:ascii="宋体" w:hAnsi="宋体" w:eastAsia="宋体" w:cs="宋体"/>
          <w:color w:val="auto"/>
          <w:sz w:val="21"/>
          <w:szCs w:val="21"/>
          <w:highlight w:val="none"/>
          <w:lang w:val="en-US" w:eastAsia="zh-CN"/>
        </w:rPr>
        <w:t>定</w:t>
      </w:r>
      <w:r>
        <w:rPr>
          <w:rFonts w:hint="eastAsia" w:ascii="宋体" w:hAnsi="宋体" w:eastAsia="宋体" w:cs="宋体"/>
          <w:color w:val="auto"/>
          <w:sz w:val="21"/>
          <w:szCs w:val="21"/>
          <w:highlight w:val="none"/>
        </w:rPr>
        <w:t>代表人（或授权代理人）签名（或盖私章）：</w:t>
      </w:r>
    </w:p>
    <w:p>
      <w:pPr>
        <w:spacing w:line="360" w:lineRule="auto"/>
        <w:ind w:firstLine="4200" w:firstLineChars="20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widowControl/>
        <w:autoSpaceDE/>
        <w:autoSpaceDN/>
        <w:adjustRightInd/>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keepNext w:val="0"/>
        <w:keepLines w:val="0"/>
        <w:pageBreakBefore w:val="0"/>
        <w:widowControl w:val="0"/>
        <w:tabs>
          <w:tab w:val="left" w:pos="0"/>
          <w:tab w:val="left" w:pos="405"/>
          <w:tab w:val="left" w:pos="567"/>
          <w:tab w:val="left" w:pos="601"/>
          <w:tab w:val="left" w:pos="1980"/>
        </w:tabs>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auto"/>
          <w:highlight w:val="none"/>
        </w:rPr>
      </w:pPr>
      <w:bookmarkStart w:id="496" w:name="_Toc22346"/>
      <w:r>
        <w:rPr>
          <w:rFonts w:hint="eastAsia" w:ascii="宋体" w:hAnsi="宋体" w:eastAsia="宋体" w:cs="宋体"/>
          <w:b/>
          <w:color w:val="auto"/>
          <w:highlight w:val="none"/>
        </w:rPr>
        <w:t>附件五 监测单位履约考核评分表</w:t>
      </w:r>
      <w:bookmarkEnd w:id="496"/>
    </w:p>
    <w:p>
      <w:pPr>
        <w:spacing w:line="360" w:lineRule="auto"/>
        <w:rPr>
          <w:rFonts w:hint="eastAsia" w:ascii="宋体" w:hAnsi="宋体" w:eastAsia="宋体" w:cs="宋体"/>
          <w:color w:val="auto"/>
          <w:highlight w:val="none"/>
        </w:rPr>
      </w:pPr>
    </w:p>
    <w:p>
      <w:pPr>
        <w:spacing w:line="50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监测单位履约考核评分表</w:t>
      </w:r>
    </w:p>
    <w:tbl>
      <w:tblPr>
        <w:tblStyle w:val="37"/>
        <w:tblW w:w="5379" w:type="pct"/>
        <w:tblInd w:w="-2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962"/>
        <w:gridCol w:w="4641"/>
        <w:gridCol w:w="569"/>
        <w:gridCol w:w="982"/>
        <w:gridCol w:w="714"/>
        <w:gridCol w:w="1171"/>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37" w:type="dxa"/>
            <w:gridSpan w:val="2"/>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监测人名称</w:t>
            </w:r>
          </w:p>
        </w:tc>
        <w:tc>
          <w:tcPr>
            <w:tcW w:w="5210" w:type="dxa"/>
            <w:gridSpan w:val="2"/>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c>
          <w:tcPr>
            <w:tcW w:w="982"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评价时间</w:t>
            </w:r>
          </w:p>
        </w:tc>
        <w:tc>
          <w:tcPr>
            <w:tcW w:w="3027" w:type="dxa"/>
            <w:gridSpan w:val="3"/>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75"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评价内容</w:t>
            </w:r>
          </w:p>
        </w:tc>
        <w:tc>
          <w:tcPr>
            <w:tcW w:w="962"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各项分值</w:t>
            </w:r>
          </w:p>
        </w:tc>
        <w:tc>
          <w:tcPr>
            <w:tcW w:w="6906" w:type="dxa"/>
            <w:gridSpan w:val="4"/>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具体内容</w:t>
            </w:r>
          </w:p>
        </w:tc>
        <w:tc>
          <w:tcPr>
            <w:tcW w:w="1171"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评分 </w:t>
            </w:r>
          </w:p>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142"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各项</w:t>
            </w:r>
          </w:p>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5"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服务响应</w:t>
            </w:r>
          </w:p>
        </w:tc>
        <w:tc>
          <w:tcPr>
            <w:tcW w:w="962"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6906" w:type="dxa"/>
            <w:gridSpan w:val="4"/>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1、不积极配合协助处理服务履行中发生的争议，不主动提供真实情况，每次扣3分；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2、未能在约定时间内进驻现场的，每次扣5分；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3、未派人员参加业主要求的相关会议，每次扣5分。</w:t>
            </w:r>
          </w:p>
        </w:tc>
        <w:tc>
          <w:tcPr>
            <w:tcW w:w="1171"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142" w:type="dxa"/>
            <w:vAlign w:val="bottom"/>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975"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设备人员配置</w:t>
            </w:r>
          </w:p>
        </w:tc>
        <w:tc>
          <w:tcPr>
            <w:tcW w:w="962"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6906" w:type="dxa"/>
            <w:gridSpan w:val="4"/>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1、未按我公司要求配齐相应监测人员的，每人每次扣5分；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2、未按我公司要求配齐相应设备的，每次扣5分：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3、监测人员能力无法满足实际需要，且经我公司要求更换而未更换的，每人每次扣5分；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4、监测人员未持有效证件上岗及佩戴工作证，每人每次扣5分；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5、特种作业人员未持有效证件上岗及佩戴工作证，每人每次扣5分；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6、开展监测的设备未在检定有效期内，每台设备每次扣5分。</w:t>
            </w:r>
          </w:p>
        </w:tc>
        <w:tc>
          <w:tcPr>
            <w:tcW w:w="1171"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142" w:type="dxa"/>
            <w:vAlign w:val="bottom"/>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75"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工作质量</w:t>
            </w:r>
          </w:p>
        </w:tc>
        <w:tc>
          <w:tcPr>
            <w:tcW w:w="962"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6906" w:type="dxa"/>
            <w:gridSpan w:val="4"/>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1、实际监测协作服务未达用户需求书、合同文件要求，且经我公司要求后未配合整改至符合要求的，每处每次扣5分；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2、监测记录、数据与实际不相符的，每次扣5分；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3、监测资料管理混乱、台账不及时更新、资料不及时签字或盖章不全的，每次扣5分；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4、监测报告的准确率，如出现报告的工程部位、工程名称、数据等错误的，每份报告扣5分；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5、监测结果不合格未及时反馈或通报的，每次扣10分。</w:t>
            </w:r>
          </w:p>
        </w:tc>
        <w:tc>
          <w:tcPr>
            <w:tcW w:w="1171"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142" w:type="dxa"/>
            <w:vAlign w:val="bottom"/>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975"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服务进度</w:t>
            </w:r>
          </w:p>
        </w:tc>
        <w:tc>
          <w:tcPr>
            <w:tcW w:w="962"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6906" w:type="dxa"/>
            <w:gridSpan w:val="4"/>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1、没有在规定时间内完成监测协作服务工作的，每处每次扣5分；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2、没有按照合同规定时间内出具监测报告的，每份报告扣5分。</w:t>
            </w:r>
          </w:p>
        </w:tc>
        <w:tc>
          <w:tcPr>
            <w:tcW w:w="1171"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142" w:type="dxa"/>
            <w:vAlign w:val="bottom"/>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975"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安全文明管理</w:t>
            </w:r>
          </w:p>
        </w:tc>
        <w:tc>
          <w:tcPr>
            <w:tcW w:w="962"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6906" w:type="dxa"/>
            <w:gridSpan w:val="4"/>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1、未按要求进行安全防护或安全防护不到位，我公司或上级部门检查中发现的，每处扣5分；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2、涉及有限空间作业未按照相关流程制度审批的，每次扣5分；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3、发生一般安全事故的，每次扣10分；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4、发生较大安全事故的，每次扣20分。</w:t>
            </w:r>
          </w:p>
        </w:tc>
        <w:tc>
          <w:tcPr>
            <w:tcW w:w="1171"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安全管理部</w:t>
            </w:r>
          </w:p>
        </w:tc>
        <w:tc>
          <w:tcPr>
            <w:tcW w:w="1142" w:type="dxa"/>
            <w:vAlign w:val="bottom"/>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975"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服务态度</w:t>
            </w:r>
          </w:p>
        </w:tc>
        <w:tc>
          <w:tcPr>
            <w:tcW w:w="962"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6906" w:type="dxa"/>
            <w:gridSpan w:val="4"/>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对监测协作服务单位日常工作的服务态度，以及甲方、上级主管部门、建设单位检查中配合情况、服务投诉情况进行评价。每收到投诉一次扣5分。</w:t>
            </w:r>
          </w:p>
        </w:tc>
        <w:tc>
          <w:tcPr>
            <w:tcW w:w="1171"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142" w:type="dxa"/>
            <w:vAlign w:val="bottom"/>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843" w:type="dxa"/>
            <w:gridSpan w:val="6"/>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2313" w:type="dxa"/>
            <w:gridSpan w:val="2"/>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56" w:type="dxa"/>
            <w:gridSpan w:val="8"/>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考核评分须知：</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bookmarkStart w:id="497" w:name="_Hlk139741337"/>
            <w:r>
              <w:rPr>
                <w:rFonts w:hint="eastAsia" w:ascii="宋体" w:hAnsi="宋体" w:eastAsia="宋体" w:cs="宋体"/>
                <w:color w:val="auto"/>
                <w:sz w:val="21"/>
                <w:szCs w:val="21"/>
                <w:highlight w:val="none"/>
              </w:rPr>
              <w:t>1、</w:t>
            </w:r>
            <w:r>
              <w:rPr>
                <w:rFonts w:hint="eastAsia" w:ascii="宋体" w:hAnsi="宋体" w:eastAsia="宋体" w:cs="宋体"/>
                <w:b/>
                <w:bCs/>
                <w:color w:val="auto"/>
                <w:sz w:val="21"/>
                <w:szCs w:val="21"/>
                <w:highlight w:val="none"/>
              </w:rPr>
              <w:t>委托人</w:t>
            </w:r>
            <w:r>
              <w:rPr>
                <w:rFonts w:hint="eastAsia" w:ascii="宋体" w:hAnsi="宋体" w:eastAsia="宋体" w:cs="宋体"/>
                <w:color w:val="auto"/>
                <w:sz w:val="21"/>
                <w:szCs w:val="21"/>
                <w:highlight w:val="none"/>
              </w:rPr>
              <w:t>每季度对</w:t>
            </w:r>
            <w:r>
              <w:rPr>
                <w:rFonts w:hint="eastAsia" w:ascii="宋体" w:hAnsi="宋体" w:eastAsia="宋体" w:cs="宋体"/>
                <w:b/>
                <w:bCs/>
                <w:color w:val="auto"/>
                <w:sz w:val="21"/>
                <w:szCs w:val="21"/>
                <w:highlight w:val="none"/>
              </w:rPr>
              <w:t>监测人</w:t>
            </w:r>
            <w:r>
              <w:rPr>
                <w:rFonts w:hint="eastAsia" w:ascii="宋体" w:hAnsi="宋体" w:eastAsia="宋体" w:cs="宋体"/>
                <w:color w:val="auto"/>
                <w:sz w:val="21"/>
                <w:szCs w:val="21"/>
                <w:highlight w:val="none"/>
              </w:rPr>
              <w:t>评价一次，出具考核评价结果。</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bCs/>
                <w:color w:val="auto"/>
                <w:sz w:val="21"/>
                <w:szCs w:val="21"/>
                <w:highlight w:val="none"/>
              </w:rPr>
              <w:t>委托人</w:t>
            </w:r>
            <w:r>
              <w:rPr>
                <w:rFonts w:hint="eastAsia" w:ascii="宋体" w:hAnsi="宋体" w:eastAsia="宋体" w:cs="宋体"/>
                <w:color w:val="auto"/>
                <w:sz w:val="21"/>
                <w:szCs w:val="21"/>
                <w:highlight w:val="none"/>
              </w:rPr>
              <w:t>将严格按照考核评分标准对</w:t>
            </w:r>
            <w:r>
              <w:rPr>
                <w:rFonts w:hint="eastAsia" w:ascii="宋体" w:hAnsi="宋体" w:eastAsia="宋体" w:cs="宋体"/>
                <w:b/>
                <w:bCs/>
                <w:color w:val="auto"/>
                <w:sz w:val="21"/>
                <w:szCs w:val="21"/>
                <w:highlight w:val="none"/>
              </w:rPr>
              <w:t>监测人</w:t>
            </w:r>
            <w:r>
              <w:rPr>
                <w:rFonts w:hint="eastAsia" w:ascii="宋体" w:hAnsi="宋体" w:eastAsia="宋体" w:cs="宋体"/>
                <w:color w:val="auto"/>
                <w:sz w:val="21"/>
                <w:szCs w:val="21"/>
                <w:highlight w:val="none"/>
              </w:rPr>
              <w:t>进行季度检查和考核。</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3、考评[70,80)分的，处相应付款周期内经</w:t>
            </w:r>
            <w:r>
              <w:rPr>
                <w:rFonts w:hint="eastAsia" w:ascii="宋体" w:hAnsi="宋体" w:eastAsia="宋体" w:cs="宋体"/>
                <w:b/>
                <w:bCs/>
                <w:color w:val="auto"/>
                <w:sz w:val="21"/>
                <w:szCs w:val="21"/>
                <w:highlight w:val="none"/>
              </w:rPr>
              <w:t>委托人</w:t>
            </w:r>
            <w:r>
              <w:rPr>
                <w:rFonts w:hint="eastAsia" w:ascii="宋体" w:hAnsi="宋体" w:eastAsia="宋体" w:cs="宋体"/>
                <w:color w:val="auto"/>
                <w:sz w:val="21"/>
                <w:szCs w:val="21"/>
                <w:highlight w:val="none"/>
              </w:rPr>
              <w:t>确认的监测费的10%作为违约金，考评[60,70)分的，处相应付款周期经</w:t>
            </w:r>
            <w:r>
              <w:rPr>
                <w:rFonts w:hint="eastAsia" w:ascii="宋体" w:hAnsi="宋体" w:eastAsia="宋体" w:cs="宋体"/>
                <w:b/>
                <w:bCs/>
                <w:color w:val="auto"/>
                <w:sz w:val="21"/>
                <w:szCs w:val="21"/>
                <w:highlight w:val="none"/>
              </w:rPr>
              <w:t>委托人</w:t>
            </w:r>
            <w:r>
              <w:rPr>
                <w:rFonts w:hint="eastAsia" w:ascii="宋体" w:hAnsi="宋体" w:eastAsia="宋体" w:cs="宋体"/>
                <w:color w:val="auto"/>
                <w:sz w:val="21"/>
                <w:szCs w:val="21"/>
                <w:highlight w:val="none"/>
              </w:rPr>
              <w:t>确认的监测费的20%作为违约金，考评60分以下的，处相应付款周期经</w:t>
            </w:r>
            <w:r>
              <w:rPr>
                <w:rFonts w:hint="eastAsia" w:ascii="宋体" w:hAnsi="宋体" w:eastAsia="宋体" w:cs="宋体"/>
                <w:b/>
                <w:bCs/>
                <w:color w:val="auto"/>
                <w:sz w:val="21"/>
                <w:szCs w:val="21"/>
                <w:highlight w:val="none"/>
              </w:rPr>
              <w:t>委托人</w:t>
            </w:r>
            <w:r>
              <w:rPr>
                <w:rFonts w:hint="eastAsia" w:ascii="宋体" w:hAnsi="宋体" w:eastAsia="宋体" w:cs="宋体"/>
                <w:color w:val="auto"/>
                <w:sz w:val="21"/>
                <w:szCs w:val="21"/>
                <w:highlight w:val="none"/>
              </w:rPr>
              <w:t>确认的监测的30%作为违约金。上述“[”代表闭区间，“)”代表开区间，如[70,80)代表该分数段范围为大于等于70且小于80。达到相应付款周期时,如</w:t>
            </w:r>
            <w:r>
              <w:rPr>
                <w:rFonts w:hint="eastAsia" w:ascii="宋体" w:hAnsi="宋体" w:eastAsia="宋体" w:cs="宋体"/>
                <w:b/>
                <w:bCs/>
                <w:color w:val="auto"/>
                <w:sz w:val="21"/>
                <w:szCs w:val="21"/>
                <w:highlight w:val="none"/>
              </w:rPr>
              <w:t>监测人</w:t>
            </w:r>
            <w:r>
              <w:rPr>
                <w:rFonts w:hint="eastAsia" w:ascii="宋体" w:hAnsi="宋体" w:eastAsia="宋体" w:cs="宋体"/>
                <w:color w:val="auto"/>
                <w:sz w:val="21"/>
                <w:szCs w:val="21"/>
                <w:highlight w:val="none"/>
              </w:rPr>
              <w:t>未申请支付本期费用,</w:t>
            </w:r>
            <w:r>
              <w:rPr>
                <w:rFonts w:hint="eastAsia" w:ascii="宋体" w:hAnsi="宋体" w:eastAsia="宋体" w:cs="宋体"/>
                <w:b/>
                <w:bCs/>
                <w:color w:val="auto"/>
                <w:sz w:val="21"/>
                <w:szCs w:val="21"/>
                <w:highlight w:val="none"/>
              </w:rPr>
              <w:t xml:space="preserve"> 委托人</w:t>
            </w:r>
            <w:r>
              <w:rPr>
                <w:rFonts w:hint="eastAsia" w:ascii="宋体" w:hAnsi="宋体" w:eastAsia="宋体" w:cs="宋体"/>
                <w:color w:val="auto"/>
                <w:sz w:val="21"/>
                <w:szCs w:val="21"/>
                <w:highlight w:val="none"/>
              </w:rPr>
              <w:t>根据支付条件暂定本周期监测费并计算本周期内应缴纳的暂定违约金，</w:t>
            </w:r>
            <w:r>
              <w:rPr>
                <w:rFonts w:hint="eastAsia" w:ascii="宋体" w:hAnsi="宋体" w:eastAsia="宋体" w:cs="宋体"/>
                <w:b/>
                <w:bCs/>
                <w:color w:val="auto"/>
                <w:sz w:val="21"/>
                <w:szCs w:val="21"/>
                <w:highlight w:val="none"/>
              </w:rPr>
              <w:t>监测人</w:t>
            </w:r>
            <w:r>
              <w:rPr>
                <w:rFonts w:hint="eastAsia" w:ascii="宋体" w:hAnsi="宋体" w:eastAsia="宋体" w:cs="宋体"/>
                <w:color w:val="auto"/>
                <w:sz w:val="21"/>
                <w:szCs w:val="21"/>
                <w:highlight w:val="none"/>
              </w:rPr>
              <w:t>应予以缴纳。下一周期仍未申请时按上述做法执行，待到</w:t>
            </w:r>
            <w:r>
              <w:rPr>
                <w:rFonts w:hint="eastAsia" w:ascii="宋体" w:hAnsi="宋体" w:eastAsia="宋体" w:cs="宋体"/>
                <w:b/>
                <w:bCs/>
                <w:color w:val="auto"/>
                <w:sz w:val="21"/>
                <w:szCs w:val="21"/>
                <w:highlight w:val="none"/>
              </w:rPr>
              <w:t>监测人</w:t>
            </w:r>
            <w:r>
              <w:rPr>
                <w:rFonts w:hint="eastAsia" w:ascii="宋体" w:hAnsi="宋体" w:eastAsia="宋体" w:cs="宋体"/>
                <w:color w:val="auto"/>
                <w:sz w:val="21"/>
                <w:szCs w:val="21"/>
                <w:highlight w:val="none"/>
              </w:rPr>
              <w:t>申请支付费用时，根据合同付款流程确认监测费，同步对以往暂定违约金在本次一并确认并予以结算。</w:t>
            </w:r>
            <w:bookmarkEnd w:id="49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937" w:type="dxa"/>
            <w:gridSpan w:val="2"/>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评价人员签名</w:t>
            </w:r>
          </w:p>
        </w:tc>
        <w:tc>
          <w:tcPr>
            <w:tcW w:w="4641"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c>
          <w:tcPr>
            <w:tcW w:w="1551" w:type="dxa"/>
            <w:gridSpan w:val="2"/>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评价日期</w:t>
            </w:r>
          </w:p>
        </w:tc>
        <w:tc>
          <w:tcPr>
            <w:tcW w:w="3027" w:type="dxa"/>
            <w:gridSpan w:val="3"/>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r>
    </w:tbl>
    <w:p>
      <w:pPr>
        <w:autoSpaceDE w:val="0"/>
        <w:autoSpaceDN w:val="0"/>
        <w:adjustRightInd w:val="0"/>
        <w:snapToGrid w:val="0"/>
        <w:spacing w:line="360" w:lineRule="auto"/>
        <w:jc w:val="left"/>
        <w:rPr>
          <w:rFonts w:ascii="宋体" w:hAnsi="宋体" w:eastAsia="宋体" w:cs="Times New Roman"/>
          <w:color w:val="auto"/>
          <w:kern w:val="0"/>
          <w:szCs w:val="21"/>
          <w:highlight w:val="none"/>
        </w:rPr>
      </w:pPr>
    </w:p>
    <w:p>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498" w:name="_Toc25564"/>
      <w:bookmarkStart w:id="499" w:name="_Toc13867"/>
      <w:bookmarkStart w:id="500" w:name="_Toc24427_WPSOffice_Level1"/>
      <w:bookmarkStart w:id="501" w:name="_Toc23576"/>
      <w:bookmarkStart w:id="502" w:name="_Toc6257"/>
      <w:bookmarkStart w:id="503" w:name="_Toc142508360"/>
      <w:bookmarkStart w:id="504" w:name="_Toc447044479"/>
      <w:bookmarkStart w:id="505" w:name="_Toc30025"/>
      <w:bookmarkStart w:id="506" w:name="_Toc447045090"/>
      <w:bookmarkStart w:id="507" w:name="_Toc512353083"/>
      <w:bookmarkStart w:id="508" w:name="_Toc447044603"/>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498"/>
      <w:bookmarkEnd w:id="499"/>
      <w:bookmarkEnd w:id="500"/>
      <w:bookmarkEnd w:id="501"/>
      <w:bookmarkEnd w:id="502"/>
      <w:bookmarkEnd w:id="503"/>
      <w:bookmarkEnd w:id="504"/>
      <w:bookmarkEnd w:id="505"/>
      <w:bookmarkEnd w:id="506"/>
      <w:bookmarkEnd w:id="507"/>
      <w:bookmarkEnd w:id="508"/>
      <w:bookmarkStart w:id="509" w:name="_Toc447044604"/>
      <w:bookmarkStart w:id="510" w:name="_Toc447044480"/>
      <w:bookmarkStart w:id="511" w:name="_Toc447045091"/>
    </w:p>
    <w:p>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512" w:name="_Toc26521_WPSOffice_Level2"/>
      <w:r>
        <w:rPr>
          <w:rFonts w:hint="eastAsia" w:ascii="宋体" w:hAnsi="宋体" w:eastAsia="宋体" w:cs="Times New Roman"/>
          <w:b/>
          <w:color w:val="auto"/>
          <w:kern w:val="0"/>
          <w:sz w:val="28"/>
          <w:szCs w:val="28"/>
          <w:highlight w:val="none"/>
        </w:rPr>
        <w:t>一、不可撤销银行履约保函格式</w:t>
      </w:r>
      <w:bookmarkEnd w:id="509"/>
      <w:bookmarkEnd w:id="510"/>
      <w:bookmarkEnd w:id="511"/>
      <w:bookmarkEnd w:id="512"/>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应自合同签订之日起至合同期限届满并履行完毕相关服务义务且结算完毕之后二十八（28）个日历天内保持有效。</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pPr>
        <w:numPr>
          <w:ilvl w:val="0"/>
          <w:numId w:val="0"/>
        </w:num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应自合同签订之日起至合同期限届满并履行完毕相关服务义务且结算完毕之后二十八（28）个日历天内保持有效。</w:t>
      </w:r>
    </w:p>
    <w:p>
      <w:pPr>
        <w:rPr>
          <w:rFonts w:hint="default"/>
          <w:color w:val="auto"/>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p>
    <w:p>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应自合同签订之日起至合同期限届满并履行完毕相关服务义务且结算完毕之后二十八（28）个日历天内保持有效。</w:t>
      </w: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513" w:name="_Toc30933"/>
      <w:bookmarkStart w:id="514" w:name="_Toc486167708"/>
      <w:bookmarkStart w:id="515" w:name="_Toc14958"/>
      <w:bookmarkStart w:id="516" w:name="_Toc450662895"/>
      <w:bookmarkStart w:id="517" w:name="_Toc15817"/>
      <w:bookmarkStart w:id="518" w:name="_Toc142508361"/>
      <w:bookmarkStart w:id="519" w:name="_Toc9840"/>
      <w:bookmarkStart w:id="520" w:name="_Toc32761_WPSOffice_Level1"/>
      <w:bookmarkStart w:id="521" w:name="_Toc4903"/>
      <w:r>
        <w:rPr>
          <w:rFonts w:hint="eastAsia" w:ascii="宋体" w:hAnsi="宋体" w:eastAsia="宋体" w:cs="宋体"/>
          <w:b/>
          <w:bCs/>
          <w:color w:val="auto"/>
          <w:kern w:val="44"/>
          <w:sz w:val="32"/>
          <w:szCs w:val="32"/>
          <w:highlight w:val="none"/>
          <w:lang w:val="zh-CN"/>
        </w:rPr>
        <w:t>第六篇 投标文件格式</w:t>
      </w:r>
      <w:bookmarkEnd w:id="513"/>
      <w:bookmarkEnd w:id="514"/>
      <w:bookmarkEnd w:id="515"/>
      <w:bookmarkEnd w:id="516"/>
      <w:bookmarkEnd w:id="517"/>
      <w:bookmarkEnd w:id="518"/>
      <w:bookmarkEnd w:id="519"/>
      <w:bookmarkEnd w:id="520"/>
      <w:bookmarkEnd w:id="521"/>
    </w:p>
    <w:p>
      <w:pPr>
        <w:rPr>
          <w:rFonts w:hint="eastAsia" w:ascii="宋体" w:hAnsi="宋体" w:eastAsia="宋体" w:cs="宋体"/>
          <w:color w:val="auto"/>
          <w:sz w:val="84"/>
          <w:highlight w:val="none"/>
        </w:rPr>
      </w:pPr>
      <w:bookmarkStart w:id="522" w:name="_Toc142508362"/>
      <w:bookmarkStart w:id="523" w:name="_Toc486167709"/>
      <w:bookmarkStart w:id="524" w:name="_Toc1977721"/>
      <w:bookmarkStart w:id="525" w:name="_Toc104991868"/>
      <w:bookmarkStart w:id="526" w:name="_Toc21133_WPSOffice_Level2"/>
      <w:bookmarkStart w:id="527" w:name="_Toc94107202"/>
      <w:bookmarkStart w:id="528" w:name="_Toc140596921"/>
      <w:bookmarkStart w:id="529" w:name="_Toc102860067"/>
      <w:bookmarkStart w:id="530" w:name="_Toc102860411"/>
      <w:bookmarkStart w:id="531" w:name="_Toc533708121"/>
      <w:r>
        <w:rPr>
          <w:rFonts w:hint="eastAsia" w:ascii="宋体" w:hAnsi="宋体" w:eastAsia="宋体" w:cs="宋体"/>
          <w:b/>
          <w:color w:val="auto"/>
          <w:kern w:val="0"/>
          <w:sz w:val="32"/>
          <w:szCs w:val="32"/>
          <w:highlight w:val="none"/>
        </w:rPr>
        <w:br w:type="page"/>
      </w:r>
    </w:p>
    <w:p>
      <w:pPr>
        <w:pStyle w:val="20"/>
        <w:spacing w:line="360" w:lineRule="auto"/>
        <w:jc w:val="center"/>
        <w:rPr>
          <w:rFonts w:hint="eastAsia" w:ascii="宋体" w:hAnsi="宋体" w:eastAsia="宋体" w:cs="宋体"/>
          <w:color w:val="auto"/>
          <w:sz w:val="84"/>
          <w:highlight w:val="none"/>
        </w:rPr>
      </w:pPr>
    </w:p>
    <w:p>
      <w:pPr>
        <w:pStyle w:val="20"/>
        <w:spacing w:line="360" w:lineRule="auto"/>
        <w:jc w:val="center"/>
        <w:rPr>
          <w:rFonts w:hint="eastAsia" w:ascii="宋体" w:hAnsi="宋体" w:eastAsia="宋体" w:cs="宋体"/>
          <w:color w:val="auto"/>
          <w:sz w:val="84"/>
          <w:highlight w:val="none"/>
        </w:rPr>
      </w:pPr>
    </w:p>
    <w:p>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0"/>
        <w:spacing w:line="360" w:lineRule="auto"/>
        <w:rPr>
          <w:rFonts w:hint="eastAsia" w:ascii="宋体" w:hAnsi="宋体" w:eastAsia="宋体" w:cs="宋体"/>
          <w:color w:val="auto"/>
          <w:highlight w:val="none"/>
        </w:rPr>
      </w:pPr>
    </w:p>
    <w:p>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2157"/>
        <w:gridCol w:w="40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215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059"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773"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5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59"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2773" w:type="dxa"/>
            <w:vAlign w:val="center"/>
          </w:tcPr>
          <w:p>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2157" w:type="dxa"/>
            <w:vAlign w:val="center"/>
          </w:tcPr>
          <w:p>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4059"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773" w:type="dxa"/>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215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59" w:type="dxa"/>
            <w:tcBorders>
              <w:left w:val="single" w:color="auto" w:sz="4" w:space="0"/>
            </w:tcBorders>
            <w:vAlign w:val="center"/>
          </w:tcPr>
          <w:p>
            <w:pPr>
              <w:keepNext w:val="0"/>
              <w:keepLines w:val="0"/>
              <w:suppressLineNumbers w:val="0"/>
              <w:spacing w:before="0" w:beforeAutospacing="0" w:after="0" w:afterAutospacing="0" w:line="360" w:lineRule="auto"/>
              <w:ind w:left="0" w:right="0"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2157" w:type="dxa"/>
            <w:tcBorders>
              <w:top w:val="single" w:color="auto" w:sz="6" w:space="0"/>
              <w:left w:val="single" w:color="auto" w:sz="6" w:space="0"/>
              <w:bottom w:val="outset" w:color="808080" w:sz="6" w:space="0"/>
              <w:right w:val="single" w:color="auto" w:sz="6"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59" w:type="dxa"/>
            <w:tcBorders>
              <w:top w:val="single" w:color="auto" w:sz="6" w:space="0"/>
              <w:left w:val="single" w:color="auto" w:sz="4" w:space="0"/>
              <w:bottom w:val="outset" w:color="808080" w:sz="6" w:space="0"/>
              <w:right w:val="single" w:color="auto" w:sz="6" w:space="0"/>
            </w:tcBorders>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2157" w:type="dxa"/>
            <w:tcBorders>
              <w:bottom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59" w:type="dxa"/>
            <w:tcBorders>
              <w:left w:val="single" w:color="auto" w:sz="4" w:space="0"/>
              <w:bottom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r>
    </w:tbl>
    <w:p>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32" w:name="_Toc27679"/>
      <w:bookmarkStart w:id="533" w:name="_Toc24723"/>
      <w:bookmarkStart w:id="534" w:name="_Toc23782"/>
      <w:bookmarkStart w:id="535" w:name="_Toc13281"/>
      <w:bookmarkStart w:id="536" w:name="_Toc28982"/>
      <w:bookmarkStart w:id="537" w:name="_Toc31327"/>
      <w:r>
        <w:rPr>
          <w:rFonts w:hint="eastAsia" w:ascii="宋体" w:hAnsi="宋体" w:eastAsia="宋体" w:cs="宋体"/>
          <w:b/>
          <w:color w:val="auto"/>
          <w:kern w:val="0"/>
          <w:sz w:val="32"/>
          <w:szCs w:val="32"/>
          <w:highlight w:val="none"/>
        </w:rPr>
        <w:t>一、投标函格式</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pPr>
        <w:autoSpaceDE w:val="0"/>
        <w:autoSpaceDN w:val="0"/>
        <w:adjustRightInd w:val="0"/>
        <w:spacing w:line="360" w:lineRule="auto"/>
        <w:jc w:val="center"/>
        <w:rPr>
          <w:rFonts w:ascii="宋体" w:hAnsi="宋体" w:eastAsia="宋体" w:cs="宋体"/>
          <w:b/>
          <w:bCs/>
          <w:color w:val="auto"/>
          <w:sz w:val="30"/>
          <w:szCs w:val="30"/>
          <w:highlight w:val="none"/>
        </w:rPr>
      </w:pPr>
      <w:bookmarkStart w:id="538" w:name="_Toc16695_WPSOffice_Level3"/>
      <w:r>
        <w:rPr>
          <w:rFonts w:hint="eastAsia" w:ascii="宋体" w:hAnsi="宋体" w:eastAsia="宋体" w:cs="宋体"/>
          <w:b/>
          <w:bCs/>
          <w:color w:val="auto"/>
          <w:sz w:val="30"/>
          <w:szCs w:val="30"/>
          <w:highlight w:val="none"/>
          <w:lang w:val="zh-CN"/>
        </w:rPr>
        <w:t>投 标 函</w:t>
      </w:r>
      <w:bookmarkEnd w:id="538"/>
    </w:p>
    <w:p>
      <w:pPr>
        <w:autoSpaceDE w:val="0"/>
        <w:autoSpaceDN w:val="0"/>
        <w:adjustRightInd w:val="0"/>
        <w:spacing w:line="360" w:lineRule="auto"/>
        <w:rPr>
          <w:rFonts w:ascii="宋体" w:hAnsi="宋体" w:eastAsia="宋体" w:cs="宋体"/>
          <w:color w:val="auto"/>
          <w:szCs w:val="21"/>
          <w:highlight w:val="none"/>
          <w:lang w:val="zh-CN"/>
        </w:rPr>
      </w:pPr>
    </w:p>
    <w:p>
      <w:pPr>
        <w:autoSpaceDE w:val="0"/>
        <w:autoSpaceDN w:val="0"/>
        <w:adjustRightInd w:val="0"/>
        <w:spacing w:line="360" w:lineRule="auto"/>
        <w:rPr>
          <w:rFonts w:hint="default" w:ascii="宋体" w:hAnsi="宋体" w:eastAsia="宋体" w:cs="宋体"/>
          <w:color w:val="auto"/>
          <w:szCs w:val="21"/>
          <w:highlight w:val="none"/>
          <w:lang w:eastAsia="zh-CN"/>
        </w:rPr>
      </w:pPr>
      <w:r>
        <w:rPr>
          <w:rFonts w:hint="eastAsia" w:ascii="宋体" w:hAnsi="宋体" w:eastAsia="宋体" w:cs="宋体"/>
          <w:color w:val="auto"/>
          <w:szCs w:val="21"/>
          <w:highlight w:val="none"/>
          <w:lang w:val="zh-CN"/>
        </w:rPr>
        <w:t>致：</w:t>
      </w:r>
      <w:r>
        <w:rPr>
          <w:rFonts w:hint="default" w:ascii="宋体" w:hAnsi="宋体" w:eastAsia="宋体" w:cs="宋体"/>
          <w:color w:val="auto"/>
          <w:kern w:val="0"/>
          <w:szCs w:val="21"/>
          <w:highlight w:val="none"/>
          <w:u w:val="single"/>
          <w:lang w:eastAsia="zh-CN"/>
        </w:rPr>
        <w:t>东莞市水务集团建设管理有限公司</w:t>
      </w:r>
    </w:p>
    <w:p>
      <w:pPr>
        <w:autoSpaceDE w:val="0"/>
        <w:autoSpaceDN w:val="0"/>
        <w:adjustRightInd w:val="0"/>
        <w:spacing w:line="360" w:lineRule="auto"/>
        <w:rPr>
          <w:rFonts w:ascii="宋体" w:hAnsi="宋体" w:eastAsia="宋体" w:cs="宋体"/>
          <w:color w:val="auto"/>
          <w:szCs w:val="21"/>
          <w:highlight w:val="none"/>
        </w:rPr>
      </w:pPr>
    </w:p>
    <w:p>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东莞市供水设施更新改造项目-松山湖新城路给水管网改造工程第三方监测服务采购项目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0832-SFCX24DG197C</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0832-SFCX24DG197C</w:t>
      </w:r>
      <w:r>
        <w:rPr>
          <w:rFonts w:hint="eastAsia" w:ascii="宋体" w:hAnsi="宋体" w:eastAsia="宋体" w:cs="宋体"/>
          <w:color w:val="auto"/>
          <w:szCs w:val="21"/>
          <w:highlight w:val="none"/>
          <w:lang w:val="zh-CN"/>
        </w:rPr>
        <w:t>的投标；</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539" w:name="_Toc1977722"/>
      <w:bookmarkStart w:id="540" w:name="_Toc102860412"/>
      <w:bookmarkStart w:id="541" w:name="_Toc102860068"/>
      <w:bookmarkStart w:id="542" w:name="_Toc104991869"/>
      <w:bookmarkStart w:id="543" w:name="_Toc25589"/>
      <w:bookmarkStart w:id="544" w:name="_Toc140596922"/>
      <w:bookmarkStart w:id="545" w:name="_Toc142508363"/>
      <w:bookmarkStart w:id="546" w:name="_Toc4711"/>
      <w:bookmarkStart w:id="547" w:name="_Toc10535"/>
      <w:bookmarkStart w:id="548" w:name="_Toc12417"/>
      <w:bookmarkStart w:id="549" w:name="_Toc94107203"/>
      <w:bookmarkStart w:id="550" w:name="_Toc30995"/>
      <w:bookmarkStart w:id="551" w:name="_Toc486167710"/>
      <w:bookmarkStart w:id="552" w:name="_Toc28613_WPSOffice_Level2"/>
      <w:bookmarkStart w:id="553" w:name="_Toc533708122"/>
      <w:bookmarkStart w:id="554" w:name="_Toc3104"/>
      <w:r>
        <w:rPr>
          <w:rFonts w:hint="eastAsia" w:ascii="宋体" w:hAnsi="宋体" w:eastAsia="宋体" w:cs="宋体"/>
          <w:b/>
          <w:color w:val="auto"/>
          <w:kern w:val="0"/>
          <w:sz w:val="32"/>
          <w:szCs w:val="32"/>
          <w:highlight w:val="none"/>
        </w:rPr>
        <w:t>二、投标承诺书格式</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widowControl/>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东莞市供水设施更新改造项目-松山湖新城路给水管网改造工程第三方监测服务采购项目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0832-SFCX24DG197C</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 w:val="24"/>
          <w:szCs w:val="24"/>
          <w:highlight w:val="none"/>
        </w:rPr>
      </w:pPr>
    </w:p>
    <w:p>
      <w:pPr>
        <w:autoSpaceDE w:val="0"/>
        <w:autoSpaceDN w:val="0"/>
        <w:adjustRightInd w:val="0"/>
        <w:spacing w:line="360" w:lineRule="auto"/>
        <w:jc w:val="left"/>
        <w:rPr>
          <w:rFonts w:ascii="宋体" w:hAnsi="宋体" w:eastAsia="宋体" w:cs="Times New Roman"/>
          <w:color w:val="auto"/>
          <w:kern w:val="0"/>
          <w:sz w:val="24"/>
          <w:szCs w:val="24"/>
          <w:highlight w:val="none"/>
        </w:rPr>
      </w:pPr>
    </w:p>
    <w:p>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pPr>
        <w:autoSpaceDE w:val="0"/>
        <w:autoSpaceDN w:val="0"/>
        <w:adjustRightInd w:val="0"/>
        <w:spacing w:line="360" w:lineRule="auto"/>
        <w:jc w:val="left"/>
        <w:rPr>
          <w:rFonts w:ascii="宋体" w:hAnsi="宋体" w:eastAsia="宋体" w:cs="宋体"/>
          <w:color w:val="auto"/>
          <w:kern w:val="0"/>
          <w:sz w:val="24"/>
          <w:szCs w:val="24"/>
          <w:highlight w:val="none"/>
        </w:rPr>
      </w:pPr>
    </w:p>
    <w:p>
      <w:pPr>
        <w:autoSpaceDE w:val="0"/>
        <w:autoSpaceDN w:val="0"/>
        <w:adjustRightInd w:val="0"/>
        <w:spacing w:line="360" w:lineRule="auto"/>
        <w:jc w:val="left"/>
        <w:rPr>
          <w:rFonts w:ascii="宋体" w:hAnsi="宋体" w:eastAsia="宋体" w:cs="宋体"/>
          <w:color w:val="auto"/>
          <w:kern w:val="0"/>
          <w:sz w:val="24"/>
          <w:szCs w:val="24"/>
          <w:highlight w:val="none"/>
        </w:rPr>
      </w:pPr>
      <w:bookmarkStart w:id="555" w:name="_Toc316896755"/>
      <w:bookmarkStart w:id="556" w:name="_Toc311032584"/>
      <w:bookmarkStart w:id="557" w:name="_Toc326768876"/>
    </w:p>
    <w:p>
      <w:pPr>
        <w:ind w:left="0" w:leftChars="0" w:firstLine="7684" w:firstLineChars="2400"/>
        <w:jc w:val="left"/>
        <w:rPr>
          <w:rFonts w:hint="eastAsia" w:ascii="宋体" w:hAnsi="宋体" w:cs="宋体"/>
          <w:b/>
          <w:bCs/>
          <w:color w:val="auto"/>
          <w:kern w:val="2"/>
          <w:sz w:val="32"/>
          <w:szCs w:val="32"/>
          <w:highlight w:val="none"/>
        </w:rPr>
      </w:pPr>
      <w:bookmarkStart w:id="558" w:name="_Toc140596923"/>
      <w:bookmarkStart w:id="559" w:name="_Toc5075"/>
      <w:bookmarkStart w:id="560" w:name="_Toc104991870"/>
      <w:bookmarkStart w:id="561" w:name="_Toc24336"/>
      <w:bookmarkStart w:id="562" w:name="_Toc102860069"/>
      <w:bookmarkStart w:id="563" w:name="_Toc29910"/>
      <w:bookmarkStart w:id="564" w:name="_Toc86764083"/>
      <w:bookmarkStart w:id="565" w:name="_Toc82182546"/>
      <w:bookmarkStart w:id="566" w:name="_Toc142508364"/>
      <w:bookmarkStart w:id="567" w:name="_Toc102860413"/>
      <w:bookmarkStart w:id="568" w:name="_Toc94107204"/>
      <w:bookmarkStart w:id="569" w:name="_Toc533708123"/>
      <w:bookmarkStart w:id="570" w:name="_Toc7024_WPSOffice_Level2"/>
      <w:bookmarkStart w:id="571" w:name="_Toc486167711"/>
      <w:bookmarkStart w:id="572" w:name="_Toc1977723"/>
      <w:r>
        <w:rPr>
          <w:rFonts w:hint="eastAsia" w:ascii="宋体" w:hAnsi="宋体" w:cs="宋体"/>
          <w:b/>
          <w:bCs/>
          <w:color w:val="auto"/>
          <w:kern w:val="2"/>
          <w:sz w:val="32"/>
          <w:szCs w:val="32"/>
          <w:highlight w:val="none"/>
        </w:rPr>
        <w:br w:type="page"/>
      </w:r>
    </w:p>
    <w:p>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573" w:name="_Toc19177"/>
      <w:bookmarkStart w:id="574" w:name="_Toc24483"/>
      <w:bookmarkStart w:id="575" w:name="_Toc5389"/>
      <w:r>
        <w:rPr>
          <w:rFonts w:hint="eastAsia" w:ascii="宋体" w:hAnsi="宋体" w:eastAsia="宋体" w:cs="宋体"/>
          <w:b/>
          <w:color w:val="auto"/>
          <w:kern w:val="44"/>
          <w:sz w:val="32"/>
          <w:szCs w:val="32"/>
          <w:highlight w:val="none"/>
          <w:lang w:eastAsia="zh-CN"/>
        </w:rPr>
        <w:t>三</w:t>
      </w:r>
      <w:r>
        <w:rPr>
          <w:rFonts w:hint="eastAsia" w:ascii="宋体" w:hAnsi="宋体" w:eastAsia="宋体" w:cs="宋体"/>
          <w:b/>
          <w:color w:val="auto"/>
          <w:kern w:val="44"/>
          <w:sz w:val="32"/>
          <w:szCs w:val="32"/>
          <w:highlight w:val="none"/>
        </w:rPr>
        <w:t>、供货及/或提供服务过程承诺函格式</w:t>
      </w:r>
      <w:bookmarkEnd w:id="558"/>
      <w:bookmarkEnd w:id="559"/>
      <w:bookmarkEnd w:id="560"/>
      <w:bookmarkEnd w:id="561"/>
      <w:bookmarkEnd w:id="562"/>
      <w:bookmarkEnd w:id="563"/>
      <w:bookmarkEnd w:id="564"/>
      <w:bookmarkEnd w:id="565"/>
      <w:bookmarkEnd w:id="566"/>
      <w:bookmarkEnd w:id="567"/>
      <w:bookmarkEnd w:id="568"/>
      <w:bookmarkEnd w:id="573"/>
      <w:bookmarkEnd w:id="574"/>
      <w:bookmarkEnd w:id="575"/>
    </w:p>
    <w:p>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default" w:ascii="宋体" w:hAnsi="宋体" w:eastAsia="宋体" w:cs="宋体"/>
          <w:color w:val="auto"/>
          <w:kern w:val="0"/>
          <w:szCs w:val="21"/>
          <w:highlight w:val="none"/>
        </w:rPr>
        <w:t>东莞市水务集团建设管理有限公司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东莞市供水设施更新改造项目-松山湖新城路给水管网改造工程第三方监测服务采购项目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0832-SFCX24DG197C</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13、我方承诺接受招标人的检查与监督，并主动配合，做好安全工作，凡有违反上述条款的即视为我方违约，招标人有权从货物/服务价款中扣除</w:t>
      </w:r>
      <w:r>
        <w:rPr>
          <w:rFonts w:hint="eastAsia" w:ascii="宋体" w:hAnsi="宋体" w:eastAsia="宋体" w:cs="宋体"/>
          <w:color w:val="auto"/>
          <w:kern w:val="0"/>
          <w:szCs w:val="21"/>
          <w:highlight w:val="none"/>
          <w:lang w:val="en-US" w:eastAsia="zh-CN"/>
        </w:rPr>
        <w:t>2000</w:t>
      </w:r>
      <w:r>
        <w:rPr>
          <w:rFonts w:hint="eastAsia" w:ascii="宋体" w:hAnsi="宋体" w:eastAsia="宋体" w:cs="宋体"/>
          <w:color w:val="auto"/>
          <w:kern w:val="0"/>
          <w:szCs w:val="21"/>
          <w:highlight w:val="none"/>
        </w:rPr>
        <w:t>元/次作为违约金。</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pPr>
        <w:spacing w:beforeLines="0" w:afterLines="0" w:line="360" w:lineRule="auto"/>
        <w:ind w:firstLine="6239" w:firstLineChars="2971"/>
        <w:rPr>
          <w:rFonts w:ascii="宋体" w:hAnsi="宋体" w:eastAsia="宋体" w:cs="宋体"/>
          <w:color w:val="auto"/>
          <w:sz w:val="21"/>
          <w:szCs w:val="21"/>
          <w:highlight w:val="none"/>
          <w:lang w:val="zh-CN"/>
        </w:rPr>
      </w:pPr>
      <w:bookmarkStart w:id="576" w:name="_Toc94107205"/>
      <w:bookmarkStart w:id="577" w:name="_Toc82182547"/>
      <w:bookmarkStart w:id="578" w:name="_Toc140596924"/>
      <w:bookmarkStart w:id="579" w:name="_Toc86764084"/>
      <w:bookmarkStart w:id="580" w:name="_Toc102860070"/>
      <w:bookmarkStart w:id="581" w:name="_Toc104991871"/>
      <w:bookmarkStart w:id="582" w:name="_Toc102860414"/>
      <w:bookmarkStart w:id="583" w:name="_Toc140596925"/>
      <w:bookmarkStart w:id="584" w:name="_Toc29274"/>
      <w:bookmarkStart w:id="585" w:name="_Toc18346"/>
      <w:bookmarkStart w:id="586" w:name="_Toc94107206"/>
      <w:bookmarkStart w:id="587" w:name="_Toc8847"/>
      <w:bookmarkStart w:id="588" w:name="_Toc17090"/>
      <w:bookmarkStart w:id="589" w:name="_Toc102860071"/>
      <w:bookmarkStart w:id="590" w:name="_Toc142508366"/>
      <w:bookmarkStart w:id="591" w:name="_Toc104991872"/>
      <w:bookmarkStart w:id="592" w:name="_Toc1140"/>
      <w:bookmarkStart w:id="593" w:name="_Toc13416"/>
      <w:bookmarkStart w:id="594" w:name="_Toc102860415"/>
      <w:r>
        <w:rPr>
          <w:rFonts w:hint="eastAsia" w:ascii="宋体" w:hAnsi="宋体" w:eastAsia="宋体" w:cs="宋体"/>
          <w:color w:val="auto"/>
          <w:sz w:val="21"/>
          <w:szCs w:val="21"/>
          <w:highlight w:val="none"/>
          <w:lang w:val="zh-CN"/>
        </w:rPr>
        <w:t>或盖私章）：</w:t>
      </w:r>
    </w:p>
    <w:p>
      <w:pPr>
        <w:spacing w:beforeLines="0" w:afterLines="0" w:line="360" w:lineRule="auto"/>
        <w:ind w:right="0" w:firstLine="6239" w:firstLineChars="2971"/>
        <w:rPr>
          <w:rFonts w:hint="eastAsia" w:hAnsi="宋体" w:cs="宋体"/>
          <w:b/>
          <w:color w:val="auto"/>
          <w:sz w:val="21"/>
          <w:szCs w:val="21"/>
          <w:highlight w:val="none"/>
        </w:rPr>
      </w:pPr>
      <w:r>
        <w:rPr>
          <w:rFonts w:hint="eastAsia" w:ascii="宋体" w:hAnsi="宋体" w:eastAsia="宋体" w:cs="宋体"/>
          <w:color w:val="auto"/>
          <w:sz w:val="21"/>
          <w:szCs w:val="21"/>
          <w:highlight w:val="none"/>
          <w:lang w:val="zh-CN"/>
        </w:rPr>
        <w:t>日期：   年   月   日</w:t>
      </w:r>
      <w:bookmarkEnd w:id="576"/>
      <w:bookmarkEnd w:id="577"/>
      <w:bookmarkEnd w:id="578"/>
      <w:bookmarkEnd w:id="579"/>
      <w:bookmarkEnd w:id="580"/>
      <w:bookmarkEnd w:id="581"/>
      <w:bookmarkEnd w:id="582"/>
    </w:p>
    <w:p>
      <w:pPr>
        <w:pageBreakBefore w:val="0"/>
        <w:autoSpaceDE/>
        <w:autoSpaceDN/>
        <w:adjustRightInd/>
        <w:spacing w:line="240" w:lineRule="auto"/>
        <w:jc w:val="left"/>
        <w:outlineLvl w:val="9"/>
        <w:rPr>
          <w:rFonts w:hint="default" w:asciiTheme="minorHAnsi" w:hAnsiTheme="minorHAnsi" w:eastAsiaTheme="minorEastAsia" w:cstheme="minorBidi"/>
          <w:b w:val="0"/>
          <w:color w:val="auto"/>
          <w:kern w:val="2"/>
          <w:sz w:val="21"/>
          <w:szCs w:val="22"/>
          <w:highlight w:val="none"/>
          <w:lang w:val="en-US" w:eastAsia="zh-CN"/>
        </w:rPr>
      </w:pPr>
    </w:p>
    <w:p>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bookmarkEnd w:id="569"/>
      <w:bookmarkEnd w:id="570"/>
      <w:bookmarkEnd w:id="571"/>
      <w:bookmarkEnd w:id="572"/>
      <w:bookmarkEnd w:id="583"/>
      <w:bookmarkEnd w:id="584"/>
      <w:bookmarkEnd w:id="585"/>
      <w:bookmarkEnd w:id="586"/>
      <w:bookmarkEnd w:id="587"/>
      <w:bookmarkEnd w:id="588"/>
      <w:bookmarkEnd w:id="589"/>
      <w:bookmarkEnd w:id="590"/>
      <w:bookmarkEnd w:id="591"/>
      <w:bookmarkEnd w:id="592"/>
      <w:bookmarkEnd w:id="593"/>
      <w:bookmarkEnd w:id="594"/>
    </w:p>
    <w:p>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东莞市供水设施更新改造项目-松山湖新城路给水管网改造工程第三方监测服务采购项目</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0832-SFCX24DG197C</w:t>
      </w:r>
    </w:p>
    <w:tbl>
      <w:tblPr>
        <w:tblStyle w:val="3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6"/>
        <w:gridCol w:w="4729"/>
        <w:gridCol w:w="3273"/>
        <w:gridCol w:w="13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0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47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32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监测服务系数</w:t>
            </w:r>
          </w:p>
        </w:tc>
        <w:tc>
          <w:tcPr>
            <w:tcW w:w="13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1036" w:type="dxa"/>
            <w:tcBorders>
              <w:top w:val="single" w:color="auto" w:sz="4" w:space="0"/>
              <w:left w:val="single" w:color="auto" w:sz="4" w:space="0"/>
              <w:right w:val="single" w:color="auto" w:sz="4" w:space="0"/>
            </w:tcBorders>
            <w:vAlign w:val="center"/>
          </w:tcPr>
          <w:p>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4729" w:type="dxa"/>
            <w:tcBorders>
              <w:top w:val="single" w:color="auto" w:sz="4" w:space="0"/>
              <w:left w:val="single" w:color="auto" w:sz="4" w:space="0"/>
              <w:right w:val="single" w:color="auto" w:sz="4" w:space="0"/>
            </w:tcBorders>
            <w:vAlign w:val="center"/>
          </w:tcPr>
          <w:p>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东莞市供水设施更新改造项目-松山湖新城路给水管网改造工程第三方监测服务采购项目</w:t>
            </w:r>
          </w:p>
        </w:tc>
        <w:tc>
          <w:tcPr>
            <w:tcW w:w="3273" w:type="dxa"/>
            <w:tcBorders>
              <w:top w:val="single" w:color="auto" w:sz="4" w:space="0"/>
              <w:left w:val="single" w:color="auto" w:sz="4" w:space="0"/>
              <w:right w:val="single" w:color="auto" w:sz="4" w:space="0"/>
            </w:tcBorders>
            <w:vAlign w:val="center"/>
          </w:tcPr>
          <w:p>
            <w:pPr>
              <w:keepNext w:val="0"/>
              <w:keepLines w:val="0"/>
              <w:suppressLineNumbers w:val="0"/>
              <w:tabs>
                <w:tab w:val="left" w:pos="8610"/>
              </w:tabs>
              <w:spacing w:before="0" w:beforeAutospacing="0" w:after="0" w:afterAutospacing="0" w:line="360" w:lineRule="auto"/>
              <w:ind w:left="0" w:right="0"/>
              <w:rPr>
                <w:rFonts w:hint="default" w:ascii="宋体" w:hAnsi="宋体" w:eastAsia="宋体" w:cs="Times New Roman"/>
                <w:color w:val="auto"/>
                <w:kern w:val="0"/>
                <w:szCs w:val="21"/>
                <w:highlight w:val="none"/>
              </w:rPr>
            </w:pPr>
          </w:p>
          <w:p>
            <w:pPr>
              <w:keepNext w:val="0"/>
              <w:keepLines w:val="0"/>
              <w:suppressLineNumbers w:val="0"/>
              <w:tabs>
                <w:tab w:val="left" w:pos="8610"/>
              </w:tabs>
              <w:spacing w:before="0" w:beforeAutospacing="0" w:after="0" w:afterAutospacing="0" w:line="360" w:lineRule="auto"/>
              <w:ind w:left="0" w:right="0"/>
              <w:rPr>
                <w:rFonts w:hint="default" w:ascii="宋体" w:hAnsi="宋体" w:eastAsia="宋体" w:cs="Times New Roman"/>
                <w:color w:val="auto"/>
                <w:kern w:val="0"/>
                <w:szCs w:val="21"/>
                <w:highlight w:val="none"/>
              </w:rPr>
            </w:pPr>
          </w:p>
          <w:p>
            <w:pPr>
              <w:keepNext w:val="0"/>
              <w:keepLines w:val="0"/>
              <w:suppressLineNumbers w:val="0"/>
              <w:tabs>
                <w:tab w:val="left" w:pos="8610"/>
              </w:tabs>
              <w:spacing w:before="0" w:beforeAutospacing="0" w:after="0" w:afterAutospacing="0" w:line="360" w:lineRule="auto"/>
              <w:ind w:left="0" w:right="0"/>
              <w:rPr>
                <w:rFonts w:hint="default" w:ascii="宋体" w:hAnsi="宋体" w:eastAsia="宋体" w:cs="Times New Roman"/>
                <w:color w:val="auto"/>
                <w:kern w:val="0"/>
                <w:szCs w:val="21"/>
                <w:highlight w:val="none"/>
                <w:u w:val="single"/>
                <w:lang w:val="en-US" w:eastAsia="zh-CN"/>
              </w:rPr>
            </w:pPr>
            <w:r>
              <w:rPr>
                <w:rFonts w:hint="eastAsia" w:ascii="宋体" w:hAnsi="宋体" w:eastAsia="宋体" w:cs="Times New Roman"/>
                <w:color w:val="auto"/>
                <w:kern w:val="0"/>
                <w:szCs w:val="21"/>
                <w:highlight w:val="none"/>
                <w:u w:val="single"/>
                <w:lang w:val="en-US" w:eastAsia="zh-CN"/>
              </w:rPr>
              <w:t xml:space="preserve">                     </w:t>
            </w:r>
          </w:p>
          <w:p>
            <w:pPr>
              <w:keepNext w:val="0"/>
              <w:keepLines w:val="0"/>
              <w:suppressLineNumbers w:val="0"/>
              <w:tabs>
                <w:tab w:val="left" w:pos="8610"/>
              </w:tabs>
              <w:spacing w:before="0" w:beforeAutospacing="0" w:after="0" w:afterAutospacing="0" w:line="360" w:lineRule="auto"/>
              <w:ind w:left="0" w:right="0"/>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[监测服务系数报价不得超过0.80，且不能为0.00或负数]</w:t>
            </w:r>
          </w:p>
        </w:tc>
        <w:tc>
          <w:tcPr>
            <w:tcW w:w="1332" w:type="dxa"/>
            <w:tcBorders>
              <w:top w:val="single" w:color="auto" w:sz="4" w:space="0"/>
              <w:left w:val="single" w:color="auto" w:sz="4" w:space="0"/>
              <w:right w:val="single" w:color="auto" w:sz="4" w:space="0"/>
            </w:tcBorders>
            <w:vAlign w:val="center"/>
          </w:tcPr>
          <w:p>
            <w:pPr>
              <w:keepNext w:val="0"/>
              <w:keepLines w:val="0"/>
              <w:suppressLineNumbers w:val="0"/>
              <w:tabs>
                <w:tab w:val="left" w:pos="8610"/>
              </w:tabs>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pPr>
        <w:rPr>
          <w:rFonts w:ascii="宋体" w:hAnsi="宋体" w:eastAsia="宋体" w:cs="宋体"/>
          <w:color w:val="auto"/>
          <w:kern w:val="0"/>
          <w:sz w:val="20"/>
          <w:szCs w:val="21"/>
          <w:highlight w:val="none"/>
        </w:rPr>
      </w:pPr>
    </w:p>
    <w:p>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zh-CN"/>
        </w:rPr>
        <w:t>本项目的投标报价采用</w:t>
      </w:r>
      <w:r>
        <w:rPr>
          <w:rFonts w:hint="eastAsia" w:ascii="宋体" w:hAnsi="宋体" w:eastAsia="宋体" w:cs="Times New Roman"/>
          <w:color w:val="auto"/>
          <w:kern w:val="0"/>
          <w:szCs w:val="21"/>
          <w:highlight w:val="none"/>
        </w:rPr>
        <w:t>服务</w:t>
      </w:r>
      <w:r>
        <w:rPr>
          <w:rFonts w:hint="eastAsia" w:ascii="宋体" w:hAnsi="宋体" w:eastAsia="宋体" w:cs="Times New Roman"/>
          <w:color w:val="auto"/>
          <w:kern w:val="0"/>
          <w:szCs w:val="21"/>
          <w:highlight w:val="none"/>
          <w:lang w:val="zh-CN"/>
        </w:rPr>
        <w:t>系</w:t>
      </w:r>
      <w:r>
        <w:rPr>
          <w:rFonts w:hint="eastAsia" w:ascii="宋体" w:hAnsi="宋体" w:eastAsia="宋体" w:cs="Times New Roman"/>
          <w:color w:val="auto"/>
          <w:kern w:val="0"/>
          <w:szCs w:val="21"/>
          <w:highlight w:val="none"/>
        </w:rPr>
        <w:t>数</w:t>
      </w:r>
      <w:r>
        <w:rPr>
          <w:rFonts w:hint="eastAsia" w:ascii="宋体" w:hAnsi="宋体" w:eastAsia="宋体" w:cs="Times New Roman"/>
          <w:color w:val="auto"/>
          <w:kern w:val="0"/>
          <w:szCs w:val="21"/>
          <w:highlight w:val="none"/>
          <w:lang w:val="zh-CN"/>
        </w:rPr>
        <w:t>报价，投标人须报出监测</w:t>
      </w:r>
      <w:r>
        <w:rPr>
          <w:rFonts w:hint="eastAsia" w:ascii="宋体" w:hAnsi="宋体" w:eastAsia="宋体" w:cs="Times New Roman"/>
          <w:color w:val="auto"/>
          <w:kern w:val="0"/>
          <w:szCs w:val="21"/>
          <w:highlight w:val="none"/>
        </w:rPr>
        <w:t>服务</w:t>
      </w:r>
      <w:r>
        <w:rPr>
          <w:rFonts w:hint="eastAsia" w:ascii="宋体" w:hAnsi="宋体" w:eastAsia="宋体" w:cs="Times New Roman"/>
          <w:color w:val="auto"/>
          <w:kern w:val="0"/>
          <w:szCs w:val="21"/>
          <w:highlight w:val="none"/>
          <w:lang w:val="zh-CN"/>
        </w:rPr>
        <w:t>系数。合同服务期内，监测服务系数的不含税综合单价按以下方式计算：不含税综合单价=不含税综合单价×中标服务系数，以实际发生的工程量进行结算，但最终结算价不得超出暂定总合同价款（含税）。不含税综合单价出现小数点，保留小数点后2位，从小数点后第3位四舍五入。</w:t>
      </w:r>
      <w:r>
        <w:rPr>
          <w:rFonts w:hint="eastAsia" w:ascii="宋体" w:hAnsi="宋体" w:eastAsia="宋体" w:cs="Times New Roman"/>
          <w:color w:val="auto"/>
          <w:kern w:val="0"/>
          <w:szCs w:val="21"/>
          <w:highlight w:val="none"/>
        </w:rPr>
        <w:t>本招标文件所称的不含税</w:t>
      </w:r>
      <w:r>
        <w:rPr>
          <w:rFonts w:hint="eastAsia" w:ascii="宋体" w:hAnsi="宋体" w:eastAsia="宋体" w:cs="Times New Roman"/>
          <w:color w:val="auto"/>
          <w:kern w:val="0"/>
          <w:szCs w:val="21"/>
          <w:highlight w:val="none"/>
          <w:lang w:val="en-US" w:eastAsia="zh-CN"/>
        </w:rPr>
        <w:t>综合单</w:t>
      </w:r>
      <w:r>
        <w:rPr>
          <w:rFonts w:hint="eastAsia" w:ascii="宋体" w:hAnsi="宋体" w:eastAsia="宋体" w:cs="Times New Roman"/>
          <w:color w:val="auto"/>
          <w:kern w:val="0"/>
          <w:szCs w:val="21"/>
          <w:highlight w:val="none"/>
        </w:rPr>
        <w:t>价是指不含本采购项目的投标人销项税额，包含了投标人完成合同义务（含投标人代缴代扣、分包及委外服务、施工、采购货物等所产生的价税）的其他全部费用。</w:t>
      </w:r>
      <w:r>
        <w:rPr>
          <w:rFonts w:hint="eastAsia" w:ascii="宋体" w:hAnsi="宋体" w:eastAsia="宋体" w:cs="Times New Roman"/>
          <w:color w:val="auto"/>
          <w:szCs w:val="21"/>
          <w:highlight w:val="none"/>
          <w:lang w:val="zh-CN"/>
        </w:rPr>
        <w:t>本采购项目的销项税额由项目业主</w:t>
      </w:r>
      <w:r>
        <w:rPr>
          <w:rFonts w:hint="eastAsia" w:ascii="宋体" w:hAnsi="宋体" w:eastAsia="宋体" w:cs="Times New Roman"/>
          <w:color w:val="auto"/>
          <w:szCs w:val="21"/>
          <w:highlight w:val="none"/>
          <w:lang w:val="en-US" w:eastAsia="zh-CN"/>
        </w:rPr>
        <w:t>或招标人</w:t>
      </w:r>
      <w:r>
        <w:rPr>
          <w:rFonts w:hint="eastAsia" w:ascii="宋体" w:hAnsi="宋体" w:eastAsia="宋体" w:cs="Times New Roman"/>
          <w:color w:val="auto"/>
          <w:szCs w:val="21"/>
          <w:highlight w:val="none"/>
          <w:lang w:val="zh-CN"/>
        </w:rPr>
        <w:t>承担</w:t>
      </w:r>
      <w:r>
        <w:rPr>
          <w:rFonts w:hint="eastAsia" w:ascii="宋体" w:hAnsi="宋体" w:eastAsia="宋体" w:cs="Times New Roman"/>
          <w:color w:val="auto"/>
          <w:kern w:val="0"/>
          <w:szCs w:val="21"/>
          <w:highlight w:val="none"/>
        </w:rPr>
        <w:t>，不计入投标报价。</w:t>
      </w:r>
    </w:p>
    <w:p>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）投标人的监测服务系数报价不得超过</w:t>
      </w:r>
      <w:r>
        <w:rPr>
          <w:rFonts w:hint="eastAsia" w:ascii="宋体" w:hAnsi="宋体" w:eastAsia="宋体" w:cs="Times New Roman"/>
          <w:b/>
          <w:bCs/>
          <w:color w:val="auto"/>
          <w:kern w:val="0"/>
          <w:szCs w:val="21"/>
          <w:highlight w:val="none"/>
          <w:lang w:val="en-US" w:eastAsia="zh-CN"/>
        </w:rPr>
        <w:t>0</w:t>
      </w:r>
      <w:r>
        <w:rPr>
          <w:rFonts w:hint="eastAsia" w:ascii="宋体" w:hAnsi="宋体" w:eastAsia="宋体" w:cs="Times New Roman"/>
          <w:b/>
          <w:bCs/>
          <w:color w:val="auto"/>
          <w:kern w:val="0"/>
          <w:szCs w:val="21"/>
          <w:highlight w:val="none"/>
        </w:rPr>
        <w:t>.</w:t>
      </w:r>
      <w:r>
        <w:rPr>
          <w:rFonts w:hint="eastAsia" w:ascii="宋体" w:hAnsi="宋体" w:eastAsia="宋体" w:cs="Times New Roman"/>
          <w:b/>
          <w:bCs/>
          <w:color w:val="auto"/>
          <w:kern w:val="0"/>
          <w:szCs w:val="21"/>
          <w:highlight w:val="none"/>
          <w:lang w:val="en-US" w:eastAsia="zh-CN"/>
        </w:rPr>
        <w:t>8</w:t>
      </w:r>
      <w:r>
        <w:rPr>
          <w:rFonts w:hint="eastAsia" w:ascii="宋体" w:hAnsi="宋体" w:eastAsia="宋体" w:cs="Times New Roman"/>
          <w:b/>
          <w:bCs/>
          <w:color w:val="auto"/>
          <w:kern w:val="0"/>
          <w:szCs w:val="21"/>
          <w:highlight w:val="none"/>
        </w:rPr>
        <w:t>0，且不能为0.00或负数，投标人未按招标文件要求进行监测服务系数报价的，该投标人的投标文件将被视为无效投标。监测服务系数报价需保留小数点后两位，否则评标委员会按去“尾”或补“零”的方式进行修正为保留小数点后两位，投标人须接受被修正后的报价（例：如监测服务系数为0.789，则被修正为0.78；如监测服务系数为0.7，则被修正为0.70）。</w:t>
      </w:r>
    </w:p>
    <w:p>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595" w:name="_Toc104991875"/>
      <w:bookmarkStart w:id="596" w:name="_Toc22473"/>
      <w:bookmarkStart w:id="597" w:name="_Toc94107209"/>
      <w:bookmarkStart w:id="598" w:name="_Toc19156"/>
      <w:bookmarkStart w:id="599" w:name="_Toc102860074"/>
      <w:bookmarkStart w:id="600" w:name="_Toc140596928"/>
      <w:bookmarkStart w:id="601" w:name="_Toc23083"/>
      <w:bookmarkStart w:id="602" w:name="_Toc1977725"/>
      <w:bookmarkStart w:id="603" w:name="_Toc26516"/>
      <w:bookmarkStart w:id="604" w:name="_Toc102860418"/>
      <w:bookmarkStart w:id="605" w:name="_Toc142508369"/>
      <w:bookmarkStart w:id="606" w:name="_Toc14820"/>
      <w:bookmarkStart w:id="607" w:name="_Toc6190"/>
      <w:bookmarkStart w:id="608" w:name="_Toc533708124"/>
      <w:bookmarkStart w:id="609" w:name="_Toc20759_WPSOffice_Level2"/>
      <w:bookmarkStart w:id="610" w:name="_Toc48616771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595"/>
      <w:bookmarkEnd w:id="596"/>
      <w:bookmarkEnd w:id="597"/>
      <w:bookmarkEnd w:id="598"/>
      <w:bookmarkEnd w:id="599"/>
      <w:bookmarkEnd w:id="600"/>
      <w:bookmarkEnd w:id="601"/>
      <w:bookmarkEnd w:id="602"/>
      <w:bookmarkEnd w:id="603"/>
      <w:bookmarkEnd w:id="604"/>
      <w:bookmarkEnd w:id="605"/>
      <w:bookmarkEnd w:id="606"/>
      <w:bookmarkEnd w:id="607"/>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11" w:name="_Toc29874"/>
      <w:bookmarkStart w:id="612" w:name="_Toc1160"/>
      <w:bookmarkStart w:id="613" w:name="_Toc17358"/>
      <w:bookmarkStart w:id="614" w:name="_Toc102860075"/>
      <w:bookmarkStart w:id="615" w:name="_Toc140596929"/>
      <w:bookmarkStart w:id="616" w:name="_Toc7990"/>
      <w:bookmarkStart w:id="617" w:name="_Toc104991876"/>
      <w:bookmarkStart w:id="618" w:name="_Toc6761"/>
      <w:bookmarkStart w:id="619" w:name="_Toc142508370"/>
      <w:bookmarkStart w:id="620" w:name="_Toc25267"/>
      <w:bookmarkStart w:id="621" w:name="_Toc94107210"/>
      <w:bookmarkStart w:id="622" w:name="_Toc102860419"/>
      <w:bookmarkStart w:id="623"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611"/>
      <w:bookmarkEnd w:id="612"/>
      <w:bookmarkEnd w:id="613"/>
      <w:bookmarkEnd w:id="614"/>
      <w:bookmarkEnd w:id="615"/>
      <w:bookmarkEnd w:id="616"/>
      <w:bookmarkEnd w:id="617"/>
      <w:bookmarkEnd w:id="618"/>
      <w:bookmarkEnd w:id="619"/>
      <w:bookmarkEnd w:id="620"/>
      <w:bookmarkEnd w:id="621"/>
      <w:bookmarkEnd w:id="622"/>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24" w:name="_Toc4875"/>
      <w:bookmarkStart w:id="625" w:name="_Toc27861"/>
      <w:bookmarkStart w:id="626" w:name="_Toc102860076"/>
      <w:bookmarkStart w:id="627" w:name="_Toc22067"/>
      <w:bookmarkStart w:id="628" w:name="_Toc7756"/>
      <w:bookmarkStart w:id="629" w:name="_Toc94107211"/>
      <w:bookmarkStart w:id="630" w:name="_Toc142508371"/>
      <w:bookmarkStart w:id="631" w:name="_Toc25013"/>
      <w:bookmarkStart w:id="632" w:name="_Toc104991877"/>
      <w:bookmarkStart w:id="633" w:name="_Toc140596930"/>
      <w:bookmarkStart w:id="634" w:name="_Toc102860420"/>
      <w:bookmarkStart w:id="635" w:name="_Toc6545"/>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624"/>
      <w:bookmarkEnd w:id="625"/>
      <w:bookmarkEnd w:id="626"/>
      <w:bookmarkEnd w:id="627"/>
      <w:bookmarkEnd w:id="628"/>
      <w:bookmarkEnd w:id="629"/>
      <w:bookmarkEnd w:id="630"/>
      <w:bookmarkEnd w:id="631"/>
      <w:bookmarkEnd w:id="632"/>
      <w:bookmarkEnd w:id="633"/>
      <w:bookmarkEnd w:id="634"/>
      <w:bookmarkEnd w:id="635"/>
    </w:p>
    <w:p>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bookmarkStart w:id="636" w:name="_Toc7441"/>
      <w:bookmarkStart w:id="637" w:name="_Toc102860077"/>
      <w:bookmarkStart w:id="638" w:name="_Toc142508372"/>
      <w:bookmarkStart w:id="639" w:name="_Toc104991878"/>
      <w:bookmarkStart w:id="640" w:name="_Toc9132"/>
      <w:bookmarkStart w:id="641" w:name="_Toc140596931"/>
      <w:bookmarkStart w:id="642" w:name="_Toc102860421"/>
      <w:bookmarkStart w:id="643" w:name="_Toc94107212"/>
      <w:bookmarkStart w:id="644" w:name="_Toc17499"/>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645" w:name="_Toc25068"/>
      <w:r>
        <w:rPr>
          <w:rFonts w:hint="eastAsia" w:ascii="宋体" w:hAnsi="宋体" w:eastAsia="宋体" w:cs="宋体"/>
          <w:b/>
          <w:color w:val="auto"/>
          <w:kern w:val="0"/>
          <w:sz w:val="30"/>
          <w:szCs w:val="30"/>
          <w:highlight w:val="none"/>
          <w:lang w:val="en-US" w:eastAsia="zh-CN"/>
        </w:rPr>
        <w:t xml:space="preserve">5.3 </w:t>
      </w:r>
      <w:bookmarkEnd w:id="645"/>
      <w:r>
        <w:rPr>
          <w:rFonts w:hint="eastAsia" w:ascii="宋体" w:hAnsi="宋体" w:eastAsia="宋体" w:cs="宋体"/>
          <w:b/>
          <w:color w:val="auto"/>
          <w:kern w:val="0"/>
          <w:sz w:val="30"/>
          <w:szCs w:val="30"/>
          <w:highlight w:val="none"/>
          <w:lang w:val="en-US" w:eastAsia="zh-CN"/>
        </w:rPr>
        <w:t>具备建设行政主管部门核发有效的工程勘察综合类甲级资质，或同时具备有效的工程勘察专业类岩土工程乙级（或以上）和工程测量乙级（或以上）资质，或同时具备有效的工程勘察专业类岩土工程物探测试乙级（或以上）和工程测量乙级（或以上）资质，如资质证书已过有效期，但依据资质证书主管部门相关通知/发文属于资质有效期延期的情况，提供相关通知/发文截图复印件以及官方网站网址链接/全国建筑市场监管公共服务平台（jzsc.mohurd.gov.cn）企业资质证书信息截图</w:t>
      </w:r>
    </w:p>
    <w:p>
      <w:pPr>
        <w:rPr>
          <w:rFonts w:ascii="宋体" w:hAnsi="宋体" w:eastAsia="宋体" w:cs="宋体"/>
          <w:b/>
          <w:color w:val="auto"/>
          <w:kern w:val="0"/>
          <w:sz w:val="30"/>
          <w:szCs w:val="30"/>
          <w:highlight w:val="none"/>
        </w:rPr>
      </w:pPr>
    </w:p>
    <w:p>
      <w:pPr>
        <w:rPr>
          <w:rFonts w:ascii="宋体" w:hAnsi="宋体" w:eastAsia="宋体" w:cs="宋体"/>
          <w:b/>
          <w:color w:val="auto"/>
          <w:kern w:val="0"/>
          <w:sz w:val="30"/>
          <w:szCs w:val="30"/>
          <w:highlight w:val="none"/>
        </w:rPr>
      </w:pPr>
    </w:p>
    <w:p>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bookmarkStart w:id="646" w:name="_Toc22211"/>
      <w:bookmarkStart w:id="647" w:name="_Toc15779"/>
      <w:bookmarkStart w:id="648" w:name="_Toc20778"/>
      <w:r>
        <w:rPr>
          <w:rFonts w:hint="eastAsia" w:ascii="宋体" w:hAnsi="宋体" w:eastAsia="宋体" w:cs="宋体"/>
          <w:b/>
          <w:color w:val="auto"/>
          <w:kern w:val="0"/>
          <w:sz w:val="30"/>
          <w:szCs w:val="30"/>
          <w:highlight w:val="none"/>
          <w:lang w:val="en-US" w:eastAsia="zh-CN"/>
        </w:rPr>
        <w:t>5.4</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636"/>
      <w:bookmarkEnd w:id="637"/>
      <w:bookmarkEnd w:id="638"/>
      <w:bookmarkEnd w:id="639"/>
      <w:bookmarkEnd w:id="640"/>
      <w:bookmarkEnd w:id="641"/>
      <w:bookmarkEnd w:id="642"/>
      <w:bookmarkEnd w:id="643"/>
      <w:bookmarkEnd w:id="644"/>
      <w:bookmarkEnd w:id="646"/>
      <w:bookmarkEnd w:id="647"/>
      <w:bookmarkEnd w:id="648"/>
    </w:p>
    <w:p>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608"/>
      <w:bookmarkEnd w:id="609"/>
      <w:bookmarkEnd w:id="610"/>
      <w:bookmarkEnd w:id="623"/>
    </w:p>
    <w:p>
      <w:pPr>
        <w:spacing w:before="120" w:after="120" w:line="360" w:lineRule="auto"/>
        <w:ind w:firstLine="608" w:firstLineChars="202"/>
        <w:jc w:val="center"/>
        <w:rPr>
          <w:rFonts w:ascii="宋体" w:hAnsi="宋体" w:eastAsia="宋体" w:cs="宋体"/>
          <w:b/>
          <w:color w:val="auto"/>
          <w:sz w:val="30"/>
          <w:szCs w:val="30"/>
          <w:highlight w:val="none"/>
        </w:rPr>
      </w:pPr>
    </w:p>
    <w:p>
      <w:pPr>
        <w:spacing w:before="120" w:after="120" w:line="360" w:lineRule="auto"/>
        <w:ind w:firstLine="608" w:firstLineChars="202"/>
        <w:jc w:val="center"/>
        <w:rPr>
          <w:rFonts w:ascii="宋体" w:hAnsi="宋体" w:eastAsia="宋体" w:cs="宋体"/>
          <w:b/>
          <w:bCs/>
          <w:color w:val="auto"/>
          <w:sz w:val="30"/>
          <w:szCs w:val="30"/>
          <w:highlight w:val="none"/>
        </w:rPr>
      </w:pPr>
      <w:bookmarkStart w:id="649" w:name="_Toc11033_WPSOffice_Level3"/>
      <w:r>
        <w:rPr>
          <w:rFonts w:hint="eastAsia" w:ascii="宋体" w:hAnsi="宋体" w:eastAsia="宋体" w:cs="宋体"/>
          <w:b/>
          <w:color w:val="auto"/>
          <w:sz w:val="30"/>
          <w:szCs w:val="30"/>
          <w:highlight w:val="none"/>
        </w:rPr>
        <w:t>法定代</w:t>
      </w:r>
      <w:bookmarkStart w:id="650" w:name="_Toc36971359"/>
      <w:bookmarkStart w:id="651" w:name="_Toc45995270"/>
      <w:r>
        <w:rPr>
          <w:rFonts w:hint="eastAsia" w:ascii="宋体" w:hAnsi="宋体" w:eastAsia="宋体" w:cs="宋体"/>
          <w:b/>
          <w:color w:val="auto"/>
          <w:sz w:val="30"/>
          <w:szCs w:val="30"/>
          <w:highlight w:val="none"/>
        </w:rPr>
        <w:t>表人身份证明书</w:t>
      </w:r>
      <w:bookmarkEnd w:id="649"/>
    </w:p>
    <w:bookmarkEnd w:id="650"/>
    <w:bookmarkEnd w:id="651"/>
    <w:p>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rFonts w:hint="eastAsia" w:ascii="宋体" w:hAnsi="宋体" w:eastAsia="宋体" w:cs="宋体"/>
                                <w:szCs w:val="21"/>
                              </w:rPr>
                            </w:pPr>
                            <w:r>
                              <w:rPr>
                                <w:rFonts w:hint="eastAsia" w:ascii="宋体" w:hAnsi="宋体" w:eastAsia="宋体" w:cs="宋体"/>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p/>
                    <w:p/>
                    <w:p/>
                    <w:p>
                      <w:pPr>
                        <w:jc w:val="center"/>
                        <w:rPr>
                          <w:rFonts w:hint="eastAsia" w:ascii="宋体" w:hAnsi="宋体" w:eastAsia="宋体" w:cs="宋体"/>
                          <w:szCs w:val="21"/>
                        </w:rPr>
                      </w:pPr>
                      <w:r>
                        <w:rPr>
                          <w:rFonts w:hint="eastAsia" w:ascii="宋体" w:hAnsi="宋体" w:eastAsia="宋体" w:cs="宋体"/>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rFonts w:hint="eastAsia" w:ascii="宋体" w:hAnsi="宋体" w:eastAsia="宋体" w:cs="宋体"/>
                                <w:szCs w:val="21"/>
                              </w:rPr>
                            </w:pPr>
                            <w:r>
                              <w:rPr>
                                <w:rFonts w:hint="eastAsia" w:ascii="宋体" w:hAnsi="宋体" w:eastAsia="宋体" w:cs="宋体"/>
                                <w:szCs w:val="21"/>
                              </w:rPr>
                              <w:t>法定代表人身份证反面</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p/>
                    <w:p/>
                    <w:p/>
                    <w:p>
                      <w:pPr>
                        <w:jc w:val="center"/>
                        <w:rPr>
                          <w:rFonts w:hint="eastAsia" w:ascii="宋体" w:hAnsi="宋体" w:eastAsia="宋体" w:cs="宋体"/>
                          <w:szCs w:val="21"/>
                        </w:rPr>
                      </w:pPr>
                      <w:r>
                        <w:rPr>
                          <w:rFonts w:hint="eastAsia" w:ascii="宋体" w:hAnsi="宋体" w:eastAsia="宋体" w:cs="宋体"/>
                          <w:szCs w:val="21"/>
                        </w:rPr>
                        <w:t>法定代表人身份证反面</w:t>
                      </w:r>
                    </w:p>
                    <w:p>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p/>
                    <w:p/>
                    <w:p/>
                    <w:p>
                      <w:pPr>
                        <w:jc w:val="center"/>
                      </w:pPr>
                      <w:r>
                        <w:rPr>
                          <w:rFonts w:hint="eastAsia"/>
                        </w:rPr>
                        <w:t>身份证正面</w:t>
                      </w:r>
                    </w:p>
                  </w:txbxContent>
                </v:textbox>
              </v:shape>
            </w:pict>
          </mc:Fallback>
        </mc:AlternateContent>
      </w: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b/>
          <w:color w:val="auto"/>
          <w:kern w:val="0"/>
          <w:szCs w:val="21"/>
          <w:highlight w:val="none"/>
        </w:rPr>
      </w:pPr>
    </w:p>
    <w:p>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pPr>
        <w:autoSpaceDE w:val="0"/>
        <w:autoSpaceDN w:val="0"/>
        <w:adjustRightInd w:val="0"/>
        <w:jc w:val="left"/>
        <w:rPr>
          <w:rFonts w:ascii="宋体" w:hAnsi="宋体" w:eastAsia="宋体" w:cs="宋体"/>
          <w:color w:val="auto"/>
          <w:kern w:val="0"/>
          <w:szCs w:val="21"/>
          <w:highlight w:val="none"/>
        </w:rPr>
      </w:pPr>
    </w:p>
    <w:p>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555"/>
      <w:bookmarkEnd w:id="556"/>
      <w:bookmarkEnd w:id="557"/>
      <w:bookmarkStart w:id="652" w:name="_Toc6240_WPSOffice_Level2"/>
      <w:bookmarkStart w:id="653" w:name="_Toc486167713"/>
      <w:bookmarkStart w:id="654" w:name="_Toc1977727"/>
      <w:bookmarkStart w:id="655" w:name="_Toc533708125"/>
      <w:r>
        <w:rPr>
          <w:rFonts w:hint="eastAsia" w:ascii="宋体" w:hAnsi="宋体" w:eastAsia="宋体" w:cs="宋体"/>
          <w:b/>
          <w:color w:val="auto"/>
          <w:szCs w:val="24"/>
          <w:highlight w:val="none"/>
        </w:rPr>
        <w:t>（2）法定代表人授权书格式</w:t>
      </w:r>
      <w:bookmarkEnd w:id="652"/>
      <w:bookmarkEnd w:id="653"/>
      <w:bookmarkEnd w:id="654"/>
      <w:bookmarkEnd w:id="655"/>
    </w:p>
    <w:p>
      <w:pPr>
        <w:autoSpaceDE w:val="0"/>
        <w:autoSpaceDN w:val="0"/>
        <w:adjustRightInd w:val="0"/>
        <w:spacing w:line="360" w:lineRule="auto"/>
        <w:jc w:val="center"/>
        <w:rPr>
          <w:rFonts w:ascii="宋体" w:hAnsi="宋体" w:eastAsia="宋体" w:cs="宋体"/>
          <w:b/>
          <w:bCs/>
          <w:color w:val="auto"/>
          <w:sz w:val="30"/>
          <w:szCs w:val="30"/>
          <w:highlight w:val="none"/>
          <w:lang w:val="zh-CN"/>
        </w:rPr>
      </w:pPr>
    </w:p>
    <w:p>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656" w:name="_Toc29146_WPSOffice_Level3"/>
      <w:r>
        <w:rPr>
          <w:rFonts w:hint="eastAsia" w:ascii="宋体" w:hAnsi="宋体" w:eastAsia="宋体" w:cs="宋体"/>
          <w:b/>
          <w:bCs/>
          <w:color w:val="auto"/>
          <w:sz w:val="30"/>
          <w:szCs w:val="30"/>
          <w:highlight w:val="none"/>
          <w:lang w:val="zh-CN"/>
        </w:rPr>
        <w:t>法定代表人授权书</w:t>
      </w:r>
      <w:bookmarkEnd w:id="656"/>
    </w:p>
    <w:p>
      <w:pPr>
        <w:autoSpaceDE w:val="0"/>
        <w:autoSpaceDN w:val="0"/>
        <w:adjustRightInd w:val="0"/>
        <w:spacing w:line="360" w:lineRule="auto"/>
        <w:jc w:val="center"/>
        <w:rPr>
          <w:rFonts w:ascii="宋体" w:hAnsi="宋体" w:eastAsia="宋体" w:cs="宋体"/>
          <w:color w:val="auto"/>
          <w:szCs w:val="28"/>
          <w:highlight w:val="none"/>
          <w:lang w:val="zh-CN"/>
        </w:rPr>
      </w:pPr>
    </w:p>
    <w:p>
      <w:pPr>
        <w:spacing w:before="120" w:after="120" w:line="360" w:lineRule="auto"/>
        <w:rPr>
          <w:rFonts w:hint="default" w:ascii="宋体" w:hAnsi="宋体" w:eastAsia="宋体" w:cs="宋体"/>
          <w:color w:val="auto"/>
          <w:szCs w:val="24"/>
          <w:highlight w:val="none"/>
        </w:rPr>
      </w:pPr>
      <w:r>
        <w:rPr>
          <w:rFonts w:hint="eastAsia" w:ascii="宋体" w:hAnsi="宋体" w:eastAsia="宋体" w:cs="宋体"/>
          <w:color w:val="auto"/>
          <w:szCs w:val="24"/>
          <w:highlight w:val="none"/>
          <w:lang w:val="zh-CN"/>
        </w:rPr>
        <w:t>致：</w:t>
      </w:r>
      <w:r>
        <w:rPr>
          <w:rFonts w:hint="default" w:ascii="宋体" w:hAnsi="宋体" w:eastAsia="宋体" w:cs="宋体"/>
          <w:color w:val="auto"/>
          <w:szCs w:val="24"/>
          <w:highlight w:val="none"/>
        </w:rPr>
        <w:t>东莞市水务集团建设管理有限公司</w:t>
      </w:r>
    </w:p>
    <w:p>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东莞市供水设施更新改造项目-松山湖新城路给水管网改造工程第三方监测服务采购项目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0832-SFCX24DG197C</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pPr>
        <w:spacing w:before="120" w:after="120" w:line="360" w:lineRule="auto"/>
        <w:ind w:left="348" w:leftChars="136" w:hanging="62"/>
        <w:rPr>
          <w:rFonts w:ascii="宋体" w:hAnsi="宋体" w:eastAsia="宋体" w:cs="宋体"/>
          <w:color w:val="auto"/>
          <w:szCs w:val="24"/>
          <w:highlight w:val="none"/>
        </w:rPr>
      </w:pP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int="eastAsia" w:ascii="宋体" w:hAnsi="宋体" w:eastAsia="宋体" w:cs="宋体"/>
                              </w:rPr>
                            </w:pPr>
                            <w:r>
                              <w:rPr>
                                <w:rFonts w:hint="eastAsia" w:ascii="宋体" w:hAnsi="宋体" w:eastAsia="宋体" w:cs="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p/>
                    <w:p/>
                    <w:p/>
                    <w:p>
                      <w:pPr>
                        <w:jc w:val="center"/>
                        <w:rPr>
                          <w:rFonts w:hint="eastAsia" w:ascii="宋体" w:hAnsi="宋体" w:eastAsia="宋体" w:cs="宋体"/>
                        </w:rPr>
                      </w:pPr>
                      <w:r>
                        <w:rPr>
                          <w:rFonts w:hint="eastAsia" w:ascii="宋体" w:hAnsi="宋体" w:eastAsia="宋体" w:cs="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int="eastAsia" w:ascii="宋体" w:hAnsi="宋体" w:eastAsia="宋体" w:cs="宋体"/>
                              </w:rPr>
                            </w:pPr>
                            <w:r>
                              <w:rPr>
                                <w:rFonts w:hint="eastAsia" w:ascii="宋体" w:hAnsi="宋体" w:eastAsia="宋体" w:cs="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p/>
                    <w:p/>
                    <w:p/>
                    <w:p>
                      <w:pPr>
                        <w:jc w:val="center"/>
                        <w:rPr>
                          <w:rFonts w:hint="eastAsia" w:ascii="宋体" w:hAnsi="宋体" w:eastAsia="宋体" w:cs="宋体"/>
                        </w:rPr>
                      </w:pPr>
                      <w:r>
                        <w:rPr>
                          <w:rFonts w:hint="eastAsia" w:ascii="宋体" w:hAnsi="宋体" w:eastAsia="宋体" w:cs="宋体"/>
                        </w:rPr>
                        <w:t>法定代表人身份证正面</w:t>
                      </w:r>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rPr>
                                <w:rFonts w:hint="eastAsia" w:ascii="宋体" w:hAnsi="宋体" w:eastAsia="宋体" w:cs="宋体"/>
                              </w:rPr>
                            </w:pPr>
                            <w:r>
                              <w:rPr>
                                <w:rFonts w:hint="eastAsia" w:ascii="宋体" w:hAnsi="宋体" w:eastAsia="宋体" w:cs="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rPr>
                          <w:rFonts w:hint="eastAsia" w:ascii="宋体" w:hAnsi="宋体" w:eastAsia="宋体" w:cs="宋体"/>
                        </w:rPr>
                      </w:pPr>
                      <w:r>
                        <w:rPr>
                          <w:rFonts w:hint="eastAsia" w:ascii="宋体" w:hAnsi="宋体" w:eastAsia="宋体" w:cs="宋体"/>
                        </w:rPr>
                        <w:t>被授权人身份证反面</w:t>
                      </w:r>
                    </w:p>
                    <w:p/>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rPr>
                                <w:rFonts w:hint="eastAsia" w:ascii="宋体" w:hAnsi="宋体" w:eastAsia="宋体" w:cs="宋体"/>
                              </w:rPr>
                            </w:pPr>
                            <w:r>
                              <w:rPr>
                                <w:rFonts w:hint="eastAsia" w:ascii="宋体" w:hAnsi="宋体" w:eastAsia="宋体" w:cs="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rPr>
                          <w:rFonts w:hint="eastAsia" w:ascii="宋体" w:hAnsi="宋体" w:eastAsia="宋体" w:cs="宋体"/>
                        </w:rPr>
                      </w:pPr>
                      <w:r>
                        <w:rPr>
                          <w:rFonts w:hint="eastAsia" w:ascii="宋体" w:hAnsi="宋体" w:eastAsia="宋体" w:cs="宋体"/>
                        </w:rPr>
                        <w:t>被授权人身份证正面</w:t>
                      </w:r>
                    </w:p>
                    <w:p/>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pPr>
        <w:pStyle w:val="5"/>
        <w:pageBreakBefore/>
        <w:spacing w:line="360" w:lineRule="auto"/>
        <w:rPr>
          <w:rFonts w:hAnsi="宋体"/>
          <w:b/>
          <w:color w:val="auto"/>
          <w:sz w:val="30"/>
          <w:szCs w:val="30"/>
          <w:highlight w:val="none"/>
          <w:lang w:val="zh-CN"/>
        </w:rPr>
      </w:pPr>
      <w:bookmarkStart w:id="657" w:name="_Toc32328"/>
      <w:bookmarkStart w:id="658" w:name="_Toc15716"/>
      <w:bookmarkStart w:id="659" w:name="_Toc12400"/>
      <w:bookmarkStart w:id="660" w:name="_Toc20174"/>
      <w:bookmarkStart w:id="661" w:name="_Toc20021"/>
      <w:bookmarkStart w:id="662" w:name="_Toc28541"/>
      <w:bookmarkStart w:id="663" w:name="_Toc142508373"/>
      <w:bookmarkStart w:id="664" w:name="_Toc104991880"/>
      <w:bookmarkStart w:id="665" w:name="_Toc94107214"/>
      <w:bookmarkStart w:id="666" w:name="_Toc1977730"/>
      <w:bookmarkStart w:id="667" w:name="_Toc140596933"/>
      <w:r>
        <w:rPr>
          <w:rFonts w:hint="eastAsia" w:hAnsi="宋体" w:cs="宋体"/>
          <w:b/>
          <w:color w:val="auto"/>
          <w:kern w:val="0"/>
          <w:sz w:val="30"/>
          <w:szCs w:val="30"/>
          <w:highlight w:val="none"/>
          <w:lang w:val="en-US" w:eastAsia="zh-CN"/>
        </w:rPr>
        <w:t>5.5</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w:t>
      </w:r>
      <w:bookmarkEnd w:id="657"/>
      <w:bookmarkEnd w:id="658"/>
      <w:bookmarkEnd w:id="659"/>
      <w:r>
        <w:rPr>
          <w:rFonts w:hint="eastAsia" w:ascii="宋体" w:hAnsi="宋体" w:eastAsia="宋体"/>
          <w:b/>
          <w:bCs/>
          <w:color w:val="auto"/>
          <w:sz w:val="32"/>
          <w:szCs w:val="32"/>
          <w:highlight w:val="none"/>
        </w:rPr>
        <w:t>投标人提供一</w:t>
      </w:r>
      <w:r>
        <w:rPr>
          <w:rFonts w:hint="eastAsia" w:hAnsi="宋体"/>
          <w:b/>
          <w:bCs/>
          <w:color w:val="auto"/>
          <w:sz w:val="32"/>
          <w:szCs w:val="32"/>
          <w:highlight w:val="none"/>
          <w:lang w:eastAsia="zh-CN"/>
        </w:rPr>
        <w:t>项</w:t>
      </w:r>
      <w:r>
        <w:rPr>
          <w:rFonts w:hint="eastAsia" w:ascii="宋体" w:hAnsi="宋体" w:eastAsia="宋体"/>
          <w:b/>
          <w:bCs/>
          <w:color w:val="auto"/>
          <w:sz w:val="32"/>
          <w:szCs w:val="32"/>
          <w:highlight w:val="none"/>
        </w:rPr>
        <w:t>20</w:t>
      </w:r>
      <w:r>
        <w:rPr>
          <w:rFonts w:hint="eastAsia" w:hAnsi="宋体"/>
          <w:b/>
          <w:bCs/>
          <w:color w:val="auto"/>
          <w:sz w:val="32"/>
          <w:szCs w:val="32"/>
          <w:highlight w:val="none"/>
          <w:lang w:val="en-US" w:eastAsia="zh-CN"/>
        </w:rPr>
        <w:t>20</w:t>
      </w:r>
      <w:r>
        <w:rPr>
          <w:rFonts w:hint="eastAsia" w:ascii="宋体" w:hAnsi="宋体" w:eastAsia="宋体"/>
          <w:b/>
          <w:bCs/>
          <w:color w:val="auto"/>
          <w:sz w:val="32"/>
          <w:szCs w:val="32"/>
          <w:highlight w:val="none"/>
        </w:rPr>
        <w:t>年1月1日以来市政工程监测业绩（合同签订日期为20</w:t>
      </w:r>
      <w:r>
        <w:rPr>
          <w:rFonts w:hint="eastAsia" w:hAnsi="宋体"/>
          <w:b/>
          <w:bCs/>
          <w:color w:val="auto"/>
          <w:sz w:val="32"/>
          <w:szCs w:val="32"/>
          <w:highlight w:val="none"/>
          <w:lang w:val="en-US" w:eastAsia="zh-CN"/>
        </w:rPr>
        <w:t>20</w:t>
      </w:r>
      <w:r>
        <w:rPr>
          <w:rFonts w:hint="eastAsia" w:ascii="宋体" w:hAnsi="宋体" w:eastAsia="宋体"/>
          <w:b/>
          <w:bCs/>
          <w:color w:val="auto"/>
          <w:sz w:val="32"/>
          <w:szCs w:val="32"/>
          <w:highlight w:val="none"/>
        </w:rPr>
        <w:t>年1月1日或以后）】</w:t>
      </w:r>
      <w:bookmarkEnd w:id="660"/>
      <w:bookmarkEnd w:id="661"/>
      <w:bookmarkEnd w:id="662"/>
    </w:p>
    <w:p>
      <w:pPr>
        <w:spacing w:line="360" w:lineRule="auto"/>
        <w:rPr>
          <w:rFonts w:hint="eastAsia" w:ascii="宋体" w:hAnsi="宋体" w:eastAsia="宋体" w:cs="宋体"/>
          <w:b/>
          <w:color w:val="auto"/>
          <w:szCs w:val="21"/>
          <w:highlight w:val="none"/>
          <w:lang w:val="zh-CN"/>
        </w:rPr>
      </w:pPr>
    </w:p>
    <w:tbl>
      <w:tblPr>
        <w:tblStyle w:val="37"/>
        <w:tblW w:w="49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87"/>
        <w:gridCol w:w="1305"/>
        <w:gridCol w:w="1388"/>
        <w:gridCol w:w="1088"/>
        <w:gridCol w:w="676"/>
        <w:gridCol w:w="598"/>
        <w:gridCol w:w="825"/>
        <w:gridCol w:w="812"/>
        <w:gridCol w:w="1035"/>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58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0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38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108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67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59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82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81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103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74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8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30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8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8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7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9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25" w:type="dxa"/>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1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3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4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8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30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8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8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7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9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25" w:type="dxa"/>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1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3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4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8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30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8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8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7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9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25" w:type="dxa"/>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1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3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4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8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default" w:ascii="宋体" w:hAnsi="宋体" w:eastAsia="宋体" w:cs="Courier New"/>
                <w:color w:val="auto"/>
                <w:kern w:val="0"/>
                <w:szCs w:val="21"/>
                <w:highlight w:val="none"/>
              </w:rPr>
              <w:t>…</w:t>
            </w:r>
          </w:p>
        </w:tc>
        <w:tc>
          <w:tcPr>
            <w:tcW w:w="130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8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8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7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9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25" w:type="dxa"/>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1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3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4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pPr>
        <w:spacing w:line="360" w:lineRule="auto"/>
        <w:ind w:left="424" w:hanging="424" w:hangingChars="201"/>
        <w:rPr>
          <w:rFonts w:hint="eastAsia" w:ascii="宋体" w:hAnsi="宋体" w:eastAsia="宋体" w:cs="宋体"/>
          <w:b/>
          <w:color w:val="auto"/>
          <w:szCs w:val="21"/>
          <w:highlight w:val="none"/>
          <w:lang w:val="zh-CN"/>
        </w:rPr>
      </w:pPr>
    </w:p>
    <w:p>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（1）业绩须附合同复印件；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（2）合同业绩证明材料必须能反映评审条件：</w:t>
      </w:r>
    </w:p>
    <w:p>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1）合同签订日期为20</w:t>
      </w:r>
      <w:r>
        <w:rPr>
          <w:rFonts w:hint="eastAsia" w:ascii="宋体" w:hAnsi="宋体" w:eastAsia="宋体" w:cs="宋体"/>
          <w:color w:val="auto"/>
          <w:szCs w:val="24"/>
          <w:highlight w:val="none"/>
          <w:lang w:val="en-US" w:eastAsia="zh-CN"/>
        </w:rPr>
        <w:t>20</w:t>
      </w:r>
      <w:r>
        <w:rPr>
          <w:rFonts w:hint="eastAsia" w:ascii="宋体" w:hAnsi="宋体" w:eastAsia="宋体" w:cs="宋体"/>
          <w:color w:val="auto"/>
          <w:szCs w:val="24"/>
          <w:highlight w:val="none"/>
          <w:lang w:val="zh-CN"/>
        </w:rPr>
        <w:t>年1月1日或以后；</w:t>
      </w:r>
    </w:p>
    <w:p>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2）业绩类型为市政工程监测。</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b/>
          <w:color w:val="auto"/>
          <w:kern w:val="0"/>
          <w:sz w:val="30"/>
          <w:szCs w:val="30"/>
          <w:highlight w:val="none"/>
        </w:rPr>
      </w:pPr>
      <w:r>
        <w:rPr>
          <w:rFonts w:hint="eastAsia" w:ascii="宋体" w:hAnsi="宋体" w:eastAsia="宋体" w:cs="宋体"/>
          <w:color w:val="auto"/>
          <w:szCs w:val="24"/>
          <w:highlight w:val="none"/>
          <w:lang w:val="zh-CN"/>
        </w:rPr>
        <w:t>（3）未按上述要求在此格式下提供证明材料的业绩，或在此格式下所附材料无法证明符合资格要求的业绩，按无效投标文件处理。</w:t>
      </w:r>
      <w:r>
        <w:rPr>
          <w:rFonts w:ascii="宋体" w:hAnsi="宋体" w:eastAsia="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668" w:name="_Toc17027"/>
      <w:bookmarkStart w:id="669" w:name="_Toc7508"/>
      <w:bookmarkStart w:id="670" w:name="_Toc32189"/>
      <w:bookmarkStart w:id="671" w:name="_Toc21843"/>
      <w:bookmarkStart w:id="672" w:name="_Toc24392"/>
      <w:bookmarkStart w:id="673" w:name="_Toc8121"/>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663"/>
      <w:bookmarkEnd w:id="664"/>
      <w:bookmarkEnd w:id="665"/>
      <w:bookmarkEnd w:id="666"/>
      <w:bookmarkEnd w:id="667"/>
      <w:bookmarkEnd w:id="668"/>
      <w:bookmarkEnd w:id="669"/>
      <w:bookmarkEnd w:id="670"/>
      <w:bookmarkEnd w:id="671"/>
      <w:bookmarkEnd w:id="672"/>
      <w:bookmarkEnd w:id="673"/>
    </w:p>
    <w:p>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pPr>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pPr>
        <w:autoSpaceDE w:val="0"/>
        <w:autoSpaceDN w:val="0"/>
        <w:adjustRightInd w:val="0"/>
        <w:spacing w:line="360" w:lineRule="auto"/>
        <w:jc w:val="center"/>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pPr>
        <w:rPr>
          <w:rFonts w:ascii="宋体" w:hAnsi="宋体" w:eastAsia="宋体" w:cs="宋体"/>
          <w:color w:val="auto"/>
          <w:szCs w:val="24"/>
          <w:highlight w:val="none"/>
          <w:lang w:val="zh-CN"/>
        </w:rPr>
      </w:pPr>
      <w:bookmarkStart w:id="674" w:name="_Toc533708126"/>
      <w:bookmarkStart w:id="675" w:name="_Toc30939"/>
      <w:bookmarkStart w:id="676" w:name="_Toc102860423"/>
      <w:bookmarkStart w:id="677" w:name="_Toc1977731"/>
      <w:bookmarkStart w:id="678" w:name="_Toc140596934"/>
      <w:bookmarkStart w:id="679" w:name="_Toc104991881"/>
      <w:bookmarkStart w:id="680" w:name="_Toc486167714"/>
      <w:bookmarkStart w:id="681" w:name="_Toc2031_WPSOffice_Level2"/>
      <w:bookmarkStart w:id="682" w:name="_Toc94107215"/>
      <w:bookmarkStart w:id="683" w:name="_Toc102860079"/>
      <w:bookmarkStart w:id="684" w:name="_Toc6412"/>
      <w:bookmarkStart w:id="685" w:name="_Toc142508374"/>
      <w:r>
        <w:rPr>
          <w:rFonts w:ascii="宋体" w:hAnsi="宋体" w:eastAsia="宋体" w:cs="宋体"/>
          <w:color w:val="auto"/>
          <w:szCs w:val="24"/>
          <w:highlight w:val="none"/>
          <w:lang w:val="zh-CN"/>
        </w:rPr>
        <w:br w:type="page"/>
      </w:r>
    </w:p>
    <w:p>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686" w:name="_Toc28057"/>
      <w:bookmarkStart w:id="687" w:name="_Toc17508"/>
      <w:bookmarkStart w:id="688" w:name="_Toc19813"/>
      <w:bookmarkStart w:id="689" w:name="_Toc21629"/>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pPr>
        <w:autoSpaceDE w:val="0"/>
        <w:autoSpaceDN w:val="0"/>
        <w:adjustRightInd w:val="0"/>
        <w:spacing w:line="360" w:lineRule="auto"/>
        <w:jc w:val="center"/>
        <w:rPr>
          <w:rFonts w:ascii="宋体" w:hAnsi="宋体" w:eastAsia="宋体" w:cs="宋体"/>
          <w:b/>
          <w:bCs/>
          <w:color w:val="auto"/>
          <w:sz w:val="30"/>
          <w:szCs w:val="30"/>
          <w:highlight w:val="none"/>
        </w:rPr>
      </w:pPr>
      <w:bookmarkStart w:id="690" w:name="_Toc2773_WPSOffice_Level3"/>
      <w:r>
        <w:rPr>
          <w:rFonts w:hint="eastAsia" w:ascii="宋体" w:hAnsi="宋体" w:eastAsia="宋体" w:cs="宋体"/>
          <w:b/>
          <w:bCs/>
          <w:color w:val="auto"/>
          <w:sz w:val="30"/>
          <w:szCs w:val="30"/>
          <w:highlight w:val="none"/>
          <w:lang w:val="zh-CN"/>
        </w:rPr>
        <w:t>投标人基本情况一览表</w:t>
      </w:r>
      <w:bookmarkEnd w:id="690"/>
    </w:p>
    <w:p>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pPr>
        <w:autoSpaceDE w:val="0"/>
        <w:autoSpaceDN w:val="0"/>
        <w:adjustRightInd w:val="0"/>
        <w:spacing w:line="360" w:lineRule="auto"/>
        <w:ind w:firstLine="420" w:firstLineChars="200"/>
        <w:rPr>
          <w:rFonts w:ascii="宋体" w:hAnsi="宋体" w:eastAsia="宋体" w:cs="宋体"/>
          <w:color w:val="auto"/>
          <w:szCs w:val="24"/>
          <w:highlight w:val="none"/>
        </w:rPr>
      </w:pPr>
    </w:p>
    <w:p>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691" w:name="_Toc102860080"/>
      <w:bookmarkStart w:id="692" w:name="_Toc12189"/>
      <w:bookmarkStart w:id="693" w:name="_Toc27491"/>
      <w:bookmarkStart w:id="694" w:name="_Toc29014"/>
      <w:bookmarkStart w:id="695" w:name="_Toc104991882"/>
      <w:bookmarkStart w:id="696" w:name="_Toc140596935"/>
      <w:bookmarkStart w:id="697" w:name="_Toc4023"/>
      <w:bookmarkStart w:id="698" w:name="_Toc142508375"/>
      <w:bookmarkStart w:id="699" w:name="_Toc102860424"/>
      <w:bookmarkStart w:id="700" w:name="_Toc10443"/>
      <w:bookmarkStart w:id="701" w:name="_Toc94107216"/>
      <w:bookmarkStart w:id="702" w:name="_Toc10191"/>
      <w:bookmarkStart w:id="703" w:name="_Toc533708128"/>
      <w:bookmarkStart w:id="704" w:name="_Toc1977733"/>
      <w:bookmarkStart w:id="705" w:name="_Toc486167715"/>
      <w:bookmarkStart w:id="706" w:name="_Toc9051_WPSOffice_Level2"/>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691"/>
      <w:bookmarkEnd w:id="692"/>
      <w:bookmarkEnd w:id="693"/>
      <w:bookmarkEnd w:id="694"/>
      <w:bookmarkEnd w:id="695"/>
      <w:bookmarkEnd w:id="696"/>
      <w:bookmarkEnd w:id="697"/>
      <w:bookmarkEnd w:id="698"/>
      <w:bookmarkEnd w:id="699"/>
      <w:bookmarkEnd w:id="700"/>
      <w:bookmarkEnd w:id="701"/>
      <w:bookmarkEnd w:id="702"/>
    </w:p>
    <w:p>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703"/>
    <w:bookmarkEnd w:id="704"/>
    <w:bookmarkEnd w:id="705"/>
    <w:bookmarkEnd w:id="706"/>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707" w:name="_Toc1977736"/>
      <w:bookmarkStart w:id="708" w:name="_Toc94107217"/>
      <w:bookmarkStart w:id="709" w:name="_Toc739_WPSOffice_Level2"/>
      <w:bookmarkStart w:id="710" w:name="_Toc140596936"/>
      <w:bookmarkStart w:id="711" w:name="_Toc333"/>
      <w:bookmarkStart w:id="712" w:name="_Toc102860425"/>
      <w:bookmarkStart w:id="713" w:name="_Toc13233"/>
      <w:bookmarkStart w:id="714" w:name="_Toc533708130"/>
      <w:bookmarkStart w:id="715" w:name="_Toc102860081"/>
      <w:bookmarkStart w:id="716" w:name="_Toc17995"/>
      <w:bookmarkStart w:id="717" w:name="_Toc26821"/>
      <w:bookmarkStart w:id="718" w:name="_Toc21136"/>
      <w:bookmarkStart w:id="719" w:name="_Toc486167716"/>
      <w:bookmarkStart w:id="720" w:name="_Toc104991883"/>
      <w:bookmarkStart w:id="721" w:name="_Toc24088"/>
      <w:bookmarkStart w:id="722" w:name="_Toc142508376"/>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723" w:name="_Toc26412_WPSOffice_Level3"/>
      <w:r>
        <w:rPr>
          <w:rFonts w:hint="eastAsia" w:ascii="宋体" w:hAnsi="宋体" w:eastAsia="宋体" w:cs="宋体"/>
          <w:b/>
          <w:bCs/>
          <w:color w:val="auto"/>
          <w:kern w:val="0"/>
          <w:sz w:val="28"/>
          <w:szCs w:val="30"/>
          <w:highlight w:val="none"/>
          <w:lang w:val="zh-CN"/>
        </w:rPr>
        <w:t>东莞市供水设施更新改造项目-松山湖新城路给水管网改造工程第三方监测服务采购项目合同条款偏离表</w:t>
      </w:r>
      <w:bookmarkEnd w:id="723"/>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42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hAnsi="宋体" w:eastAsia="宋体"/>
                <w:color w:val="auto"/>
                <w:sz w:val="21"/>
                <w:szCs w:val="21"/>
                <w:highlight w:val="none"/>
              </w:rPr>
              <w:t>一</w:t>
            </w:r>
          </w:p>
        </w:tc>
        <w:tc>
          <w:tcPr>
            <w:tcW w:w="3055" w:type="dxa"/>
            <w:vAlign w:val="top"/>
          </w:tcPr>
          <w:p>
            <w:pPr>
              <w:pStyle w:val="62"/>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工程概况</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default" w:ascii="宋体" w:hAnsi="宋体" w:eastAsia="宋体"/>
                <w:color w:val="auto"/>
                <w:sz w:val="21"/>
                <w:szCs w:val="21"/>
                <w:highlight w:val="none"/>
              </w:rPr>
              <w:t>二</w:t>
            </w:r>
          </w:p>
        </w:tc>
        <w:tc>
          <w:tcPr>
            <w:tcW w:w="3055" w:type="dxa"/>
            <w:vAlign w:val="center"/>
          </w:tcPr>
          <w:p>
            <w:pPr>
              <w:pStyle w:val="62"/>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服务概况</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default" w:ascii="宋体" w:hAnsi="宋体" w:eastAsia="宋体"/>
                <w:color w:val="auto"/>
                <w:sz w:val="21"/>
                <w:szCs w:val="21"/>
                <w:highlight w:val="none"/>
              </w:rPr>
              <w:t>三</w:t>
            </w:r>
          </w:p>
        </w:tc>
        <w:tc>
          <w:tcPr>
            <w:tcW w:w="3055" w:type="dxa"/>
            <w:vAlign w:val="center"/>
          </w:tcPr>
          <w:p>
            <w:pPr>
              <w:pStyle w:val="62"/>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服务价格及合同价款</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default" w:ascii="宋体" w:hAnsi="宋体" w:eastAsia="宋体"/>
                <w:color w:val="auto"/>
                <w:sz w:val="21"/>
                <w:szCs w:val="21"/>
                <w:highlight w:val="none"/>
              </w:rPr>
              <w:t>四</w:t>
            </w:r>
          </w:p>
        </w:tc>
        <w:tc>
          <w:tcPr>
            <w:tcW w:w="3055" w:type="dxa"/>
            <w:vAlign w:val="center"/>
          </w:tcPr>
          <w:p>
            <w:pPr>
              <w:pStyle w:val="62"/>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付款方式</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default" w:ascii="宋体" w:hAnsi="宋体" w:eastAsia="宋体"/>
                <w:color w:val="auto"/>
                <w:sz w:val="21"/>
                <w:szCs w:val="21"/>
                <w:highlight w:val="none"/>
              </w:rPr>
              <w:t>五</w:t>
            </w:r>
          </w:p>
        </w:tc>
        <w:tc>
          <w:tcPr>
            <w:tcW w:w="3055" w:type="dxa"/>
            <w:vAlign w:val="center"/>
          </w:tcPr>
          <w:p>
            <w:pPr>
              <w:pStyle w:val="62"/>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履约担保</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default" w:ascii="宋体" w:hAnsi="宋体" w:eastAsia="宋体"/>
                <w:color w:val="auto"/>
                <w:sz w:val="21"/>
                <w:szCs w:val="21"/>
                <w:highlight w:val="none"/>
              </w:rPr>
              <w:t>六</w:t>
            </w:r>
          </w:p>
        </w:tc>
        <w:tc>
          <w:tcPr>
            <w:tcW w:w="3055" w:type="dxa"/>
            <w:vAlign w:val="center"/>
          </w:tcPr>
          <w:p>
            <w:pPr>
              <w:pStyle w:val="62"/>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甲方权利和义务</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default" w:ascii="宋体" w:hAnsi="宋体" w:eastAsia="宋体"/>
                <w:color w:val="auto"/>
                <w:sz w:val="21"/>
                <w:szCs w:val="21"/>
                <w:highlight w:val="none"/>
              </w:rPr>
              <w:t>七</w:t>
            </w:r>
          </w:p>
        </w:tc>
        <w:tc>
          <w:tcPr>
            <w:tcW w:w="3055" w:type="dxa"/>
            <w:vAlign w:val="center"/>
          </w:tcPr>
          <w:p>
            <w:pPr>
              <w:pStyle w:val="62"/>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乙方权利和义务</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default" w:ascii="宋体" w:hAnsi="宋体" w:eastAsia="宋体"/>
                <w:color w:val="auto"/>
                <w:sz w:val="21"/>
                <w:szCs w:val="21"/>
                <w:highlight w:val="none"/>
              </w:rPr>
              <w:t>八</w:t>
            </w:r>
          </w:p>
        </w:tc>
        <w:tc>
          <w:tcPr>
            <w:tcW w:w="3055" w:type="dxa"/>
            <w:vAlign w:val="center"/>
          </w:tcPr>
          <w:p>
            <w:pPr>
              <w:pStyle w:val="62"/>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违约责任</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default" w:ascii="宋体" w:hAnsi="宋体" w:eastAsia="宋体"/>
                <w:color w:val="auto"/>
                <w:sz w:val="21"/>
                <w:szCs w:val="21"/>
                <w:highlight w:val="none"/>
              </w:rPr>
              <w:t>九</w:t>
            </w:r>
          </w:p>
        </w:tc>
        <w:tc>
          <w:tcPr>
            <w:tcW w:w="3055" w:type="dxa"/>
            <w:vAlign w:val="center"/>
          </w:tcPr>
          <w:p>
            <w:pPr>
              <w:pStyle w:val="62"/>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争议解决</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hAnsi="宋体" w:eastAsia="宋体"/>
                <w:color w:val="auto"/>
                <w:sz w:val="21"/>
                <w:szCs w:val="21"/>
                <w:highlight w:val="none"/>
              </w:rPr>
              <w:t>十</w:t>
            </w:r>
          </w:p>
        </w:tc>
        <w:tc>
          <w:tcPr>
            <w:tcW w:w="3055" w:type="dxa"/>
            <w:vAlign w:val="center"/>
          </w:tcPr>
          <w:p>
            <w:pPr>
              <w:pStyle w:val="62"/>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其他</w:t>
            </w:r>
            <w:r>
              <w:rPr>
                <w:rFonts w:hint="eastAsia" w:ascii="宋体" w:hAnsi="宋体" w:eastAsia="宋体"/>
                <w:color w:val="auto"/>
                <w:sz w:val="21"/>
                <w:szCs w:val="21"/>
                <w:highlight w:val="none"/>
                <w:lang w:val="en-US" w:eastAsia="zh-CN"/>
              </w:rPr>
              <w:t>约定</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hAnsi="宋体" w:eastAsia="宋体"/>
                <w:color w:val="auto"/>
                <w:sz w:val="21"/>
                <w:szCs w:val="21"/>
                <w:highlight w:val="none"/>
                <w:lang w:val="en-US" w:eastAsia="zh-CN"/>
              </w:rPr>
              <w:t>十一</w:t>
            </w:r>
          </w:p>
        </w:tc>
        <w:tc>
          <w:tcPr>
            <w:tcW w:w="3055" w:type="dxa"/>
            <w:vAlign w:val="center"/>
          </w:tcPr>
          <w:p>
            <w:pPr>
              <w:pStyle w:val="62"/>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lang w:val="en-US" w:eastAsia="zh-CN"/>
              </w:rPr>
              <w:t>附则</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default" w:ascii="宋体" w:hAnsi="宋体" w:eastAsia="宋体"/>
                <w:color w:val="auto"/>
                <w:sz w:val="21"/>
                <w:szCs w:val="21"/>
                <w:highlight w:val="none"/>
              </w:rPr>
              <w:t>附件一</w:t>
            </w:r>
          </w:p>
        </w:tc>
        <w:tc>
          <w:tcPr>
            <w:tcW w:w="3055" w:type="dxa"/>
            <w:vAlign w:val="center"/>
          </w:tcPr>
          <w:p>
            <w:pPr>
              <w:pStyle w:val="62"/>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《监测工程量清单计价表》</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default" w:ascii="宋体" w:hAnsi="宋体" w:eastAsia="宋体"/>
                <w:color w:val="auto"/>
                <w:sz w:val="21"/>
                <w:szCs w:val="21"/>
                <w:highlight w:val="none"/>
              </w:rPr>
              <w:t>附件</w:t>
            </w:r>
            <w:r>
              <w:rPr>
                <w:rFonts w:hint="eastAsia" w:ascii="宋体" w:hAnsi="宋体" w:eastAsia="宋体"/>
                <w:color w:val="auto"/>
                <w:sz w:val="21"/>
                <w:szCs w:val="21"/>
                <w:highlight w:val="none"/>
              </w:rPr>
              <w:t>二</w:t>
            </w:r>
          </w:p>
        </w:tc>
        <w:tc>
          <w:tcPr>
            <w:tcW w:w="3055" w:type="dxa"/>
            <w:vAlign w:val="center"/>
          </w:tcPr>
          <w:p>
            <w:pPr>
              <w:pStyle w:val="62"/>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廉洁协议书</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hAnsi="宋体" w:eastAsia="宋体"/>
                <w:color w:val="auto"/>
                <w:sz w:val="21"/>
                <w:szCs w:val="21"/>
                <w:highlight w:val="none"/>
              </w:rPr>
              <w:t>附件三</w:t>
            </w:r>
          </w:p>
        </w:tc>
        <w:tc>
          <w:tcPr>
            <w:tcW w:w="3055" w:type="dxa"/>
            <w:vAlign w:val="center"/>
          </w:tcPr>
          <w:p>
            <w:pPr>
              <w:pStyle w:val="62"/>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宋体"/>
                <w:color w:val="auto"/>
                <w:kern w:val="0"/>
                <w:szCs w:val="21"/>
                <w:highlight w:val="none"/>
              </w:rPr>
            </w:pPr>
            <w:r>
              <w:rPr>
                <w:rFonts w:hint="eastAsia" w:ascii="宋体" w:hAnsi="宋体" w:eastAsia="宋体"/>
                <w:color w:val="auto"/>
                <w:sz w:val="21"/>
                <w:szCs w:val="21"/>
                <w:highlight w:val="none"/>
              </w:rPr>
              <w:t>安全生产责任书</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sz w:val="21"/>
                <w:szCs w:val="21"/>
                <w:highlight w:val="none"/>
              </w:rPr>
              <w:t>附件四</w:t>
            </w:r>
          </w:p>
        </w:tc>
        <w:tc>
          <w:tcPr>
            <w:tcW w:w="3055" w:type="dxa"/>
            <w:vAlign w:val="center"/>
          </w:tcPr>
          <w:p>
            <w:pPr>
              <w:pStyle w:val="62"/>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宋体"/>
                <w:color w:val="auto"/>
                <w:kern w:val="0"/>
                <w:szCs w:val="21"/>
                <w:highlight w:val="none"/>
              </w:rPr>
            </w:pPr>
            <w:r>
              <w:rPr>
                <w:rFonts w:hint="eastAsia" w:ascii="宋体" w:hAnsi="宋体" w:eastAsia="宋体" w:cs="宋体"/>
                <w:color w:val="auto"/>
                <w:sz w:val="21"/>
                <w:szCs w:val="21"/>
                <w:highlight w:val="none"/>
              </w:rPr>
              <w:t>诚信履约承诺书</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sz w:val="21"/>
                <w:szCs w:val="21"/>
                <w:highlight w:val="none"/>
              </w:rPr>
              <w:t>附件五</w:t>
            </w:r>
          </w:p>
        </w:tc>
        <w:tc>
          <w:tcPr>
            <w:tcW w:w="3055" w:type="dxa"/>
            <w:vAlign w:val="center"/>
          </w:tcPr>
          <w:p>
            <w:pPr>
              <w:pStyle w:val="62"/>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宋体"/>
                <w:color w:val="auto"/>
                <w:kern w:val="0"/>
                <w:szCs w:val="21"/>
                <w:highlight w:val="none"/>
              </w:rPr>
            </w:pPr>
            <w:r>
              <w:rPr>
                <w:rFonts w:hint="eastAsia" w:ascii="宋体" w:hAnsi="宋体" w:eastAsia="宋体" w:cs="宋体"/>
                <w:color w:val="auto"/>
                <w:sz w:val="21"/>
                <w:szCs w:val="21"/>
                <w:highlight w:val="none"/>
              </w:rPr>
              <w:t>监测单位履约考核评分表</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hAnsi="宋体" w:eastAsia="宋体"/>
                <w:color w:val="auto"/>
                <w:sz w:val="21"/>
                <w:szCs w:val="21"/>
                <w:highlight w:val="none"/>
              </w:rPr>
              <w:t>一</w:t>
            </w:r>
          </w:p>
        </w:tc>
        <w:tc>
          <w:tcPr>
            <w:tcW w:w="3055" w:type="dxa"/>
            <w:vAlign w:val="center"/>
          </w:tcPr>
          <w:p>
            <w:pPr>
              <w:pStyle w:val="62"/>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宋体"/>
                <w:color w:val="auto"/>
                <w:kern w:val="0"/>
                <w:szCs w:val="21"/>
                <w:highlight w:val="none"/>
              </w:rPr>
            </w:pPr>
            <w:r>
              <w:rPr>
                <w:rFonts w:hint="eastAsia" w:ascii="宋体" w:hAnsi="宋体" w:eastAsia="宋体"/>
                <w:color w:val="auto"/>
                <w:sz w:val="21"/>
                <w:szCs w:val="21"/>
                <w:highlight w:val="none"/>
              </w:rPr>
              <w:t>不可撤销银行履约保函</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hAnsi="宋体" w:eastAsia="宋体"/>
                <w:color w:val="auto"/>
                <w:sz w:val="21"/>
                <w:szCs w:val="21"/>
                <w:highlight w:val="none"/>
              </w:rPr>
              <w:t>二</w:t>
            </w:r>
          </w:p>
        </w:tc>
        <w:tc>
          <w:tcPr>
            <w:tcW w:w="3055" w:type="dxa"/>
            <w:vAlign w:val="center"/>
          </w:tcPr>
          <w:p>
            <w:pPr>
              <w:pStyle w:val="62"/>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履约保证保险凭证</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hAnsi="宋体" w:eastAsia="宋体"/>
                <w:color w:val="auto"/>
                <w:sz w:val="21"/>
                <w:szCs w:val="21"/>
                <w:highlight w:val="none"/>
              </w:rPr>
              <w:t>三</w:t>
            </w:r>
          </w:p>
        </w:tc>
        <w:tc>
          <w:tcPr>
            <w:tcW w:w="3055" w:type="dxa"/>
            <w:vAlign w:val="center"/>
          </w:tcPr>
          <w:p>
            <w:pPr>
              <w:pStyle w:val="62"/>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担保公司履约担保书</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pPr>
        <w:spacing w:line="360" w:lineRule="auto"/>
        <w:ind w:left="357" w:leftChars="-100" w:hanging="567" w:hangingChars="270"/>
        <w:rPr>
          <w:rFonts w:ascii="宋体" w:hAnsi="宋体" w:eastAsia="宋体" w:cs="宋体"/>
          <w:color w:val="auto"/>
          <w:szCs w:val="21"/>
          <w:highlight w:val="none"/>
        </w:rPr>
      </w:pPr>
    </w:p>
    <w:p>
      <w:pPr>
        <w:spacing w:line="360" w:lineRule="auto"/>
        <w:ind w:left="357" w:leftChars="-100" w:hanging="567" w:hangingChars="270"/>
        <w:rPr>
          <w:rFonts w:ascii="宋体" w:hAnsi="宋体" w:eastAsia="宋体" w:cs="宋体"/>
          <w:color w:val="auto"/>
          <w:szCs w:val="21"/>
          <w:highlight w:val="none"/>
        </w:rPr>
      </w:pPr>
    </w:p>
    <w:p>
      <w:pPr>
        <w:spacing w:line="360" w:lineRule="auto"/>
        <w:ind w:left="357" w:leftChars="-100" w:hanging="567" w:hangingChars="270"/>
        <w:rPr>
          <w:rFonts w:ascii="宋体" w:hAnsi="宋体" w:eastAsia="宋体" w:cs="宋体"/>
          <w:color w:val="auto"/>
          <w:szCs w:val="21"/>
          <w:highlight w:val="none"/>
        </w:rPr>
      </w:pPr>
    </w:p>
    <w:p>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724" w:name="_Toc94107218"/>
      <w:bookmarkStart w:id="725" w:name="_Toc704"/>
      <w:bookmarkStart w:id="726" w:name="_Toc25286"/>
      <w:bookmarkStart w:id="727" w:name="_Toc29505"/>
      <w:bookmarkStart w:id="728" w:name="_Toc102860426"/>
      <w:bookmarkStart w:id="729" w:name="_Toc5473"/>
      <w:bookmarkStart w:id="730" w:name="_Toc140596937"/>
      <w:bookmarkStart w:id="731" w:name="_Toc13179"/>
      <w:bookmarkStart w:id="732" w:name="_Toc104991884"/>
      <w:bookmarkStart w:id="733" w:name="_Toc22644"/>
      <w:bookmarkStart w:id="734" w:name="_Toc142508377"/>
      <w:bookmarkStart w:id="735" w:name="_Toc102860082"/>
      <w:bookmarkStart w:id="736" w:name="_Toc486167717"/>
      <w:bookmarkStart w:id="737"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724"/>
      <w:bookmarkEnd w:id="725"/>
      <w:bookmarkEnd w:id="726"/>
      <w:bookmarkEnd w:id="727"/>
      <w:bookmarkEnd w:id="728"/>
      <w:bookmarkEnd w:id="729"/>
      <w:bookmarkEnd w:id="730"/>
      <w:bookmarkEnd w:id="731"/>
      <w:bookmarkEnd w:id="732"/>
      <w:bookmarkEnd w:id="733"/>
      <w:bookmarkEnd w:id="734"/>
      <w:bookmarkEnd w:id="735"/>
    </w:p>
    <w:p>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投标人20</w:t>
      </w:r>
      <w:r>
        <w:rPr>
          <w:rFonts w:hint="eastAsia" w:ascii="宋体" w:hAnsi="宋体" w:eastAsia="宋体" w:cs="Times New Roman"/>
          <w:b/>
          <w:bCs/>
          <w:color w:val="auto"/>
          <w:sz w:val="30"/>
          <w:szCs w:val="30"/>
          <w:highlight w:val="none"/>
          <w:lang w:val="en-US" w:eastAsia="zh-CN"/>
        </w:rPr>
        <w:t>20</w:t>
      </w:r>
      <w:r>
        <w:rPr>
          <w:rFonts w:hint="eastAsia" w:ascii="宋体" w:hAnsi="宋体" w:eastAsia="宋体" w:cs="Times New Roman"/>
          <w:b/>
          <w:bCs/>
          <w:color w:val="auto"/>
          <w:sz w:val="30"/>
          <w:szCs w:val="30"/>
          <w:highlight w:val="none"/>
          <w:lang w:val="zh-CN"/>
        </w:rPr>
        <w:t>年1月1日至今在国内完成的市政工程监测业绩表</w:t>
      </w:r>
    </w:p>
    <w:tbl>
      <w:tblPr>
        <w:tblStyle w:val="3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60"/>
        <w:gridCol w:w="954"/>
        <w:gridCol w:w="954"/>
        <w:gridCol w:w="956"/>
        <w:gridCol w:w="956"/>
        <w:gridCol w:w="956"/>
        <w:gridCol w:w="1114"/>
        <w:gridCol w:w="956"/>
        <w:gridCol w:w="956"/>
        <w:gridCol w:w="956"/>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6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5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95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111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78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1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8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1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8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1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8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1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8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；同一个单项合同的业绩可以同时在资格业绩和评分业绩重复放置。</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lang w:val="zh-CN"/>
        </w:rPr>
        <w:t>）业绩须附合同复印件，否则不得分；</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b w:val="0"/>
          <w:bCs w:val="0"/>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w:t>
      </w:r>
      <w:r>
        <w:rPr>
          <w:rFonts w:hint="eastAsia" w:ascii="宋体" w:hAnsi="宋体" w:eastAsia="宋体" w:cs="宋体"/>
          <w:b w:val="0"/>
          <w:bCs w:val="0"/>
          <w:color w:val="auto"/>
          <w:sz w:val="21"/>
          <w:szCs w:val="21"/>
          <w:highlight w:val="none"/>
        </w:rPr>
        <w:t>合同业绩证明材料必须能反映评分条件[合同签订日期为</w:t>
      </w:r>
      <w:r>
        <w:rPr>
          <w:rFonts w:hint="eastAsia" w:ascii="宋体" w:hAnsi="宋体" w:eastAsia="宋体" w:cs="宋体"/>
          <w:b w:val="0"/>
          <w:bCs w:val="0"/>
          <w:color w:val="auto"/>
          <w:szCs w:val="21"/>
          <w:highlight w:val="none"/>
          <w:lang w:val="zh-CN"/>
        </w:rPr>
        <w:t>20</w:t>
      </w:r>
      <w:r>
        <w:rPr>
          <w:rFonts w:hint="eastAsia" w:ascii="宋体" w:hAnsi="宋体" w:eastAsia="宋体" w:cs="宋体"/>
          <w:b w:val="0"/>
          <w:bCs w:val="0"/>
          <w:color w:val="auto"/>
          <w:szCs w:val="21"/>
          <w:highlight w:val="none"/>
          <w:lang w:val="en-US" w:eastAsia="zh-CN"/>
        </w:rPr>
        <w:t>20</w:t>
      </w:r>
      <w:r>
        <w:rPr>
          <w:rFonts w:hint="eastAsia" w:ascii="宋体" w:hAnsi="宋体" w:eastAsia="宋体" w:cs="宋体"/>
          <w:b w:val="0"/>
          <w:bCs w:val="0"/>
          <w:color w:val="auto"/>
          <w:szCs w:val="21"/>
          <w:highlight w:val="none"/>
          <w:lang w:val="zh-CN"/>
        </w:rPr>
        <w:t>年1月1日</w:t>
      </w:r>
      <w:r>
        <w:rPr>
          <w:rFonts w:hint="eastAsia" w:ascii="宋体" w:hAnsi="宋体" w:eastAsia="宋体" w:cs="宋体"/>
          <w:b w:val="0"/>
          <w:bCs w:val="0"/>
          <w:color w:val="auto"/>
          <w:sz w:val="21"/>
          <w:szCs w:val="21"/>
          <w:highlight w:val="none"/>
        </w:rPr>
        <w:t>或以后，业绩类型为市政工程监测，合同金额</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Cs w:val="21"/>
          <w:highlight w:val="none"/>
        </w:rPr>
        <w:t>若合同内容无法反映合同金额的，需提供可反映合同金额的结算资料复印件</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Cs w:val="21"/>
          <w:highlight w:val="none"/>
        </w:rPr>
        <w:t>，否则需同时提供</w:t>
      </w:r>
      <w:r>
        <w:rPr>
          <w:rFonts w:hint="eastAsia" w:ascii="宋体" w:hAnsi="宋体" w:eastAsia="宋体" w:cs="宋体"/>
          <w:b w:val="0"/>
          <w:bCs w:val="0"/>
          <w:color w:val="auto"/>
          <w:szCs w:val="21"/>
          <w:highlight w:val="none"/>
          <w:lang w:val="en-US" w:eastAsia="zh-CN"/>
        </w:rPr>
        <w:t>合同委托方</w:t>
      </w:r>
      <w:r>
        <w:rPr>
          <w:rFonts w:hint="eastAsia" w:ascii="宋体" w:hAnsi="宋体" w:eastAsia="宋体" w:cs="宋体"/>
          <w:b w:val="0"/>
          <w:bCs w:val="0"/>
          <w:color w:val="auto"/>
          <w:szCs w:val="21"/>
          <w:highlight w:val="none"/>
        </w:rPr>
        <w:t>出具的书面补充情况说明文件复印件</w:t>
      </w:r>
      <w:r>
        <w:rPr>
          <w:rFonts w:hint="eastAsia" w:ascii="宋体" w:hAnsi="宋体" w:eastAsia="宋体" w:cs="宋体"/>
          <w:b w:val="0"/>
          <w:bCs w:val="0"/>
          <w:color w:val="auto"/>
          <w:szCs w:val="21"/>
          <w:highlight w:val="none"/>
          <w:lang w:val="en-US" w:eastAsia="zh-CN"/>
        </w:rPr>
        <w:t>（需加盖委托方公章，即复印件能显示委托方公章）</w:t>
      </w:r>
      <w:r>
        <w:rPr>
          <w:rFonts w:hint="eastAsia" w:ascii="宋体" w:hAnsi="宋体" w:eastAsia="宋体" w:cs="Times New Roman"/>
          <w:b w:val="0"/>
          <w:bCs w:val="0"/>
          <w:color w:val="auto"/>
          <w:szCs w:val="24"/>
          <w:highlight w:val="none"/>
          <w:lang w:val="zh-CN"/>
        </w:rPr>
        <w:t>；</w:t>
      </w:r>
    </w:p>
    <w:p>
      <w:pPr>
        <w:autoSpaceDE w:val="0"/>
        <w:autoSpaceDN w:val="0"/>
        <w:adjustRightInd w:val="0"/>
        <w:snapToGrid w:val="0"/>
        <w:spacing w:line="360" w:lineRule="auto"/>
        <w:ind w:left="483" w:leftChars="-41" w:hanging="569" w:hangingChars="270"/>
        <w:jc w:val="left"/>
        <w:rPr>
          <w:rFonts w:ascii="宋体" w:hAnsi="宋体" w:eastAsia="宋体" w:cs="宋体"/>
          <w:b/>
          <w:bCs/>
          <w:color w:val="auto"/>
          <w:kern w:val="0"/>
          <w:szCs w:val="21"/>
          <w:highlight w:val="none"/>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4</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bCs/>
          <w:color w:val="auto"/>
          <w:kern w:val="0"/>
          <w:szCs w:val="21"/>
          <w:highlight w:val="none"/>
        </w:rPr>
        <w:t>。</w:t>
      </w: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pPr>
        <w:autoSpaceDE w:val="0"/>
        <w:autoSpaceDN w:val="0"/>
        <w:adjustRightInd w:val="0"/>
        <w:spacing w:line="360" w:lineRule="auto"/>
        <w:rPr>
          <w:rFonts w:ascii="宋体" w:hAnsi="宋体" w:eastAsia="宋体" w:cs="Times New Roman"/>
          <w:b/>
          <w:bCs/>
          <w:color w:val="auto"/>
          <w:sz w:val="30"/>
          <w:szCs w:val="30"/>
          <w:highlight w:val="none"/>
          <w:lang w:val="zh-CN"/>
        </w:rPr>
      </w:pPr>
    </w:p>
    <w:p>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bookmarkEnd w:id="736"/>
    <w:bookmarkEnd w:id="737"/>
    <w:p>
      <w:pPr>
        <w:rPr>
          <w:rFonts w:hint="eastAsia" w:ascii="宋体" w:hAnsi="宋体" w:eastAsia="宋体" w:cs="宋体"/>
          <w:b/>
          <w:bCs/>
          <w:color w:val="auto"/>
          <w:kern w:val="0"/>
          <w:sz w:val="32"/>
          <w:szCs w:val="32"/>
          <w:highlight w:val="none"/>
          <w:lang w:val="zh-CN"/>
        </w:rPr>
      </w:pPr>
      <w:bookmarkStart w:id="738" w:name="_Toc104991885"/>
      <w:bookmarkStart w:id="739" w:name="_Toc94107220"/>
      <w:bookmarkStart w:id="740" w:name="_Toc102860083"/>
      <w:bookmarkStart w:id="741" w:name="_Toc31965"/>
      <w:bookmarkStart w:id="742" w:name="_Toc1977737"/>
      <w:bookmarkStart w:id="743" w:name="_Toc18413"/>
      <w:bookmarkStart w:id="744" w:name="_Toc19890"/>
      <w:bookmarkStart w:id="745" w:name="_Toc533708132"/>
      <w:bookmarkStart w:id="746" w:name="_Toc486167719"/>
      <w:bookmarkStart w:id="747" w:name="_Toc18175_WPSOffice_Level2"/>
      <w:bookmarkStart w:id="748" w:name="_Toc140596938"/>
      <w:bookmarkStart w:id="749" w:name="_Toc102860427"/>
      <w:bookmarkStart w:id="750" w:name="_Toc142508378"/>
      <w:r>
        <w:rPr>
          <w:rFonts w:hint="eastAsia" w:ascii="宋体" w:hAnsi="宋体" w:eastAsia="宋体" w:cs="宋体"/>
          <w:b/>
          <w:bCs/>
          <w:color w:val="auto"/>
          <w:kern w:val="0"/>
          <w:sz w:val="32"/>
          <w:szCs w:val="32"/>
          <w:highlight w:val="none"/>
          <w:lang w:val="zh-CN"/>
        </w:rPr>
        <w:br w:type="page"/>
      </w:r>
    </w:p>
    <w:p>
      <w:pPr>
        <w:keepNext w:val="0"/>
        <w:keepLines w:val="0"/>
        <w:pageBreakBefore w:val="0"/>
        <w:widowControl/>
        <w:kinsoku/>
        <w:wordWrap/>
        <w:overflowPunct/>
        <w:topLinePunct w:val="0"/>
        <w:autoSpaceDE/>
        <w:autoSpaceDN/>
        <w:bidi w:val="0"/>
        <w:adjustRightInd/>
        <w:snapToGrid/>
        <w:textAlignment w:val="auto"/>
        <w:outlineLvl w:val="2"/>
        <w:rPr>
          <w:rFonts w:hint="eastAsia" w:ascii="宋体" w:hAnsi="宋体" w:eastAsia="宋体" w:cs="宋体"/>
          <w:b/>
          <w:color w:val="auto"/>
          <w:sz w:val="32"/>
          <w:szCs w:val="32"/>
          <w:highlight w:val="none"/>
        </w:rPr>
      </w:pPr>
      <w:bookmarkStart w:id="751" w:name="_Toc1383"/>
      <w:r>
        <w:rPr>
          <w:rFonts w:hint="eastAsia" w:ascii="宋体" w:hAnsi="宋体" w:eastAsia="宋体" w:cs="宋体"/>
          <w:b/>
          <w:color w:val="auto"/>
          <w:sz w:val="32"/>
          <w:szCs w:val="32"/>
          <w:highlight w:val="none"/>
          <w:lang w:eastAsia="zh-CN"/>
        </w:rPr>
        <w:t>十</w:t>
      </w:r>
      <w:r>
        <w:rPr>
          <w:rFonts w:hint="eastAsia" w:ascii="宋体" w:hAnsi="宋体" w:eastAsia="宋体" w:cs="宋体"/>
          <w:b/>
          <w:color w:val="auto"/>
          <w:sz w:val="32"/>
          <w:szCs w:val="32"/>
          <w:highlight w:val="none"/>
        </w:rPr>
        <w:t>、拟投入人员情况格式</w:t>
      </w:r>
      <w:bookmarkEnd w:id="751"/>
    </w:p>
    <w:p>
      <w:pPr>
        <w:spacing w:before="120" w:beforeLines="50"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（1）拟投入人员情况一览表</w:t>
      </w:r>
    </w:p>
    <w:tbl>
      <w:tblPr>
        <w:tblStyle w:val="3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647"/>
        <w:gridCol w:w="1417"/>
        <w:gridCol w:w="1656"/>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4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6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职称证书/资格证书/</w:t>
            </w:r>
            <w:r>
              <w:rPr>
                <w:rFonts w:hint="eastAsia" w:ascii="宋体" w:hAnsi="宋体" w:eastAsia="宋体" w:cs="宋体"/>
                <w:color w:val="auto"/>
                <w:kern w:val="2"/>
                <w:sz w:val="21"/>
                <w:szCs w:val="21"/>
                <w:highlight w:val="none"/>
              </w:rPr>
              <w:t>注册证书</w:t>
            </w:r>
          </w:p>
        </w:tc>
        <w:tc>
          <w:tcPr>
            <w:tcW w:w="141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拟任职务</w:t>
            </w:r>
          </w:p>
        </w:tc>
        <w:tc>
          <w:tcPr>
            <w:tcW w:w="165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从事本行业年限</w:t>
            </w:r>
          </w:p>
        </w:tc>
        <w:tc>
          <w:tcPr>
            <w:tcW w:w="9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4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4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4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4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4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pPr>
        <w:overflowPunct w:val="0"/>
        <w:autoSpaceDE/>
        <w:autoSpaceDN/>
        <w:adjustRightInd/>
        <w:spacing w:before="120" w:line="360" w:lineRule="auto"/>
        <w:ind w:left="267" w:leftChars="-73" w:hanging="420" w:hanging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p>
      <w:pPr>
        <w:overflowPunct w:val="0"/>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（1）此表格式供参照，投标人可以根据本表格式内容自行划表填写。</w:t>
      </w:r>
    </w:p>
    <w:p>
      <w:pPr>
        <w:keepNext w:val="0"/>
        <w:keepLines w:val="0"/>
        <w:suppressLineNumbers w:val="0"/>
        <w:adjustRightInd/>
        <w:spacing w:before="0" w:beforeAutospacing="0" w:after="0" w:afterAutospacing="0" w:line="360" w:lineRule="auto"/>
        <w:ind w:right="0"/>
        <w:contextualSpacing/>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szCs w:val="21"/>
          <w:highlight w:val="none"/>
        </w:rPr>
        <w:t>以上人员</w:t>
      </w:r>
      <w:r>
        <w:rPr>
          <w:rFonts w:hint="eastAsia" w:ascii="宋体" w:hAnsi="宋体" w:eastAsia="宋体" w:cs="宋体"/>
          <w:b w:val="0"/>
          <w:bCs w:val="0"/>
          <w:color w:val="auto"/>
          <w:szCs w:val="21"/>
          <w:highlight w:val="none"/>
        </w:rPr>
        <w:t>须提供身份证、职称证书（或注册证书）、社会保障部门出具的最近1年（即</w:t>
      </w:r>
      <w:r>
        <w:rPr>
          <w:rFonts w:hint="eastAsia" w:ascii="宋体" w:hAnsi="宋体" w:eastAsia="宋体" w:cs="宋体"/>
          <w:b w:val="0"/>
          <w:bCs w:val="0"/>
          <w:color w:val="auto"/>
          <w:szCs w:val="21"/>
          <w:highlight w:val="none"/>
          <w:lang w:eastAsia="zh-CN"/>
        </w:rPr>
        <w:t>2024年2月至2025年1月</w:t>
      </w:r>
      <w:r>
        <w:rPr>
          <w:rFonts w:hint="eastAsia" w:ascii="宋体" w:hAnsi="宋体" w:eastAsia="宋体" w:cs="宋体"/>
          <w:b w:val="0"/>
          <w:bCs w:val="0"/>
          <w:color w:val="auto"/>
          <w:szCs w:val="21"/>
          <w:highlight w:val="none"/>
        </w:rPr>
        <w:t>）在投标人单位缴纳</w:t>
      </w:r>
      <w:r>
        <w:rPr>
          <w:rFonts w:hint="eastAsia" w:ascii="宋体" w:hAnsi="宋体" w:eastAsia="宋体" w:cs="宋体"/>
          <w:b w:val="0"/>
          <w:bCs w:val="0"/>
          <w:color w:val="auto"/>
          <w:szCs w:val="21"/>
          <w:highlight w:val="none"/>
          <w:lang w:eastAsia="zh-CN"/>
        </w:rPr>
        <w:t>社保</w:t>
      </w:r>
      <w:r>
        <w:rPr>
          <w:rFonts w:hint="eastAsia" w:ascii="宋体" w:hAnsi="宋体" w:eastAsia="宋体" w:cs="宋体"/>
          <w:b w:val="0"/>
          <w:bCs w:val="0"/>
          <w:color w:val="auto"/>
          <w:szCs w:val="21"/>
          <w:highlight w:val="none"/>
        </w:rPr>
        <w:t>有效凭证等证明材料复印件加盖投标人公章</w:t>
      </w:r>
      <w:r>
        <w:rPr>
          <w:rFonts w:hint="eastAsia" w:ascii="宋体" w:hAnsi="宋体" w:eastAsia="宋体" w:cs="宋体"/>
          <w:b w:val="0"/>
          <w:bCs w:val="0"/>
          <w:color w:val="auto"/>
          <w:szCs w:val="21"/>
          <w:highlight w:val="none"/>
          <w:lang w:eastAsia="zh-CN"/>
        </w:rPr>
        <w:t>。</w:t>
      </w:r>
    </w:p>
    <w:p>
      <w:pPr>
        <w:autoSpaceDE/>
        <w:autoSpaceDN/>
        <w:adjustRightInd/>
        <w:spacing w:line="360" w:lineRule="auto"/>
        <w:ind w:right="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（3）同一人员具备多个种类证书不重复得分。</w:t>
      </w:r>
    </w:p>
    <w:p>
      <w:pPr>
        <w:autoSpaceDE/>
        <w:autoSpaceDN/>
        <w:adjustRightInd/>
        <w:spacing w:line="360" w:lineRule="auto"/>
        <w:ind w:right="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（4）同一人员具备同一种类证书含有多个专业的仅按一个专业计算一次得分。</w:t>
      </w:r>
    </w:p>
    <w:p>
      <w:pPr>
        <w:autoSpaceDE/>
        <w:autoSpaceDN/>
        <w:adjustRightInd/>
        <w:spacing w:line="360" w:lineRule="auto"/>
        <w:ind w:right="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（5）同一人员具备同一种类证书或同一个专业含有多个等级的仅按最高等级证书计算一次得分。</w:t>
      </w:r>
    </w:p>
    <w:p>
      <w:pPr>
        <w:autoSpaceDE/>
        <w:autoSpaceDN/>
        <w:adjustRightInd/>
        <w:spacing w:line="360" w:lineRule="auto"/>
        <w:ind w:right="420"/>
        <w:rPr>
          <w:rFonts w:hint="eastAsia" w:ascii="宋体" w:hAnsi="宋体" w:eastAsia="宋体" w:cs="宋体"/>
          <w:color w:val="auto"/>
          <w:kern w:val="2"/>
          <w:sz w:val="21"/>
          <w:szCs w:val="21"/>
          <w:highlight w:val="none"/>
          <w:lang w:val="zh-CN"/>
        </w:rPr>
      </w:pPr>
    </w:p>
    <w:p>
      <w:pPr>
        <w:autoSpaceDE/>
        <w:autoSpaceDN/>
        <w:adjustRightInd/>
        <w:spacing w:line="360" w:lineRule="auto"/>
        <w:ind w:right="420" w:firstLine="4935" w:firstLineChars="235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投标人：</w:t>
      </w:r>
      <w:r>
        <w:rPr>
          <w:rFonts w:hint="eastAsia" w:ascii="宋体" w:hAnsi="宋体" w:eastAsia="宋体" w:cs="宋体"/>
          <w:color w:val="auto"/>
          <w:sz w:val="21"/>
          <w:szCs w:val="21"/>
          <w:highlight w:val="none"/>
          <w:lang w:val="zh-CN"/>
        </w:rPr>
        <w:t>（加盖投标人法人公章）</w:t>
      </w:r>
    </w:p>
    <w:p>
      <w:pPr>
        <w:spacing w:line="360" w:lineRule="auto"/>
        <w:ind w:firstLine="4935" w:firstLineChars="2350"/>
        <w:jc w:val="both"/>
        <w:rPr>
          <w:rFonts w:hint="eastAsia" w:ascii="宋体" w:hAnsi="宋体" w:eastAsia="宋体" w:cs="宋体"/>
          <w:color w:val="auto"/>
          <w:kern w:val="2"/>
          <w:sz w:val="21"/>
          <w:highlight w:val="none"/>
          <w:lang w:val="zh-CN"/>
        </w:rPr>
      </w:pPr>
      <w:r>
        <w:rPr>
          <w:rFonts w:hint="eastAsia" w:ascii="宋体" w:hAnsi="宋体" w:eastAsia="宋体" w:cs="宋体"/>
          <w:color w:val="auto"/>
          <w:sz w:val="21"/>
          <w:szCs w:val="21"/>
          <w:highlight w:val="none"/>
        </w:rPr>
        <w:t xml:space="preserve">日  期：  </w:t>
      </w:r>
      <w:r>
        <w:rPr>
          <w:rFonts w:hint="eastAsia" w:ascii="宋体" w:hAnsi="宋体" w:eastAsia="宋体" w:cs="宋体"/>
          <w:color w:val="auto"/>
          <w:kern w:val="2"/>
          <w:sz w:val="21"/>
          <w:highlight w:val="none"/>
          <w:lang w:val="zh-CN"/>
        </w:rPr>
        <w:t>年  月  日</w:t>
      </w:r>
    </w:p>
    <w:p>
      <w:pPr>
        <w:spacing w:line="360" w:lineRule="auto"/>
        <w:ind w:firstLine="5040" w:firstLineChars="2400"/>
        <w:rPr>
          <w:rFonts w:hint="eastAsia" w:ascii="宋体" w:hAnsi="宋体" w:eastAsia="宋体" w:cs="宋体"/>
          <w:color w:val="auto"/>
          <w:kern w:val="2"/>
          <w:sz w:val="21"/>
          <w:highlight w:val="none"/>
          <w:lang w:val="zh-CN"/>
        </w:rPr>
      </w:pPr>
    </w:p>
    <w:p>
      <w:pPr>
        <w:pageBreakBefore/>
        <w:spacing w:line="360" w:lineRule="auto"/>
        <w:jc w:val="center"/>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（2）拟投入项目负责人简历表</w:t>
      </w:r>
    </w:p>
    <w:tbl>
      <w:tblPr>
        <w:tblStyle w:val="37"/>
        <w:tblW w:w="5000" w:type="pct"/>
        <w:jc w:val="center"/>
        <w:tblLayout w:type="fixed"/>
        <w:tblCellMar>
          <w:top w:w="0" w:type="dxa"/>
          <w:left w:w="108" w:type="dxa"/>
          <w:bottom w:w="0" w:type="dxa"/>
          <w:right w:w="108" w:type="dxa"/>
        </w:tblCellMar>
      </w:tblPr>
      <w:tblGrid>
        <w:gridCol w:w="2305"/>
        <w:gridCol w:w="407"/>
        <w:gridCol w:w="577"/>
        <w:gridCol w:w="975"/>
        <w:gridCol w:w="531"/>
        <w:gridCol w:w="1037"/>
        <w:gridCol w:w="637"/>
        <w:gridCol w:w="473"/>
        <w:gridCol w:w="506"/>
        <w:gridCol w:w="944"/>
        <w:gridCol w:w="508"/>
        <w:gridCol w:w="1470"/>
      </w:tblGrid>
      <w:tr>
        <w:tblPrEx>
          <w:tblCellMar>
            <w:top w:w="0" w:type="dxa"/>
            <w:left w:w="108" w:type="dxa"/>
            <w:bottom w:w="0" w:type="dxa"/>
            <w:right w:w="108" w:type="dxa"/>
          </w:tblCellMar>
        </w:tblPrEx>
        <w:trPr>
          <w:trHeight w:val="915" w:hRule="atLeast"/>
          <w:jc w:val="center"/>
        </w:trPr>
        <w:tc>
          <w:tcPr>
            <w:tcW w:w="230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2490" w:type="dxa"/>
            <w:gridSpan w:val="4"/>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037" w:type="dxa"/>
            <w:tcBorders>
              <w:top w:val="single" w:color="auto" w:sz="8" w:space="0"/>
              <w:left w:val="nil"/>
              <w:bottom w:val="single" w:color="auto" w:sz="8" w:space="0"/>
              <w:right w:val="single" w:color="auto"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616"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452"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470" w:type="dxa"/>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915" w:hRule="atLeast"/>
          <w:jc w:val="center"/>
        </w:trPr>
        <w:tc>
          <w:tcPr>
            <w:tcW w:w="2305" w:type="dxa"/>
            <w:tcBorders>
              <w:top w:val="nil"/>
              <w:left w:val="single" w:color="auto" w:sz="8" w:space="0"/>
              <w:bottom w:val="single" w:color="auto" w:sz="8" w:space="0"/>
              <w:right w:val="single" w:color="auto"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2490" w:type="dxa"/>
            <w:gridSpan w:val="4"/>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037" w:type="dxa"/>
            <w:tcBorders>
              <w:top w:val="nil"/>
              <w:left w:val="nil"/>
              <w:bottom w:val="single" w:color="auto" w:sz="8" w:space="0"/>
              <w:right w:val="single" w:color="auto"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616"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452"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470" w:type="dxa"/>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915" w:hRule="atLeast"/>
          <w:jc w:val="center"/>
        </w:trPr>
        <w:tc>
          <w:tcPr>
            <w:tcW w:w="3289" w:type="dxa"/>
            <w:gridSpan w:val="3"/>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参加工作时间</w:t>
            </w:r>
          </w:p>
        </w:tc>
        <w:tc>
          <w:tcPr>
            <w:tcW w:w="3653" w:type="dxa"/>
            <w:gridSpan w:val="5"/>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958"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（职位名称）</w:t>
            </w:r>
            <w:r>
              <w:rPr>
                <w:rFonts w:hint="eastAsia" w:ascii="宋体" w:hAnsi="宋体" w:eastAsia="宋体" w:cs="宋体"/>
                <w:color w:val="auto"/>
                <w:sz w:val="21"/>
                <w:szCs w:val="21"/>
                <w:highlight w:val="none"/>
              </w:rPr>
              <w:t>年限</w:t>
            </w:r>
          </w:p>
        </w:tc>
        <w:tc>
          <w:tcPr>
            <w:tcW w:w="1470" w:type="dxa"/>
            <w:tcBorders>
              <w:top w:val="nil"/>
              <w:left w:val="nil"/>
              <w:bottom w:val="single" w:color="auto" w:sz="8" w:space="0"/>
              <w:right w:val="single" w:color="auto"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915" w:hRule="atLeast"/>
          <w:jc w:val="center"/>
        </w:trPr>
        <w:tc>
          <w:tcPr>
            <w:tcW w:w="3289" w:type="dxa"/>
            <w:gridSpan w:val="3"/>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资格证书编号</w:t>
            </w:r>
          </w:p>
        </w:tc>
        <w:tc>
          <w:tcPr>
            <w:tcW w:w="3653" w:type="dxa"/>
            <w:gridSpan w:val="5"/>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958"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470" w:type="dxa"/>
            <w:tcBorders>
              <w:top w:val="nil"/>
              <w:left w:val="nil"/>
              <w:bottom w:val="single" w:color="auto" w:sz="8" w:space="0"/>
              <w:right w:val="single" w:color="auto"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915" w:hRule="atLeast"/>
          <w:jc w:val="center"/>
        </w:trPr>
        <w:tc>
          <w:tcPr>
            <w:tcW w:w="10370" w:type="dxa"/>
            <w:gridSpan w:val="12"/>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主要类似项目业绩</w:t>
            </w:r>
          </w:p>
        </w:tc>
      </w:tr>
      <w:tr>
        <w:tblPrEx>
          <w:tblCellMar>
            <w:top w:w="0" w:type="dxa"/>
            <w:left w:w="108" w:type="dxa"/>
            <w:bottom w:w="0" w:type="dxa"/>
            <w:right w:w="108" w:type="dxa"/>
          </w:tblCellMar>
        </w:tblPrEx>
        <w:trPr>
          <w:trHeight w:val="915" w:hRule="atLeast"/>
          <w:jc w:val="center"/>
        </w:trPr>
        <w:tc>
          <w:tcPr>
            <w:tcW w:w="2712" w:type="dxa"/>
            <w:gridSpan w:val="2"/>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552"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发包单位</w:t>
            </w:r>
          </w:p>
        </w:tc>
        <w:tc>
          <w:tcPr>
            <w:tcW w:w="2205"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1923"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本人在该项目中所任职务</w:t>
            </w:r>
          </w:p>
        </w:tc>
        <w:tc>
          <w:tcPr>
            <w:tcW w:w="1978"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起止时间</w:t>
            </w:r>
          </w:p>
        </w:tc>
      </w:tr>
      <w:tr>
        <w:tblPrEx>
          <w:tblCellMar>
            <w:top w:w="0" w:type="dxa"/>
            <w:left w:w="108" w:type="dxa"/>
            <w:bottom w:w="0" w:type="dxa"/>
            <w:right w:w="108" w:type="dxa"/>
          </w:tblCellMar>
        </w:tblPrEx>
        <w:trPr>
          <w:trHeight w:val="915" w:hRule="atLeast"/>
          <w:jc w:val="center"/>
        </w:trPr>
        <w:tc>
          <w:tcPr>
            <w:tcW w:w="2712" w:type="dxa"/>
            <w:gridSpan w:val="2"/>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978"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915" w:hRule="atLeast"/>
          <w:jc w:val="center"/>
        </w:trPr>
        <w:tc>
          <w:tcPr>
            <w:tcW w:w="2712" w:type="dxa"/>
            <w:gridSpan w:val="2"/>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978"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915" w:hRule="atLeast"/>
          <w:jc w:val="center"/>
        </w:trPr>
        <w:tc>
          <w:tcPr>
            <w:tcW w:w="2712" w:type="dxa"/>
            <w:gridSpan w:val="2"/>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978"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bl>
    <w:p>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overflowPunct w:val="0"/>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（1）拟投入本项目的项目负责人需提供本简历表。</w:t>
      </w:r>
    </w:p>
    <w:p>
      <w:pPr>
        <w:overflowPunct w:val="0"/>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（2）须提供身份证、职称证书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或注册证书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、社会保障部门出具的最近1年（即</w:t>
      </w:r>
      <w:r>
        <w:rPr>
          <w:rFonts w:hint="eastAsia" w:ascii="宋体" w:hAnsi="宋体" w:eastAsia="宋体" w:cs="宋体"/>
          <w:b/>
          <w:bCs/>
          <w:color w:val="auto"/>
          <w:sz w:val="21"/>
          <w:szCs w:val="21"/>
          <w:highlight w:val="none"/>
          <w:lang w:eastAsia="zh-CN"/>
        </w:rPr>
        <w:t>2024年2月至2025年1月</w:t>
      </w:r>
      <w:r>
        <w:rPr>
          <w:rFonts w:hint="eastAsia" w:ascii="宋体" w:hAnsi="宋体" w:eastAsia="宋体" w:cs="宋体"/>
          <w:color w:val="auto"/>
          <w:kern w:val="2"/>
          <w:sz w:val="21"/>
          <w:szCs w:val="21"/>
          <w:highlight w:val="none"/>
        </w:rPr>
        <w:t>）在投标人单位缴纳</w:t>
      </w:r>
      <w:r>
        <w:rPr>
          <w:rFonts w:hint="eastAsia" w:ascii="宋体" w:hAnsi="宋体" w:eastAsia="宋体" w:cs="宋体"/>
          <w:color w:val="auto"/>
          <w:kern w:val="2"/>
          <w:sz w:val="21"/>
          <w:szCs w:val="21"/>
          <w:highlight w:val="none"/>
          <w:lang w:eastAsia="zh-CN"/>
        </w:rPr>
        <w:t>社保</w:t>
      </w:r>
      <w:r>
        <w:rPr>
          <w:rFonts w:hint="eastAsia" w:ascii="宋体" w:hAnsi="宋体" w:eastAsia="宋体" w:cs="宋体"/>
          <w:color w:val="auto"/>
          <w:kern w:val="2"/>
          <w:sz w:val="21"/>
          <w:szCs w:val="21"/>
          <w:highlight w:val="none"/>
        </w:rPr>
        <w:t>有效凭证等证明材料复印件加盖投标人公章。</w:t>
      </w:r>
    </w:p>
    <w:p>
      <w:pPr>
        <w:overflowPunct w:val="0"/>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（3）项目负责人业绩须附合同复印件，合同业绩证明材料必须能反映评审条件[合同签订日期为</w:t>
      </w:r>
      <w:r>
        <w:rPr>
          <w:rFonts w:hint="eastAsia" w:ascii="宋体" w:hAnsi="宋体" w:eastAsia="宋体" w:cs="宋体"/>
          <w:color w:val="auto"/>
          <w:kern w:val="2"/>
          <w:sz w:val="21"/>
          <w:szCs w:val="21"/>
          <w:highlight w:val="none"/>
          <w:lang w:eastAsia="zh-CN"/>
        </w:rPr>
        <w:t>2020年</w:t>
      </w:r>
      <w:r>
        <w:rPr>
          <w:rFonts w:hint="eastAsia" w:ascii="宋体" w:hAnsi="宋体" w:eastAsia="宋体" w:cs="宋体"/>
          <w:color w:val="auto"/>
          <w:kern w:val="2"/>
          <w:sz w:val="21"/>
          <w:szCs w:val="21"/>
          <w:highlight w:val="none"/>
        </w:rPr>
        <w:t>1月1日或以后，业绩类型为市政工程监测，项目负责人信息]，否则需同时提供合同委托方出具的书面补充情况说明文件复印件（需加盖委托方公章，即复印件能显示委托方公章）。</w:t>
      </w:r>
    </w:p>
    <w:p>
      <w:pPr>
        <w:overflowPunct w:val="0"/>
        <w:autoSpaceDE/>
        <w:autoSpaceDN/>
        <w:adjustRightInd/>
        <w:spacing w:line="360" w:lineRule="auto"/>
        <w:jc w:val="both"/>
        <w:rPr>
          <w:rFonts w:hint="eastAsia" w:ascii="宋体" w:hAnsi="宋体" w:eastAsia="宋体" w:cs="宋体"/>
          <w:color w:val="auto"/>
          <w:kern w:val="2"/>
          <w:sz w:val="21"/>
          <w:szCs w:val="21"/>
          <w:highlight w:val="none"/>
        </w:rPr>
      </w:pPr>
    </w:p>
    <w:p>
      <w:pPr>
        <w:spacing w:line="360" w:lineRule="auto"/>
        <w:ind w:left="685" w:leftChars="176" w:hanging="315" w:hanging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2"/>
          <w:sz w:val="21"/>
          <w:highlight w:val="none"/>
          <w:lang w:val="zh-CN"/>
        </w:rPr>
        <w:t>投标人：（加盖投标人法人公章）</w:t>
      </w:r>
    </w:p>
    <w:p>
      <w:pPr>
        <w:autoSpaceDE/>
        <w:autoSpaceDN/>
        <w:adjustRightInd/>
        <w:spacing w:before="120" w:after="120" w:line="360" w:lineRule="auto"/>
        <w:ind w:left="629" w:firstLine="504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日期：   年    月     日</w:t>
      </w:r>
    </w:p>
    <w:p>
      <w:pPr>
        <w:autoSpaceDE/>
        <w:autoSpaceDN/>
        <w:adjustRightInd/>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br w:type="page"/>
      </w:r>
    </w:p>
    <w:p>
      <w:pPr>
        <w:pageBreakBefore/>
        <w:spacing w:line="360" w:lineRule="auto"/>
        <w:jc w:val="center"/>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（3）拟投入技术负责人简历表</w:t>
      </w:r>
    </w:p>
    <w:tbl>
      <w:tblPr>
        <w:tblStyle w:val="37"/>
        <w:tblW w:w="5000" w:type="pct"/>
        <w:jc w:val="center"/>
        <w:tblLayout w:type="fixed"/>
        <w:tblCellMar>
          <w:top w:w="0" w:type="dxa"/>
          <w:left w:w="108" w:type="dxa"/>
          <w:bottom w:w="0" w:type="dxa"/>
          <w:right w:w="108" w:type="dxa"/>
        </w:tblCellMar>
      </w:tblPr>
      <w:tblGrid>
        <w:gridCol w:w="2305"/>
        <w:gridCol w:w="407"/>
        <w:gridCol w:w="577"/>
        <w:gridCol w:w="975"/>
        <w:gridCol w:w="531"/>
        <w:gridCol w:w="1037"/>
        <w:gridCol w:w="637"/>
        <w:gridCol w:w="473"/>
        <w:gridCol w:w="506"/>
        <w:gridCol w:w="944"/>
        <w:gridCol w:w="508"/>
        <w:gridCol w:w="1470"/>
      </w:tblGrid>
      <w:tr>
        <w:tblPrEx>
          <w:tblCellMar>
            <w:top w:w="0" w:type="dxa"/>
            <w:left w:w="108" w:type="dxa"/>
            <w:bottom w:w="0" w:type="dxa"/>
            <w:right w:w="108" w:type="dxa"/>
          </w:tblCellMar>
        </w:tblPrEx>
        <w:trPr>
          <w:trHeight w:val="915" w:hRule="atLeast"/>
          <w:jc w:val="center"/>
        </w:trPr>
        <w:tc>
          <w:tcPr>
            <w:tcW w:w="230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2490" w:type="dxa"/>
            <w:gridSpan w:val="4"/>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037" w:type="dxa"/>
            <w:tcBorders>
              <w:top w:val="single" w:color="auto" w:sz="8" w:space="0"/>
              <w:left w:val="nil"/>
              <w:bottom w:val="single" w:color="auto" w:sz="8" w:space="0"/>
              <w:right w:val="single" w:color="auto"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616"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452"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470" w:type="dxa"/>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915" w:hRule="atLeast"/>
          <w:jc w:val="center"/>
        </w:trPr>
        <w:tc>
          <w:tcPr>
            <w:tcW w:w="2305" w:type="dxa"/>
            <w:tcBorders>
              <w:top w:val="nil"/>
              <w:left w:val="single" w:color="auto" w:sz="8" w:space="0"/>
              <w:bottom w:val="single" w:color="auto" w:sz="8" w:space="0"/>
              <w:right w:val="single" w:color="auto"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2490" w:type="dxa"/>
            <w:gridSpan w:val="4"/>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037" w:type="dxa"/>
            <w:tcBorders>
              <w:top w:val="nil"/>
              <w:left w:val="nil"/>
              <w:bottom w:val="single" w:color="auto" w:sz="8" w:space="0"/>
              <w:right w:val="single" w:color="auto"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616"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452"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470" w:type="dxa"/>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915" w:hRule="atLeast"/>
          <w:jc w:val="center"/>
        </w:trPr>
        <w:tc>
          <w:tcPr>
            <w:tcW w:w="3289" w:type="dxa"/>
            <w:gridSpan w:val="3"/>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参加工作时间</w:t>
            </w:r>
          </w:p>
        </w:tc>
        <w:tc>
          <w:tcPr>
            <w:tcW w:w="3653" w:type="dxa"/>
            <w:gridSpan w:val="5"/>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958"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（职位名称）</w:t>
            </w:r>
            <w:r>
              <w:rPr>
                <w:rFonts w:hint="eastAsia" w:ascii="宋体" w:hAnsi="宋体" w:eastAsia="宋体" w:cs="宋体"/>
                <w:color w:val="auto"/>
                <w:sz w:val="21"/>
                <w:szCs w:val="21"/>
                <w:highlight w:val="none"/>
              </w:rPr>
              <w:t>年限</w:t>
            </w:r>
          </w:p>
        </w:tc>
        <w:tc>
          <w:tcPr>
            <w:tcW w:w="1470" w:type="dxa"/>
            <w:tcBorders>
              <w:top w:val="nil"/>
              <w:left w:val="nil"/>
              <w:bottom w:val="single" w:color="auto" w:sz="8" w:space="0"/>
              <w:right w:val="single" w:color="auto"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915" w:hRule="atLeast"/>
          <w:jc w:val="center"/>
        </w:trPr>
        <w:tc>
          <w:tcPr>
            <w:tcW w:w="3289" w:type="dxa"/>
            <w:gridSpan w:val="3"/>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资格证书编号</w:t>
            </w:r>
          </w:p>
        </w:tc>
        <w:tc>
          <w:tcPr>
            <w:tcW w:w="3653" w:type="dxa"/>
            <w:gridSpan w:val="5"/>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958"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470" w:type="dxa"/>
            <w:tcBorders>
              <w:top w:val="nil"/>
              <w:left w:val="nil"/>
              <w:bottom w:val="single" w:color="auto" w:sz="8" w:space="0"/>
              <w:right w:val="single" w:color="auto"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915" w:hRule="atLeast"/>
          <w:jc w:val="center"/>
        </w:trPr>
        <w:tc>
          <w:tcPr>
            <w:tcW w:w="10370" w:type="dxa"/>
            <w:gridSpan w:val="12"/>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主要类似项目业绩</w:t>
            </w:r>
          </w:p>
        </w:tc>
      </w:tr>
      <w:tr>
        <w:tblPrEx>
          <w:tblCellMar>
            <w:top w:w="0" w:type="dxa"/>
            <w:left w:w="108" w:type="dxa"/>
            <w:bottom w:w="0" w:type="dxa"/>
            <w:right w:w="108" w:type="dxa"/>
          </w:tblCellMar>
        </w:tblPrEx>
        <w:trPr>
          <w:trHeight w:val="915" w:hRule="atLeast"/>
          <w:jc w:val="center"/>
        </w:trPr>
        <w:tc>
          <w:tcPr>
            <w:tcW w:w="2712" w:type="dxa"/>
            <w:gridSpan w:val="2"/>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552"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发包单位</w:t>
            </w:r>
          </w:p>
        </w:tc>
        <w:tc>
          <w:tcPr>
            <w:tcW w:w="2205"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1923"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本人在该项目中所任职务</w:t>
            </w:r>
          </w:p>
        </w:tc>
        <w:tc>
          <w:tcPr>
            <w:tcW w:w="1978"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起止时间</w:t>
            </w:r>
          </w:p>
        </w:tc>
      </w:tr>
      <w:tr>
        <w:tblPrEx>
          <w:tblCellMar>
            <w:top w:w="0" w:type="dxa"/>
            <w:left w:w="108" w:type="dxa"/>
            <w:bottom w:w="0" w:type="dxa"/>
            <w:right w:w="108" w:type="dxa"/>
          </w:tblCellMar>
        </w:tblPrEx>
        <w:trPr>
          <w:trHeight w:val="915" w:hRule="atLeast"/>
          <w:jc w:val="center"/>
        </w:trPr>
        <w:tc>
          <w:tcPr>
            <w:tcW w:w="2712" w:type="dxa"/>
            <w:gridSpan w:val="2"/>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978"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915" w:hRule="atLeast"/>
          <w:jc w:val="center"/>
        </w:trPr>
        <w:tc>
          <w:tcPr>
            <w:tcW w:w="2712" w:type="dxa"/>
            <w:gridSpan w:val="2"/>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978"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915" w:hRule="atLeast"/>
          <w:jc w:val="center"/>
        </w:trPr>
        <w:tc>
          <w:tcPr>
            <w:tcW w:w="2712" w:type="dxa"/>
            <w:gridSpan w:val="2"/>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978"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bl>
    <w:p>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numPr>
          <w:ilvl w:val="255"/>
          <w:numId w:val="0"/>
        </w:numPr>
        <w:overflowPunct w:val="0"/>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（1）拟投入本项目的技术负责人需提供本简历表。</w:t>
      </w:r>
    </w:p>
    <w:p>
      <w:pPr>
        <w:numPr>
          <w:ilvl w:val="255"/>
          <w:numId w:val="0"/>
        </w:numPr>
        <w:overflowPunct w:val="0"/>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（2）须提供身份证、职称证书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或注册证书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、社会保障部门出具的最近1年（</w:t>
      </w:r>
      <w:r>
        <w:rPr>
          <w:rFonts w:hint="eastAsia" w:ascii="宋体" w:hAnsi="宋体" w:eastAsia="宋体" w:cs="宋体"/>
          <w:b/>
          <w:bCs/>
          <w:color w:val="auto"/>
          <w:kern w:val="2"/>
          <w:sz w:val="21"/>
          <w:szCs w:val="21"/>
          <w:highlight w:val="none"/>
        </w:rPr>
        <w:t>即</w:t>
      </w:r>
      <w:r>
        <w:rPr>
          <w:rFonts w:hint="eastAsia" w:ascii="宋体" w:hAnsi="宋体" w:eastAsia="宋体" w:cs="宋体"/>
          <w:b/>
          <w:bCs/>
          <w:color w:val="auto"/>
          <w:kern w:val="2"/>
          <w:sz w:val="21"/>
          <w:szCs w:val="21"/>
          <w:highlight w:val="none"/>
          <w:lang w:eastAsia="zh-CN"/>
        </w:rPr>
        <w:t>2024年2月至2025年1月</w:t>
      </w:r>
      <w:r>
        <w:rPr>
          <w:rFonts w:hint="eastAsia" w:ascii="宋体" w:hAnsi="宋体" w:eastAsia="宋体" w:cs="宋体"/>
          <w:color w:val="auto"/>
          <w:kern w:val="2"/>
          <w:sz w:val="21"/>
          <w:szCs w:val="21"/>
          <w:highlight w:val="none"/>
        </w:rPr>
        <w:t>）在投标人单位缴纳</w:t>
      </w:r>
      <w:r>
        <w:rPr>
          <w:rFonts w:hint="eastAsia" w:ascii="宋体" w:hAnsi="宋体" w:eastAsia="宋体" w:cs="宋体"/>
          <w:color w:val="auto"/>
          <w:kern w:val="2"/>
          <w:sz w:val="21"/>
          <w:szCs w:val="21"/>
          <w:highlight w:val="none"/>
          <w:lang w:eastAsia="zh-CN"/>
        </w:rPr>
        <w:t>社保</w:t>
      </w:r>
      <w:r>
        <w:rPr>
          <w:rFonts w:hint="eastAsia" w:ascii="宋体" w:hAnsi="宋体" w:eastAsia="宋体" w:cs="宋体"/>
          <w:color w:val="auto"/>
          <w:kern w:val="2"/>
          <w:sz w:val="21"/>
          <w:szCs w:val="21"/>
          <w:highlight w:val="none"/>
        </w:rPr>
        <w:t>有效凭证等证明材料复印件加盖投标人公章。</w:t>
      </w:r>
    </w:p>
    <w:p>
      <w:pPr>
        <w:numPr>
          <w:ilvl w:val="255"/>
          <w:numId w:val="0"/>
        </w:numPr>
        <w:overflowPunct w:val="0"/>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（3）技术负责人业绩须附合同复印件，合同业绩证明材料必须能反映评审条件[合同签订日期为</w:t>
      </w:r>
      <w:r>
        <w:rPr>
          <w:rFonts w:hint="eastAsia" w:ascii="宋体" w:hAnsi="宋体" w:eastAsia="宋体" w:cs="宋体"/>
          <w:color w:val="auto"/>
          <w:kern w:val="2"/>
          <w:sz w:val="21"/>
          <w:szCs w:val="21"/>
          <w:highlight w:val="none"/>
          <w:lang w:eastAsia="zh-CN"/>
        </w:rPr>
        <w:t>2020年</w:t>
      </w:r>
      <w:r>
        <w:rPr>
          <w:rFonts w:hint="eastAsia" w:ascii="宋体" w:hAnsi="宋体" w:eastAsia="宋体" w:cs="宋体"/>
          <w:color w:val="auto"/>
          <w:kern w:val="2"/>
          <w:sz w:val="21"/>
          <w:szCs w:val="21"/>
          <w:highlight w:val="none"/>
        </w:rPr>
        <w:t>1月1日或以后，业绩类型为市政工程监测，技术负责人信息]，否则需同时提供合同委托方出具的书面补充情况说明文件复印件（需加盖委托方公章，即复印件能显示委托方公章）。</w:t>
      </w:r>
    </w:p>
    <w:p>
      <w:pPr>
        <w:spacing w:line="360" w:lineRule="auto"/>
        <w:ind w:left="685" w:leftChars="176" w:hanging="315" w:hangingChars="150"/>
        <w:jc w:val="righ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投标人：（加盖投标人法人公章）</w:t>
      </w:r>
    </w:p>
    <w:p>
      <w:pPr>
        <w:spacing w:line="360" w:lineRule="auto"/>
        <w:ind w:left="685" w:leftChars="176" w:hanging="315" w:hangingChars="150"/>
        <w:jc w:val="right"/>
        <w:rPr>
          <w:rFonts w:hint="eastAsia" w:ascii="宋体" w:hAnsi="宋体" w:eastAsia="宋体" w:cs="宋体"/>
          <w:b/>
          <w:bCs/>
          <w:color w:val="auto"/>
          <w:kern w:val="0"/>
          <w:sz w:val="32"/>
          <w:szCs w:val="32"/>
          <w:highlight w:val="none"/>
          <w:lang w:val="zh-CN"/>
        </w:rPr>
      </w:pPr>
      <w:r>
        <w:rPr>
          <w:rFonts w:hint="eastAsia" w:ascii="宋体" w:hAnsi="宋体" w:eastAsia="宋体" w:cs="宋体"/>
          <w:color w:val="auto"/>
          <w:sz w:val="21"/>
          <w:szCs w:val="21"/>
          <w:highlight w:val="none"/>
          <w:lang w:val="zh-CN"/>
        </w:rPr>
        <w:t>日期：   年    月     日</w:t>
      </w:r>
    </w:p>
    <w:p>
      <w:pPr>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752" w:name="_Toc21928"/>
      <w:bookmarkStart w:id="753" w:name="_Toc17176"/>
      <w:bookmarkStart w:id="754" w:name="_Toc7020"/>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、投标保证金汇入情况说明</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2"/>
      <w:bookmarkEnd w:id="753"/>
      <w:bookmarkEnd w:id="754"/>
    </w:p>
    <w:p>
      <w:pPr>
        <w:autoSpaceDE w:val="0"/>
        <w:autoSpaceDN w:val="0"/>
        <w:adjustRightInd w:val="0"/>
        <w:spacing w:line="360" w:lineRule="auto"/>
        <w:jc w:val="left"/>
        <w:rPr>
          <w:rFonts w:ascii="宋体" w:hAnsi="宋体" w:eastAsia="宋体" w:cs="宋体"/>
          <w:color w:val="auto"/>
          <w:szCs w:val="24"/>
          <w:highlight w:val="none"/>
        </w:rPr>
      </w:pPr>
    </w:p>
    <w:p>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755" w:name="_Toc31832_WPSOffice_Level3"/>
      <w:r>
        <w:rPr>
          <w:rFonts w:hint="eastAsia" w:ascii="宋体" w:hAnsi="宋体" w:eastAsia="宋体" w:cs="宋体"/>
          <w:b/>
          <w:bCs/>
          <w:color w:val="auto"/>
          <w:kern w:val="0"/>
          <w:sz w:val="24"/>
          <w:szCs w:val="24"/>
          <w:highlight w:val="none"/>
        </w:rPr>
        <w:t>投标保证金汇入情况说明</w:t>
      </w:r>
      <w:bookmarkEnd w:id="755"/>
    </w:p>
    <w:p>
      <w:pPr>
        <w:autoSpaceDE w:val="0"/>
        <w:autoSpaceDN w:val="0"/>
        <w:adjustRightInd w:val="0"/>
        <w:spacing w:line="360" w:lineRule="auto"/>
        <w:jc w:val="center"/>
        <w:rPr>
          <w:rFonts w:ascii="宋体" w:hAnsi="宋体" w:eastAsia="宋体" w:cs="宋体"/>
          <w:b/>
          <w:bCs/>
          <w:color w:val="auto"/>
          <w:kern w:val="0"/>
          <w:szCs w:val="24"/>
          <w:highlight w:val="none"/>
        </w:rPr>
      </w:pPr>
    </w:p>
    <w:p>
      <w:pPr>
        <w:spacing w:line="360" w:lineRule="auto"/>
        <w:ind w:firstLine="424" w:firstLineChars="202"/>
        <w:rPr>
          <w:rFonts w:ascii="宋体" w:hAnsi="宋体" w:eastAsia="宋体" w:cs="宋体"/>
          <w:color w:val="auto"/>
          <w:szCs w:val="21"/>
          <w:highlight w:val="none"/>
        </w:rPr>
      </w:pPr>
      <w:r>
        <w:rPr>
          <w:rFonts w:hint="default" w:ascii="宋体" w:hAnsi="宋体" w:eastAsia="宋体" w:cs="宋体"/>
          <w:color w:val="auto"/>
          <w:szCs w:val="21"/>
          <w:highlight w:val="none"/>
          <w:lang w:eastAsia="zh-CN"/>
        </w:rPr>
        <w:t>东莞市水务集团建设管理有限公司</w:t>
      </w:r>
      <w:r>
        <w:rPr>
          <w:rFonts w:hint="eastAsia" w:ascii="宋体" w:hAnsi="宋体" w:eastAsia="宋体" w:cs="宋体"/>
          <w:color w:val="auto"/>
          <w:szCs w:val="21"/>
          <w:highlight w:val="none"/>
        </w:rPr>
        <w:t>：</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东莞市供水设施更新改造项目-松山湖新城路给水管网改造工程第三方监测服务采购项目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0832-SFCX24DG197C</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pPr>
        <w:spacing w:line="360" w:lineRule="auto"/>
        <w:ind w:left="340" w:leftChars="162" w:firstLine="425"/>
        <w:rPr>
          <w:rFonts w:ascii="宋体" w:hAnsi="宋体" w:eastAsia="宋体" w:cs="宋体"/>
          <w:b/>
          <w:bCs/>
          <w:color w:val="auto"/>
          <w:szCs w:val="21"/>
          <w:highlight w:val="none"/>
        </w:rPr>
      </w:pPr>
      <w:bookmarkStart w:id="756" w:name="_Toc26208_WPSOffice_Level3"/>
      <w:r>
        <w:rPr>
          <w:rFonts w:hint="eastAsia" w:ascii="宋体" w:hAnsi="宋体" w:eastAsia="宋体" w:cs="宋体"/>
          <w:b/>
          <w:bCs/>
          <w:color w:val="auto"/>
          <w:szCs w:val="21"/>
          <w:highlight w:val="none"/>
        </w:rPr>
        <w:t>附：1、我方投标保证金汇款凭证（复印件）</w:t>
      </w:r>
      <w:bookmarkEnd w:id="756"/>
    </w:p>
    <w:p>
      <w:pPr>
        <w:spacing w:line="360" w:lineRule="auto"/>
        <w:ind w:left="340" w:leftChars="162" w:firstLine="839" w:firstLineChars="398"/>
        <w:rPr>
          <w:rFonts w:ascii="宋体" w:hAnsi="宋体" w:eastAsia="宋体" w:cs="宋体"/>
          <w:b/>
          <w:bCs/>
          <w:color w:val="auto"/>
          <w:szCs w:val="21"/>
          <w:highlight w:val="none"/>
        </w:rPr>
      </w:pPr>
      <w:bookmarkStart w:id="757" w:name="_Toc12992_WPSOffice_Level3"/>
      <w:r>
        <w:rPr>
          <w:rFonts w:hint="eastAsia" w:ascii="宋体" w:hAnsi="宋体" w:eastAsia="宋体" w:cs="宋体"/>
          <w:b/>
          <w:bCs/>
          <w:color w:val="auto"/>
          <w:szCs w:val="21"/>
          <w:highlight w:val="none"/>
        </w:rPr>
        <w:t>2、我方基本账户开户许可证（复印件）</w:t>
      </w:r>
      <w:bookmarkEnd w:id="757"/>
    </w:p>
    <w:p>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pPr>
        <w:spacing w:line="360" w:lineRule="auto"/>
        <w:rPr>
          <w:rFonts w:ascii="宋体" w:hAnsi="宋体" w:eastAsia="宋体" w:cs="宋体"/>
          <w:b/>
          <w:color w:val="auto"/>
          <w:kern w:val="0"/>
          <w:szCs w:val="21"/>
          <w:highlight w:val="none"/>
        </w:rPr>
      </w:pPr>
      <w:bookmarkStart w:id="758" w:name="_Toc533708134"/>
      <w:bookmarkStart w:id="759" w:name="_Toc486167721"/>
    </w:p>
    <w:p>
      <w:pPr>
        <w:rPr>
          <w:rFonts w:hint="eastAsia"/>
          <w:color w:val="auto"/>
          <w:highlight w:val="none"/>
          <w:lang w:val="zh-CN"/>
        </w:rPr>
      </w:pPr>
      <w:bookmarkStart w:id="760" w:name="_Toc102860084"/>
      <w:bookmarkStart w:id="761" w:name="_Toc24616"/>
      <w:bookmarkStart w:id="762" w:name="_Toc1977738"/>
      <w:bookmarkStart w:id="763" w:name="_Toc142508379"/>
      <w:bookmarkStart w:id="764" w:name="_Toc140596939"/>
      <w:bookmarkStart w:id="765" w:name="_Toc102860428"/>
      <w:bookmarkStart w:id="766" w:name="_Toc94107221"/>
      <w:bookmarkStart w:id="767" w:name="_Toc104991886"/>
    </w:p>
    <w:p>
      <w:pPr>
        <w:rPr>
          <w:rFonts w:hint="eastAsia"/>
          <w:color w:val="auto"/>
          <w:highlight w:val="none"/>
          <w:lang w:val="zh-CN"/>
        </w:rPr>
      </w:pPr>
    </w:p>
    <w:p>
      <w:pPr>
        <w:rPr>
          <w:rFonts w:hint="eastAsia" w:ascii="宋体" w:hAnsi="宋体" w:eastAsia="宋体" w:cs="宋体"/>
          <w:b/>
          <w:bCs/>
          <w:color w:val="auto"/>
          <w:kern w:val="0"/>
          <w:sz w:val="32"/>
          <w:szCs w:val="32"/>
          <w:highlight w:val="none"/>
          <w:lang w:val="zh-CN"/>
        </w:rPr>
      </w:pPr>
      <w:bookmarkStart w:id="768" w:name="_Toc17045"/>
      <w:bookmarkStart w:id="769" w:name="_Toc14506"/>
      <w:bookmarkStart w:id="770" w:name="_Toc2007"/>
      <w:bookmarkStart w:id="771" w:name="_Toc29652"/>
      <w:r>
        <w:rPr>
          <w:rFonts w:hint="eastAsia" w:ascii="宋体" w:hAnsi="宋体" w:eastAsia="宋体" w:cs="宋体"/>
          <w:b/>
          <w:bCs/>
          <w:color w:val="auto"/>
          <w:kern w:val="0"/>
          <w:sz w:val="32"/>
          <w:szCs w:val="32"/>
          <w:highlight w:val="none"/>
          <w:lang w:val="zh-CN"/>
        </w:rPr>
        <w:br w:type="page"/>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772" w:name="_Toc26279"/>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760"/>
      <w:bookmarkEnd w:id="761"/>
      <w:bookmarkEnd w:id="762"/>
      <w:bookmarkEnd w:id="763"/>
      <w:bookmarkEnd w:id="764"/>
      <w:bookmarkEnd w:id="765"/>
      <w:bookmarkEnd w:id="766"/>
      <w:bookmarkEnd w:id="767"/>
      <w:bookmarkEnd w:id="768"/>
      <w:bookmarkEnd w:id="769"/>
      <w:bookmarkEnd w:id="770"/>
      <w:bookmarkEnd w:id="771"/>
      <w:bookmarkEnd w:id="772"/>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773" w:name="_Toc102860085"/>
      <w:bookmarkStart w:id="774" w:name="_Toc27482"/>
      <w:bookmarkStart w:id="775" w:name="_Toc31134"/>
      <w:bookmarkStart w:id="776" w:name="_Toc18038"/>
      <w:bookmarkStart w:id="777" w:name="_Toc1977739"/>
      <w:bookmarkStart w:id="778" w:name="_Toc31916"/>
      <w:bookmarkStart w:id="779" w:name="_Toc142508380"/>
      <w:bookmarkStart w:id="780" w:name="_Toc94107222"/>
      <w:bookmarkStart w:id="781" w:name="_Toc102860429"/>
      <w:bookmarkStart w:id="782" w:name="_Toc140596940"/>
      <w:bookmarkStart w:id="783" w:name="_Toc26449"/>
      <w:bookmarkStart w:id="784" w:name="_Toc104991887"/>
      <w:bookmarkStart w:id="785" w:name="_Toc28630"/>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、技术响应文件格式</w:t>
      </w:r>
      <w:bookmarkEnd w:id="758"/>
      <w:bookmarkEnd w:id="773"/>
      <w:bookmarkEnd w:id="774"/>
      <w:bookmarkEnd w:id="775"/>
      <w:bookmarkEnd w:id="776"/>
      <w:bookmarkEnd w:id="777"/>
      <w:bookmarkEnd w:id="778"/>
      <w:bookmarkEnd w:id="779"/>
      <w:bookmarkEnd w:id="780"/>
      <w:bookmarkEnd w:id="781"/>
      <w:bookmarkEnd w:id="782"/>
      <w:bookmarkEnd w:id="783"/>
      <w:bookmarkEnd w:id="784"/>
      <w:bookmarkEnd w:id="785"/>
    </w:p>
    <w:p>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、用户需求响应程度（格式见附件</w:t>
      </w:r>
      <w:r>
        <w:rPr>
          <w:rFonts w:hint="eastAsia" w:ascii="宋体" w:hAnsi="宋体" w:eastAsia="宋体" w:cs="宋体"/>
          <w:color w:val="auto"/>
          <w:kern w:val="0"/>
          <w:szCs w:val="21"/>
          <w:highlight w:val="none"/>
          <w:lang w:eastAsia="zh-CN"/>
        </w:rPr>
        <w:t>13.</w:t>
      </w:r>
      <w:r>
        <w:rPr>
          <w:rFonts w:hint="eastAsia" w:ascii="宋体" w:hAnsi="宋体" w:eastAsia="宋体" w:cs="宋体"/>
          <w:color w:val="auto"/>
          <w:kern w:val="0"/>
          <w:szCs w:val="21"/>
          <w:highlight w:val="none"/>
        </w:rPr>
        <w:t>1用户需求偏离表格式）；</w:t>
      </w:r>
    </w:p>
    <w:p>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、监测方案</w:t>
      </w:r>
      <w:r>
        <w:rPr>
          <w:rFonts w:hint="eastAsia" w:ascii="宋体" w:hAnsi="宋体" w:eastAsia="宋体" w:cs="宋体"/>
          <w:color w:val="auto"/>
          <w:kern w:val="0"/>
          <w:szCs w:val="21"/>
          <w:highlight w:val="none"/>
          <w:lang w:val="zh-CN"/>
        </w:rPr>
        <w:t>（投标人自行编写）；</w:t>
      </w:r>
    </w:p>
    <w:p>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、原始数据处理计算、整理分析方法及预警消警机制（</w:t>
      </w:r>
      <w:r>
        <w:rPr>
          <w:rFonts w:hint="eastAsia" w:ascii="宋体" w:hAnsi="宋体" w:eastAsia="宋体" w:cs="宋体"/>
          <w:color w:val="auto"/>
          <w:kern w:val="0"/>
          <w:szCs w:val="21"/>
          <w:highlight w:val="none"/>
          <w:lang w:val="zh-CN"/>
        </w:rPr>
        <w:t>投标人自行编写</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w:t>
      </w:r>
    </w:p>
    <w:p>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监测成果准确性承诺书（格式见附件13.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rPr>
        <w:t>监测成果准确性承诺书格式）；</w:t>
      </w:r>
    </w:p>
    <w:p>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服务响应时间承诺书（格式见附件13.</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val="zh-CN"/>
        </w:rPr>
        <w:t>服务响应时间承诺书格式）；</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投标人认为有需要提供的其他文件（不做强制性要求）</w:t>
      </w:r>
      <w:r>
        <w:rPr>
          <w:rFonts w:hint="eastAsia" w:ascii="宋体" w:hAnsi="宋体" w:eastAsia="宋体" w:cs="宋体"/>
          <w:color w:val="auto"/>
          <w:kern w:val="0"/>
          <w:szCs w:val="21"/>
          <w:highlight w:val="none"/>
        </w:rPr>
        <w:t>。</w:t>
      </w:r>
    </w:p>
    <w:p>
      <w:pPr>
        <w:pStyle w:val="2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759"/>
      <w:bookmarkStart w:id="786" w:name="_Toc102860086"/>
      <w:bookmarkStart w:id="787" w:name="_Toc94107223"/>
      <w:bookmarkStart w:id="788" w:name="_Toc142508381"/>
      <w:bookmarkStart w:id="789" w:name="_Toc533708135"/>
      <w:bookmarkStart w:id="790" w:name="_Toc1977740"/>
      <w:bookmarkStart w:id="791" w:name="_Toc104991888"/>
      <w:bookmarkStart w:id="792" w:name="_Toc102860430"/>
      <w:bookmarkStart w:id="793" w:name="_Toc140596941"/>
    </w:p>
    <w:p>
      <w:pPr>
        <w:pStyle w:val="20"/>
        <w:spacing w:line="360" w:lineRule="auto"/>
        <w:jc w:val="center"/>
        <w:rPr>
          <w:rFonts w:hint="eastAsia" w:ascii="宋体" w:hAnsi="宋体" w:eastAsia="宋体" w:cs="宋体"/>
          <w:b/>
          <w:color w:val="auto"/>
          <w:kern w:val="0"/>
          <w:szCs w:val="21"/>
          <w:highlight w:val="none"/>
        </w:rPr>
      </w:pPr>
    </w:p>
    <w:p>
      <w:pPr>
        <w:pStyle w:val="20"/>
        <w:spacing w:line="360" w:lineRule="auto"/>
        <w:jc w:val="center"/>
        <w:rPr>
          <w:rFonts w:hint="eastAsia" w:ascii="宋体" w:hAnsi="宋体" w:eastAsia="宋体" w:cs="宋体"/>
          <w:b/>
          <w:color w:val="auto"/>
          <w:kern w:val="0"/>
          <w:szCs w:val="21"/>
          <w:highlight w:val="none"/>
        </w:rPr>
      </w:pPr>
    </w:p>
    <w:p>
      <w:pPr>
        <w:pStyle w:val="20"/>
        <w:spacing w:line="360" w:lineRule="auto"/>
        <w:jc w:val="center"/>
        <w:rPr>
          <w:rFonts w:hint="eastAsia" w:ascii="宋体" w:hAnsi="宋体" w:eastAsia="宋体" w:cs="宋体"/>
          <w:b/>
          <w:color w:val="auto"/>
          <w:kern w:val="0"/>
          <w:szCs w:val="21"/>
          <w:highlight w:val="none"/>
        </w:rPr>
      </w:pPr>
    </w:p>
    <w:p>
      <w:pPr>
        <w:pStyle w:val="20"/>
        <w:spacing w:line="360" w:lineRule="auto"/>
        <w:jc w:val="center"/>
        <w:rPr>
          <w:rFonts w:hint="eastAsia" w:ascii="宋体" w:hAnsi="宋体" w:eastAsia="宋体" w:cs="宋体"/>
          <w:b/>
          <w:color w:val="auto"/>
          <w:kern w:val="0"/>
          <w:szCs w:val="21"/>
          <w:highlight w:val="none"/>
        </w:rPr>
      </w:pPr>
    </w:p>
    <w:p>
      <w:pPr>
        <w:pStyle w:val="20"/>
        <w:spacing w:line="360" w:lineRule="auto"/>
        <w:jc w:val="center"/>
        <w:rPr>
          <w:rFonts w:hint="eastAsia" w:ascii="宋体" w:hAnsi="宋体" w:eastAsia="宋体" w:cs="宋体"/>
          <w:b/>
          <w:color w:val="auto"/>
          <w:kern w:val="0"/>
          <w:szCs w:val="21"/>
          <w:highlight w:val="none"/>
        </w:rPr>
      </w:pPr>
    </w:p>
    <w:p>
      <w:pPr>
        <w:pStyle w:val="20"/>
        <w:spacing w:line="360" w:lineRule="auto"/>
        <w:jc w:val="center"/>
        <w:rPr>
          <w:rFonts w:hint="eastAsia" w:ascii="宋体" w:hAnsi="宋体" w:eastAsia="宋体" w:cs="宋体"/>
          <w:b/>
          <w:color w:val="auto"/>
          <w:kern w:val="0"/>
          <w:szCs w:val="21"/>
          <w:highlight w:val="none"/>
        </w:rPr>
      </w:pPr>
    </w:p>
    <w:p>
      <w:pPr>
        <w:pStyle w:val="20"/>
        <w:spacing w:line="360" w:lineRule="auto"/>
        <w:jc w:val="center"/>
        <w:rPr>
          <w:rFonts w:hint="eastAsia" w:ascii="宋体" w:hAnsi="宋体" w:eastAsia="宋体" w:cs="宋体"/>
          <w:b/>
          <w:color w:val="auto"/>
          <w:kern w:val="0"/>
          <w:szCs w:val="21"/>
          <w:highlight w:val="none"/>
        </w:rPr>
      </w:pPr>
    </w:p>
    <w:p>
      <w:pPr>
        <w:pStyle w:val="20"/>
        <w:spacing w:line="360" w:lineRule="auto"/>
        <w:jc w:val="center"/>
        <w:rPr>
          <w:rFonts w:hint="eastAsia" w:ascii="宋体" w:hAnsi="宋体" w:eastAsia="宋体" w:cs="宋体"/>
          <w:b/>
          <w:color w:val="auto"/>
          <w:kern w:val="0"/>
          <w:szCs w:val="21"/>
          <w:highlight w:val="none"/>
        </w:rPr>
      </w:pPr>
    </w:p>
    <w:p>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0"/>
        <w:spacing w:line="360" w:lineRule="auto"/>
        <w:rPr>
          <w:rFonts w:hint="eastAsia" w:ascii="宋体" w:hAnsi="宋体" w:eastAsia="宋体" w:cs="宋体"/>
          <w:color w:val="auto"/>
          <w:highlight w:val="none"/>
        </w:rPr>
      </w:pPr>
    </w:p>
    <w:p>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2171"/>
        <w:gridCol w:w="40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2171"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045"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773"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71"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45"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2773" w:type="dxa"/>
            <w:vAlign w:val="center"/>
          </w:tcPr>
          <w:p>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2171" w:type="dxa"/>
            <w:vAlign w:val="center"/>
          </w:tcPr>
          <w:p>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4045"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773" w:type="dxa"/>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2171"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45" w:type="dxa"/>
            <w:tcBorders>
              <w:left w:val="single" w:color="auto" w:sz="4" w:space="0"/>
            </w:tcBorders>
            <w:vAlign w:val="center"/>
          </w:tcPr>
          <w:p>
            <w:pPr>
              <w:keepNext w:val="0"/>
              <w:keepLines w:val="0"/>
              <w:suppressLineNumbers w:val="0"/>
              <w:spacing w:before="0" w:beforeAutospacing="0" w:after="0" w:afterAutospacing="0" w:line="360" w:lineRule="auto"/>
              <w:ind w:left="0" w:right="0"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2171" w:type="dxa"/>
            <w:tcBorders>
              <w:top w:val="single" w:color="auto" w:sz="6" w:space="0"/>
              <w:left w:val="single" w:color="auto" w:sz="6" w:space="0"/>
              <w:bottom w:val="outset" w:color="808080" w:sz="6" w:space="0"/>
              <w:right w:val="single" w:color="auto" w:sz="6"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45" w:type="dxa"/>
            <w:tcBorders>
              <w:top w:val="single" w:color="auto" w:sz="6" w:space="0"/>
              <w:left w:val="single" w:color="auto" w:sz="4" w:space="0"/>
              <w:bottom w:val="outset" w:color="808080" w:sz="6" w:space="0"/>
              <w:right w:val="single" w:color="auto" w:sz="6" w:space="0"/>
            </w:tcBorders>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2171" w:type="dxa"/>
            <w:tcBorders>
              <w:bottom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45" w:type="dxa"/>
            <w:tcBorders>
              <w:left w:val="single" w:color="auto" w:sz="4" w:space="0"/>
              <w:bottom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r>
    </w:tbl>
    <w:p>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794" w:name="_Toc7032"/>
      <w:bookmarkStart w:id="795" w:name="_Toc16744"/>
      <w:bookmarkStart w:id="796" w:name="_Toc18999"/>
      <w:bookmarkStart w:id="797" w:name="_Toc11059"/>
      <w:bookmarkStart w:id="798" w:name="_Toc27934"/>
      <w:bookmarkStart w:id="799" w:name="_Toc30448"/>
      <w:r>
        <w:rPr>
          <w:rFonts w:hint="eastAsia" w:ascii="宋体" w:hAnsi="宋体" w:eastAsia="宋体" w:cs="宋体"/>
          <w:b/>
          <w:color w:val="auto"/>
          <w:kern w:val="0"/>
          <w:sz w:val="30"/>
          <w:szCs w:val="30"/>
          <w:highlight w:val="none"/>
          <w:lang w:eastAsia="zh-CN"/>
        </w:rPr>
        <w:t>13.</w:t>
      </w:r>
      <w:r>
        <w:rPr>
          <w:rFonts w:hint="eastAsia" w:ascii="宋体" w:hAnsi="宋体" w:eastAsia="宋体" w:cs="宋体"/>
          <w:b/>
          <w:color w:val="auto"/>
          <w:kern w:val="0"/>
          <w:sz w:val="30"/>
          <w:szCs w:val="30"/>
          <w:highlight w:val="none"/>
        </w:rPr>
        <w:t>1 用户需求偏离表格式</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pPr>
        <w:spacing w:before="120" w:after="120" w:line="360" w:lineRule="auto"/>
        <w:jc w:val="center"/>
        <w:rPr>
          <w:rFonts w:ascii="宋体" w:hAnsi="宋体" w:eastAsia="宋体" w:cs="Times New Roman"/>
          <w:color w:val="auto"/>
          <w:kern w:val="0"/>
          <w:szCs w:val="21"/>
          <w:highlight w:val="none"/>
        </w:rPr>
      </w:pPr>
      <w:bookmarkStart w:id="800" w:name="_Toc17449_WPSOffice_Level3"/>
      <w:r>
        <w:rPr>
          <w:rFonts w:hint="eastAsia" w:ascii="宋体" w:hAnsi="宋体" w:eastAsia="宋体" w:cs="宋体"/>
          <w:b/>
          <w:color w:val="auto"/>
          <w:kern w:val="0"/>
          <w:sz w:val="30"/>
          <w:szCs w:val="30"/>
          <w:highlight w:val="none"/>
          <w:lang w:val="zh-CN"/>
        </w:rPr>
        <w:t>用户需求偏离表</w:t>
      </w:r>
      <w:bookmarkEnd w:id="800"/>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52"/>
        <w:gridCol w:w="6414"/>
        <w:gridCol w:w="722"/>
        <w:gridCol w:w="867"/>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0" w:type="dxa"/>
            <w:vMerge w:val="restart"/>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7366" w:type="dxa"/>
            <w:gridSpan w:val="2"/>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2404" w:type="dxa"/>
            <w:gridSpan w:val="3"/>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0" w:type="dxa"/>
            <w:vMerge w:val="continue"/>
            <w:vAlign w:val="center"/>
          </w:tcPr>
          <w:p>
            <w:pPr>
              <w:keepNext/>
              <w:keepLines/>
              <w:suppressLineNumbers w:val="0"/>
              <w:spacing w:before="0" w:beforeAutospacing="0" w:after="0" w:afterAutospacing="0" w:line="400" w:lineRule="exact"/>
              <w:ind w:left="0" w:right="0"/>
              <w:jc w:val="center"/>
              <w:outlineLvl w:val="0"/>
              <w:rPr>
                <w:rFonts w:hint="default" w:ascii="宋体" w:hAnsi="宋体" w:eastAsia="宋体" w:cs="宋体"/>
                <w:color w:val="auto"/>
                <w:kern w:val="0"/>
                <w:sz w:val="18"/>
                <w:szCs w:val="18"/>
                <w:highlight w:val="none"/>
              </w:rPr>
            </w:pPr>
          </w:p>
        </w:tc>
        <w:tc>
          <w:tcPr>
            <w:tcW w:w="952"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6414"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722"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86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81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default" w:ascii="宋体" w:hAnsi="宋体" w:eastAsia="宋体" w:cs="宋体"/>
                <w:color w:val="auto"/>
                <w:kern w:val="0"/>
                <w:sz w:val="18"/>
                <w:szCs w:val="18"/>
                <w:highlight w:val="none"/>
              </w:rPr>
              <w:t>1</w:t>
            </w:r>
          </w:p>
        </w:tc>
        <w:tc>
          <w:tcPr>
            <w:tcW w:w="952"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二</w:t>
            </w:r>
          </w:p>
        </w:tc>
        <w:tc>
          <w:tcPr>
            <w:tcW w:w="6414"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总体服务要求</w:t>
            </w:r>
          </w:p>
        </w:tc>
        <w:tc>
          <w:tcPr>
            <w:tcW w:w="722" w:type="dxa"/>
            <w:vAlign w:val="center"/>
          </w:tcPr>
          <w:p>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867" w:type="dxa"/>
            <w:vAlign w:val="center"/>
          </w:tcPr>
          <w:p>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815" w:type="dxa"/>
            <w:vAlign w:val="center"/>
          </w:tcPr>
          <w:p>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952"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 w:val="18"/>
                <w:szCs w:val="18"/>
                <w:highlight w:val="none"/>
              </w:rPr>
              <w:t>三</w:t>
            </w:r>
          </w:p>
        </w:tc>
        <w:tc>
          <w:tcPr>
            <w:tcW w:w="6414"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合同价款</w:t>
            </w:r>
          </w:p>
        </w:tc>
        <w:tc>
          <w:tcPr>
            <w:tcW w:w="722" w:type="dxa"/>
            <w:vAlign w:val="center"/>
          </w:tcPr>
          <w:p>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867" w:type="dxa"/>
            <w:vAlign w:val="center"/>
          </w:tcPr>
          <w:p>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815" w:type="dxa"/>
            <w:vAlign w:val="center"/>
          </w:tcPr>
          <w:p>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952"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 w:val="18"/>
                <w:szCs w:val="18"/>
                <w:highlight w:val="none"/>
              </w:rPr>
              <w:t>四</w:t>
            </w:r>
          </w:p>
        </w:tc>
        <w:tc>
          <w:tcPr>
            <w:tcW w:w="6414"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费用支付</w:t>
            </w:r>
          </w:p>
        </w:tc>
        <w:tc>
          <w:tcPr>
            <w:tcW w:w="722" w:type="dxa"/>
            <w:vAlign w:val="center"/>
          </w:tcPr>
          <w:p>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867" w:type="dxa"/>
            <w:vAlign w:val="center"/>
          </w:tcPr>
          <w:p>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815" w:type="dxa"/>
            <w:vAlign w:val="center"/>
          </w:tcPr>
          <w:p>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952"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五</w:t>
            </w:r>
          </w:p>
        </w:tc>
        <w:tc>
          <w:tcPr>
            <w:tcW w:w="6414"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考核制度</w:t>
            </w:r>
          </w:p>
        </w:tc>
        <w:tc>
          <w:tcPr>
            <w:tcW w:w="722" w:type="dxa"/>
            <w:vAlign w:val="center"/>
          </w:tcPr>
          <w:p>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867" w:type="dxa"/>
            <w:vAlign w:val="center"/>
          </w:tcPr>
          <w:p>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815" w:type="dxa"/>
            <w:vAlign w:val="center"/>
          </w:tcPr>
          <w:p>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952"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附件1</w:t>
            </w:r>
          </w:p>
        </w:tc>
        <w:tc>
          <w:tcPr>
            <w:tcW w:w="6414"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《监测工程量清单计价表》</w:t>
            </w:r>
          </w:p>
        </w:tc>
        <w:tc>
          <w:tcPr>
            <w:tcW w:w="722" w:type="dxa"/>
            <w:vAlign w:val="center"/>
          </w:tcPr>
          <w:p>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867" w:type="dxa"/>
            <w:vAlign w:val="center"/>
          </w:tcPr>
          <w:p>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815" w:type="dxa"/>
            <w:vAlign w:val="center"/>
          </w:tcPr>
          <w:p>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bl>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pPr>
        <w:spacing w:line="360" w:lineRule="auto"/>
        <w:ind w:left="605" w:leftChars="18" w:hanging="567" w:hangingChars="270"/>
        <w:rPr>
          <w:rFonts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（其中“一、项目概况”除外）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Times New Roman"/>
          <w:b/>
          <w:color w:val="auto"/>
          <w:kern w:val="0"/>
          <w:szCs w:val="21"/>
          <w:highlight w:val="none"/>
          <w:u w:val="single"/>
          <w:lang w:val="en-US" w:eastAsia="zh-CN"/>
        </w:rPr>
        <w:t>服务能力</w:t>
      </w:r>
      <w:r>
        <w:rPr>
          <w:rFonts w:hint="eastAsia" w:ascii="宋体" w:hAnsi="宋体" w:eastAsia="宋体" w:cs="Times New Roman"/>
          <w:b/>
          <w:color w:val="auto"/>
          <w:kern w:val="0"/>
          <w:szCs w:val="21"/>
          <w:highlight w:val="none"/>
          <w:u w:val="single"/>
        </w:rPr>
        <w:t>的技术支持资料作为本表的附件，并在本偏离表“对应证明材料页码”项内注明其在投标文件中的具体页码。</w:t>
      </w:r>
    </w:p>
    <w:p>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w:t>
      </w:r>
      <w:r>
        <w:rPr>
          <w:rFonts w:ascii="宋体" w:hAnsi="宋体" w:eastAsia="宋体" w:cs="Times New Roman"/>
          <w:b/>
          <w:bCs w:val="0"/>
          <w:color w:val="auto"/>
          <w:kern w:val="0"/>
          <w:szCs w:val="21"/>
          <w:highlight w:val="none"/>
          <w:u w:val="single"/>
        </w:rPr>
        <w:t>理</w:t>
      </w:r>
      <w:r>
        <w:rPr>
          <w:rFonts w:ascii="宋体" w:hAnsi="宋体" w:eastAsia="宋体" w:cs="Times New Roman"/>
          <w:b/>
          <w:bCs w:val="0"/>
          <w:color w:val="auto"/>
          <w:kern w:val="0"/>
          <w:sz w:val="24"/>
          <w:szCs w:val="21"/>
          <w:highlight w:val="none"/>
          <w:u w:val="single"/>
          <w:lang w:val="zh-CN"/>
        </w:rPr>
        <w:t>。</w:t>
      </w:r>
    </w:p>
    <w:p>
      <w:pPr>
        <w:spacing w:line="360" w:lineRule="auto"/>
        <w:rPr>
          <w:rFonts w:ascii="宋体" w:hAnsi="宋体" w:eastAsia="宋体" w:cs="宋体"/>
          <w:color w:val="auto"/>
          <w:szCs w:val="21"/>
          <w:highlight w:val="none"/>
        </w:rPr>
      </w:pPr>
    </w:p>
    <w:p>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801" w:name="_Toc104991889"/>
      <w:bookmarkStart w:id="802" w:name="_Toc102860087"/>
      <w:bookmarkStart w:id="803" w:name="_Toc23150"/>
      <w:bookmarkStart w:id="804" w:name="_Toc142508382"/>
      <w:bookmarkStart w:id="805" w:name="_Toc5046"/>
      <w:bookmarkStart w:id="806" w:name="_Toc102860431"/>
      <w:bookmarkStart w:id="807" w:name="_Toc3593"/>
      <w:bookmarkStart w:id="808" w:name="_Toc140596942"/>
      <w:bookmarkStart w:id="809" w:name="_Toc94107224"/>
      <w:bookmarkStart w:id="810" w:name="_Toc13882"/>
      <w:bookmarkStart w:id="811" w:name="_Toc3076"/>
      <w:bookmarkStart w:id="812" w:name="_Toc4085"/>
      <w:r>
        <w:rPr>
          <w:rFonts w:hint="eastAsia" w:ascii="宋体" w:hAnsi="宋体" w:eastAsia="宋体" w:cs="宋体"/>
          <w:b/>
          <w:color w:val="auto"/>
          <w:kern w:val="0"/>
          <w:sz w:val="30"/>
          <w:szCs w:val="30"/>
          <w:highlight w:val="none"/>
          <w:lang w:eastAsia="zh-CN"/>
        </w:rPr>
        <w:t>13.</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bookmarkEnd w:id="801"/>
      <w:bookmarkEnd w:id="802"/>
      <w:bookmarkEnd w:id="803"/>
      <w:bookmarkEnd w:id="804"/>
      <w:bookmarkEnd w:id="805"/>
      <w:bookmarkEnd w:id="806"/>
      <w:bookmarkEnd w:id="807"/>
      <w:bookmarkEnd w:id="808"/>
      <w:bookmarkEnd w:id="809"/>
      <w:r>
        <w:rPr>
          <w:rFonts w:hint="eastAsia" w:ascii="宋体" w:hAnsi="宋体" w:eastAsia="宋体" w:cs="宋体"/>
          <w:b/>
          <w:color w:val="auto"/>
          <w:kern w:val="0"/>
          <w:sz w:val="30"/>
          <w:szCs w:val="30"/>
          <w:highlight w:val="none"/>
          <w:lang w:eastAsia="zh-CN"/>
        </w:rPr>
        <w:t>监测方案（投标人自行编写）</w:t>
      </w:r>
      <w:bookmarkEnd w:id="810"/>
      <w:bookmarkEnd w:id="811"/>
      <w:bookmarkEnd w:id="812"/>
    </w:p>
    <w:p>
      <w:pPr>
        <w:widowControl/>
        <w:jc w:val="left"/>
        <w:rPr>
          <w:rFonts w:ascii="宋体" w:hAnsi="宋体" w:eastAsia="宋体" w:cs="Times New Roman"/>
          <w:color w:val="auto"/>
          <w:kern w:val="0"/>
          <w:szCs w:val="21"/>
          <w:highlight w:val="none"/>
        </w:rPr>
      </w:pPr>
      <w:bookmarkStart w:id="813" w:name="_Toc94107225"/>
      <w:r>
        <w:rPr>
          <w:rFonts w:ascii="宋体" w:hAnsi="宋体" w:eastAsia="宋体" w:cs="Times New Roman"/>
          <w:color w:val="auto"/>
          <w:kern w:val="0"/>
          <w:szCs w:val="21"/>
          <w:highlight w:val="none"/>
        </w:rPr>
        <w:br w:type="page"/>
      </w:r>
    </w:p>
    <w:bookmarkEnd w:id="813"/>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814" w:name="_Toc9601"/>
      <w:bookmarkStart w:id="815" w:name="_Toc102860094"/>
      <w:bookmarkStart w:id="816" w:name="_Toc142508389"/>
      <w:bookmarkStart w:id="817" w:name="_Toc140596949"/>
      <w:bookmarkStart w:id="818" w:name="_Toc104991896"/>
      <w:bookmarkStart w:id="819" w:name="_Toc102860438"/>
      <w:bookmarkStart w:id="820" w:name="_Toc533708139"/>
      <w:r>
        <w:rPr>
          <w:rFonts w:hint="eastAsia" w:ascii="宋体" w:hAnsi="宋体" w:eastAsia="宋体" w:cs="宋体"/>
          <w:b/>
          <w:color w:val="auto"/>
          <w:kern w:val="0"/>
          <w:sz w:val="30"/>
          <w:szCs w:val="30"/>
          <w:highlight w:val="none"/>
          <w:lang w:val="en-US" w:eastAsia="zh-CN"/>
        </w:rPr>
        <w:t>13.3 原始数据处理计算、整理分析方法及预警消警机制（投标人自行编写）</w:t>
      </w:r>
      <w:r>
        <w:rPr>
          <w:rFonts w:hint="eastAsia" w:ascii="宋体" w:hAnsi="宋体" w:eastAsia="宋体" w:cs="宋体"/>
          <w:b/>
          <w:color w:val="auto"/>
          <w:kern w:val="0"/>
          <w:sz w:val="30"/>
          <w:szCs w:val="30"/>
          <w:highlight w:val="none"/>
          <w:lang w:val="en-US" w:eastAsia="zh-CN"/>
        </w:rPr>
        <w:br w:type="page"/>
      </w:r>
      <w:bookmarkEnd w:id="814"/>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821" w:name="_Toc16454"/>
      <w:r>
        <w:rPr>
          <w:rFonts w:hint="eastAsia" w:ascii="宋体" w:hAnsi="宋体" w:eastAsia="宋体" w:cs="宋体"/>
          <w:b/>
          <w:color w:val="auto"/>
          <w:kern w:val="0"/>
          <w:sz w:val="30"/>
          <w:szCs w:val="30"/>
          <w:highlight w:val="none"/>
          <w:lang w:val="en-US" w:eastAsia="zh-CN"/>
        </w:rPr>
        <w:t>13.4 监测成果准确性承诺书格式</w:t>
      </w:r>
      <w:bookmarkEnd w:id="821"/>
    </w:p>
    <w:p>
      <w:pPr>
        <w:spacing w:line="360" w:lineRule="auto"/>
        <w:jc w:val="center"/>
        <w:rPr>
          <w:rFonts w:hint="eastAsia" w:ascii="宋体" w:hAnsi="宋体" w:eastAsia="宋体" w:cs="宋体"/>
          <w:b/>
          <w:bCs/>
          <w:color w:val="auto"/>
          <w:kern w:val="2"/>
          <w:sz w:val="30"/>
          <w:szCs w:val="30"/>
          <w:highlight w:val="none"/>
          <w:lang w:val="zh-CN"/>
        </w:rPr>
      </w:pPr>
    </w:p>
    <w:p>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监测成果准确性承诺书</w:t>
      </w:r>
    </w:p>
    <w:tbl>
      <w:tblPr>
        <w:tblStyle w:val="37"/>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2"/>
        <w:gridCol w:w="3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32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承诺事项</w:t>
            </w:r>
          </w:p>
        </w:tc>
        <w:tc>
          <w:tcPr>
            <w:tcW w:w="345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错误点数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32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所有监测成果按实测量</w:t>
            </w:r>
          </w:p>
        </w:tc>
        <w:tc>
          <w:tcPr>
            <w:tcW w:w="345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个（含）以内</w:t>
            </w:r>
          </w:p>
        </w:tc>
      </w:tr>
    </w:tbl>
    <w:p>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对于本承诺，如中标人后期未能做到，视为同意将其行为予以公示，且招标人有权将中标人纳入东莞市水务集团有限公司（含其全资子公司、控股公司、由其管理的参股公司）招标、采购、征集供应商或合作方采购“黑名单”中。</w:t>
      </w: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ind w:firstLine="504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投标人：（加盖投标人法人公章）</w:t>
      </w:r>
    </w:p>
    <w:p>
      <w:pPr>
        <w:spacing w:line="360" w:lineRule="auto"/>
        <w:ind w:firstLine="504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日期：   年   月   日</w:t>
      </w:r>
    </w:p>
    <w:p>
      <w:pPr>
        <w:rPr>
          <w:rFonts w:hint="eastAsia"/>
          <w:color w:val="auto"/>
          <w:highlight w:val="none"/>
        </w:rPr>
      </w:pPr>
      <w:r>
        <w:rPr>
          <w:rFonts w:hint="eastAsia"/>
          <w:color w:val="auto"/>
          <w:highlight w:val="none"/>
        </w:rPr>
        <w:br w:type="page"/>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822" w:name="_Toc109"/>
      <w:r>
        <w:rPr>
          <w:rFonts w:hint="eastAsia" w:ascii="宋体" w:hAnsi="宋体" w:eastAsia="宋体" w:cs="宋体"/>
          <w:b/>
          <w:color w:val="auto"/>
          <w:kern w:val="0"/>
          <w:sz w:val="30"/>
          <w:szCs w:val="30"/>
          <w:highlight w:val="none"/>
          <w:lang w:val="en-US" w:eastAsia="zh-CN"/>
        </w:rPr>
        <w:t>13.5 服务响应时间承诺书格式</w:t>
      </w:r>
      <w:bookmarkEnd w:id="822"/>
    </w:p>
    <w:p>
      <w:pPr>
        <w:widowControl/>
        <w:autoSpaceDE/>
        <w:autoSpaceDN/>
        <w:adjustRightInd/>
        <w:rPr>
          <w:rFonts w:ascii="宋体" w:hAnsi="宋体" w:cs="宋体"/>
          <w:b/>
          <w:color w:val="auto"/>
          <w:sz w:val="32"/>
          <w:szCs w:val="32"/>
          <w:highlight w:val="none"/>
        </w:rPr>
      </w:pPr>
    </w:p>
    <w:p>
      <w:pPr>
        <w:widowControl/>
        <w:autoSpaceDE/>
        <w:autoSpaceDN/>
        <w:adjustRightInd/>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color w:val="auto"/>
          <w:sz w:val="32"/>
          <w:szCs w:val="32"/>
          <w:highlight w:val="none"/>
        </w:rPr>
        <w:t>服务响应时间承诺书</w:t>
      </w:r>
    </w:p>
    <w:tbl>
      <w:tblPr>
        <w:tblStyle w:val="37"/>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1"/>
        <w:gridCol w:w="3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47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承诺事项</w:t>
            </w:r>
          </w:p>
        </w:tc>
        <w:tc>
          <w:tcPr>
            <w:tcW w:w="330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承诺时间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47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接到招标人电话通知后机械设备、人员进场服务</w:t>
            </w:r>
          </w:p>
        </w:tc>
        <w:tc>
          <w:tcPr>
            <w:tcW w:w="330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小时（含）内</w:t>
            </w:r>
          </w:p>
        </w:tc>
      </w:tr>
    </w:tbl>
    <w:p>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b/>
          <w:bCs/>
          <w:color w:val="auto"/>
          <w:sz w:val="21"/>
          <w:szCs w:val="21"/>
          <w:highlight w:val="none"/>
          <w:lang w:val="zh-CN"/>
        </w:rPr>
        <w:t>对于本承诺，如中标人后期未能做到，视为同意将其行为予以公示，</w:t>
      </w:r>
      <w:r>
        <w:rPr>
          <w:rFonts w:hint="eastAsia" w:ascii="宋体" w:hAnsi="宋体" w:eastAsia="宋体" w:cs="宋体"/>
          <w:b/>
          <w:bCs/>
          <w:color w:val="auto"/>
          <w:sz w:val="21"/>
          <w:szCs w:val="21"/>
          <w:highlight w:val="none"/>
        </w:rPr>
        <w:t>且招标人有权将中标人纳入东莞市水务集团有限公司（含其全资子公司、控股公司、由其管理的参股公司）招标、采购、征集供应商或合作方采购“黑名单”中</w:t>
      </w:r>
      <w:r>
        <w:rPr>
          <w:rFonts w:hint="eastAsia" w:ascii="宋体" w:hAnsi="宋体" w:eastAsia="宋体" w:cs="宋体"/>
          <w:b/>
          <w:bCs/>
          <w:color w:val="auto"/>
          <w:sz w:val="21"/>
          <w:szCs w:val="21"/>
          <w:highlight w:val="none"/>
          <w:lang w:val="zh-CN"/>
        </w:rPr>
        <w:t>。</w:t>
      </w: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ind w:firstLine="504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投标人：（加盖投标人法人公章）</w:t>
      </w:r>
    </w:p>
    <w:p>
      <w:pPr>
        <w:spacing w:line="360" w:lineRule="auto"/>
        <w:ind w:firstLine="5040"/>
        <w:jc w:val="both"/>
        <w:rPr>
          <w:rFonts w:hint="eastAsia" w:ascii="宋体" w:hAnsi="宋体" w:eastAsia="宋体" w:cs="宋体"/>
          <w:color w:val="auto"/>
          <w:highlight w:val="none"/>
        </w:rPr>
      </w:pPr>
      <w:r>
        <w:rPr>
          <w:rFonts w:hint="eastAsia" w:ascii="宋体" w:hAnsi="宋体" w:eastAsia="宋体" w:cs="宋体"/>
          <w:color w:val="auto"/>
          <w:kern w:val="2"/>
          <w:sz w:val="21"/>
          <w:highlight w:val="none"/>
          <w:lang w:val="zh-CN"/>
        </w:rPr>
        <w:t>日期：   年   月   日</w:t>
      </w:r>
    </w:p>
    <w:p>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823" w:name="_Toc30545"/>
      <w:bookmarkStart w:id="824" w:name="_Toc16502"/>
      <w:bookmarkStart w:id="825" w:name="_Toc2639"/>
      <w:bookmarkStart w:id="826" w:name="_Toc18180"/>
      <w:bookmarkStart w:id="827" w:name="_Toc3750"/>
      <w:bookmarkStart w:id="828" w:name="_Toc26248"/>
      <w:r>
        <w:rPr>
          <w:rFonts w:hint="eastAsia" w:ascii="宋体" w:hAnsi="宋体" w:eastAsia="宋体" w:cs="宋体"/>
          <w:b/>
          <w:color w:val="auto"/>
          <w:kern w:val="0"/>
          <w:sz w:val="30"/>
          <w:szCs w:val="30"/>
          <w:highlight w:val="none"/>
          <w:lang w:val="en-US" w:eastAsia="zh-CN"/>
        </w:rPr>
        <w:t>13.6 投标人认为有必要提供的其它材料（不做强制要求）</w:t>
      </w:r>
      <w:bookmarkEnd w:id="815"/>
      <w:bookmarkEnd w:id="816"/>
      <w:bookmarkEnd w:id="817"/>
      <w:bookmarkEnd w:id="818"/>
      <w:bookmarkEnd w:id="819"/>
      <w:bookmarkEnd w:id="823"/>
      <w:bookmarkEnd w:id="824"/>
      <w:bookmarkEnd w:id="825"/>
      <w:bookmarkEnd w:id="826"/>
      <w:bookmarkEnd w:id="827"/>
      <w:bookmarkEnd w:id="828"/>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pPr>
        <w:autoSpaceDE w:val="0"/>
        <w:autoSpaceDN w:val="0"/>
        <w:adjustRightInd w:val="0"/>
        <w:jc w:val="left"/>
        <w:rPr>
          <w:rFonts w:ascii="宋体" w:hAnsi="宋体" w:eastAsia="宋体" w:cs="Times New Roman"/>
          <w:color w:val="auto"/>
          <w:kern w:val="0"/>
          <w:sz w:val="24"/>
          <w:szCs w:val="24"/>
          <w:highlight w:val="none"/>
        </w:rPr>
      </w:pPr>
    </w:p>
    <w:p>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829" w:name="_Toc30901"/>
      <w:bookmarkStart w:id="830" w:name="_Toc14270"/>
      <w:bookmarkStart w:id="831" w:name="_Toc142508390"/>
      <w:bookmarkStart w:id="832" w:name="_Toc769"/>
      <w:bookmarkStart w:id="833" w:name="_Toc21059"/>
      <w:bookmarkStart w:id="834" w:name="_Toc14977"/>
      <w:bookmarkStart w:id="835" w:name="_Toc30548"/>
      <w:bookmarkStart w:id="836" w:name="_Toc522047402"/>
      <w:bookmarkStart w:id="837" w:name="_Toc22601_WPSOffice_Level1"/>
      <w:bookmarkStart w:id="838" w:name="_Toc521918141"/>
      <w:r>
        <w:rPr>
          <w:rFonts w:hint="eastAsia" w:ascii="宋体" w:hAnsi="宋体" w:eastAsia="宋体" w:cs="宋体"/>
          <w:b/>
          <w:bCs/>
          <w:color w:val="auto"/>
          <w:kern w:val="44"/>
          <w:sz w:val="32"/>
          <w:szCs w:val="32"/>
          <w:highlight w:val="none"/>
          <w:lang w:val="zh-CN"/>
        </w:rPr>
        <w:t>附件一：评标工作大纲</w:t>
      </w:r>
      <w:bookmarkEnd w:id="829"/>
      <w:bookmarkEnd w:id="830"/>
      <w:bookmarkEnd w:id="831"/>
      <w:bookmarkEnd w:id="832"/>
      <w:bookmarkEnd w:id="833"/>
      <w:bookmarkEnd w:id="834"/>
      <w:bookmarkEnd w:id="835"/>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东莞市供水设施更新改造项目-松山湖新城路给水管网改造工程第三方监测服务采购项目</w:t>
      </w:r>
    </w:p>
    <w:p>
      <w:pPr>
        <w:autoSpaceDE w:val="0"/>
        <w:autoSpaceDN w:val="0"/>
        <w:adjustRightInd w:val="0"/>
        <w:spacing w:line="360" w:lineRule="auto"/>
        <w:jc w:val="center"/>
        <w:rPr>
          <w:rFonts w:ascii="宋体" w:hAnsi="宋体" w:eastAsia="宋体" w:cs="宋体"/>
          <w:b/>
          <w:bCs/>
          <w:color w:val="auto"/>
          <w:sz w:val="36"/>
          <w:szCs w:val="36"/>
          <w:highlight w:val="none"/>
        </w:rPr>
      </w:pPr>
      <w:bookmarkStart w:id="839" w:name="_Toc14752_WPSOffice_Level1"/>
      <w:r>
        <w:rPr>
          <w:rFonts w:hint="eastAsia" w:ascii="宋体" w:hAnsi="宋体" w:eastAsia="宋体" w:cs="宋体"/>
          <w:b/>
          <w:bCs/>
          <w:color w:val="auto"/>
          <w:sz w:val="36"/>
          <w:szCs w:val="36"/>
          <w:highlight w:val="none"/>
          <w:lang w:val="zh-CN"/>
        </w:rPr>
        <w:t>（招标编号：0832-SFCX24DG197C）</w:t>
      </w:r>
      <w:bookmarkEnd w:id="839"/>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840" w:name="_Toc18947_WPSOffice_Level2"/>
      <w:r>
        <w:rPr>
          <w:rFonts w:hint="eastAsia" w:ascii="宋体" w:hAnsi="宋体" w:eastAsia="宋体" w:cs="宋体"/>
          <w:b/>
          <w:bCs/>
          <w:color w:val="auto"/>
          <w:sz w:val="72"/>
          <w:szCs w:val="72"/>
          <w:highlight w:val="none"/>
          <w:lang w:val="zh-CN"/>
        </w:rPr>
        <w:t>评标工作大纲</w:t>
      </w:r>
      <w:bookmarkEnd w:id="840"/>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三方诚信招标有限公司</w:t>
      </w: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841" w:name="_Toc32395_WPSOffice_Level1"/>
      <w:r>
        <w:rPr>
          <w:rFonts w:hint="eastAsia" w:ascii="宋体" w:hAnsi="宋体" w:eastAsia="宋体" w:cs="宋体"/>
          <w:b/>
          <w:bCs/>
          <w:color w:val="auto"/>
          <w:sz w:val="36"/>
          <w:szCs w:val="36"/>
          <w:highlight w:val="none"/>
          <w:lang w:val="zh-CN"/>
        </w:rPr>
        <w:t>目录</w:t>
      </w:r>
      <w:bookmarkEnd w:id="841"/>
    </w:p>
    <w:p>
      <w:pPr>
        <w:autoSpaceDE w:val="0"/>
        <w:autoSpaceDN w:val="0"/>
        <w:adjustRightInd w:val="0"/>
        <w:spacing w:line="400" w:lineRule="atLeast"/>
        <w:jc w:val="center"/>
        <w:rPr>
          <w:rFonts w:ascii="宋体" w:hAnsi="宋体" w:eastAsia="宋体" w:cs="宋体"/>
          <w:color w:val="auto"/>
          <w:sz w:val="44"/>
          <w:szCs w:val="44"/>
          <w:highlight w:val="none"/>
        </w:rPr>
      </w:pPr>
    </w:p>
    <w:p>
      <w:pPr>
        <w:autoSpaceDE w:val="0"/>
        <w:autoSpaceDN w:val="0"/>
        <w:adjustRightInd w:val="0"/>
        <w:spacing w:line="360" w:lineRule="auto"/>
        <w:ind w:left="567" w:hanging="567"/>
        <w:rPr>
          <w:rFonts w:ascii="宋体" w:hAnsi="宋体" w:eastAsia="宋体" w:cs="宋体"/>
          <w:color w:val="auto"/>
          <w:szCs w:val="30"/>
          <w:highlight w:val="none"/>
        </w:rPr>
      </w:pPr>
      <w:bookmarkStart w:id="842"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842"/>
    </w:p>
    <w:p>
      <w:pPr>
        <w:autoSpaceDE w:val="0"/>
        <w:autoSpaceDN w:val="0"/>
        <w:adjustRightInd w:val="0"/>
        <w:spacing w:line="360" w:lineRule="auto"/>
        <w:ind w:left="567" w:hanging="567"/>
        <w:rPr>
          <w:rFonts w:ascii="宋体" w:hAnsi="宋体" w:eastAsia="宋体" w:cs="宋体"/>
          <w:color w:val="auto"/>
          <w:szCs w:val="30"/>
          <w:highlight w:val="none"/>
        </w:rPr>
      </w:pPr>
      <w:bookmarkStart w:id="843"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843"/>
    </w:p>
    <w:p>
      <w:pPr>
        <w:autoSpaceDE w:val="0"/>
        <w:autoSpaceDN w:val="0"/>
        <w:adjustRightInd w:val="0"/>
        <w:spacing w:line="360" w:lineRule="auto"/>
        <w:ind w:left="567" w:hanging="567"/>
        <w:rPr>
          <w:rFonts w:ascii="宋体" w:hAnsi="宋体" w:eastAsia="宋体" w:cs="宋体"/>
          <w:color w:val="auto"/>
          <w:szCs w:val="30"/>
          <w:highlight w:val="none"/>
        </w:rPr>
      </w:pPr>
      <w:bookmarkStart w:id="844"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844"/>
    </w:p>
    <w:p>
      <w:pPr>
        <w:autoSpaceDE w:val="0"/>
        <w:autoSpaceDN w:val="0"/>
        <w:adjustRightInd w:val="0"/>
        <w:spacing w:line="360" w:lineRule="auto"/>
        <w:ind w:left="567" w:hanging="567"/>
        <w:rPr>
          <w:rFonts w:ascii="宋体" w:hAnsi="宋体" w:eastAsia="宋体" w:cs="宋体"/>
          <w:color w:val="auto"/>
          <w:szCs w:val="30"/>
          <w:highlight w:val="none"/>
        </w:rPr>
      </w:pPr>
      <w:bookmarkStart w:id="845" w:name="_Toc1206_WPSOffice_Level1"/>
      <w:r>
        <w:rPr>
          <w:rFonts w:hint="eastAsia" w:ascii="宋体" w:hAnsi="宋体" w:eastAsia="宋体" w:cs="宋体"/>
          <w:color w:val="auto"/>
          <w:szCs w:val="30"/>
          <w:highlight w:val="none"/>
        </w:rPr>
        <w:t>四、 比较和评价</w:t>
      </w:r>
      <w:bookmarkEnd w:id="845"/>
    </w:p>
    <w:p>
      <w:pPr>
        <w:autoSpaceDE w:val="0"/>
        <w:autoSpaceDN w:val="0"/>
        <w:adjustRightInd w:val="0"/>
        <w:spacing w:line="360" w:lineRule="auto"/>
        <w:ind w:left="567" w:hanging="567"/>
        <w:rPr>
          <w:rFonts w:ascii="宋体" w:hAnsi="宋体" w:eastAsia="宋体" w:cs="宋体"/>
          <w:color w:val="auto"/>
          <w:szCs w:val="30"/>
          <w:highlight w:val="none"/>
        </w:rPr>
      </w:pPr>
      <w:bookmarkStart w:id="846"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846"/>
    </w:p>
    <w:p>
      <w:pPr>
        <w:autoSpaceDE w:val="0"/>
        <w:autoSpaceDN w:val="0"/>
        <w:adjustRightInd w:val="0"/>
        <w:spacing w:line="360" w:lineRule="auto"/>
        <w:ind w:left="567" w:hanging="567"/>
        <w:rPr>
          <w:rFonts w:ascii="宋体" w:hAnsi="宋体" w:eastAsia="宋体" w:cs="宋体"/>
          <w:color w:val="auto"/>
          <w:szCs w:val="30"/>
          <w:highlight w:val="none"/>
        </w:rPr>
      </w:pPr>
      <w:bookmarkStart w:id="847"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847"/>
    </w:p>
    <w:p>
      <w:pPr>
        <w:autoSpaceDE w:val="0"/>
        <w:autoSpaceDN w:val="0"/>
        <w:adjustRightInd w:val="0"/>
        <w:spacing w:line="360" w:lineRule="auto"/>
        <w:ind w:left="567" w:hanging="567"/>
        <w:rPr>
          <w:rFonts w:ascii="宋体" w:hAnsi="宋体" w:eastAsia="宋体" w:cs="宋体"/>
          <w:color w:val="auto"/>
          <w:szCs w:val="30"/>
          <w:highlight w:val="none"/>
        </w:rPr>
      </w:pPr>
      <w:bookmarkStart w:id="848"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848"/>
    </w:p>
    <w:p>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849"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849"/>
    </w:p>
    <w:p>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东莞市供水设施更新改造项目-松山湖新城路给水管网改造工程第三方监测服务采购项目</w:t>
      </w:r>
      <w:r>
        <w:rPr>
          <w:rFonts w:hint="eastAsia" w:ascii="宋体" w:hAnsi="宋体" w:eastAsia="宋体" w:cs="宋体"/>
          <w:color w:val="auto"/>
          <w:szCs w:val="21"/>
          <w:highlight w:val="none"/>
          <w:lang w:val="zh-CN"/>
        </w:rPr>
        <w:t>(招标编号：0832-SFCX24DG197C</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三方诚信招标有限公司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pPr>
        <w:numPr>
          <w:ilvl w:val="1"/>
          <w:numId w:val="6"/>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pPr>
        <w:autoSpaceDE w:val="0"/>
        <w:autoSpaceDN w:val="0"/>
        <w:adjustRightInd w:val="0"/>
        <w:spacing w:line="360" w:lineRule="auto"/>
        <w:rPr>
          <w:rFonts w:ascii="宋体" w:hAnsi="宋体" w:eastAsia="宋体" w:cs="宋体"/>
          <w:color w:val="auto"/>
          <w:sz w:val="24"/>
          <w:szCs w:val="24"/>
          <w:highlight w:val="none"/>
          <w:lang w:val="zh-CN"/>
        </w:rPr>
      </w:pPr>
    </w:p>
    <w:p>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pPr>
        <w:autoSpaceDE w:val="0"/>
        <w:autoSpaceDN w:val="0"/>
        <w:adjustRightInd w:val="0"/>
        <w:spacing w:line="360" w:lineRule="auto"/>
        <w:rPr>
          <w:rFonts w:ascii="宋体" w:hAnsi="宋体" w:eastAsia="宋体" w:cs="宋体"/>
          <w:color w:val="auto"/>
          <w:sz w:val="24"/>
          <w:szCs w:val="24"/>
          <w:highlight w:val="none"/>
          <w:lang w:val="zh-CN"/>
        </w:rPr>
      </w:pPr>
    </w:p>
    <w:p>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pPr>
        <w:autoSpaceDE w:val="0"/>
        <w:autoSpaceDN w:val="0"/>
        <w:adjustRightInd w:val="0"/>
        <w:spacing w:line="360" w:lineRule="auto"/>
        <w:ind w:left="525" w:hanging="525" w:hangingChars="25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850" w:name="_Toc19435_WPSOffice_Level1"/>
      <w:r>
        <w:rPr>
          <w:rFonts w:hint="eastAsia" w:ascii="宋体" w:hAnsi="宋体" w:eastAsia="宋体" w:cs="宋体"/>
          <w:b/>
          <w:bCs/>
          <w:color w:val="auto"/>
          <w:sz w:val="28"/>
          <w:szCs w:val="28"/>
          <w:highlight w:val="none"/>
          <w:lang w:val="zh-CN"/>
        </w:rPr>
        <w:t>二、投标文件的初审</w:t>
      </w:r>
      <w:bookmarkEnd w:id="850"/>
    </w:p>
    <w:p>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7.2  投标人报价未按照招标文件要求对监测服务系数进行报价的；</w:t>
      </w:r>
    </w:p>
    <w:p>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pPr>
        <w:tabs>
          <w:tab w:val="left" w:pos="567"/>
        </w:tabs>
        <w:spacing w:line="360" w:lineRule="auto"/>
        <w:ind w:left="632" w:hanging="632" w:hangingChars="300"/>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7.6  投标人为本工程的勘察单位、设计单位、施工单位、监理单位（包括与上述单位法定代表人或负责人为同一人的单位，或者与上述单位存在控股、管理关系的单位，或者与上述单位存在其他利害关系）</w:t>
      </w:r>
      <w:r>
        <w:rPr>
          <w:rFonts w:hint="eastAsia" w:ascii="宋体" w:hAnsi="宋体" w:eastAsia="宋体" w:cs="Times New Roman"/>
          <w:b/>
          <w:color w:val="auto"/>
          <w:szCs w:val="21"/>
          <w:highlight w:val="none"/>
          <w:lang w:val="zh-CN"/>
        </w:rPr>
        <w:t>；</w:t>
      </w:r>
    </w:p>
    <w:p>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xml:space="preserve">  投标文件未按照招标文件规定要求密封；投标文件无法定代表人或其授权代表签字（或盖私章），或签字人无法定代表人有效授权的；签字盖章不符合招标文件要求的； </w:t>
      </w:r>
    </w:p>
    <w:p>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 xml:space="preserve">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10</w:t>
      </w:r>
      <w:r>
        <w:rPr>
          <w:rFonts w:ascii="宋体" w:hAnsi="宋体" w:eastAsia="宋体" w:cs="Times New Roman"/>
          <w:b/>
          <w:color w:val="auto"/>
          <w:kern w:val="0"/>
          <w:szCs w:val="21"/>
          <w:highlight w:val="none"/>
        </w:rPr>
        <w:t xml:space="preserve">  未提供或虚假填写《合同条款偏离表》，或对《合同条款偏离表》有负偏离的；</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1</w:t>
      </w:r>
      <w:r>
        <w:rPr>
          <w:rFonts w:ascii="宋体" w:hAnsi="宋体" w:eastAsia="宋体" w:cs="Times New Roman"/>
          <w:b/>
          <w:color w:val="auto"/>
          <w:kern w:val="0"/>
          <w:szCs w:val="21"/>
          <w:highlight w:val="none"/>
        </w:rPr>
        <w:t xml:space="preserve">  未填写或虚假填写《用户需求偏离表》的；</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2</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pPr>
        <w:spacing w:line="360" w:lineRule="auto"/>
        <w:ind w:left="480"/>
        <w:rPr>
          <w:rFonts w:ascii="宋体" w:hAnsi="宋体" w:eastAsia="宋体" w:cs="宋体"/>
          <w:b/>
          <w:color w:val="auto"/>
          <w:kern w:val="0"/>
          <w:szCs w:val="21"/>
          <w:highlight w:val="none"/>
        </w:rPr>
      </w:pPr>
    </w:p>
    <w:p>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851" w:name="_Toc4109_WPSOffice_Level1"/>
      <w:r>
        <w:rPr>
          <w:rFonts w:hint="eastAsia" w:ascii="宋体" w:hAnsi="宋体" w:eastAsia="宋体" w:cs="宋体"/>
          <w:b/>
          <w:bCs/>
          <w:color w:val="auto"/>
          <w:sz w:val="28"/>
          <w:szCs w:val="28"/>
          <w:highlight w:val="none"/>
          <w:lang w:val="zh-CN"/>
        </w:rPr>
        <w:t>三、澄清有关问题</w:t>
      </w:r>
      <w:bookmarkEnd w:id="851"/>
    </w:p>
    <w:p>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rPr>
        <w:t xml:space="preserve">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852" w:name="_Toc8518_WPSOffice_Level1"/>
    </w:p>
    <w:p>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852"/>
    </w:p>
    <w:p>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pPr>
        <w:autoSpaceDE w:val="0"/>
        <w:autoSpaceDN w:val="0"/>
        <w:adjustRightInd w:val="0"/>
        <w:spacing w:line="360" w:lineRule="auto"/>
        <w:rPr>
          <w:rFonts w:ascii="宋体" w:hAnsi="宋体" w:eastAsia="宋体" w:cs="宋体"/>
          <w:color w:val="auto"/>
          <w:szCs w:val="24"/>
          <w:highlight w:val="none"/>
          <w:lang w:val="zh-CN"/>
        </w:rPr>
      </w:pPr>
    </w:p>
    <w:p>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textAlignment w:val="auto"/>
        <w:outlineLvl w:val="1"/>
        <w:rPr>
          <w:rFonts w:ascii="宋体" w:hAnsi="宋体" w:eastAsia="宋体" w:cs="宋体"/>
          <w:b/>
          <w:color w:val="auto"/>
          <w:szCs w:val="24"/>
          <w:highlight w:val="none"/>
          <w:lang w:val="zh-CN"/>
        </w:rPr>
      </w:pPr>
      <w:bookmarkStart w:id="853" w:name="_Toc3106"/>
      <w:r>
        <w:rPr>
          <w:rFonts w:hint="eastAsia" w:ascii="宋体" w:hAnsi="宋体" w:eastAsia="宋体" w:cs="宋体"/>
          <w:b/>
          <w:color w:val="auto"/>
          <w:szCs w:val="24"/>
          <w:highlight w:val="none"/>
          <w:lang w:val="zh-CN"/>
        </w:rPr>
        <w:t>12、评分因素及分值</w:t>
      </w:r>
      <w:bookmarkEnd w:id="853"/>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7"/>
        <w:gridCol w:w="5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51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en-US" w:eastAsia="zh-CN"/>
              </w:rPr>
              <w:t>3</w:t>
            </w:r>
            <w:r>
              <w:rPr>
                <w:rFonts w:hint="default" w:ascii="宋体" w:hAnsi="宋体" w:eastAsia="宋体" w:cs="宋体"/>
                <w:b/>
                <w:color w:val="auto"/>
                <w:kern w:val="0"/>
                <w:sz w:val="22"/>
                <w:highlight w:val="none"/>
                <w:lang w:val="zh-CN"/>
              </w:rPr>
              <w:t>0</w:t>
            </w:r>
            <w:r>
              <w:rPr>
                <w:rFonts w:hint="eastAsia" w:ascii="宋体" w:hAnsi="宋体" w:eastAsia="宋体" w:cs="宋体"/>
                <w:b/>
                <w:color w:val="auto"/>
                <w:kern w:val="0"/>
                <w:sz w:val="22"/>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en-US" w:eastAsia="zh-CN"/>
              </w:rPr>
              <w:t>20</w:t>
            </w:r>
            <w:r>
              <w:rPr>
                <w:rFonts w:hint="eastAsia" w:ascii="宋体" w:hAnsi="宋体" w:eastAsia="宋体" w:cs="宋体"/>
                <w:b/>
                <w:color w:val="auto"/>
                <w:kern w:val="0"/>
                <w:sz w:val="22"/>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en-US" w:eastAsia="zh-CN"/>
              </w:rPr>
              <w:t>50</w:t>
            </w:r>
            <w:r>
              <w:rPr>
                <w:rFonts w:hint="eastAsia" w:ascii="宋体" w:hAnsi="宋体" w:eastAsia="宋体" w:cs="宋体"/>
                <w:b/>
                <w:color w:val="auto"/>
                <w:kern w:val="0"/>
                <w:sz w:val="22"/>
                <w:highlight w:val="none"/>
                <w:lang w:val="zh-CN"/>
              </w:rPr>
              <w:t>分</w:t>
            </w:r>
          </w:p>
        </w:tc>
      </w:tr>
    </w:tbl>
    <w:p>
      <w:pPr>
        <w:tabs>
          <w:tab w:val="left" w:pos="585"/>
        </w:tabs>
        <w:autoSpaceDE w:val="0"/>
        <w:autoSpaceDN w:val="0"/>
        <w:adjustRightInd w:val="0"/>
        <w:spacing w:line="360" w:lineRule="auto"/>
        <w:rPr>
          <w:rFonts w:ascii="宋体" w:hAnsi="宋体" w:eastAsia="宋体" w:cs="宋体"/>
          <w:b/>
          <w:color w:val="auto"/>
          <w:szCs w:val="21"/>
          <w:highlight w:val="none"/>
        </w:rPr>
      </w:pPr>
      <w:bookmarkStart w:id="854" w:name="_Toc18349_WPSOffice_Level2"/>
    </w:p>
    <w:p>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854"/>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33"/>
        <w:gridCol w:w="7659"/>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71"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9"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76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年-20</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年三个年度，每具有1个年度</w:t>
            </w:r>
            <w:r>
              <w:rPr>
                <w:rFonts w:hint="eastAsia" w:ascii="宋体" w:hAnsi="宋体" w:eastAsia="宋体" w:cs="宋体"/>
                <w:color w:val="auto"/>
                <w:sz w:val="21"/>
                <w:szCs w:val="21"/>
                <w:highlight w:val="none"/>
                <w:lang w:val="en-US" w:eastAsia="zh-CN"/>
              </w:rPr>
              <w:t>盈利</w:t>
            </w:r>
            <w:r>
              <w:rPr>
                <w:rFonts w:hint="eastAsia" w:ascii="宋体" w:hAnsi="宋体" w:eastAsia="宋体" w:cs="宋体"/>
                <w:color w:val="auto"/>
                <w:sz w:val="21"/>
                <w:szCs w:val="21"/>
                <w:highlight w:val="none"/>
                <w:lang w:val="zh-CN"/>
              </w:rPr>
              <w:t>的得</w:t>
            </w:r>
            <w:r>
              <w:rPr>
                <w:rFonts w:hint="eastAsia" w:ascii="宋体" w:hAnsi="宋体" w:eastAsia="宋体" w:cs="宋体"/>
                <w:color w:val="auto"/>
                <w:sz w:val="21"/>
                <w:szCs w:val="21"/>
                <w:highlight w:val="none"/>
              </w:rPr>
              <w:t>0.5</w:t>
            </w:r>
            <w:r>
              <w:rPr>
                <w:rFonts w:hint="eastAsia" w:ascii="宋体" w:hAnsi="宋体" w:eastAsia="宋体" w:cs="宋体"/>
                <w:color w:val="auto"/>
                <w:sz w:val="21"/>
                <w:szCs w:val="21"/>
                <w:highlight w:val="none"/>
                <w:lang w:val="zh-CN"/>
              </w:rPr>
              <w:t>分，满分</w:t>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val="zh-CN"/>
              </w:rPr>
              <w:t>分。</w:t>
            </w:r>
          </w:p>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备注：</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en-US" w:eastAsia="zh-CN"/>
              </w:rPr>
              <w:t>盈利指净利润为正数（非零、非负数），</w:t>
            </w:r>
            <w:r>
              <w:rPr>
                <w:rFonts w:hint="eastAsia" w:ascii="宋体" w:hAnsi="宋体" w:eastAsia="宋体" w:cs="宋体"/>
                <w:b/>
                <w:color w:val="auto"/>
                <w:szCs w:val="21"/>
                <w:highlight w:val="none"/>
              </w:rPr>
              <w:t>投标人应提供202</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rPr>
              <w:t>年、202</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年、202</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年三个年度的财务报表，</w:t>
            </w:r>
            <w:r>
              <w:rPr>
                <w:rFonts w:hint="eastAsia" w:ascii="宋体" w:hAnsi="宋体" w:eastAsia="宋体" w:cs="宋体"/>
                <w:b/>
                <w:color w:val="auto"/>
                <w:szCs w:val="21"/>
                <w:highlight w:val="none"/>
                <w:lang w:val="zh-CN"/>
              </w:rPr>
              <w:t>净利润以</w:t>
            </w:r>
            <w:r>
              <w:rPr>
                <w:rFonts w:hint="eastAsia" w:ascii="宋体" w:hAnsi="宋体" w:eastAsia="宋体" w:cs="宋体"/>
                <w:b/>
                <w:color w:val="auto"/>
                <w:szCs w:val="21"/>
                <w:highlight w:val="none"/>
              </w:rPr>
              <w:t>对应年度</w:t>
            </w:r>
            <w:r>
              <w:rPr>
                <w:rFonts w:hint="eastAsia" w:ascii="宋体" w:hAnsi="宋体" w:eastAsia="宋体" w:cs="宋体"/>
                <w:b/>
                <w:color w:val="auto"/>
                <w:szCs w:val="21"/>
                <w:highlight w:val="none"/>
                <w:lang w:val="zh-CN"/>
              </w:rPr>
              <w:t>经审计的财务报表为准，应提供经独立会计师事务所审计过的有效的</w:t>
            </w:r>
            <w:r>
              <w:rPr>
                <w:rFonts w:hint="eastAsia" w:ascii="宋体" w:hAnsi="宋体" w:eastAsia="宋体" w:cs="宋体"/>
                <w:b/>
                <w:color w:val="auto"/>
                <w:szCs w:val="21"/>
                <w:highlight w:val="none"/>
              </w:rPr>
              <w:t>财务报</w:t>
            </w:r>
            <w:r>
              <w:rPr>
                <w:rFonts w:hint="eastAsia" w:ascii="宋体" w:hAnsi="宋体" w:eastAsia="宋体" w:cs="宋体"/>
                <w:b/>
                <w:color w:val="auto"/>
                <w:szCs w:val="21"/>
                <w:highlight w:val="none"/>
                <w:lang w:val="en-US" w:eastAsia="zh-CN"/>
              </w:rPr>
              <w:t>表</w:t>
            </w:r>
            <w:r>
              <w:rPr>
                <w:rFonts w:hint="eastAsia" w:ascii="宋体" w:hAnsi="宋体" w:eastAsia="宋体" w:cs="宋体"/>
                <w:b/>
                <w:color w:val="auto"/>
                <w:szCs w:val="21"/>
                <w:highlight w:val="none"/>
                <w:lang w:val="zh-CN"/>
              </w:rPr>
              <w:t>复印件；</w:t>
            </w:r>
            <w:r>
              <w:rPr>
                <w:rFonts w:hint="eastAsia" w:ascii="宋体" w:hAnsi="宋体" w:eastAsia="宋体" w:cs="宋体"/>
                <w:b/>
                <w:color w:val="auto"/>
                <w:sz w:val="21"/>
                <w:szCs w:val="21"/>
                <w:highlight w:val="none"/>
                <w:lang w:val="zh-CN"/>
              </w:rPr>
              <w:t>未提供前述财务报表或财务报表未能反映净利润的，不得分。</w:t>
            </w:r>
          </w:p>
        </w:tc>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sz w:val="21"/>
                <w:szCs w:val="21"/>
                <w:highlight w:val="none"/>
              </w:rPr>
              <w:t>标准化程度</w:t>
            </w:r>
          </w:p>
        </w:tc>
        <w:tc>
          <w:tcPr>
            <w:tcW w:w="76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34"/>
              </w:tabs>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(1)投标人具有有效期内的ISO9001质量管理体系认证证书得0.5分；</w:t>
            </w:r>
          </w:p>
          <w:p>
            <w:pPr>
              <w:keepNext w:val="0"/>
              <w:keepLines w:val="0"/>
              <w:suppressLineNumbers w:val="0"/>
              <w:tabs>
                <w:tab w:val="left" w:pos="134"/>
              </w:tabs>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(2)投标人具有有效期内的ISO14001环境管理体系认证证书得0.5分；</w:t>
            </w:r>
          </w:p>
          <w:p>
            <w:pPr>
              <w:keepNext w:val="0"/>
              <w:keepLines w:val="0"/>
              <w:suppressLineNumbers w:val="0"/>
              <w:tabs>
                <w:tab w:val="left" w:pos="134"/>
              </w:tabs>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(3)投标人具有有效期内的OHSAS18001（或GB/T45001-2020，或IS045001）职业健康安全管理体系认证证书得0.5分。</w:t>
            </w:r>
          </w:p>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sz w:val="21"/>
                <w:szCs w:val="21"/>
                <w:highlight w:val="none"/>
                <w:lang w:val="en-US" w:eastAsia="zh-CN"/>
              </w:rPr>
              <w:t>投标人应</w:t>
            </w:r>
            <w:r>
              <w:rPr>
                <w:rFonts w:hint="eastAsia" w:ascii="宋体" w:hAnsi="宋体" w:eastAsia="宋体" w:cs="宋体"/>
                <w:b/>
                <w:bCs/>
                <w:color w:val="auto"/>
                <w:szCs w:val="21"/>
                <w:highlight w:val="none"/>
              </w:rPr>
              <w:t>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bookmarkStart w:id="855" w:name="_Hlk104987354"/>
            <w:r>
              <w:rPr>
                <w:rFonts w:hint="eastAsia" w:ascii="宋体" w:hAnsi="宋体" w:eastAsia="宋体" w:cs="宋体"/>
                <w:color w:val="auto"/>
                <w:kern w:val="0"/>
                <w:szCs w:val="21"/>
                <w:highlight w:val="none"/>
                <w:lang w:val="en-US" w:eastAsia="zh-CN"/>
              </w:rPr>
              <w:t>3</w:t>
            </w:r>
          </w:p>
        </w:tc>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业绩</w:t>
            </w:r>
          </w:p>
        </w:tc>
        <w:tc>
          <w:tcPr>
            <w:tcW w:w="76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b w:val="0"/>
                <w:bCs w:val="0"/>
                <w:color w:val="auto"/>
                <w:szCs w:val="21"/>
                <w:highlight w:val="none"/>
                <w:lang w:val="zh-CN"/>
              </w:rPr>
              <w:t>20</w:t>
            </w:r>
            <w:r>
              <w:rPr>
                <w:rFonts w:hint="eastAsia" w:ascii="宋体" w:hAnsi="宋体" w:eastAsia="宋体" w:cs="宋体"/>
                <w:b w:val="0"/>
                <w:bCs w:val="0"/>
                <w:color w:val="auto"/>
                <w:szCs w:val="21"/>
                <w:highlight w:val="none"/>
                <w:lang w:val="en-US" w:eastAsia="zh-CN"/>
              </w:rPr>
              <w:t>20</w:t>
            </w:r>
            <w:r>
              <w:rPr>
                <w:rFonts w:hint="eastAsia" w:ascii="宋体" w:hAnsi="宋体" w:eastAsia="宋体" w:cs="宋体"/>
                <w:b w:val="0"/>
                <w:bCs w:val="0"/>
                <w:color w:val="auto"/>
                <w:szCs w:val="21"/>
                <w:highlight w:val="none"/>
                <w:lang w:val="zh-CN"/>
              </w:rPr>
              <w:t>年1月1日</w:t>
            </w:r>
            <w:r>
              <w:rPr>
                <w:rFonts w:hint="eastAsia" w:ascii="宋体" w:hAnsi="宋体" w:eastAsia="宋体" w:cs="宋体"/>
                <w:color w:val="auto"/>
                <w:sz w:val="21"/>
                <w:szCs w:val="21"/>
                <w:highlight w:val="none"/>
              </w:rPr>
              <w:t>（以合同签订日期为准）至今承接的市政工程监测业绩合同，按下列情况评分（满分1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pPr>
              <w:keepNext w:val="0"/>
              <w:keepLines w:val="0"/>
              <w:suppressLineNumbers w:val="0"/>
              <w:adjustRightInd/>
              <w:spacing w:before="0" w:beforeAutospacing="0" w:after="0" w:afterAutospacing="0" w:line="360" w:lineRule="auto"/>
              <w:ind w:left="0" w:right="0" w:firstLine="210" w:firstLineChars="1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单项合同金额≥</w:t>
            </w:r>
            <w:r>
              <w:rPr>
                <w:rFonts w:hint="eastAsia" w:ascii="宋体" w:hAnsi="宋体" w:eastAsia="宋体" w:cs="宋体"/>
                <w:b w:val="0"/>
                <w:bCs w:val="0"/>
                <w:color w:val="auto"/>
                <w:szCs w:val="21"/>
                <w:highlight w:val="none"/>
                <w:lang w:val="en-US" w:eastAsia="zh-CN"/>
              </w:rPr>
              <w:t>190</w:t>
            </w:r>
            <w:r>
              <w:rPr>
                <w:rFonts w:hint="eastAsia" w:ascii="宋体" w:hAnsi="宋体" w:eastAsia="宋体" w:cs="宋体"/>
                <w:b w:val="0"/>
                <w:bCs w:val="0"/>
                <w:color w:val="auto"/>
                <w:szCs w:val="21"/>
                <w:highlight w:val="none"/>
                <w:lang w:val="zh-CN"/>
              </w:rPr>
              <w:t>万元</w:t>
            </w:r>
            <w:r>
              <w:rPr>
                <w:rFonts w:hint="eastAsia" w:ascii="宋体" w:hAnsi="宋体" w:eastAsia="宋体" w:cs="宋体"/>
                <w:color w:val="auto"/>
                <w:sz w:val="21"/>
                <w:szCs w:val="21"/>
                <w:highlight w:val="none"/>
              </w:rPr>
              <w:t>的前述业绩的，每项得3分；</w:t>
            </w:r>
          </w:p>
          <w:p>
            <w:pPr>
              <w:keepNext w:val="0"/>
              <w:keepLines w:val="0"/>
              <w:suppressLineNumbers w:val="0"/>
              <w:adjustRightInd/>
              <w:spacing w:before="0" w:beforeAutospacing="0" w:after="0" w:afterAutospacing="0" w:line="360" w:lineRule="auto"/>
              <w:ind w:left="0" w:right="0" w:firstLine="210" w:firstLineChars="1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b w:val="0"/>
                <w:bCs w:val="0"/>
                <w:color w:val="auto"/>
                <w:szCs w:val="21"/>
                <w:highlight w:val="none"/>
                <w:lang w:val="en-US" w:eastAsia="zh-CN"/>
              </w:rPr>
              <w:t>120万元</w:t>
            </w:r>
            <w:r>
              <w:rPr>
                <w:rFonts w:hint="eastAsia" w:ascii="宋体" w:hAnsi="宋体" w:eastAsia="宋体" w:cs="宋体"/>
                <w:color w:val="auto"/>
                <w:sz w:val="21"/>
                <w:szCs w:val="21"/>
                <w:highlight w:val="none"/>
              </w:rPr>
              <w:t>≤单项合同金额＜</w:t>
            </w:r>
            <w:r>
              <w:rPr>
                <w:rFonts w:hint="eastAsia" w:ascii="宋体" w:hAnsi="宋体" w:eastAsia="宋体" w:cs="宋体"/>
                <w:b w:val="0"/>
                <w:bCs w:val="0"/>
                <w:color w:val="auto"/>
                <w:szCs w:val="21"/>
                <w:highlight w:val="none"/>
                <w:lang w:val="en-US" w:eastAsia="zh-CN"/>
              </w:rPr>
              <w:t>190</w:t>
            </w:r>
            <w:r>
              <w:rPr>
                <w:rFonts w:hint="eastAsia" w:ascii="宋体" w:hAnsi="宋体" w:eastAsia="宋体" w:cs="宋体"/>
                <w:b w:val="0"/>
                <w:bCs w:val="0"/>
                <w:color w:val="auto"/>
                <w:szCs w:val="21"/>
                <w:highlight w:val="none"/>
                <w:lang w:val="zh-CN"/>
              </w:rPr>
              <w:t>万元</w:t>
            </w:r>
            <w:r>
              <w:rPr>
                <w:rFonts w:hint="eastAsia" w:ascii="宋体" w:hAnsi="宋体" w:eastAsia="宋体" w:cs="宋体"/>
                <w:color w:val="auto"/>
                <w:sz w:val="21"/>
                <w:szCs w:val="21"/>
                <w:highlight w:val="none"/>
              </w:rPr>
              <w:t>的前述业绩的，每项得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suppressLineNumbers w:val="0"/>
              <w:adjustRightInd/>
              <w:spacing w:before="0" w:beforeAutospacing="0" w:after="0" w:afterAutospacing="0" w:line="360" w:lineRule="auto"/>
              <w:ind w:left="0" w:right="0" w:firstLine="210" w:firstLineChars="100"/>
              <w:contextualSpacing/>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③</w:t>
            </w:r>
            <w:r>
              <w:rPr>
                <w:rFonts w:hint="eastAsia" w:ascii="宋体" w:hAnsi="宋体" w:eastAsia="宋体" w:cs="宋体"/>
                <w:b w:val="0"/>
                <w:bCs w:val="0"/>
                <w:color w:val="auto"/>
                <w:szCs w:val="21"/>
                <w:highlight w:val="none"/>
                <w:lang w:val="en-US" w:eastAsia="zh-CN"/>
              </w:rPr>
              <w:t>60万元</w:t>
            </w:r>
            <w:r>
              <w:rPr>
                <w:rFonts w:hint="eastAsia" w:ascii="宋体" w:hAnsi="宋体" w:eastAsia="宋体" w:cs="宋体"/>
                <w:color w:val="auto"/>
                <w:sz w:val="21"/>
                <w:szCs w:val="21"/>
                <w:highlight w:val="none"/>
              </w:rPr>
              <w:t>≤单项合同金额＜</w:t>
            </w:r>
            <w:r>
              <w:rPr>
                <w:rFonts w:hint="eastAsia" w:ascii="宋体" w:hAnsi="宋体" w:eastAsia="宋体" w:cs="宋体"/>
                <w:b w:val="0"/>
                <w:bCs w:val="0"/>
                <w:color w:val="auto"/>
                <w:szCs w:val="21"/>
                <w:highlight w:val="none"/>
                <w:lang w:val="en-US" w:eastAsia="zh-CN"/>
              </w:rPr>
              <w:t>120万元</w:t>
            </w:r>
            <w:r>
              <w:rPr>
                <w:rFonts w:hint="eastAsia" w:ascii="宋体" w:hAnsi="宋体" w:eastAsia="宋体" w:cs="宋体"/>
                <w:color w:val="auto"/>
                <w:sz w:val="21"/>
                <w:szCs w:val="21"/>
                <w:highlight w:val="none"/>
              </w:rPr>
              <w:t>的前述业绩的，每项得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分，本子项满分6分。</w:t>
            </w:r>
          </w:p>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1）业绩须附合同复印件加盖投标人公章，否则不得分；</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2）合同业绩证明材料必须能反映评分条件[合同签订日期为</w:t>
            </w:r>
            <w:r>
              <w:rPr>
                <w:rFonts w:hint="eastAsia" w:ascii="宋体" w:hAnsi="宋体" w:eastAsia="宋体" w:cs="宋体"/>
                <w:b/>
                <w:bCs/>
                <w:color w:val="auto"/>
                <w:szCs w:val="21"/>
                <w:highlight w:val="none"/>
                <w:lang w:val="zh-CN"/>
              </w:rPr>
              <w:t>20</w:t>
            </w:r>
            <w:r>
              <w:rPr>
                <w:rFonts w:hint="eastAsia" w:ascii="宋体" w:hAnsi="宋体" w:eastAsia="宋体" w:cs="宋体"/>
                <w:b/>
                <w:bCs/>
                <w:color w:val="auto"/>
                <w:szCs w:val="21"/>
                <w:highlight w:val="none"/>
                <w:lang w:val="en-US" w:eastAsia="zh-CN"/>
              </w:rPr>
              <w:t>20</w:t>
            </w:r>
            <w:r>
              <w:rPr>
                <w:rFonts w:hint="eastAsia" w:ascii="宋体" w:hAnsi="宋体" w:eastAsia="宋体" w:cs="宋体"/>
                <w:b/>
                <w:bCs/>
                <w:color w:val="auto"/>
                <w:szCs w:val="21"/>
                <w:highlight w:val="none"/>
                <w:lang w:val="zh-CN"/>
              </w:rPr>
              <w:t>年1月1日</w:t>
            </w:r>
            <w:r>
              <w:rPr>
                <w:rFonts w:hint="eastAsia" w:ascii="宋体" w:hAnsi="宋体" w:eastAsia="宋体" w:cs="宋体"/>
                <w:b/>
                <w:bCs/>
                <w:color w:val="auto"/>
                <w:sz w:val="21"/>
                <w:szCs w:val="21"/>
                <w:highlight w:val="none"/>
              </w:rPr>
              <w:t>或以后，业绩类型为市政工程监测，合同金额</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Cs w:val="21"/>
                <w:highlight w:val="none"/>
              </w:rPr>
              <w:t>若合同内容无法反映合同金额的，需提供可反映合同金额的结算资料复印件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w:t>
            </w:r>
            <w:r>
              <w:rPr>
                <w:rFonts w:hint="eastAsia" w:ascii="宋体" w:hAnsi="宋体" w:eastAsia="宋体" w:cs="宋体"/>
                <w:b/>
                <w:bCs/>
                <w:color w:val="auto"/>
                <w:szCs w:val="21"/>
                <w:highlight w:val="none"/>
              </w:rPr>
              <w:t>，否则需同时提供</w:t>
            </w:r>
            <w:r>
              <w:rPr>
                <w:rFonts w:hint="eastAsia" w:ascii="宋体" w:hAnsi="宋体" w:eastAsia="宋体" w:cs="宋体"/>
                <w:b/>
                <w:bCs/>
                <w:color w:val="auto"/>
                <w:szCs w:val="21"/>
                <w:highlight w:val="none"/>
                <w:lang w:val="en-US" w:eastAsia="zh-CN"/>
              </w:rPr>
              <w:t>合同委托方</w:t>
            </w:r>
            <w:r>
              <w:rPr>
                <w:rFonts w:hint="eastAsia" w:ascii="宋体" w:hAnsi="宋体" w:eastAsia="宋体" w:cs="宋体"/>
                <w:b/>
                <w:bCs/>
                <w:color w:val="auto"/>
                <w:szCs w:val="21"/>
                <w:highlight w:val="none"/>
              </w:rPr>
              <w:t>出具的书面补充情况说明文件复印件</w:t>
            </w:r>
            <w:r>
              <w:rPr>
                <w:rFonts w:hint="eastAsia" w:ascii="宋体" w:hAnsi="宋体" w:eastAsia="宋体" w:cs="宋体"/>
                <w:b/>
                <w:bCs/>
                <w:color w:val="auto"/>
                <w:szCs w:val="21"/>
                <w:highlight w:val="none"/>
                <w:lang w:val="en-US" w:eastAsia="zh-CN"/>
              </w:rPr>
              <w:t>（需加盖委托方公章，即复印件能显示委托方公章）</w:t>
            </w:r>
            <w:r>
              <w:rPr>
                <w:rFonts w:hint="eastAsia" w:ascii="宋体" w:hAnsi="宋体" w:eastAsia="宋体" w:cs="宋体"/>
                <w:b/>
                <w:bCs/>
                <w:color w:val="auto"/>
                <w:sz w:val="21"/>
                <w:szCs w:val="21"/>
                <w:highlight w:val="none"/>
              </w:rPr>
              <w:t>；</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color w:val="auto"/>
                <w:kern w:val="0"/>
                <w:szCs w:val="21"/>
                <w:highlight w:val="none"/>
              </w:rPr>
            </w:pPr>
            <w:r>
              <w:rPr>
                <w:rFonts w:hint="eastAsia" w:ascii="宋体" w:hAnsi="宋体" w:eastAsia="宋体" w:cs="宋体"/>
                <w:b/>
                <w:bCs/>
                <w:color w:val="auto"/>
                <w:sz w:val="21"/>
                <w:szCs w:val="21"/>
                <w:highlight w:val="none"/>
              </w:rPr>
              <w:t>3）未按上述要求提供证明材料的业绩，或所附材料无法证明填报项目符合本项评分要求的业绩，在评标时将不予考虑。</w:t>
            </w:r>
          </w:p>
        </w:tc>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1" w:type="dxa"/>
            <w:vMerge w:val="restart"/>
            <w:tcBorders>
              <w:top w:val="single" w:color="auto" w:sz="4" w:space="0"/>
              <w:left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bookmarkStart w:id="856" w:name="_Toc11639_WPSOffice_Level2"/>
            <w:r>
              <w:rPr>
                <w:rFonts w:hint="eastAsia" w:ascii="宋体" w:hAnsi="宋体" w:eastAsia="宋体" w:cs="宋体"/>
                <w:color w:val="auto"/>
                <w:kern w:val="0"/>
                <w:szCs w:val="21"/>
                <w:highlight w:val="none"/>
                <w:lang w:val="en-US" w:eastAsia="zh-CN"/>
              </w:rPr>
              <w:t>4</w:t>
            </w:r>
          </w:p>
        </w:tc>
        <w:tc>
          <w:tcPr>
            <w:tcW w:w="1133" w:type="dxa"/>
            <w:vMerge w:val="restart"/>
            <w:tcBorders>
              <w:top w:val="single" w:color="auto" w:sz="4" w:space="0"/>
              <w:left w:val="single" w:color="auto" w:sz="4" w:space="0"/>
              <w:right w:val="single" w:color="auto" w:sz="4" w:space="0"/>
            </w:tcBorders>
            <w:vAlign w:val="center"/>
          </w:tcPr>
          <w:p>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拟投入人员情况</w:t>
            </w:r>
          </w:p>
        </w:tc>
        <w:tc>
          <w:tcPr>
            <w:tcW w:w="76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(1)项目负责人（满分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具有注册土木工程师（岩土）执业资格或测量、岩土、结构类专业高级工程师职称的，得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Times New Roman"/>
                <w:b w:val="0"/>
                <w:bCs w:val="0"/>
                <w:color w:val="auto"/>
                <w:szCs w:val="24"/>
                <w:highlight w:val="none"/>
                <w:lang w:val="en-US" w:eastAsia="zh-CN"/>
              </w:rPr>
              <w:t>2020年1月1日</w:t>
            </w:r>
            <w:r>
              <w:rPr>
                <w:rFonts w:hint="eastAsia" w:ascii="宋体" w:hAnsi="宋体" w:eastAsia="宋体" w:cs="宋体"/>
                <w:color w:val="auto"/>
                <w:sz w:val="21"/>
                <w:szCs w:val="21"/>
                <w:highlight w:val="none"/>
              </w:rPr>
              <w:t>以来（以合同签订日期为准），作为项目负责人，承接过一项市政工程监测项目的，得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1）须提供身份证、职称证书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或注册证书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、社会保障部门出具的最近1年</w:t>
            </w:r>
            <w:r>
              <w:rPr>
                <w:rFonts w:hint="eastAsia" w:ascii="宋体" w:hAnsi="宋体" w:eastAsia="宋体" w:cs="Times New Roman"/>
                <w:b/>
                <w:bCs/>
                <w:color w:val="auto"/>
                <w:szCs w:val="24"/>
                <w:highlight w:val="none"/>
                <w:lang w:val="en-US" w:eastAsia="zh-CN"/>
              </w:rPr>
              <w:t>（即2024年2月至2025年1月）</w:t>
            </w:r>
            <w:r>
              <w:rPr>
                <w:rFonts w:hint="eastAsia" w:ascii="宋体" w:hAnsi="宋体" w:eastAsia="宋体" w:cs="宋体"/>
                <w:b/>
                <w:bCs/>
                <w:color w:val="auto"/>
                <w:sz w:val="21"/>
                <w:szCs w:val="21"/>
                <w:highlight w:val="none"/>
              </w:rPr>
              <w:t>在投标人单位缴纳</w:t>
            </w:r>
            <w:r>
              <w:rPr>
                <w:rFonts w:hint="eastAsia" w:ascii="宋体" w:hAnsi="宋体" w:eastAsia="宋体" w:cs="宋体"/>
                <w:b/>
                <w:bCs/>
                <w:color w:val="auto"/>
                <w:sz w:val="21"/>
                <w:szCs w:val="21"/>
                <w:highlight w:val="none"/>
                <w:lang w:eastAsia="zh-CN"/>
              </w:rPr>
              <w:t>社保</w:t>
            </w:r>
            <w:r>
              <w:rPr>
                <w:rFonts w:hint="eastAsia" w:ascii="宋体" w:hAnsi="宋体" w:eastAsia="宋体" w:cs="宋体"/>
                <w:b/>
                <w:bCs/>
                <w:color w:val="auto"/>
                <w:sz w:val="21"/>
                <w:szCs w:val="21"/>
                <w:highlight w:val="none"/>
              </w:rPr>
              <w:t>有效凭证等证明材料复印件加盖投标人公章。</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2）项目负责人业绩须附合同复印件，合同业绩证明材料必须能反映评审条件[合同签订日期为</w:t>
            </w:r>
            <w:r>
              <w:rPr>
                <w:rFonts w:hint="eastAsia" w:ascii="宋体" w:hAnsi="宋体" w:eastAsia="宋体" w:cs="Times New Roman"/>
                <w:b/>
                <w:bCs/>
                <w:color w:val="auto"/>
                <w:szCs w:val="24"/>
                <w:highlight w:val="none"/>
                <w:lang w:val="en-US" w:eastAsia="zh-CN"/>
              </w:rPr>
              <w:t>2020年1月1日</w:t>
            </w:r>
            <w:r>
              <w:rPr>
                <w:rFonts w:hint="eastAsia" w:ascii="宋体" w:hAnsi="宋体" w:eastAsia="宋体" w:cs="宋体"/>
                <w:b/>
                <w:bCs/>
                <w:color w:val="auto"/>
                <w:sz w:val="21"/>
                <w:szCs w:val="21"/>
                <w:highlight w:val="none"/>
              </w:rPr>
              <w:t>或以后，业绩类型为市政工程监测，项目负责人信息]，否则需同时提供合同委托方出具的书面补充情况说明文件复印件（需加盖委托方公章，即复印件能显示委托方公章）。</w:t>
            </w:r>
          </w:p>
        </w:tc>
        <w:tc>
          <w:tcPr>
            <w:tcW w:w="907" w:type="dxa"/>
            <w:vMerge w:val="restart"/>
            <w:tcBorders>
              <w:top w:val="single" w:color="auto" w:sz="4" w:space="0"/>
              <w:left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1" w:type="dxa"/>
            <w:vMerge w:val="continue"/>
            <w:tcBorders>
              <w:left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1133" w:type="dxa"/>
            <w:vMerge w:val="continue"/>
            <w:tcBorders>
              <w:left w:val="single" w:color="auto" w:sz="4" w:space="0"/>
              <w:right w:val="single" w:color="auto" w:sz="4" w:space="0"/>
            </w:tcBorders>
            <w:vAlign w:val="center"/>
          </w:tcPr>
          <w:p>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6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(2)技术负责人（满分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具有注册土木工程师（岩土）执业资格或测量、岩土、结构类专业高级工程师职称的，得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Times New Roman"/>
                <w:b w:val="0"/>
                <w:bCs w:val="0"/>
                <w:color w:val="auto"/>
                <w:szCs w:val="24"/>
                <w:highlight w:val="none"/>
                <w:lang w:val="en-US" w:eastAsia="zh-CN"/>
              </w:rPr>
              <w:t>2020年1月1日</w:t>
            </w:r>
            <w:r>
              <w:rPr>
                <w:rFonts w:hint="eastAsia" w:ascii="宋体" w:hAnsi="宋体" w:eastAsia="宋体" w:cs="宋体"/>
                <w:color w:val="auto"/>
                <w:sz w:val="21"/>
                <w:szCs w:val="21"/>
                <w:highlight w:val="none"/>
              </w:rPr>
              <w:t>以来（以合同签订日期为准），作为技术负责人，承接过一项市政工程监测项目的，得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numPr>
                <w:ilvl w:val="255"/>
                <w:numId w:val="0"/>
              </w:numPr>
              <w:suppressLineNumbers w:val="0"/>
              <w:adjustRightInd/>
              <w:spacing w:before="0" w:beforeAutospacing="0" w:after="0" w:afterAutospacing="0" w:line="360" w:lineRule="auto"/>
              <w:ind w:left="0" w:right="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1）须提供身份证、职称证书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或注册证书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、社会保障部门出具的最近1年</w:t>
            </w:r>
            <w:r>
              <w:rPr>
                <w:rFonts w:hint="eastAsia" w:ascii="宋体" w:hAnsi="宋体" w:eastAsia="宋体" w:cs="Times New Roman"/>
                <w:b/>
                <w:bCs/>
                <w:color w:val="auto"/>
                <w:szCs w:val="24"/>
                <w:highlight w:val="none"/>
                <w:lang w:val="en-US" w:eastAsia="zh-CN"/>
              </w:rPr>
              <w:t>（即2024年2月至2025年1月）</w:t>
            </w:r>
            <w:r>
              <w:rPr>
                <w:rFonts w:hint="eastAsia" w:ascii="宋体" w:hAnsi="宋体" w:eastAsia="宋体" w:cs="宋体"/>
                <w:b/>
                <w:bCs/>
                <w:color w:val="auto"/>
                <w:sz w:val="21"/>
                <w:szCs w:val="21"/>
                <w:highlight w:val="none"/>
              </w:rPr>
              <w:t>在投标人单位缴纳</w:t>
            </w:r>
            <w:r>
              <w:rPr>
                <w:rFonts w:hint="eastAsia" w:ascii="宋体" w:hAnsi="宋体" w:eastAsia="宋体" w:cs="宋体"/>
                <w:b/>
                <w:bCs/>
                <w:color w:val="auto"/>
                <w:sz w:val="21"/>
                <w:szCs w:val="21"/>
                <w:highlight w:val="none"/>
                <w:lang w:eastAsia="zh-CN"/>
              </w:rPr>
              <w:t>社保</w:t>
            </w:r>
            <w:r>
              <w:rPr>
                <w:rFonts w:hint="eastAsia" w:ascii="宋体" w:hAnsi="宋体" w:eastAsia="宋体" w:cs="宋体"/>
                <w:b/>
                <w:bCs/>
                <w:color w:val="auto"/>
                <w:sz w:val="21"/>
                <w:szCs w:val="21"/>
                <w:highlight w:val="none"/>
              </w:rPr>
              <w:t>有效凭证等证明材料复印件加盖投标人公章。</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2）技术负责人业绩须附合同复印件，合同业绩证明材料必须能反映评审条件[合同签订日期为</w:t>
            </w:r>
            <w:r>
              <w:rPr>
                <w:rFonts w:hint="eastAsia" w:ascii="宋体" w:hAnsi="宋体" w:eastAsia="宋体" w:cs="Times New Roman"/>
                <w:b/>
                <w:bCs/>
                <w:color w:val="auto"/>
                <w:szCs w:val="24"/>
                <w:highlight w:val="none"/>
                <w:lang w:val="en-US" w:eastAsia="zh-CN"/>
              </w:rPr>
              <w:t>2020年1月1日</w:t>
            </w:r>
            <w:r>
              <w:rPr>
                <w:rFonts w:hint="eastAsia" w:ascii="宋体" w:hAnsi="宋体" w:eastAsia="宋体" w:cs="宋体"/>
                <w:b/>
                <w:bCs/>
                <w:color w:val="auto"/>
                <w:sz w:val="21"/>
                <w:szCs w:val="21"/>
                <w:highlight w:val="none"/>
              </w:rPr>
              <w:t>或以后，业绩类型为市政工程监测，技术负责人信息]，否则需同时提供合同委托方出具的书面补充情况说明文件复印件（需加盖委托方公章，即复印件能显示委托方公章）。</w:t>
            </w:r>
          </w:p>
        </w:tc>
        <w:tc>
          <w:tcPr>
            <w:tcW w:w="907" w:type="dxa"/>
            <w:vMerge w:val="continue"/>
            <w:tcBorders>
              <w:left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1" w:type="dxa"/>
            <w:vMerge w:val="continue"/>
            <w:tcBorders>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1133" w:type="dxa"/>
            <w:vMerge w:val="continue"/>
            <w:tcBorders>
              <w:left w:val="single" w:color="auto" w:sz="4" w:space="0"/>
              <w:bottom w:val="single" w:color="auto" w:sz="4" w:space="0"/>
              <w:right w:val="single" w:color="auto" w:sz="4" w:space="0"/>
            </w:tcBorders>
            <w:vAlign w:val="center"/>
          </w:tcPr>
          <w:p>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6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(3)拟投入人员（不含项目负责人和技术负责人）：具有测量、岩土、结构类专业中级工程师（或以上）职称，每人得1分，本子项满分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Cs w:val="21"/>
                <w:highlight w:val="none"/>
              </w:rPr>
              <w:t>须提供身份证、职称证书（或注册证书）、社会保障部门出具的最近1年（即</w:t>
            </w:r>
            <w:r>
              <w:rPr>
                <w:rFonts w:hint="eastAsia" w:ascii="宋体" w:hAnsi="宋体" w:eastAsia="宋体" w:cs="宋体"/>
                <w:b/>
                <w:bCs/>
                <w:color w:val="auto"/>
                <w:szCs w:val="21"/>
                <w:highlight w:val="none"/>
                <w:lang w:eastAsia="zh-CN"/>
              </w:rPr>
              <w:t>2024年2月至2025年1月</w:t>
            </w:r>
            <w:r>
              <w:rPr>
                <w:rFonts w:hint="eastAsia" w:ascii="宋体" w:hAnsi="宋体" w:eastAsia="宋体" w:cs="宋体"/>
                <w:b/>
                <w:bCs/>
                <w:color w:val="auto"/>
                <w:szCs w:val="21"/>
                <w:highlight w:val="none"/>
              </w:rPr>
              <w:t>）在投标人单位缴纳</w:t>
            </w:r>
            <w:r>
              <w:rPr>
                <w:rFonts w:hint="eastAsia" w:ascii="宋体" w:hAnsi="宋体" w:eastAsia="宋体" w:cs="宋体"/>
                <w:b/>
                <w:bCs/>
                <w:color w:val="auto"/>
                <w:szCs w:val="21"/>
                <w:highlight w:val="none"/>
                <w:lang w:eastAsia="zh-CN"/>
              </w:rPr>
              <w:t>社保</w:t>
            </w:r>
            <w:r>
              <w:rPr>
                <w:rFonts w:hint="eastAsia" w:ascii="宋体" w:hAnsi="宋体" w:eastAsia="宋体" w:cs="宋体"/>
                <w:b/>
                <w:bCs/>
                <w:color w:val="auto"/>
                <w:szCs w:val="21"/>
                <w:highlight w:val="none"/>
              </w:rPr>
              <w:t>有效凭证等证明材料复印件加盖投标人公章</w:t>
            </w:r>
            <w:r>
              <w:rPr>
                <w:rFonts w:hint="eastAsia" w:ascii="宋体" w:hAnsi="宋体" w:eastAsia="宋体" w:cs="宋体"/>
                <w:b/>
                <w:bCs/>
                <w:color w:val="auto"/>
                <w:szCs w:val="21"/>
                <w:highlight w:val="none"/>
                <w:lang w:eastAsia="zh-CN"/>
              </w:rPr>
              <w:t>。</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2）同一人员具备多个种类证书不重复得分。</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3）同一人员具备同一种类证书含有多个专业的仅按一个专业计算一次得分。</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4）同一人员具备同一种类证书或同一个专业含有多个等级的仅按最高等级证书计算一次得分。</w:t>
            </w:r>
          </w:p>
        </w:tc>
        <w:tc>
          <w:tcPr>
            <w:tcW w:w="907" w:type="dxa"/>
            <w:vMerge w:val="continue"/>
            <w:tcBorders>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bookmarkEnd w:id="855"/>
    </w:tbl>
    <w:p>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856"/>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
        <w:gridCol w:w="1132"/>
        <w:gridCol w:w="1"/>
        <w:gridCol w:w="7656"/>
        <w:gridCol w:w="1"/>
        <w:gridCol w:w="907"/>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bookmarkStart w:id="857" w:name="_Hlk104987779"/>
            <w:r>
              <w:rPr>
                <w:rFonts w:hint="eastAsia" w:ascii="宋体" w:hAnsi="宋体" w:eastAsia="宋体" w:cs="宋体"/>
                <w:b/>
                <w:color w:val="auto"/>
                <w:kern w:val="0"/>
                <w:szCs w:val="21"/>
                <w:highlight w:val="none"/>
              </w:rPr>
              <w:t>序号</w:t>
            </w:r>
          </w:p>
        </w:tc>
        <w:tc>
          <w:tcPr>
            <w:tcW w:w="113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113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用户需求的响应程度</w:t>
            </w:r>
          </w:p>
        </w:tc>
        <w:tc>
          <w:tcPr>
            <w:tcW w:w="76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对用户需求偏离表的偏离情况进行评审计分，完全满足用户需求书的要求得满分；每一处负偏离扣2.5分；同时参照其投标文件中其它部分的内容进行对比，每发现一处投标人填写为无偏离或正偏离，但评标委员会评审认定其为负偏离的，每处扣5分；本项最低分为0分。</w:t>
            </w:r>
          </w:p>
        </w:tc>
        <w:tc>
          <w:tcPr>
            <w:tcW w:w="9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60"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113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监测方案</w:t>
            </w:r>
          </w:p>
        </w:tc>
        <w:tc>
          <w:tcPr>
            <w:tcW w:w="76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0" w:firstLineChars="0"/>
              <w:contextualSpacing/>
              <w:jc w:val="both"/>
              <w:textAlignment w:val="auto"/>
              <w:rPr>
                <w:rFonts w:hint="eastAsia" w:ascii="宋体" w:hAnsi="宋体" w:eastAsia="宋体" w:cs="Times New Roman"/>
                <w:b w:val="0"/>
                <w:bCs w:val="0"/>
                <w:color w:val="auto"/>
                <w:szCs w:val="24"/>
                <w:highlight w:val="none"/>
                <w:lang w:val="en-US" w:eastAsia="zh-CN"/>
              </w:rPr>
            </w:pPr>
            <w:r>
              <w:rPr>
                <w:rFonts w:hint="eastAsia" w:ascii="宋体" w:hAnsi="宋体" w:eastAsia="宋体" w:cs="Times New Roman"/>
                <w:b w:val="0"/>
                <w:bCs w:val="0"/>
                <w:color w:val="auto"/>
                <w:szCs w:val="24"/>
                <w:highlight w:val="none"/>
                <w:lang w:val="en-US" w:eastAsia="zh-CN"/>
              </w:rPr>
              <w:t>根据各投标人提供的监测方案，对本地区的认识熟悉程度、对监测项目的认知程度、监测质量的保障措施、配合施工进度的监测实施措施、安全文明生产方案等：优：整体监测方案全面、思路清晰，对本地区的认识熟悉程度高、对监测项目的认知准确、透彻，监测质量的保障措施、配合施工进度的监测实施措施、安全文明生产方案等科学、可操作性强，监测目标明确，监测预控和动态控制措施得力，实施方法可行、操作性强、手段科学，得（2.25，3]分；</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0" w:firstLineChars="0"/>
              <w:contextualSpacing/>
              <w:jc w:val="both"/>
              <w:textAlignment w:val="auto"/>
              <w:rPr>
                <w:rFonts w:hint="eastAsia" w:ascii="宋体" w:hAnsi="宋体" w:eastAsia="宋体" w:cs="Times New Roman"/>
                <w:b w:val="0"/>
                <w:bCs w:val="0"/>
                <w:color w:val="auto"/>
                <w:szCs w:val="24"/>
                <w:highlight w:val="none"/>
                <w:lang w:val="en-US" w:eastAsia="zh-CN"/>
              </w:rPr>
            </w:pPr>
            <w:r>
              <w:rPr>
                <w:rFonts w:hint="eastAsia" w:ascii="宋体" w:hAnsi="宋体" w:eastAsia="宋体" w:cs="Times New Roman"/>
                <w:b w:val="0"/>
                <w:bCs w:val="0"/>
                <w:color w:val="auto"/>
                <w:szCs w:val="24"/>
                <w:highlight w:val="none"/>
                <w:lang w:val="en-US" w:eastAsia="zh-CN"/>
              </w:rPr>
              <w:t>良：整体监测方案较全面、思路较清晰，对本地区的认识熟悉程度良好、对监测项目的认知较为准确、透彻，监测质量的保障措施、配合施工进度的监测实施措施、安全文明生产方案等科学、可操作性良好，监测目标基本明确，实施方法可行性良好的，得（1.5，2.25]分；</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0" w:firstLineChars="0"/>
              <w:contextualSpacing/>
              <w:jc w:val="both"/>
              <w:textAlignment w:val="auto"/>
              <w:rPr>
                <w:rFonts w:hint="eastAsia" w:ascii="宋体" w:hAnsi="宋体" w:eastAsia="宋体" w:cs="Times New Roman"/>
                <w:b w:val="0"/>
                <w:bCs w:val="0"/>
                <w:color w:val="auto"/>
                <w:szCs w:val="24"/>
                <w:highlight w:val="none"/>
                <w:lang w:val="en-US" w:eastAsia="zh-CN"/>
              </w:rPr>
            </w:pPr>
            <w:r>
              <w:rPr>
                <w:rFonts w:hint="eastAsia" w:ascii="宋体" w:hAnsi="宋体" w:eastAsia="宋体" w:cs="Times New Roman"/>
                <w:b w:val="0"/>
                <w:bCs w:val="0"/>
                <w:color w:val="auto"/>
                <w:szCs w:val="24"/>
                <w:highlight w:val="none"/>
                <w:lang w:val="en-US" w:eastAsia="zh-CN"/>
              </w:rPr>
              <w:t>中：整体监测方案基本全面、思路基本清晰，对本地区的认识熟悉程度一般、对监测项目的认知基本理解，监测质量的保障措施、配合施工进度的监测实施措施、安全文明生产方案等可操作性一般，监测目标基本明确，实施方法可行性一般的，得（0.75，1.5]分；</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0" w:firstLineChars="0"/>
              <w:contextualSpacing/>
              <w:jc w:val="both"/>
              <w:textAlignment w:val="auto"/>
              <w:rPr>
                <w:rFonts w:hint="eastAsia" w:ascii="宋体" w:hAnsi="宋体" w:eastAsia="宋体" w:cs="Times New Roman"/>
                <w:b w:val="0"/>
                <w:bCs w:val="0"/>
                <w:color w:val="auto"/>
                <w:szCs w:val="24"/>
                <w:highlight w:val="none"/>
                <w:lang w:val="en-US" w:eastAsia="zh-CN"/>
              </w:rPr>
            </w:pPr>
            <w:r>
              <w:rPr>
                <w:rFonts w:hint="eastAsia" w:ascii="宋体" w:hAnsi="宋体" w:eastAsia="宋体" w:cs="Times New Roman"/>
                <w:b w:val="0"/>
                <w:bCs w:val="0"/>
                <w:color w:val="auto"/>
                <w:szCs w:val="24"/>
                <w:highlight w:val="none"/>
                <w:lang w:val="en-US" w:eastAsia="zh-CN"/>
              </w:rPr>
              <w:t>差：整体监测方案不全面、思路不清晰，对本地区的认识熟悉程度较差、对监测项目的认知不够准确，监测质量的保障措施、配合施工进度的监测实施措施、安全文明生产方案等可操作性较差，监测目标不明确，实施方法可行性较差的，得[0，0.75]分。</w:t>
            </w:r>
          </w:p>
        </w:tc>
        <w:tc>
          <w:tcPr>
            <w:tcW w:w="9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0"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113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原始数据处理计算、整理分析方法及预警消警机制</w:t>
            </w:r>
          </w:p>
        </w:tc>
        <w:tc>
          <w:tcPr>
            <w:tcW w:w="76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0" w:firstLineChars="0"/>
              <w:contextualSpacing/>
              <w:jc w:val="both"/>
              <w:textAlignment w:val="auto"/>
              <w:rPr>
                <w:rFonts w:hint="eastAsia" w:ascii="宋体" w:hAnsi="宋体" w:eastAsia="宋体" w:cs="Times New Roman"/>
                <w:b w:val="0"/>
                <w:bCs w:val="0"/>
                <w:color w:val="auto"/>
                <w:szCs w:val="24"/>
                <w:highlight w:val="none"/>
                <w:lang w:val="en-US" w:eastAsia="zh-CN"/>
              </w:rPr>
            </w:pPr>
            <w:r>
              <w:rPr>
                <w:rFonts w:hint="eastAsia" w:ascii="宋体" w:hAnsi="宋体" w:eastAsia="宋体" w:cs="Times New Roman"/>
                <w:b w:val="0"/>
                <w:bCs w:val="0"/>
                <w:color w:val="auto"/>
                <w:szCs w:val="24"/>
                <w:highlight w:val="none"/>
                <w:lang w:val="en-US" w:eastAsia="zh-CN"/>
              </w:rPr>
              <w:t>根据投标人对各类仪器观测及原始数据处理、计算方法、资料整编分析方案的合理性及根据监测成果对监测情况的预警消警机制的及时性、可行性：</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0" w:firstLineChars="0"/>
              <w:contextualSpacing/>
              <w:jc w:val="both"/>
              <w:textAlignment w:val="auto"/>
              <w:rPr>
                <w:rFonts w:hint="eastAsia" w:ascii="宋体" w:hAnsi="宋体" w:eastAsia="宋体" w:cs="Times New Roman"/>
                <w:b w:val="0"/>
                <w:bCs w:val="0"/>
                <w:color w:val="auto"/>
                <w:szCs w:val="24"/>
                <w:highlight w:val="none"/>
                <w:lang w:val="en-US" w:eastAsia="zh-CN"/>
              </w:rPr>
            </w:pPr>
            <w:r>
              <w:rPr>
                <w:rFonts w:hint="eastAsia" w:ascii="宋体" w:hAnsi="宋体" w:eastAsia="宋体" w:cs="Times New Roman"/>
                <w:b w:val="0"/>
                <w:bCs w:val="0"/>
                <w:color w:val="auto"/>
                <w:szCs w:val="24"/>
                <w:highlight w:val="none"/>
                <w:lang w:val="en-US" w:eastAsia="zh-CN"/>
              </w:rPr>
              <w:t>优：各类仪器观测及原始数据处理、计算方法、资料整编分析方案科学、合理，监测成果对监测情况的预警消警机制及时、可行性强，得（2.25,3]分；</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0" w:firstLineChars="0"/>
              <w:contextualSpacing/>
              <w:jc w:val="both"/>
              <w:textAlignment w:val="auto"/>
              <w:rPr>
                <w:rFonts w:hint="eastAsia" w:ascii="宋体" w:hAnsi="宋体" w:eastAsia="宋体" w:cs="Times New Roman"/>
                <w:b w:val="0"/>
                <w:bCs w:val="0"/>
                <w:color w:val="auto"/>
                <w:szCs w:val="24"/>
                <w:highlight w:val="none"/>
                <w:lang w:val="en-US" w:eastAsia="zh-CN"/>
              </w:rPr>
            </w:pPr>
            <w:r>
              <w:rPr>
                <w:rFonts w:hint="eastAsia" w:ascii="宋体" w:hAnsi="宋体" w:eastAsia="宋体" w:cs="Times New Roman"/>
                <w:b w:val="0"/>
                <w:bCs w:val="0"/>
                <w:color w:val="auto"/>
                <w:szCs w:val="24"/>
                <w:highlight w:val="none"/>
                <w:lang w:val="en-US" w:eastAsia="zh-CN"/>
              </w:rPr>
              <w:t>良：各类仪器观测及原始数据处理、计算方法、资料整编分析方案较科学、较合理，监测成果对监测情况的预警消警机制较及时、可行性较强，得（1.5，2.25]分；</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0" w:firstLineChars="0"/>
              <w:contextualSpacing/>
              <w:jc w:val="both"/>
              <w:textAlignment w:val="auto"/>
              <w:rPr>
                <w:rFonts w:hint="eastAsia" w:ascii="宋体" w:hAnsi="宋体" w:eastAsia="宋体" w:cs="Times New Roman"/>
                <w:b w:val="0"/>
                <w:bCs w:val="0"/>
                <w:color w:val="auto"/>
                <w:szCs w:val="24"/>
                <w:highlight w:val="none"/>
                <w:lang w:val="en-US" w:eastAsia="zh-CN"/>
              </w:rPr>
            </w:pPr>
            <w:r>
              <w:rPr>
                <w:rFonts w:hint="eastAsia" w:ascii="宋体" w:hAnsi="宋体" w:eastAsia="宋体" w:cs="Times New Roman"/>
                <w:b w:val="0"/>
                <w:bCs w:val="0"/>
                <w:color w:val="auto"/>
                <w:szCs w:val="24"/>
                <w:highlight w:val="none"/>
                <w:lang w:val="en-US" w:eastAsia="zh-CN"/>
              </w:rPr>
              <w:t>中：各类仪器观测及原始数据处理、计算方法、资料整编分析方案一般、合理性一般，监测成果对监测情况的预警消警机制一般、可行性一般，得（0.75，1.5]分；</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0" w:firstLineChars="0"/>
              <w:contextualSpacing/>
              <w:jc w:val="both"/>
              <w:textAlignment w:val="auto"/>
              <w:rPr>
                <w:rFonts w:hint="eastAsia" w:ascii="宋体" w:hAnsi="宋体" w:eastAsia="宋体" w:cs="Times New Roman"/>
                <w:b w:val="0"/>
                <w:bCs w:val="0"/>
                <w:color w:val="auto"/>
                <w:szCs w:val="24"/>
                <w:highlight w:val="none"/>
                <w:lang w:val="en-US" w:eastAsia="zh-CN"/>
              </w:rPr>
            </w:pPr>
            <w:r>
              <w:rPr>
                <w:rFonts w:hint="eastAsia" w:ascii="宋体" w:hAnsi="宋体" w:eastAsia="宋体" w:cs="Times New Roman"/>
                <w:b w:val="0"/>
                <w:bCs w:val="0"/>
                <w:color w:val="auto"/>
                <w:szCs w:val="24"/>
                <w:highlight w:val="none"/>
                <w:lang w:val="en-US" w:eastAsia="zh-CN"/>
              </w:rPr>
              <w:t>差：各类仪器观测及原始数据处理、计算方法、资料整编分析方案不全面、思路不清晰、合理性差，监测成果对监测情况的预警消警机制差、可行性差，得[0，0.75]分。</w:t>
            </w:r>
          </w:p>
        </w:tc>
        <w:tc>
          <w:tcPr>
            <w:tcW w:w="9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0" w:hRule="atLeast"/>
          <w:jc w:val="center"/>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4</w:t>
            </w:r>
          </w:p>
        </w:tc>
        <w:tc>
          <w:tcPr>
            <w:tcW w:w="1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监测设备</w:t>
            </w:r>
          </w:p>
        </w:tc>
        <w:tc>
          <w:tcPr>
            <w:tcW w:w="76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0" w:firstLineChars="0"/>
              <w:contextualSpacing/>
              <w:jc w:val="both"/>
              <w:textAlignment w:val="auto"/>
              <w:rPr>
                <w:rFonts w:hint="eastAsia" w:ascii="宋体" w:hAnsi="宋体" w:eastAsia="宋体" w:cs="Times New Roman"/>
                <w:b w:val="0"/>
                <w:bCs w:val="0"/>
                <w:color w:val="auto"/>
                <w:szCs w:val="24"/>
                <w:highlight w:val="none"/>
                <w:lang w:val="en-US" w:eastAsia="zh-CN"/>
              </w:rPr>
            </w:pPr>
            <w:r>
              <w:rPr>
                <w:rFonts w:hint="eastAsia" w:ascii="宋体" w:hAnsi="宋体" w:eastAsia="宋体" w:cs="Times New Roman"/>
                <w:b w:val="0"/>
                <w:bCs w:val="0"/>
                <w:color w:val="auto"/>
                <w:szCs w:val="24"/>
                <w:highlight w:val="none"/>
                <w:lang w:val="en-US" w:eastAsia="zh-CN"/>
              </w:rPr>
              <w:t>横向比较各投标人拟投入监测项目的主要设备（包含但不限于自动化全站仪、水准仪、水位计、测斜仪、读数计(频率计）等）：</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0" w:firstLineChars="0"/>
              <w:contextualSpacing/>
              <w:jc w:val="both"/>
              <w:textAlignment w:val="auto"/>
              <w:rPr>
                <w:rFonts w:hint="eastAsia" w:ascii="宋体" w:hAnsi="宋体" w:eastAsia="宋体" w:cs="Times New Roman"/>
                <w:b w:val="0"/>
                <w:bCs w:val="0"/>
                <w:color w:val="auto"/>
                <w:szCs w:val="24"/>
                <w:highlight w:val="none"/>
                <w:lang w:val="en-US" w:eastAsia="zh-CN"/>
              </w:rPr>
            </w:pPr>
            <w:r>
              <w:rPr>
                <w:rFonts w:hint="eastAsia" w:ascii="宋体" w:hAnsi="宋体" w:eastAsia="宋体" w:cs="Times New Roman"/>
                <w:b w:val="0"/>
                <w:bCs w:val="0"/>
                <w:color w:val="auto"/>
                <w:szCs w:val="24"/>
                <w:highlight w:val="none"/>
                <w:lang w:val="en-US" w:eastAsia="zh-CN"/>
              </w:rPr>
              <w:t>优：监测设备最齐全，数量最多，设备最先进的，得（2.25,3]分；</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0" w:firstLineChars="0"/>
              <w:contextualSpacing/>
              <w:jc w:val="both"/>
              <w:textAlignment w:val="auto"/>
              <w:rPr>
                <w:rFonts w:hint="eastAsia" w:ascii="宋体" w:hAnsi="宋体" w:eastAsia="宋体" w:cs="Times New Roman"/>
                <w:b w:val="0"/>
                <w:bCs w:val="0"/>
                <w:color w:val="auto"/>
                <w:szCs w:val="24"/>
                <w:highlight w:val="none"/>
                <w:lang w:val="en-US" w:eastAsia="zh-CN"/>
              </w:rPr>
            </w:pPr>
            <w:r>
              <w:rPr>
                <w:rFonts w:hint="eastAsia" w:ascii="宋体" w:hAnsi="宋体" w:eastAsia="宋体" w:cs="Times New Roman"/>
                <w:b w:val="0"/>
                <w:bCs w:val="0"/>
                <w:color w:val="auto"/>
                <w:szCs w:val="24"/>
                <w:highlight w:val="none"/>
                <w:lang w:val="en-US" w:eastAsia="zh-CN"/>
              </w:rPr>
              <w:t>良：监测设备齐全，数量多，设备先进的，得（1.5，2.25]分；</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0" w:firstLineChars="0"/>
              <w:contextualSpacing/>
              <w:jc w:val="both"/>
              <w:textAlignment w:val="auto"/>
              <w:rPr>
                <w:rFonts w:hint="eastAsia" w:ascii="宋体" w:hAnsi="宋体" w:eastAsia="宋体" w:cs="Times New Roman"/>
                <w:b w:val="0"/>
                <w:bCs w:val="0"/>
                <w:color w:val="auto"/>
                <w:szCs w:val="24"/>
                <w:highlight w:val="none"/>
                <w:lang w:val="en-US" w:eastAsia="zh-CN"/>
              </w:rPr>
            </w:pPr>
            <w:r>
              <w:rPr>
                <w:rFonts w:hint="eastAsia" w:ascii="宋体" w:hAnsi="宋体" w:eastAsia="宋体" w:cs="Times New Roman"/>
                <w:b w:val="0"/>
                <w:bCs w:val="0"/>
                <w:color w:val="auto"/>
                <w:szCs w:val="24"/>
                <w:highlight w:val="none"/>
                <w:lang w:val="en-US" w:eastAsia="zh-CN"/>
              </w:rPr>
              <w:t>中：监测设备较齐全，数量较多，设备较先进的，得（0.75，1.5]分；</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0" w:firstLineChars="0"/>
              <w:contextualSpacing/>
              <w:jc w:val="both"/>
              <w:textAlignment w:val="auto"/>
              <w:rPr>
                <w:rFonts w:hint="eastAsia" w:ascii="宋体" w:hAnsi="宋体" w:eastAsia="宋体" w:cs="Times New Roman"/>
                <w:b w:val="0"/>
                <w:bCs w:val="0"/>
                <w:color w:val="auto"/>
                <w:szCs w:val="24"/>
                <w:highlight w:val="none"/>
                <w:lang w:val="en-US" w:eastAsia="zh-CN"/>
              </w:rPr>
            </w:pPr>
            <w:r>
              <w:rPr>
                <w:rFonts w:hint="eastAsia" w:ascii="宋体" w:hAnsi="宋体" w:eastAsia="宋体" w:cs="Times New Roman"/>
                <w:b w:val="0"/>
                <w:bCs w:val="0"/>
                <w:color w:val="auto"/>
                <w:szCs w:val="24"/>
                <w:highlight w:val="none"/>
                <w:lang w:val="en-US" w:eastAsia="zh-CN"/>
              </w:rPr>
              <w:t>差：监测设备不齐全，数量少，设备不够先进的，得[0，0.75]分。</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0" w:firstLineChars="0"/>
              <w:contextualSpacing/>
              <w:jc w:val="both"/>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Times New Roman"/>
                <w:b w:val="0"/>
                <w:bCs w:val="0"/>
                <w:color w:val="auto"/>
                <w:szCs w:val="24"/>
                <w:highlight w:val="none"/>
                <w:lang w:val="en-US" w:eastAsia="zh-CN"/>
              </w:rPr>
              <w:t>注:需提供投标人购置设备的发票复印件，及设备照片/图片打印件(照片/图片须清晰显示拍摄时间为2024年10月1日或以后)。设备发票、证书的文字描述与以上设备名称描述不完全一致，但技术能力，含义一致的，均视为满足，无提供不得分。</w:t>
            </w:r>
          </w:p>
        </w:tc>
        <w:tc>
          <w:tcPr>
            <w:tcW w:w="9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0"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1133" w:type="dxa"/>
            <w:gridSpan w:val="2"/>
            <w:tcBorders>
              <w:top w:val="single" w:color="auto" w:sz="4" w:space="0"/>
              <w:left w:val="single" w:color="auto" w:sz="4" w:space="0"/>
              <w:bottom w:val="single" w:color="auto" w:sz="4" w:space="0"/>
              <w:right w:val="single" w:color="auto" w:sz="4" w:space="0"/>
            </w:tcBorders>
            <w:vAlign w:val="center"/>
          </w:tcPr>
          <w:p>
            <w:pPr>
              <w:pStyle w:val="62"/>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承诺监测成果的准确性</w:t>
            </w:r>
          </w:p>
        </w:tc>
        <w:tc>
          <w:tcPr>
            <w:tcW w:w="7657" w:type="dxa"/>
            <w:gridSpan w:val="2"/>
            <w:tcBorders>
              <w:top w:val="single" w:color="auto" w:sz="4" w:space="0"/>
              <w:left w:val="single" w:color="auto" w:sz="4" w:space="0"/>
              <w:bottom w:val="single" w:color="auto" w:sz="4" w:space="0"/>
              <w:right w:val="single" w:color="auto" w:sz="4" w:space="0"/>
            </w:tcBorders>
            <w:vAlign w:val="center"/>
          </w:tcPr>
          <w:p>
            <w:pPr>
              <w:pStyle w:val="62"/>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(1)承诺所有监测成果按实测量，错误点数0个（含）以内，得3分；</w:t>
            </w:r>
          </w:p>
          <w:p>
            <w:pPr>
              <w:pStyle w:val="62"/>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(2)承诺所有监测成果按实测量，错误点数1个（含）以内，得2分；</w:t>
            </w:r>
          </w:p>
          <w:p>
            <w:pPr>
              <w:pStyle w:val="62"/>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(3)承诺所有监测成果按实测量，错误点数2个（含）以内，得1分；</w:t>
            </w:r>
          </w:p>
          <w:p>
            <w:pPr>
              <w:pStyle w:val="62"/>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(4)承诺所有监测成果按实测量，错误点数大于或等于3的，得0分。</w:t>
            </w:r>
          </w:p>
          <w:p>
            <w:pPr>
              <w:pStyle w:val="62"/>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pStyle w:val="62"/>
              <w:keepNext w:val="0"/>
              <w:keepLines w:val="0"/>
              <w:suppressLineNumbers w:val="0"/>
              <w:spacing w:before="0" w:beforeAutospacing="0" w:after="0" w:afterAutospacing="0" w:line="360" w:lineRule="auto"/>
              <w:ind w:left="0" w:right="0" w:firstLine="422" w:firstLineChars="200"/>
              <w:contextualSpacing/>
              <w:rPr>
                <w:rFonts w:hint="eastAsia" w:ascii="宋体" w:hAnsi="宋体" w:eastAsia="宋体" w:cs="宋体"/>
                <w:b/>
                <w:bCs/>
                <w:color w:val="auto"/>
                <w:sz w:val="21"/>
                <w:szCs w:val="21"/>
                <w:highlight w:val="none"/>
                <w:lang w:eastAsia="zh-CN"/>
              </w:rPr>
            </w:pPr>
            <w:r>
              <w:rPr>
                <w:rFonts w:hint="eastAsia" w:asci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根据《监测成果准确性承诺书》对应的内容进行评审。提供承诺函加盖投标人公章</w:t>
            </w:r>
            <w:r>
              <w:rPr>
                <w:rFonts w:hint="eastAsia" w:ascii="宋体" w:eastAsia="宋体" w:cs="宋体"/>
                <w:b/>
                <w:bCs/>
                <w:color w:val="auto"/>
                <w:sz w:val="21"/>
                <w:szCs w:val="21"/>
                <w:highlight w:val="none"/>
                <w:lang w:eastAsia="zh-CN"/>
              </w:rPr>
              <w:t>；</w:t>
            </w:r>
          </w:p>
          <w:p>
            <w:pPr>
              <w:pStyle w:val="62"/>
              <w:keepNext w:val="0"/>
              <w:keepLines w:val="0"/>
              <w:suppressLineNumbers w:val="0"/>
              <w:spacing w:before="0" w:beforeAutospacing="0" w:after="0" w:afterAutospacing="0" w:line="360" w:lineRule="auto"/>
              <w:ind w:left="0" w:right="0" w:firstLine="422" w:firstLineChars="200"/>
              <w:contextualSpacing/>
              <w:rPr>
                <w:rFonts w:hint="eastAsia" w:ascii="宋体" w:hAnsi="宋体" w:eastAsia="宋体" w:cs="宋体"/>
                <w:color w:val="auto"/>
                <w:kern w:val="0"/>
                <w:szCs w:val="21"/>
                <w:highlight w:val="none"/>
              </w:rPr>
            </w:pPr>
            <w:r>
              <w:rPr>
                <w:rFonts w:hint="eastAsia" w:asci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本项按最高得分计算一次，不重复得分。</w:t>
            </w:r>
          </w:p>
        </w:tc>
        <w:tc>
          <w:tcPr>
            <w:tcW w:w="9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2" w:type="dxa"/>
            <w:gridSpan w:val="2"/>
            <w:tcBorders>
              <w:top w:val="single" w:color="auto" w:sz="4" w:space="0"/>
              <w:left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1133" w:type="dxa"/>
            <w:gridSpan w:val="2"/>
            <w:tcBorders>
              <w:top w:val="single" w:color="auto" w:sz="4" w:space="0"/>
              <w:left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服务及时性承诺</w:t>
            </w:r>
          </w:p>
        </w:tc>
        <w:tc>
          <w:tcPr>
            <w:tcW w:w="7657" w:type="dxa"/>
            <w:gridSpan w:val="2"/>
            <w:tcBorders>
              <w:top w:val="single" w:color="auto" w:sz="4" w:space="0"/>
              <w:left w:val="single" w:color="auto" w:sz="4" w:space="0"/>
              <w:right w:val="single" w:color="auto" w:sz="4" w:space="0"/>
            </w:tcBorders>
            <w:vAlign w:val="center"/>
          </w:tcPr>
          <w:p>
            <w:pPr>
              <w:pStyle w:val="62"/>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(1)承诺接到招标人电话通知后1小时（含）内机械设备、人员进场服务的，得3分；</w:t>
            </w:r>
          </w:p>
          <w:p>
            <w:pPr>
              <w:pStyle w:val="62"/>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(2)承诺接到招标人电话通知后2小时（含）内机械设备、人员进场服务的，得2分；</w:t>
            </w:r>
          </w:p>
          <w:p>
            <w:pPr>
              <w:pStyle w:val="62"/>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(3)承诺接到招标人电话通知后4小时（含）内机械设备、人员进场服务的，得1分；</w:t>
            </w:r>
          </w:p>
          <w:p>
            <w:pPr>
              <w:pStyle w:val="62"/>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(4)承诺接到招标人电话通知后超过4小时机械设备、人员进场服务的，得0分。</w:t>
            </w:r>
          </w:p>
          <w:p>
            <w:pPr>
              <w:pStyle w:val="62"/>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pStyle w:val="62"/>
              <w:keepNext w:val="0"/>
              <w:keepLines w:val="0"/>
              <w:suppressLineNumbers w:val="0"/>
              <w:spacing w:before="0" w:beforeAutospacing="0" w:after="0" w:afterAutospacing="0" w:line="360" w:lineRule="auto"/>
              <w:ind w:left="0" w:right="0" w:firstLine="422" w:firstLineChars="200"/>
              <w:contextualSpacing/>
              <w:rPr>
                <w:rFonts w:hint="eastAsia" w:ascii="宋体" w:hAnsi="宋体" w:eastAsia="宋体" w:cs="宋体"/>
                <w:b/>
                <w:bCs/>
                <w:color w:val="auto"/>
                <w:sz w:val="21"/>
                <w:szCs w:val="21"/>
                <w:highlight w:val="none"/>
                <w:lang w:eastAsia="zh-CN"/>
              </w:rPr>
            </w:pPr>
            <w:r>
              <w:rPr>
                <w:rFonts w:hint="eastAsia" w:asci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根据《服务响应时间承诺书》对应的内容进行评审。提供承诺函加盖投标人公章</w:t>
            </w:r>
            <w:r>
              <w:rPr>
                <w:rFonts w:hint="eastAsia" w:ascii="宋体" w:eastAsia="宋体" w:cs="宋体"/>
                <w:b/>
                <w:bCs/>
                <w:color w:val="auto"/>
                <w:sz w:val="21"/>
                <w:szCs w:val="21"/>
                <w:highlight w:val="none"/>
                <w:lang w:eastAsia="zh-CN"/>
              </w:rPr>
              <w:t>；</w:t>
            </w:r>
          </w:p>
          <w:p>
            <w:pPr>
              <w:pStyle w:val="62"/>
              <w:keepNext w:val="0"/>
              <w:keepLines w:val="0"/>
              <w:suppressLineNumbers w:val="0"/>
              <w:spacing w:before="0" w:beforeAutospacing="0" w:after="0" w:afterAutospacing="0" w:line="360" w:lineRule="auto"/>
              <w:ind w:left="0" w:right="0" w:firstLine="422" w:firstLineChars="200"/>
              <w:contextualSpacing/>
              <w:rPr>
                <w:rFonts w:hint="eastAsia" w:ascii="宋体" w:hAnsi="宋体" w:eastAsia="宋体" w:cs="宋体"/>
                <w:color w:val="auto"/>
                <w:kern w:val="0"/>
                <w:szCs w:val="21"/>
                <w:highlight w:val="none"/>
              </w:rPr>
            </w:pPr>
            <w:r>
              <w:rPr>
                <w:rFonts w:hint="eastAsia" w:asci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本项按最高得分计算一次，不重复得分。</w:t>
            </w:r>
          </w:p>
        </w:tc>
        <w:tc>
          <w:tcPr>
            <w:tcW w:w="908" w:type="dxa"/>
            <w:gridSpan w:val="2"/>
            <w:tcBorders>
              <w:top w:val="single" w:color="auto" w:sz="4" w:space="0"/>
              <w:left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3分</w:t>
            </w:r>
          </w:p>
        </w:tc>
      </w:tr>
      <w:bookmarkEnd w:id="857"/>
    </w:tbl>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pPr>
        <w:autoSpaceDE w:val="0"/>
        <w:autoSpaceDN w:val="0"/>
        <w:adjustRightInd w:val="0"/>
        <w:spacing w:line="360" w:lineRule="auto"/>
        <w:ind w:left="420" w:leftChars="200" w:firstLine="422" w:firstLineChars="200"/>
        <w:rPr>
          <w:rFonts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pPr>
        <w:spacing w:line="360" w:lineRule="auto"/>
        <w:ind w:left="420" w:leftChars="200" w:firstLine="420" w:firstLineChars="200"/>
        <w:rPr>
          <w:rFonts w:ascii="宋体" w:hAnsi="宋体" w:eastAsia="宋体" w:cs="宋体"/>
          <w:color w:val="auto"/>
          <w:kern w:val="0"/>
          <w:szCs w:val="21"/>
          <w:highlight w:val="none"/>
          <w:lang w:val="zh-CN"/>
        </w:rPr>
      </w:pPr>
    </w:p>
    <w:p>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b/>
          <w:bCs/>
          <w:color w:val="auto"/>
          <w:kern w:val="0"/>
          <w:szCs w:val="21"/>
          <w:highlight w:val="none"/>
          <w:lang w:val="zh-CN"/>
        </w:rPr>
        <w:t>分</w:t>
      </w:r>
    </w:p>
    <w:p>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rPr>
        <w:t>根据有效投标人的</w:t>
      </w:r>
      <w:r>
        <w:rPr>
          <w:rFonts w:hint="eastAsia" w:ascii="宋体" w:hAnsi="宋体" w:eastAsia="宋体" w:cs="宋体"/>
          <w:color w:val="auto"/>
          <w:kern w:val="0"/>
          <w:szCs w:val="21"/>
          <w:highlight w:val="none"/>
          <w:lang w:val="en-US" w:eastAsia="zh-CN"/>
        </w:rPr>
        <w:t>监测服务系数</w:t>
      </w:r>
      <w:r>
        <w:rPr>
          <w:rFonts w:hint="eastAsia" w:ascii="宋体" w:hAnsi="宋体" w:eastAsia="宋体" w:cs="宋体"/>
          <w:color w:val="auto"/>
          <w:kern w:val="0"/>
          <w:szCs w:val="21"/>
          <w:highlight w:val="none"/>
        </w:rPr>
        <w:t>，最低</w:t>
      </w:r>
      <w:r>
        <w:rPr>
          <w:rFonts w:hint="eastAsia" w:ascii="宋体" w:hAnsi="宋体" w:eastAsia="宋体" w:cs="宋体"/>
          <w:color w:val="auto"/>
          <w:kern w:val="0"/>
          <w:szCs w:val="21"/>
          <w:highlight w:val="none"/>
          <w:lang w:val="en-US" w:eastAsia="zh-CN"/>
        </w:rPr>
        <w:t>监测服务系数</w:t>
      </w:r>
      <w:r>
        <w:rPr>
          <w:rFonts w:hint="eastAsia" w:ascii="宋体" w:hAnsi="宋体" w:eastAsia="宋体" w:cs="宋体"/>
          <w:color w:val="auto"/>
          <w:kern w:val="0"/>
          <w:szCs w:val="21"/>
          <w:highlight w:val="none"/>
        </w:rPr>
        <w:t>作为基准</w:t>
      </w:r>
      <w:r>
        <w:rPr>
          <w:rFonts w:hint="eastAsia" w:ascii="宋体" w:hAnsi="宋体" w:eastAsia="宋体" w:cs="宋体"/>
          <w:color w:val="auto"/>
          <w:kern w:val="0"/>
          <w:szCs w:val="21"/>
          <w:highlight w:val="none"/>
          <w:lang w:val="en-US" w:eastAsia="zh-CN"/>
        </w:rPr>
        <w:t>系数</w:t>
      </w:r>
      <w:r>
        <w:rPr>
          <w:rFonts w:hint="eastAsia" w:ascii="宋体" w:hAnsi="宋体" w:eastAsia="宋体" w:cs="宋体"/>
          <w:color w:val="auto"/>
          <w:kern w:val="0"/>
          <w:szCs w:val="21"/>
          <w:highlight w:val="none"/>
        </w:rPr>
        <w:t>（Y）。投标人</w:t>
      </w:r>
      <w:r>
        <w:rPr>
          <w:rFonts w:hint="eastAsia" w:ascii="宋体" w:hAnsi="宋体" w:eastAsia="宋体" w:cs="宋体"/>
          <w:color w:val="auto"/>
          <w:kern w:val="0"/>
          <w:szCs w:val="21"/>
          <w:highlight w:val="none"/>
          <w:lang w:val="en-US" w:eastAsia="zh-CN"/>
        </w:rPr>
        <w:t>监测服务系数</w:t>
      </w:r>
      <w:r>
        <w:rPr>
          <w:rFonts w:hint="eastAsia" w:ascii="宋体" w:hAnsi="宋体" w:eastAsia="宋体" w:cs="宋体"/>
          <w:color w:val="auto"/>
          <w:kern w:val="0"/>
          <w:szCs w:val="21"/>
          <w:highlight w:val="none"/>
        </w:rPr>
        <w:t>（X）等于基准</w:t>
      </w:r>
      <w:r>
        <w:rPr>
          <w:rFonts w:hint="eastAsia" w:ascii="宋体" w:hAnsi="宋体" w:eastAsia="宋体" w:cs="宋体"/>
          <w:color w:val="auto"/>
          <w:kern w:val="0"/>
          <w:szCs w:val="21"/>
          <w:highlight w:val="none"/>
          <w:lang w:val="en-US" w:eastAsia="zh-CN"/>
        </w:rPr>
        <w:t>系数</w:t>
      </w:r>
      <w:r>
        <w:rPr>
          <w:rFonts w:hint="eastAsia" w:ascii="宋体" w:hAnsi="宋体" w:eastAsia="宋体" w:cs="宋体"/>
          <w:color w:val="auto"/>
          <w:kern w:val="0"/>
          <w:szCs w:val="21"/>
          <w:highlight w:val="none"/>
        </w:rPr>
        <w:t>的得满分</w:t>
      </w:r>
      <w:r>
        <w:rPr>
          <w:rFonts w:hint="eastAsia" w:ascii="宋体" w:hAnsi="宋体" w:eastAsia="宋体" w:cs="宋体"/>
          <w:color w:val="auto"/>
          <w:kern w:val="0"/>
          <w:szCs w:val="21"/>
          <w:highlight w:val="none"/>
          <w:lang w:val="en-US" w:eastAsia="zh-CN"/>
        </w:rPr>
        <w:t>50</w:t>
      </w:r>
      <w:r>
        <w:rPr>
          <w:rFonts w:hint="eastAsia" w:ascii="宋体" w:hAnsi="宋体" w:eastAsia="宋体" w:cs="宋体"/>
          <w:color w:val="auto"/>
          <w:kern w:val="0"/>
          <w:szCs w:val="21"/>
          <w:highlight w:val="none"/>
        </w:rPr>
        <w:t>分，其他投标人的价格得分统一按照下列公式计算：</w:t>
      </w:r>
    </w:p>
    <w:p>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w:t>
      </w:r>
      <w:r>
        <w:rPr>
          <w:rFonts w:hint="eastAsia" w:ascii="宋体" w:hAnsi="宋体" w:eastAsia="宋体" w:cs="宋体"/>
          <w:color w:val="auto"/>
          <w:kern w:val="0"/>
          <w:szCs w:val="21"/>
          <w:highlight w:val="none"/>
          <w:lang w:val="en-US" w:eastAsia="zh-CN"/>
        </w:rPr>
        <w:t>系数</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监测服务系数</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50</w:t>
      </w:r>
    </w:p>
    <w:p>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rPr>
        <w:t>、分数出现小数点，保留小数点后2位，从小数点后第3位四舍五入。</w:t>
      </w:r>
    </w:p>
    <w:p>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pPr>
        <w:spacing w:line="400" w:lineRule="exact"/>
        <w:ind w:firstLine="848" w:firstLineChars="404"/>
        <w:rPr>
          <w:rFonts w:ascii="宋体" w:hAnsi="宋体" w:eastAsia="宋体" w:cs="宋体"/>
          <w:color w:val="auto"/>
          <w:kern w:val="0"/>
          <w:szCs w:val="28"/>
          <w:highlight w:val="none"/>
          <w:lang w:val="zh-CN"/>
        </w:rPr>
      </w:pPr>
      <w:bookmarkStart w:id="858" w:name="_Toc31624_WPSOffice_Level2"/>
      <w:r>
        <w:rPr>
          <w:rFonts w:hint="eastAsia" w:ascii="宋体" w:hAnsi="宋体" w:eastAsia="宋体" w:cs="宋体"/>
          <w:color w:val="auto"/>
          <w:kern w:val="0"/>
          <w:szCs w:val="28"/>
          <w:highlight w:val="none"/>
          <w:lang w:val="zh-CN"/>
        </w:rPr>
        <w:t>评标总得分=F1＋F2＋……+Fn</w:t>
      </w:r>
      <w:bookmarkEnd w:id="858"/>
    </w:p>
    <w:p>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859" w:name="_Toc13236_WPSOffice_Level2"/>
      <w:r>
        <w:rPr>
          <w:rFonts w:hint="eastAsia" w:ascii="宋体" w:hAnsi="宋体" w:eastAsia="宋体" w:cs="宋体"/>
          <w:color w:val="auto"/>
          <w:kern w:val="0"/>
          <w:szCs w:val="21"/>
          <w:highlight w:val="none"/>
        </w:rPr>
        <w:t>F1、F2、……Fn分别为各项评分因素的得分</w:t>
      </w:r>
      <w:bookmarkEnd w:id="859"/>
      <w:r>
        <w:rPr>
          <w:rFonts w:hint="eastAsia" w:ascii="宋体" w:hAnsi="宋体" w:eastAsia="宋体" w:cs="宋体"/>
          <w:color w:val="auto"/>
          <w:kern w:val="0"/>
          <w:szCs w:val="21"/>
          <w:highlight w:val="none"/>
        </w:rPr>
        <w:t>。</w:t>
      </w:r>
    </w:p>
    <w:p>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pPr>
        <w:autoSpaceDE w:val="0"/>
        <w:autoSpaceDN w:val="0"/>
        <w:adjustRightInd w:val="0"/>
        <w:spacing w:line="360" w:lineRule="auto"/>
        <w:jc w:val="center"/>
        <w:rPr>
          <w:rFonts w:ascii="宋体" w:hAnsi="宋体" w:eastAsia="宋体" w:cs="宋体"/>
          <w:b/>
          <w:bCs/>
          <w:color w:val="auto"/>
          <w:sz w:val="28"/>
          <w:szCs w:val="28"/>
          <w:highlight w:val="none"/>
        </w:rPr>
      </w:pPr>
      <w:bookmarkStart w:id="860" w:name="_Toc518_WPSOffice_Level1"/>
      <w:r>
        <w:rPr>
          <w:rFonts w:hint="eastAsia" w:ascii="宋体" w:hAnsi="宋体" w:eastAsia="宋体" w:cs="宋体"/>
          <w:b/>
          <w:bCs/>
          <w:color w:val="auto"/>
          <w:sz w:val="28"/>
          <w:szCs w:val="28"/>
          <w:highlight w:val="none"/>
          <w:lang w:val="zh-CN"/>
        </w:rPr>
        <w:t>五、推荐中标人</w:t>
      </w:r>
      <w:bookmarkEnd w:id="860"/>
    </w:p>
    <w:p>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pPr>
        <w:widowControl/>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861" w:name="_Toc22724_WPSOffice_Level1"/>
      <w:r>
        <w:rPr>
          <w:rFonts w:hint="eastAsia" w:ascii="宋体" w:hAnsi="宋体" w:eastAsia="宋体" w:cs="宋体"/>
          <w:b/>
          <w:bCs/>
          <w:color w:val="auto"/>
          <w:sz w:val="28"/>
          <w:szCs w:val="28"/>
          <w:highlight w:val="none"/>
          <w:lang w:val="zh-CN"/>
        </w:rPr>
        <w:t>六、编写评标报告</w:t>
      </w:r>
      <w:bookmarkEnd w:id="861"/>
    </w:p>
    <w:p>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pPr>
        <w:autoSpaceDE w:val="0"/>
        <w:autoSpaceDN w:val="0"/>
        <w:adjustRightInd w:val="0"/>
        <w:spacing w:line="360" w:lineRule="auto"/>
        <w:jc w:val="center"/>
        <w:rPr>
          <w:rFonts w:ascii="宋体" w:hAnsi="宋体" w:eastAsia="宋体" w:cs="宋体"/>
          <w:b/>
          <w:bCs/>
          <w:color w:val="auto"/>
          <w:sz w:val="28"/>
          <w:szCs w:val="28"/>
          <w:highlight w:val="none"/>
          <w:lang w:val="zh-CN"/>
        </w:rPr>
      </w:pPr>
    </w:p>
    <w:p>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862" w:name="_Toc23773_WPSOffice_Level1"/>
      <w:r>
        <w:rPr>
          <w:rFonts w:hint="eastAsia" w:ascii="宋体" w:hAnsi="宋体" w:eastAsia="宋体" w:cs="宋体"/>
          <w:b/>
          <w:bCs/>
          <w:color w:val="auto"/>
          <w:sz w:val="28"/>
          <w:szCs w:val="28"/>
          <w:highlight w:val="none"/>
          <w:lang w:val="zh-CN"/>
        </w:rPr>
        <w:t>七、注意事项</w:t>
      </w:r>
      <w:bookmarkEnd w:id="862"/>
    </w:p>
    <w:p>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autoSpaceDE w:val="0"/>
        <w:autoSpaceDN w:val="0"/>
        <w:adjustRightInd w:val="0"/>
        <w:spacing w:line="360" w:lineRule="auto"/>
        <w:ind w:left="436" w:leftChars="-59" w:hanging="560" w:hangingChars="267"/>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820"/>
    <w:bookmarkEnd w:id="836"/>
    <w:bookmarkEnd w:id="837"/>
    <w:bookmarkEnd w:id="838"/>
    <w:p>
      <w:pPr>
        <w:widowControl/>
        <w:jc w:val="left"/>
        <w:rPr>
          <w:rFonts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97434F5-14D8-4DDC-A760-130ED1FAF2F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4F7434A6-1088-4764-A5D3-8A5CFD6D3E6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E03C59C1-4A5D-4505-B989-1BE483017B89}"/>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4" w:fontKey="{1B85AE28-6B9F-478F-BFED-14782464B72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E"/>
    <w:multiLevelType w:val="multilevel"/>
    <w:tmpl w:val="0000001E"/>
    <w:lvl w:ilvl="0" w:tentative="0">
      <w:start w:val="1"/>
      <w:numFmt w:val="decimal"/>
      <w:lvlText w:val="%1."/>
      <w:lvlJc w:val="left"/>
      <w:pPr>
        <w:tabs>
          <w:tab w:val="left" w:pos="9497"/>
        </w:tabs>
        <w:ind w:left="9497" w:hanging="425"/>
      </w:pPr>
      <w:rPr>
        <w:rFonts w:hint="eastAsia"/>
      </w:rPr>
    </w:lvl>
    <w:lvl w:ilvl="1" w:tentative="0">
      <w:start w:val="1"/>
      <w:numFmt w:val="decimal"/>
      <w:lvlText w:val="%1.%2"/>
      <w:lvlJc w:val="left"/>
      <w:pPr>
        <w:tabs>
          <w:tab w:val="left" w:pos="9639"/>
        </w:tabs>
        <w:ind w:left="9639" w:hanging="567"/>
      </w:pPr>
      <w:rPr>
        <w:rFonts w:hint="default" w:ascii="等线 Light" w:hAnsi="等线 Light" w:eastAsia="等线 Light" w:cs="等线 Light"/>
        <w:b w:val="0"/>
        <w:dstrike w:val="0"/>
      </w:rPr>
    </w:lvl>
    <w:lvl w:ilvl="2" w:tentative="0">
      <w:start w:val="1"/>
      <w:numFmt w:val="decimal"/>
      <w:lvlText w:val="14.1.%3."/>
      <w:lvlJc w:val="left"/>
      <w:pPr>
        <w:tabs>
          <w:tab w:val="left" w:pos="10775"/>
        </w:tabs>
        <w:ind w:left="10775" w:hanging="851"/>
      </w:pPr>
      <w:rPr>
        <w:rFonts w:hint="eastAsia"/>
        <w:b w:val="0"/>
        <w:color w:val="auto"/>
        <w:sz w:val="21"/>
        <w:szCs w:val="21"/>
      </w:rPr>
    </w:lvl>
    <w:lvl w:ilvl="3" w:tentative="0">
      <w:start w:val="1"/>
      <w:numFmt w:val="decimal"/>
      <w:pStyle w:val="202"/>
      <w:lvlText w:val="%1.%2.%3.%4"/>
      <w:lvlJc w:val="left"/>
      <w:pPr>
        <w:tabs>
          <w:tab w:val="left" w:pos="9923"/>
        </w:tabs>
        <w:ind w:left="9923" w:hanging="851"/>
      </w:pPr>
      <w:rPr>
        <w:rFonts w:hint="eastAsia"/>
        <w:dstrike w:val="0"/>
      </w:rPr>
    </w:lvl>
    <w:lvl w:ilvl="4" w:tentative="0">
      <w:start w:val="1"/>
      <w:numFmt w:val="decimal"/>
      <w:lvlText w:val="%1.%2.%3.%4.%5."/>
      <w:lvlJc w:val="left"/>
      <w:pPr>
        <w:tabs>
          <w:tab w:val="left" w:pos="10064"/>
        </w:tabs>
        <w:ind w:left="10064" w:hanging="992"/>
      </w:pPr>
      <w:rPr>
        <w:rFonts w:hint="eastAsia"/>
      </w:rPr>
    </w:lvl>
    <w:lvl w:ilvl="5" w:tentative="0">
      <w:start w:val="1"/>
      <w:numFmt w:val="decimal"/>
      <w:lvlText w:val="%1.%2.%3.%4.%5.%6."/>
      <w:lvlJc w:val="left"/>
      <w:pPr>
        <w:tabs>
          <w:tab w:val="left" w:pos="10206"/>
        </w:tabs>
        <w:ind w:left="10206" w:hanging="1134"/>
      </w:pPr>
      <w:rPr>
        <w:rFonts w:hint="eastAsia"/>
      </w:rPr>
    </w:lvl>
    <w:lvl w:ilvl="6" w:tentative="0">
      <w:start w:val="1"/>
      <w:numFmt w:val="decimal"/>
      <w:lvlText w:val="%1.%2.%3.%4.%5.%6.%7."/>
      <w:lvlJc w:val="left"/>
      <w:pPr>
        <w:tabs>
          <w:tab w:val="left" w:pos="10348"/>
        </w:tabs>
        <w:ind w:left="10348" w:hanging="1276"/>
      </w:pPr>
      <w:rPr>
        <w:rFonts w:hint="eastAsia"/>
      </w:rPr>
    </w:lvl>
    <w:lvl w:ilvl="7" w:tentative="0">
      <w:start w:val="1"/>
      <w:numFmt w:val="decimal"/>
      <w:lvlText w:val="%1.%2.%3.%4.%5.%6.%7.%8."/>
      <w:lvlJc w:val="left"/>
      <w:pPr>
        <w:tabs>
          <w:tab w:val="left" w:pos="10490"/>
        </w:tabs>
        <w:ind w:left="10490" w:hanging="1418"/>
      </w:pPr>
      <w:rPr>
        <w:rFonts w:hint="eastAsia"/>
      </w:rPr>
    </w:lvl>
    <w:lvl w:ilvl="8" w:tentative="0">
      <w:start w:val="1"/>
      <w:numFmt w:val="decimal"/>
      <w:lvlText w:val="%1.%2.%3.%4.%5.%6.%7.%8.%9."/>
      <w:lvlJc w:val="left"/>
      <w:pPr>
        <w:tabs>
          <w:tab w:val="left" w:pos="10631"/>
        </w:tabs>
        <w:ind w:left="10631" w:hanging="1559"/>
      </w:pPr>
      <w:rPr>
        <w:rFonts w:hint="eastAsia"/>
      </w:rPr>
    </w:lvl>
  </w:abstractNum>
  <w:abstractNum w:abstractNumId="1">
    <w:nsid w:val="112975A4"/>
    <w:multiLevelType w:val="multilevel"/>
    <w:tmpl w:val="112975A4"/>
    <w:lvl w:ilvl="0" w:tentative="0">
      <w:start w:val="1"/>
      <w:numFmt w:val="japaneseCounting"/>
      <w:lvlText w:val="（%1）"/>
      <w:lvlJc w:val="left"/>
      <w:pPr>
        <w:ind w:left="1700" w:hanging="1080"/>
      </w:pPr>
      <w:rPr>
        <w:rFonts w:hint="default"/>
      </w:rPr>
    </w:lvl>
    <w:lvl w:ilvl="1" w:tentative="0">
      <w:start w:val="1"/>
      <w:numFmt w:val="lowerLetter"/>
      <w:lvlText w:val="%2)"/>
      <w:lvlJc w:val="left"/>
      <w:pPr>
        <w:ind w:left="1460" w:hanging="420"/>
      </w:pPr>
    </w:lvl>
    <w:lvl w:ilvl="2" w:tentative="0">
      <w:start w:val="1"/>
      <w:numFmt w:val="lowerRoman"/>
      <w:lvlText w:val="%3."/>
      <w:lvlJc w:val="right"/>
      <w:pPr>
        <w:ind w:left="1880" w:hanging="420"/>
      </w:pPr>
    </w:lvl>
    <w:lvl w:ilvl="3" w:tentative="0">
      <w:start w:val="1"/>
      <w:numFmt w:val="decimal"/>
      <w:lvlText w:val="%4."/>
      <w:lvlJc w:val="left"/>
      <w:pPr>
        <w:ind w:left="2300" w:hanging="420"/>
      </w:pPr>
    </w:lvl>
    <w:lvl w:ilvl="4" w:tentative="0">
      <w:start w:val="1"/>
      <w:numFmt w:val="lowerLetter"/>
      <w:lvlText w:val="%5)"/>
      <w:lvlJc w:val="left"/>
      <w:pPr>
        <w:ind w:left="2720" w:hanging="420"/>
      </w:pPr>
    </w:lvl>
    <w:lvl w:ilvl="5" w:tentative="0">
      <w:start w:val="1"/>
      <w:numFmt w:val="lowerRoman"/>
      <w:lvlText w:val="%6."/>
      <w:lvlJc w:val="right"/>
      <w:pPr>
        <w:ind w:left="3140" w:hanging="420"/>
      </w:pPr>
    </w:lvl>
    <w:lvl w:ilvl="6" w:tentative="0">
      <w:start w:val="1"/>
      <w:numFmt w:val="decimal"/>
      <w:lvlText w:val="%7."/>
      <w:lvlJc w:val="left"/>
      <w:pPr>
        <w:ind w:left="3560" w:hanging="420"/>
      </w:pPr>
    </w:lvl>
    <w:lvl w:ilvl="7" w:tentative="0">
      <w:start w:val="1"/>
      <w:numFmt w:val="lowerLetter"/>
      <w:lvlText w:val="%8)"/>
      <w:lvlJc w:val="left"/>
      <w:pPr>
        <w:ind w:left="3980" w:hanging="420"/>
      </w:pPr>
    </w:lvl>
    <w:lvl w:ilvl="8" w:tentative="0">
      <w:start w:val="1"/>
      <w:numFmt w:val="lowerRoman"/>
      <w:lvlText w:val="%9."/>
      <w:lvlJc w:val="right"/>
      <w:pPr>
        <w:ind w:left="4400" w:hanging="420"/>
      </w:p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860C59F"/>
    <w:multiLevelType w:val="singleLevel"/>
    <w:tmpl w:val="5860C59F"/>
    <w:lvl w:ilvl="0" w:tentative="0">
      <w:start w:val="3"/>
      <w:numFmt w:val="chineseCounting"/>
      <w:suff w:val="nothing"/>
      <w:lvlText w:val="%1、"/>
      <w:lvlJc w:val="left"/>
    </w:lvl>
  </w:abstractNum>
  <w:abstractNum w:abstractNumId="5">
    <w:nsid w:val="5860D940"/>
    <w:multiLevelType w:val="singleLevel"/>
    <w:tmpl w:val="5860D940"/>
    <w:lvl w:ilvl="0" w:tentative="0">
      <w:start w:val="1"/>
      <w:numFmt w:val="chineseCounting"/>
      <w:suff w:val="nothing"/>
      <w:lvlText w:val="%1、"/>
      <w:lvlJc w:val="left"/>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mNGM1YjU4MDVjYWQ2NTQ2NGRiNTI4NDNhMWNiOGIifQ=="/>
    <w:docVar w:name="KSO_WPS_MARK_KEY" w:val="06560993-4227-4df7-bff3-e45ce2408bed"/>
  </w:docVars>
  <w:rsids>
    <w:rsidRoot w:val="00000000"/>
    <w:rsid w:val="00140512"/>
    <w:rsid w:val="02615718"/>
    <w:rsid w:val="02A00385"/>
    <w:rsid w:val="060A2B37"/>
    <w:rsid w:val="0A82646D"/>
    <w:rsid w:val="10684B75"/>
    <w:rsid w:val="12026AA2"/>
    <w:rsid w:val="12341E87"/>
    <w:rsid w:val="13107F5F"/>
    <w:rsid w:val="15883EF3"/>
    <w:rsid w:val="16902340"/>
    <w:rsid w:val="1BFE016B"/>
    <w:rsid w:val="290269E7"/>
    <w:rsid w:val="293A111A"/>
    <w:rsid w:val="2BC80A55"/>
    <w:rsid w:val="2C920DBC"/>
    <w:rsid w:val="34C91C8B"/>
    <w:rsid w:val="34FA4911"/>
    <w:rsid w:val="35151DC2"/>
    <w:rsid w:val="39CC2EC6"/>
    <w:rsid w:val="3CE82ECA"/>
    <w:rsid w:val="3EB739D4"/>
    <w:rsid w:val="42A6291D"/>
    <w:rsid w:val="45100703"/>
    <w:rsid w:val="48A91760"/>
    <w:rsid w:val="53644F00"/>
    <w:rsid w:val="55216B22"/>
    <w:rsid w:val="57265E44"/>
    <w:rsid w:val="58304A40"/>
    <w:rsid w:val="597B0B7D"/>
    <w:rsid w:val="616E7612"/>
    <w:rsid w:val="62A73D62"/>
    <w:rsid w:val="63C11D84"/>
    <w:rsid w:val="65AC068A"/>
    <w:rsid w:val="667A42E4"/>
    <w:rsid w:val="71F47147"/>
    <w:rsid w:val="76B526B4"/>
    <w:rsid w:val="7803723E"/>
    <w:rsid w:val="797A051B"/>
    <w:rsid w:val="79B31D6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9"/>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1"/>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3"/>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4"/>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unhideWhenUsed/>
    <w:qFormat/>
    <w:uiPriority w:val="1"/>
  </w:style>
  <w:style w:type="table" w:default="1" w:styleId="3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3"/>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2"/>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5"/>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162"/>
    <w:unhideWhenUsed/>
    <w:qFormat/>
    <w:uiPriority w:val="99"/>
    <w:pPr>
      <w:jc w:val="left"/>
    </w:pPr>
  </w:style>
  <w:style w:type="paragraph" w:styleId="17">
    <w:name w:val="Body Text 3"/>
    <w:basedOn w:val="1"/>
    <w:link w:val="155"/>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7"/>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First Indent"/>
    <w:basedOn w:val="18"/>
    <w:link w:val="200"/>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0">
    <w:name w:val="Body Text Indent"/>
    <w:basedOn w:val="1"/>
    <w:next w:val="1"/>
    <w:link w:val="91"/>
    <w:qFormat/>
    <w:uiPriority w:val="0"/>
    <w:pPr>
      <w:ind w:left="567" w:leftChars="270"/>
    </w:pPr>
    <w:rPr>
      <w:rFonts w:ascii="Times New Roman" w:hAnsi="Times New Roman" w:eastAsia="宋体" w:cs="Times New Roman"/>
      <w:szCs w:val="20"/>
    </w:rPr>
  </w:style>
  <w:style w:type="paragraph" w:styleId="21">
    <w:name w:val="toc 3"/>
    <w:basedOn w:val="1"/>
    <w:next w:val="1"/>
    <w:unhideWhenUsed/>
    <w:qFormat/>
    <w:uiPriority w:val="39"/>
    <w:pPr>
      <w:tabs>
        <w:tab w:val="right" w:leader="dot" w:pos="10144"/>
      </w:tabs>
      <w:ind w:left="840" w:leftChars="400"/>
    </w:pPr>
  </w:style>
  <w:style w:type="paragraph" w:styleId="22">
    <w:name w:val="Plain Text"/>
    <w:basedOn w:val="1"/>
    <w:link w:val="99"/>
    <w:qFormat/>
    <w:uiPriority w:val="0"/>
    <w:rPr>
      <w:rFonts w:ascii="宋体" w:hAnsi="Courier New" w:eastAsia="宋体"/>
    </w:rPr>
  </w:style>
  <w:style w:type="paragraph" w:styleId="23">
    <w:name w:val="Date"/>
    <w:basedOn w:val="1"/>
    <w:next w:val="1"/>
    <w:link w:val="107"/>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0"/>
    <w:qFormat/>
    <w:uiPriority w:val="0"/>
    <w:pPr>
      <w:tabs>
        <w:tab w:val="left" w:pos="8640"/>
      </w:tabs>
      <w:ind w:left="1260"/>
    </w:pPr>
    <w:rPr>
      <w:rFonts w:ascii="宋体" w:hAnsi="Times New Roman" w:eastAsia="宋体" w:cs="Times New Roman"/>
      <w:szCs w:val="20"/>
    </w:rPr>
  </w:style>
  <w:style w:type="paragraph" w:styleId="25">
    <w:name w:val="Balloon Text"/>
    <w:basedOn w:val="1"/>
    <w:link w:val="73"/>
    <w:qFormat/>
    <w:uiPriority w:val="0"/>
    <w:rPr>
      <w:rFonts w:ascii="Times New Roman" w:hAnsi="Times New Roman" w:eastAsia="宋体" w:cs="Times New Roman"/>
      <w:sz w:val="18"/>
      <w:szCs w:val="18"/>
    </w:rPr>
  </w:style>
  <w:style w:type="paragraph" w:styleId="26">
    <w:name w:val="footer"/>
    <w:basedOn w:val="1"/>
    <w:link w:val="77"/>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19"/>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unhideWhenUsed/>
    <w:qFormat/>
    <w:uiPriority w:val="39"/>
  </w:style>
  <w:style w:type="paragraph" w:styleId="29">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3"/>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toc 2"/>
    <w:basedOn w:val="1"/>
    <w:next w:val="1"/>
    <w:unhideWhenUsed/>
    <w:qFormat/>
    <w:uiPriority w:val="39"/>
    <w:pPr>
      <w:ind w:left="420" w:leftChars="200"/>
    </w:pPr>
  </w:style>
  <w:style w:type="paragraph" w:styleId="32">
    <w:name w:val="Body Text 2"/>
    <w:basedOn w:val="1"/>
    <w:link w:val="142"/>
    <w:qFormat/>
    <w:uiPriority w:val="0"/>
    <w:pPr>
      <w:tabs>
        <w:tab w:val="left" w:pos="0"/>
      </w:tabs>
      <w:spacing w:line="400" w:lineRule="atLeast"/>
    </w:pPr>
    <w:rPr>
      <w:rFonts w:ascii="Arial" w:hAnsi="Arial" w:eastAsia="宋体" w:cs="Times New Roman"/>
      <w:color w:val="000000"/>
      <w:szCs w:val="24"/>
    </w:rPr>
  </w:style>
  <w:style w:type="paragraph" w:styleId="33">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2"/>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7"/>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6"/>
    <w:next w:val="16"/>
    <w:link w:val="109"/>
    <w:qFormat/>
    <w:uiPriority w:val="99"/>
    <w:pPr>
      <w:autoSpaceDE w:val="0"/>
      <w:autoSpaceDN w:val="0"/>
      <w:adjustRightInd w:val="0"/>
    </w:pPr>
    <w:rPr>
      <w:rFonts w:ascii="宋体" w:hAnsi="Times New Roman" w:eastAsia="宋体" w:cs="Times New Roman"/>
      <w:b/>
      <w:bCs/>
      <w:kern w:val="0"/>
      <w:sz w:val="24"/>
      <w:szCs w:val="24"/>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FollowedHyperlink"/>
    <w:unhideWhenUsed/>
    <w:qFormat/>
    <w:uiPriority w:val="99"/>
    <w:rPr>
      <w:color w:val="954F72"/>
      <w:u w:val="single"/>
    </w:rPr>
  </w:style>
  <w:style w:type="character" w:styleId="42">
    <w:name w:val="Emphasis"/>
    <w:qFormat/>
    <w:uiPriority w:val="0"/>
    <w:rPr>
      <w:i/>
      <w:iCs/>
    </w:rPr>
  </w:style>
  <w:style w:type="character" w:styleId="43">
    <w:name w:val="Hyperlink"/>
    <w:qFormat/>
    <w:uiPriority w:val="99"/>
    <w:rPr>
      <w:rFonts w:hint="default" w:ascii="Arial" w:hAnsi="Arial" w:cs="Arial"/>
      <w:color w:val="000000"/>
      <w:sz w:val="20"/>
      <w:szCs w:val="20"/>
      <w:u w:val="none"/>
    </w:rPr>
  </w:style>
  <w:style w:type="character" w:styleId="44">
    <w:name w:val="annotation reference"/>
    <w:qFormat/>
    <w:uiPriority w:val="99"/>
    <w:rPr>
      <w:sz w:val="21"/>
      <w:szCs w:val="21"/>
    </w:rPr>
  </w:style>
  <w:style w:type="paragraph" w:customStyle="1" w:styleId="45">
    <w:name w:val="首行缩进"/>
    <w:basedOn w:val="1"/>
    <w:qFormat/>
    <w:uiPriority w:val="0"/>
    <w:pPr>
      <w:ind w:firstLine="480" w:firstLineChars="200"/>
    </w:pPr>
    <w:rPr>
      <w:lang w:val="zh-CN"/>
    </w:rPr>
  </w:style>
  <w:style w:type="character" w:customStyle="1" w:styleId="46">
    <w:name w:val="标题 1 字符"/>
    <w:basedOn w:val="39"/>
    <w:qFormat/>
    <w:uiPriority w:val="0"/>
    <w:rPr>
      <w:b/>
      <w:bCs/>
      <w:kern w:val="44"/>
      <w:sz w:val="44"/>
      <w:szCs w:val="44"/>
    </w:rPr>
  </w:style>
  <w:style w:type="character" w:customStyle="1" w:styleId="47">
    <w:name w:val="标题 2 Char"/>
    <w:basedOn w:val="39"/>
    <w:link w:val="4"/>
    <w:qFormat/>
    <w:uiPriority w:val="0"/>
    <w:rPr>
      <w:rFonts w:ascii="宋体" w:hAnsi="Calibri" w:eastAsia="宋体" w:cs="Times New Roman"/>
      <w:kern w:val="0"/>
      <w:sz w:val="24"/>
      <w:szCs w:val="24"/>
    </w:rPr>
  </w:style>
  <w:style w:type="character" w:customStyle="1" w:styleId="48">
    <w:name w:val="标题 3 字符"/>
    <w:basedOn w:val="39"/>
    <w:qFormat/>
    <w:uiPriority w:val="0"/>
    <w:rPr>
      <w:b/>
      <w:bCs/>
      <w:sz w:val="32"/>
      <w:szCs w:val="32"/>
    </w:rPr>
  </w:style>
  <w:style w:type="character" w:customStyle="1" w:styleId="49">
    <w:name w:val="标题 4 Char1"/>
    <w:basedOn w:val="39"/>
    <w:link w:val="6"/>
    <w:qFormat/>
    <w:uiPriority w:val="9"/>
    <w:rPr>
      <w:rFonts w:ascii="Arial" w:hAnsi="Arial" w:eastAsia="黑体" w:cs="Times New Roman"/>
      <w:b/>
      <w:bCs/>
      <w:kern w:val="0"/>
      <w:sz w:val="28"/>
      <w:szCs w:val="28"/>
    </w:rPr>
  </w:style>
  <w:style w:type="character" w:customStyle="1" w:styleId="50">
    <w:name w:val="标题 5 字符"/>
    <w:basedOn w:val="39"/>
    <w:qFormat/>
    <w:uiPriority w:val="9"/>
    <w:rPr>
      <w:b/>
      <w:bCs/>
      <w:sz w:val="28"/>
      <w:szCs w:val="28"/>
    </w:rPr>
  </w:style>
  <w:style w:type="character" w:customStyle="1" w:styleId="51">
    <w:name w:val="标题 6 字符"/>
    <w:basedOn w:val="39"/>
    <w:qFormat/>
    <w:uiPriority w:val="0"/>
    <w:rPr>
      <w:rFonts w:asciiTheme="majorHAnsi" w:hAnsiTheme="majorHAnsi" w:eastAsiaTheme="majorEastAsia" w:cstheme="majorBidi"/>
      <w:b/>
      <w:bCs/>
      <w:sz w:val="24"/>
      <w:szCs w:val="24"/>
    </w:rPr>
  </w:style>
  <w:style w:type="character" w:customStyle="1" w:styleId="52">
    <w:name w:val="标题 7 Char"/>
    <w:basedOn w:val="39"/>
    <w:link w:val="10"/>
    <w:qFormat/>
    <w:uiPriority w:val="9"/>
    <w:rPr>
      <w:rFonts w:ascii="Times New Roman" w:hAnsi="Calibri" w:eastAsia="黑体" w:cs="Times New Roman"/>
      <w:b/>
      <w:bCs/>
      <w:kern w:val="0"/>
      <w:sz w:val="28"/>
      <w:szCs w:val="24"/>
    </w:rPr>
  </w:style>
  <w:style w:type="character" w:customStyle="1" w:styleId="53">
    <w:name w:val="标题 8 Char"/>
    <w:basedOn w:val="39"/>
    <w:link w:val="11"/>
    <w:qFormat/>
    <w:uiPriority w:val="9"/>
    <w:rPr>
      <w:rFonts w:ascii="Times New Roman" w:hAnsi="Calibri" w:eastAsia="黑体" w:cs="Times New Roman"/>
      <w:b/>
      <w:kern w:val="0"/>
      <w:sz w:val="28"/>
      <w:szCs w:val="24"/>
    </w:rPr>
  </w:style>
  <w:style w:type="character" w:customStyle="1" w:styleId="54">
    <w:name w:val="标题 9 Char"/>
    <w:basedOn w:val="39"/>
    <w:link w:val="12"/>
    <w:qFormat/>
    <w:uiPriority w:val="9"/>
    <w:rPr>
      <w:rFonts w:ascii="Times New Roman" w:hAnsi="Calibri" w:eastAsia="黑体" w:cs="Times New Roman"/>
      <w:b/>
      <w:kern w:val="0"/>
      <w:sz w:val="28"/>
      <w:szCs w:val="24"/>
    </w:rPr>
  </w:style>
  <w:style w:type="character" w:customStyle="1" w:styleId="55">
    <w:name w:val="正文文本缩进 字符"/>
    <w:qFormat/>
    <w:uiPriority w:val="0"/>
    <w:rPr>
      <w:rFonts w:ascii="Times New Roman" w:hAnsi="Times New Roman" w:eastAsia="宋体" w:cs="Times New Roman"/>
      <w:szCs w:val="20"/>
    </w:rPr>
  </w:style>
  <w:style w:type="character" w:customStyle="1" w:styleId="56">
    <w:name w:val="普通(网站) Char"/>
    <w:qFormat/>
    <w:locked/>
    <w:uiPriority w:val="0"/>
    <w:rPr>
      <w:rFonts w:ascii="宋体" w:hAnsi="宋体"/>
      <w:sz w:val="15"/>
      <w:szCs w:val="15"/>
    </w:rPr>
  </w:style>
  <w:style w:type="character" w:customStyle="1" w:styleId="57">
    <w:name w:val="标题 Char"/>
    <w:link w:val="35"/>
    <w:qFormat/>
    <w:uiPriority w:val="10"/>
    <w:rPr>
      <w:rFonts w:ascii="等线 Light" w:hAnsi="等线 Light" w:eastAsia="仿宋"/>
      <w:b/>
      <w:bCs/>
      <w:sz w:val="28"/>
      <w:szCs w:val="32"/>
    </w:rPr>
  </w:style>
  <w:style w:type="character" w:customStyle="1" w:styleId="58">
    <w:name w:val="日期 Char"/>
    <w:semiHidden/>
    <w:qFormat/>
    <w:uiPriority w:val="99"/>
    <w:rPr>
      <w:kern w:val="2"/>
      <w:sz w:val="21"/>
    </w:rPr>
  </w:style>
  <w:style w:type="character" w:customStyle="1" w:styleId="59">
    <w:name w:val="文档结构图 字符1"/>
    <w:semiHidden/>
    <w:qFormat/>
    <w:uiPriority w:val="99"/>
    <w:rPr>
      <w:rFonts w:ascii="Microsoft YaHei UI" w:hAnsi="Calibri" w:eastAsia="Microsoft YaHei UI" w:cs="Times New Roman"/>
      <w:kern w:val="0"/>
      <w:sz w:val="18"/>
      <w:szCs w:val="18"/>
    </w:rPr>
  </w:style>
  <w:style w:type="character" w:customStyle="1" w:styleId="60">
    <w:name w:val="批注文字 Char"/>
    <w:semiHidden/>
    <w:qFormat/>
    <w:uiPriority w:val="99"/>
    <w:rPr>
      <w:kern w:val="2"/>
      <w:sz w:val="21"/>
    </w:rPr>
  </w:style>
  <w:style w:type="character" w:customStyle="1" w:styleId="61">
    <w:name w:val="正文缩进2格 Char"/>
    <w:link w:val="62"/>
    <w:qFormat/>
    <w:uiPriority w:val="0"/>
    <w:rPr>
      <w:rFonts w:ascii="仿宋_GB2312" w:hAnsi="宋体" w:eastAsia="仿宋_GB2312"/>
      <w:sz w:val="31"/>
      <w:szCs w:val="28"/>
    </w:rPr>
  </w:style>
  <w:style w:type="paragraph" w:customStyle="1" w:styleId="62">
    <w:name w:val="正文缩进2格"/>
    <w:basedOn w:val="1"/>
    <w:link w:val="61"/>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semiHidden/>
    <w:qFormat/>
    <w:uiPriority w:val="99"/>
    <w:rPr>
      <w:rFonts w:ascii="Times New Roman" w:hAnsi="Times New Roman"/>
      <w:kern w:val="2"/>
      <w:sz w:val="24"/>
      <w:szCs w:val="24"/>
    </w:rPr>
  </w:style>
  <w:style w:type="character" w:customStyle="1" w:styleId="64">
    <w:name w:val="正文文本缩进 Char"/>
    <w:qFormat/>
    <w:uiPriority w:val="0"/>
    <w:rPr>
      <w:rFonts w:ascii="Times New Roman" w:hAnsi="Times New Roman" w:eastAsia="宋体" w:cs="Times New Roman"/>
      <w:szCs w:val="20"/>
      <w:lang w:val="en-US" w:eastAsia="zh-CN"/>
    </w:rPr>
  </w:style>
  <w:style w:type="character" w:customStyle="1" w:styleId="65">
    <w:name w:val="批注框文本 字符1"/>
    <w:semiHidden/>
    <w:qFormat/>
    <w:uiPriority w:val="99"/>
    <w:rPr>
      <w:rFonts w:ascii="宋体" w:hAnsi="Calibri" w:eastAsia="宋体" w:cs="Times New Roman"/>
      <w:kern w:val="0"/>
      <w:sz w:val="18"/>
      <w:szCs w:val="18"/>
    </w:rPr>
  </w:style>
  <w:style w:type="character" w:customStyle="1" w:styleId="66">
    <w:name w:val="List Paragraph Char"/>
    <w:link w:val="67"/>
    <w:qFormat/>
    <w:uiPriority w:val="34"/>
    <w:rPr>
      <w:rFonts w:ascii="Calibri" w:hAnsi="Calibri"/>
    </w:rPr>
  </w:style>
  <w:style w:type="paragraph" w:customStyle="1" w:styleId="67">
    <w:name w:val="列出段落1"/>
    <w:basedOn w:val="1"/>
    <w:link w:val="66"/>
    <w:qFormat/>
    <w:uiPriority w:val="34"/>
    <w:pPr>
      <w:ind w:firstLine="420" w:firstLineChars="200"/>
    </w:pPr>
    <w:rPr>
      <w:rFonts w:ascii="Calibri" w:hAnsi="Calibri"/>
    </w:rPr>
  </w:style>
  <w:style w:type="character" w:customStyle="1" w:styleId="68">
    <w:name w:val="标书正文 字符"/>
    <w:link w:val="69"/>
    <w:qFormat/>
    <w:uiPriority w:val="0"/>
    <w:rPr>
      <w:rFonts w:ascii="Calibri" w:hAnsi="Calibri" w:eastAsia="仿宋"/>
      <w:sz w:val="24"/>
      <w:szCs w:val="21"/>
    </w:rPr>
  </w:style>
  <w:style w:type="paragraph" w:customStyle="1" w:styleId="69">
    <w:name w:val="标书正文"/>
    <w:basedOn w:val="1"/>
    <w:link w:val="68"/>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semiHidden/>
    <w:qFormat/>
    <w:uiPriority w:val="99"/>
    <w:rPr>
      <w:rFonts w:ascii="Times New Roman" w:hAnsi="Times New Roman"/>
      <w:kern w:val="2"/>
      <w:sz w:val="24"/>
      <w:szCs w:val="24"/>
    </w:rPr>
  </w:style>
  <w:style w:type="character" w:customStyle="1" w:styleId="71">
    <w:name w:val="页脚 Char"/>
    <w:qFormat/>
    <w:uiPriority w:val="0"/>
    <w:rPr>
      <w:kern w:val="2"/>
      <w:sz w:val="18"/>
      <w:szCs w:val="18"/>
    </w:rPr>
  </w:style>
  <w:style w:type="character" w:customStyle="1" w:styleId="72">
    <w:name w:val="neir1"/>
    <w:qFormat/>
    <w:uiPriority w:val="0"/>
    <w:rPr>
      <w:rFonts w:hint="default" w:ascii="ˎ̥" w:hAnsi="ˎ̥"/>
      <w:color w:val="333333"/>
      <w:sz w:val="21"/>
      <w:szCs w:val="21"/>
      <w:u w:val="none"/>
    </w:rPr>
  </w:style>
  <w:style w:type="character" w:customStyle="1" w:styleId="73">
    <w:name w:val="批注框文本 Char1"/>
    <w:link w:val="25"/>
    <w:qFormat/>
    <w:uiPriority w:val="0"/>
    <w:rPr>
      <w:rFonts w:ascii="Times New Roman" w:hAnsi="Times New Roman" w:eastAsia="宋体" w:cs="Times New Roman"/>
      <w:sz w:val="18"/>
      <w:szCs w:val="18"/>
    </w:rPr>
  </w:style>
  <w:style w:type="character" w:customStyle="1" w:styleId="74">
    <w:name w:val="正文文本 3 字符1"/>
    <w:semiHidden/>
    <w:qFormat/>
    <w:uiPriority w:val="99"/>
    <w:rPr>
      <w:rFonts w:ascii="宋体" w:hAnsi="Calibri" w:eastAsia="宋体" w:cs="Times New Roman"/>
      <w:kern w:val="0"/>
      <w:sz w:val="16"/>
      <w:szCs w:val="16"/>
    </w:rPr>
  </w:style>
  <w:style w:type="character" w:customStyle="1" w:styleId="75">
    <w:name w:val="正文文本 字符3"/>
    <w:semiHidden/>
    <w:qFormat/>
    <w:uiPriority w:val="99"/>
    <w:rPr>
      <w:rFonts w:ascii="宋体" w:hAnsi="Calibri" w:eastAsia="宋体" w:cs="Times New Roman"/>
      <w:kern w:val="0"/>
      <w:sz w:val="24"/>
      <w:szCs w:val="24"/>
    </w:rPr>
  </w:style>
  <w:style w:type="character" w:customStyle="1" w:styleId="76">
    <w:name w:val="日期 字符1"/>
    <w:semiHidden/>
    <w:qFormat/>
    <w:uiPriority w:val="99"/>
    <w:rPr>
      <w:rFonts w:ascii="宋体" w:hAnsi="Calibri" w:eastAsia="宋体" w:cs="Times New Roman"/>
      <w:kern w:val="0"/>
      <w:sz w:val="24"/>
      <w:szCs w:val="24"/>
    </w:rPr>
  </w:style>
  <w:style w:type="character" w:customStyle="1" w:styleId="77">
    <w:name w:val="页脚 Char2"/>
    <w:link w:val="26"/>
    <w:qFormat/>
    <w:uiPriority w:val="99"/>
    <w:rPr>
      <w:rFonts w:ascii="宋体" w:eastAsia="宋体"/>
      <w:sz w:val="18"/>
      <w:szCs w:val="18"/>
    </w:rPr>
  </w:style>
  <w:style w:type="character" w:customStyle="1" w:styleId="78">
    <w:name w:val="吉奥正文 Char"/>
    <w:link w:val="79"/>
    <w:qFormat/>
    <w:locked/>
    <w:uiPriority w:val="0"/>
    <w:rPr>
      <w:rFonts w:eastAsia="仿宋_GB2312"/>
      <w:sz w:val="28"/>
    </w:rPr>
  </w:style>
  <w:style w:type="paragraph" w:customStyle="1" w:styleId="79">
    <w:name w:val="吉奥正文"/>
    <w:basedOn w:val="1"/>
    <w:link w:val="78"/>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qFormat/>
    <w:uiPriority w:val="99"/>
    <w:rPr>
      <w:rFonts w:ascii="宋体" w:hAnsi="Times New Roman" w:eastAsia="宋体" w:cs="Times New Roman"/>
      <w:kern w:val="0"/>
      <w:sz w:val="18"/>
      <w:szCs w:val="18"/>
    </w:rPr>
  </w:style>
  <w:style w:type="character" w:customStyle="1" w:styleId="81">
    <w:name w:val="标题 字符"/>
    <w:qFormat/>
    <w:uiPriority w:val="10"/>
    <w:rPr>
      <w:rFonts w:ascii="Cambria" w:hAnsi="Cambria" w:eastAsia="宋体" w:cs="Times New Roman"/>
      <w:b/>
      <w:bCs/>
      <w:kern w:val="0"/>
      <w:sz w:val="32"/>
      <w:szCs w:val="32"/>
      <w:lang w:val="en-US" w:eastAsia="zh-CN"/>
    </w:rPr>
  </w:style>
  <w:style w:type="character" w:customStyle="1" w:styleId="82">
    <w:name w:val="题注 Char"/>
    <w:link w:val="14"/>
    <w:qFormat/>
    <w:uiPriority w:val="0"/>
    <w:rPr>
      <w:rFonts w:ascii="Arial" w:hAnsi="Arial" w:eastAsia="黑体" w:cs="Arial"/>
    </w:rPr>
  </w:style>
  <w:style w:type="character" w:customStyle="1" w:styleId="83">
    <w:name w:val="批注文字 字符2"/>
    <w:qFormat/>
    <w:uiPriority w:val="99"/>
    <w:rPr>
      <w:rFonts w:ascii="宋体" w:hAnsi="Times New Roman" w:eastAsia="宋体" w:cs="Times New Roman"/>
      <w:kern w:val="0"/>
      <w:sz w:val="24"/>
      <w:szCs w:val="24"/>
    </w:rPr>
  </w:style>
  <w:style w:type="character" w:customStyle="1" w:styleId="84">
    <w:name w:val="批注主题 字符1"/>
    <w:semiHidden/>
    <w:qFormat/>
    <w:uiPriority w:val="99"/>
    <w:rPr>
      <w:rFonts w:ascii="宋体" w:hAnsi="Calibri" w:eastAsia="宋体" w:cs="Times New Roman"/>
      <w:b/>
      <w:bCs/>
      <w:kern w:val="0"/>
      <w:sz w:val="24"/>
      <w:szCs w:val="24"/>
    </w:rPr>
  </w:style>
  <w:style w:type="character" w:customStyle="1" w:styleId="85">
    <w:name w:val="HTML 预设格式 Char"/>
    <w:link w:val="33"/>
    <w:qFormat/>
    <w:uiPriority w:val="99"/>
    <w:rPr>
      <w:rFonts w:ascii="Arial" w:hAnsi="Arial" w:eastAsia="宋体" w:cs="Arial"/>
      <w:szCs w:val="21"/>
    </w:rPr>
  </w:style>
  <w:style w:type="character" w:customStyle="1" w:styleId="86">
    <w:name w:val="标题 3.1 Char"/>
    <w:link w:val="87"/>
    <w:qFormat/>
    <w:uiPriority w:val="0"/>
    <w:rPr>
      <w:rFonts w:ascii="宋体" w:hAnsi="宋体"/>
      <w:b/>
      <w:bCs/>
      <w:sz w:val="32"/>
      <w:szCs w:val="32"/>
    </w:rPr>
  </w:style>
  <w:style w:type="paragraph" w:customStyle="1" w:styleId="87">
    <w:name w:val="标题 3.1"/>
    <w:basedOn w:val="5"/>
    <w:link w:val="86"/>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semiHidden/>
    <w:qFormat/>
    <w:uiPriority w:val="99"/>
    <w:rPr>
      <w:rFonts w:ascii="Courier New" w:hAnsi="Courier New" w:eastAsia="宋体" w:cs="Courier New"/>
      <w:kern w:val="0"/>
      <w:sz w:val="20"/>
      <w:szCs w:val="20"/>
    </w:rPr>
  </w:style>
  <w:style w:type="character" w:customStyle="1" w:styleId="89">
    <w:name w:val="批注文字 字符1"/>
    <w:qFormat/>
    <w:uiPriority w:val="0"/>
    <w:rPr>
      <w:rFonts w:eastAsia="宋体"/>
      <w:kern w:val="2"/>
      <w:sz w:val="24"/>
      <w:szCs w:val="24"/>
      <w:lang w:val="en-US" w:eastAsia="zh-CN" w:bidi="ar-SA"/>
    </w:rPr>
  </w:style>
  <w:style w:type="character" w:customStyle="1" w:styleId="90">
    <w:name w:val="正文文本缩进 字符2"/>
    <w:semiHidden/>
    <w:qFormat/>
    <w:uiPriority w:val="99"/>
    <w:rPr>
      <w:rFonts w:ascii="宋体" w:hAnsi="Calibri" w:eastAsia="宋体" w:cs="Times New Roman"/>
      <w:kern w:val="0"/>
      <w:sz w:val="24"/>
      <w:szCs w:val="24"/>
    </w:rPr>
  </w:style>
  <w:style w:type="character" w:customStyle="1" w:styleId="91">
    <w:name w:val="正文文本缩进 Char1"/>
    <w:link w:val="20"/>
    <w:qFormat/>
    <w:uiPriority w:val="0"/>
    <w:rPr>
      <w:rFonts w:ascii="Times New Roman" w:hAnsi="Times New Roman" w:eastAsia="宋体" w:cs="Times New Roman"/>
      <w:szCs w:val="20"/>
    </w:rPr>
  </w:style>
  <w:style w:type="character" w:customStyle="1" w:styleId="92">
    <w:name w:val="普通(网站) Char1"/>
    <w:link w:val="34"/>
    <w:qFormat/>
    <w:locked/>
    <w:uiPriority w:val="0"/>
    <w:rPr>
      <w:rFonts w:ascii="宋体" w:hAnsi="宋体"/>
      <w:sz w:val="15"/>
      <w:szCs w:val="15"/>
    </w:rPr>
  </w:style>
  <w:style w:type="character" w:customStyle="1" w:styleId="93">
    <w:name w:val="模板正文 Char"/>
    <w:link w:val="9"/>
    <w:qFormat/>
    <w:uiPriority w:val="0"/>
    <w:rPr>
      <w:rFonts w:ascii="宋体" w:eastAsia="仿宋"/>
      <w:sz w:val="24"/>
      <w:szCs w:val="21"/>
    </w:rPr>
  </w:style>
  <w:style w:type="character" w:customStyle="1" w:styleId="94">
    <w:name w:val="批注主题 Char"/>
    <w:semiHidden/>
    <w:qFormat/>
    <w:uiPriority w:val="99"/>
    <w:rPr>
      <w:b/>
      <w:bCs/>
      <w:kern w:val="2"/>
      <w:sz w:val="21"/>
    </w:rPr>
  </w:style>
  <w:style w:type="character" w:customStyle="1" w:styleId="95">
    <w:name w:val="正文文本 Char1"/>
    <w:qFormat/>
    <w:uiPriority w:val="0"/>
    <w:rPr>
      <w:rFonts w:ascii="宋体" w:hAnsi="Times New Roman" w:eastAsia="宋体" w:cs="Times New Roman"/>
      <w:kern w:val="0"/>
      <w:sz w:val="24"/>
      <w:szCs w:val="24"/>
    </w:rPr>
  </w:style>
  <w:style w:type="character" w:customStyle="1" w:styleId="96">
    <w:name w:val="正文文本 字符1"/>
    <w:qFormat/>
    <w:uiPriority w:val="99"/>
    <w:rPr>
      <w:rFonts w:ascii="宋体" w:eastAsia="宋体"/>
      <w:b/>
      <w:bCs/>
      <w:sz w:val="84"/>
      <w:szCs w:val="84"/>
      <w:lang w:val="zh-CN"/>
    </w:rPr>
  </w:style>
  <w:style w:type="character" w:customStyle="1" w:styleId="97">
    <w:name w:val="标题 1 Char"/>
    <w:qFormat/>
    <w:uiPriority w:val="9"/>
    <w:rPr>
      <w:rFonts w:ascii="宋体" w:hAnsi="Times New Roman" w:eastAsia="宋体" w:cs="Times New Roman"/>
      <w:kern w:val="0"/>
      <w:sz w:val="24"/>
      <w:szCs w:val="24"/>
    </w:rPr>
  </w:style>
  <w:style w:type="character" w:customStyle="1" w:styleId="98">
    <w:name w:val="正文文本 Char2"/>
    <w:qFormat/>
    <w:uiPriority w:val="99"/>
    <w:rPr>
      <w:rFonts w:ascii="宋体" w:eastAsia="宋体"/>
      <w:b/>
      <w:bCs/>
      <w:sz w:val="84"/>
      <w:szCs w:val="84"/>
      <w:lang w:val="zh-CN"/>
    </w:rPr>
  </w:style>
  <w:style w:type="character" w:customStyle="1" w:styleId="99">
    <w:name w:val="纯文本 Char2"/>
    <w:link w:val="22"/>
    <w:qFormat/>
    <w:uiPriority w:val="0"/>
    <w:rPr>
      <w:rFonts w:ascii="宋体" w:hAnsi="Courier New" w:eastAsia="宋体"/>
    </w:rPr>
  </w:style>
  <w:style w:type="character" w:customStyle="1" w:styleId="100">
    <w:name w:val="正文文本缩进 2 Char"/>
    <w:link w:val="24"/>
    <w:qFormat/>
    <w:uiPriority w:val="0"/>
    <w:rPr>
      <w:rFonts w:ascii="宋体" w:hAnsi="Times New Roman" w:eastAsia="宋体" w:cs="Times New Roman"/>
      <w:szCs w:val="20"/>
    </w:rPr>
  </w:style>
  <w:style w:type="character" w:customStyle="1" w:styleId="101">
    <w:name w:val="HTML Markup"/>
    <w:qFormat/>
    <w:uiPriority w:val="0"/>
    <w:rPr>
      <w:vanish/>
      <w:color w:val="FF0000"/>
    </w:rPr>
  </w:style>
  <w:style w:type="character" w:customStyle="1" w:styleId="102">
    <w:name w:val="页眉 Char1"/>
    <w:qFormat/>
    <w:uiPriority w:val="0"/>
    <w:rPr>
      <w:rFonts w:ascii="宋体" w:hAnsi="Times New Roman" w:eastAsia="宋体" w:cs="Times New Roman"/>
      <w:kern w:val="0"/>
      <w:sz w:val="18"/>
      <w:szCs w:val="18"/>
    </w:rPr>
  </w:style>
  <w:style w:type="character" w:customStyle="1" w:styleId="103">
    <w:name w:val="font11"/>
    <w:qFormat/>
    <w:uiPriority w:val="0"/>
    <w:rPr>
      <w:rFonts w:hint="eastAsia" w:ascii="宋体" w:hAnsi="宋体" w:eastAsia="宋体" w:cs="宋体"/>
      <w:color w:val="FF0000"/>
      <w:sz w:val="22"/>
      <w:szCs w:val="22"/>
      <w:u w:val="none"/>
    </w:rPr>
  </w:style>
  <w:style w:type="character" w:customStyle="1" w:styleId="104">
    <w:name w:val="style61"/>
    <w:qFormat/>
    <w:uiPriority w:val="0"/>
    <w:rPr>
      <w:b/>
      <w:bCs/>
    </w:rPr>
  </w:style>
  <w:style w:type="character" w:customStyle="1" w:styleId="105">
    <w:name w:val="表头文字 Char"/>
    <w:link w:val="106"/>
    <w:qFormat/>
    <w:uiPriority w:val="0"/>
    <w:rPr>
      <w:rFonts w:eastAsia="仿宋_GB2312"/>
      <w:b/>
      <w:sz w:val="28"/>
      <w:szCs w:val="21"/>
    </w:rPr>
  </w:style>
  <w:style w:type="paragraph" w:customStyle="1" w:styleId="106">
    <w:name w:val="表头文字"/>
    <w:basedOn w:val="1"/>
    <w:link w:val="105"/>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3"/>
    <w:qFormat/>
    <w:uiPriority w:val="99"/>
    <w:rPr>
      <w:rFonts w:ascii="宋体" w:hAnsi="Times New Roman" w:eastAsia="宋体" w:cs="Times New Roman"/>
      <w:b/>
      <w:bCs/>
      <w:szCs w:val="21"/>
      <w:lang w:val="zh-CN"/>
    </w:rPr>
  </w:style>
  <w:style w:type="character" w:customStyle="1" w:styleId="108">
    <w:name w:val="纯文本 Char1"/>
    <w:qFormat/>
    <w:uiPriority w:val="0"/>
    <w:rPr>
      <w:rFonts w:ascii="宋体" w:hAnsi="Courier New" w:eastAsia="宋体" w:cs="Courier New"/>
      <w:kern w:val="0"/>
      <w:szCs w:val="21"/>
    </w:rPr>
  </w:style>
  <w:style w:type="character" w:customStyle="1" w:styleId="109">
    <w:name w:val="批注主题 Char1"/>
    <w:link w:val="36"/>
    <w:qFormat/>
    <w:uiPriority w:val="99"/>
    <w:rPr>
      <w:rFonts w:ascii="宋体" w:hAnsi="Times New Roman" w:eastAsia="宋体" w:cs="Times New Roman"/>
      <w:b/>
      <w:bCs/>
      <w:kern w:val="0"/>
      <w:sz w:val="24"/>
      <w:szCs w:val="24"/>
    </w:rPr>
  </w:style>
  <w:style w:type="character" w:customStyle="1" w:styleId="110">
    <w:name w:val="纯文本 字符"/>
    <w:qFormat/>
    <w:uiPriority w:val="99"/>
    <w:rPr>
      <w:rFonts w:ascii="宋体" w:hAnsi="Courier New" w:eastAsia="宋体" w:cs="Times New Roman"/>
      <w:szCs w:val="20"/>
      <w:lang w:val="en-US" w:eastAsia="zh-CN"/>
    </w:rPr>
  </w:style>
  <w:style w:type="character" w:customStyle="1" w:styleId="111">
    <w:name w:val="font71"/>
    <w:qFormat/>
    <w:uiPriority w:val="0"/>
    <w:rPr>
      <w:rFonts w:hint="eastAsia" w:ascii="宋体" w:hAnsi="宋体" w:eastAsia="宋体" w:cs="宋体"/>
      <w:color w:val="FF0000"/>
      <w:sz w:val="18"/>
      <w:szCs w:val="18"/>
      <w:u w:val="none"/>
    </w:rPr>
  </w:style>
  <w:style w:type="character" w:customStyle="1" w:styleId="112">
    <w:name w:val="font21"/>
    <w:qFormat/>
    <w:uiPriority w:val="0"/>
    <w:rPr>
      <w:rFonts w:hint="eastAsia" w:ascii="宋体" w:hAnsi="宋体" w:eastAsia="宋体" w:cs="宋体"/>
      <w:b/>
      <w:color w:val="000000"/>
      <w:sz w:val="21"/>
      <w:szCs w:val="21"/>
      <w:u w:val="none"/>
    </w:rPr>
  </w:style>
  <w:style w:type="character" w:customStyle="1" w:styleId="113">
    <w:name w:val="纯文本 字符3"/>
    <w:semiHidden/>
    <w:qFormat/>
    <w:uiPriority w:val="99"/>
    <w:rPr>
      <w:rFonts w:ascii="等线" w:hAnsi="Courier New" w:cs="Courier New"/>
      <w:kern w:val="0"/>
      <w:sz w:val="24"/>
      <w:szCs w:val="24"/>
    </w:rPr>
  </w:style>
  <w:style w:type="character" w:customStyle="1" w:styleId="114">
    <w:name w:val="font31"/>
    <w:qFormat/>
    <w:uiPriority w:val="0"/>
    <w:rPr>
      <w:rFonts w:hint="eastAsia" w:ascii="宋体" w:hAnsi="宋体" w:eastAsia="宋体" w:cs="宋体"/>
      <w:color w:val="000000"/>
      <w:sz w:val="18"/>
      <w:szCs w:val="18"/>
      <w:u w:val="none"/>
    </w:rPr>
  </w:style>
  <w:style w:type="character" w:customStyle="1" w:styleId="115">
    <w:name w:val="文档结构图 Char"/>
    <w:link w:val="15"/>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qFormat/>
    <w:locked/>
    <w:uiPriority w:val="0"/>
    <w:rPr>
      <w:rFonts w:ascii="宋体" w:hAnsi="宋体"/>
      <w:sz w:val="15"/>
      <w:szCs w:val="15"/>
    </w:rPr>
  </w:style>
  <w:style w:type="character" w:customStyle="1" w:styleId="117">
    <w:name w:val="正文文本 Char3"/>
    <w:link w:val="18"/>
    <w:qFormat/>
    <w:uiPriority w:val="99"/>
    <w:rPr>
      <w:rFonts w:ascii="宋体" w:eastAsia="宋体"/>
      <w:b/>
      <w:bCs/>
      <w:sz w:val="84"/>
      <w:szCs w:val="84"/>
      <w:lang w:val="zh-CN"/>
    </w:rPr>
  </w:style>
  <w:style w:type="character" w:customStyle="1" w:styleId="118">
    <w:name w:val="标题 5 Char"/>
    <w:semiHidden/>
    <w:qFormat/>
    <w:uiPriority w:val="9"/>
    <w:rPr>
      <w:b/>
      <w:bCs/>
      <w:kern w:val="2"/>
      <w:sz w:val="28"/>
      <w:szCs w:val="28"/>
    </w:rPr>
  </w:style>
  <w:style w:type="character" w:customStyle="1" w:styleId="119">
    <w:name w:val="页眉 Char2"/>
    <w:link w:val="27"/>
    <w:qFormat/>
    <w:uiPriority w:val="99"/>
    <w:rPr>
      <w:rFonts w:ascii="宋体" w:eastAsia="宋体"/>
      <w:sz w:val="18"/>
      <w:szCs w:val="18"/>
    </w:rPr>
  </w:style>
  <w:style w:type="character" w:customStyle="1" w:styleId="120">
    <w:name w:val="表格文字 Char"/>
    <w:link w:val="121"/>
    <w:qFormat/>
    <w:uiPriority w:val="0"/>
    <w:rPr>
      <w:rFonts w:eastAsia="仿宋_GB2312"/>
      <w:sz w:val="28"/>
      <w:szCs w:val="24"/>
    </w:rPr>
  </w:style>
  <w:style w:type="paragraph" w:customStyle="1" w:styleId="121">
    <w:name w:val="表格文字"/>
    <w:basedOn w:val="1"/>
    <w:link w:val="120"/>
    <w:qFormat/>
    <w:uiPriority w:val="0"/>
    <w:rPr>
      <w:rFonts w:eastAsia="仿宋_GB2312"/>
      <w:sz w:val="28"/>
      <w:szCs w:val="24"/>
    </w:rPr>
  </w:style>
  <w:style w:type="character" w:customStyle="1" w:styleId="122">
    <w:name w:val="标题 字符2"/>
    <w:qFormat/>
    <w:uiPriority w:val="10"/>
    <w:rPr>
      <w:rFonts w:ascii="等线 Light" w:hAnsi="等线 Light" w:eastAsia="等线 Light" w:cs="Times New Roman"/>
      <w:b/>
      <w:bCs/>
      <w:kern w:val="0"/>
      <w:sz w:val="32"/>
      <w:szCs w:val="32"/>
    </w:rPr>
  </w:style>
  <w:style w:type="character" w:customStyle="1" w:styleId="123">
    <w:name w:val="正文缩进2格 Char Char"/>
    <w:qFormat/>
    <w:uiPriority w:val="0"/>
    <w:rPr>
      <w:rFonts w:ascii="仿宋_GB2312" w:hAnsi="宋体" w:eastAsia="仿宋_GB2312"/>
      <w:kern w:val="2"/>
      <w:sz w:val="31"/>
      <w:szCs w:val="28"/>
      <w:lang w:val="en-US" w:eastAsia="zh-CN" w:bidi="ar-SA"/>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themebody1"/>
    <w:qFormat/>
    <w:uiPriority w:val="0"/>
    <w:rPr>
      <w:color w:val="FFFFFF"/>
    </w:rPr>
  </w:style>
  <w:style w:type="character" w:customStyle="1" w:styleId="126">
    <w:name w:val="页脚 字符1"/>
    <w:semiHidden/>
    <w:qFormat/>
    <w:uiPriority w:val="99"/>
    <w:rPr>
      <w:rFonts w:ascii="宋体" w:hAnsi="Calibri" w:eastAsia="宋体" w:cs="Times New Roman"/>
      <w:kern w:val="0"/>
      <w:sz w:val="18"/>
      <w:szCs w:val="18"/>
    </w:rPr>
  </w:style>
  <w:style w:type="character" w:customStyle="1" w:styleId="127">
    <w:name w:val="列出段落 Char"/>
    <w:link w:val="128"/>
    <w:qFormat/>
    <w:uiPriority w:val="34"/>
    <w:rPr>
      <w:kern w:val="2"/>
      <w:sz w:val="21"/>
      <w:szCs w:val="22"/>
    </w:rPr>
  </w:style>
  <w:style w:type="paragraph" w:customStyle="1" w:styleId="128">
    <w:name w:val="List Paragraph"/>
    <w:basedOn w:val="1"/>
    <w:link w:val="127"/>
    <w:qFormat/>
    <w:uiPriority w:val="34"/>
    <w:pPr>
      <w:ind w:firstLine="420" w:firstLineChars="200"/>
    </w:pPr>
  </w:style>
  <w:style w:type="character" w:customStyle="1" w:styleId="129">
    <w:name w:val="正文文本 Char"/>
    <w:qFormat/>
    <w:uiPriority w:val="99"/>
    <w:rPr>
      <w:rFonts w:ascii="宋体" w:eastAsia="宋体"/>
      <w:b/>
      <w:bCs/>
      <w:sz w:val="84"/>
      <w:szCs w:val="84"/>
      <w:lang w:val="zh-CN"/>
    </w:rPr>
  </w:style>
  <w:style w:type="character" w:customStyle="1" w:styleId="130">
    <w:name w:val="页眉 字符1"/>
    <w:semiHidden/>
    <w:qFormat/>
    <w:uiPriority w:val="99"/>
    <w:rPr>
      <w:rFonts w:ascii="宋体" w:hAnsi="Calibri" w:eastAsia="宋体" w:cs="Times New Roman"/>
      <w:kern w:val="0"/>
      <w:sz w:val="18"/>
      <w:szCs w:val="18"/>
    </w:rPr>
  </w:style>
  <w:style w:type="character" w:customStyle="1" w:styleId="131">
    <w:name w:val="标题 5 Char1"/>
    <w:link w:val="7"/>
    <w:qFormat/>
    <w:uiPriority w:val="9"/>
    <w:rPr>
      <w:rFonts w:ascii="宋体" w:hAnsi="Calibri" w:eastAsia="宋体" w:cs="Times New Roman"/>
      <w:b/>
      <w:bCs/>
      <w:kern w:val="0"/>
      <w:sz w:val="28"/>
      <w:szCs w:val="28"/>
    </w:rPr>
  </w:style>
  <w:style w:type="character" w:customStyle="1" w:styleId="132">
    <w:name w:val="keyfeatures1"/>
    <w:qFormat/>
    <w:uiPriority w:val="0"/>
    <w:rPr>
      <w:rFonts w:hint="default" w:ascii="Arial" w:hAnsi="Arial" w:cs="Arial"/>
      <w:color w:val="003366"/>
      <w:sz w:val="17"/>
      <w:szCs w:val="17"/>
      <w:u w:val="none"/>
    </w:rPr>
  </w:style>
  <w:style w:type="character" w:customStyle="1" w:styleId="133">
    <w:name w:val="题注 字符"/>
    <w:qFormat/>
    <w:uiPriority w:val="0"/>
    <w:rPr>
      <w:rFonts w:ascii="宋体" w:hAnsi="宋体" w:eastAsia="黑体" w:cs="Times New Roman"/>
      <w:b/>
      <w:szCs w:val="21"/>
    </w:rPr>
  </w:style>
  <w:style w:type="character" w:customStyle="1" w:styleId="134">
    <w:name w:val="标题 4 Char"/>
    <w:qFormat/>
    <w:uiPriority w:val="0"/>
    <w:rPr>
      <w:rFonts w:ascii="宋体" w:hAnsi="宋体" w:eastAsia="宋体"/>
      <w:b/>
      <w:kern w:val="2"/>
      <w:sz w:val="21"/>
      <w:szCs w:val="24"/>
      <w:lang w:val="en-US" w:eastAsia="zh-CN" w:bidi="ar-SA"/>
    </w:rPr>
  </w:style>
  <w:style w:type="character" w:customStyle="1" w:styleId="135">
    <w:name w:val="批注文字 字符3"/>
    <w:semiHidden/>
    <w:qFormat/>
    <w:uiPriority w:val="99"/>
    <w:rPr>
      <w:rFonts w:ascii="宋体" w:hAnsi="Calibri" w:eastAsia="宋体" w:cs="Times New Roman"/>
      <w:kern w:val="0"/>
      <w:sz w:val="24"/>
      <w:szCs w:val="24"/>
    </w:rPr>
  </w:style>
  <w:style w:type="character" w:customStyle="1" w:styleId="136">
    <w:name w:val="纯文本 字符1"/>
    <w:qFormat/>
    <w:uiPriority w:val="0"/>
    <w:rPr>
      <w:rFonts w:ascii="宋体" w:hAnsi="Courier New" w:eastAsia="宋体"/>
      <w:kern w:val="2"/>
      <w:sz w:val="21"/>
      <w:szCs w:val="24"/>
      <w:lang w:val="en-US" w:eastAsia="zh-CN" w:bidi="ar-SA"/>
    </w:rPr>
  </w:style>
  <w:style w:type="character" w:customStyle="1" w:styleId="137">
    <w:name w:val="列出段落 Char1"/>
    <w:qFormat/>
    <w:uiPriority w:val="34"/>
    <w:rPr>
      <w:rFonts w:ascii="宋体"/>
      <w:sz w:val="24"/>
      <w:szCs w:val="24"/>
    </w:rPr>
  </w:style>
  <w:style w:type="character" w:customStyle="1" w:styleId="138">
    <w:name w:val="彩色列表 - 着色 1 字符"/>
    <w:link w:val="139"/>
    <w:qFormat/>
    <w:uiPriority w:val="0"/>
    <w:rPr>
      <w:rFonts w:ascii="Calibri" w:hAnsi="Calibri"/>
    </w:rPr>
  </w:style>
  <w:style w:type="paragraph" w:customStyle="1" w:styleId="139">
    <w:name w:val="彩色列表 - 着色 11"/>
    <w:basedOn w:val="1"/>
    <w:link w:val="138"/>
    <w:qFormat/>
    <w:uiPriority w:val="0"/>
    <w:pPr>
      <w:ind w:firstLine="420" w:firstLineChars="200"/>
    </w:pPr>
    <w:rPr>
      <w:rFonts w:ascii="Calibri" w:hAnsi="Calibri"/>
    </w:rPr>
  </w:style>
  <w:style w:type="character" w:customStyle="1" w:styleId="140">
    <w:name w:val="纯文本 Char"/>
    <w:qFormat/>
    <w:uiPriority w:val="0"/>
    <w:rPr>
      <w:rFonts w:ascii="宋体" w:hAnsi="Courier New" w:eastAsia="宋体" w:cs="Times New Roman"/>
      <w:szCs w:val="20"/>
    </w:rPr>
  </w:style>
  <w:style w:type="character" w:customStyle="1" w:styleId="141">
    <w:name w:val="标题 6 Char"/>
    <w:link w:val="8"/>
    <w:qFormat/>
    <w:uiPriority w:val="9"/>
    <w:rPr>
      <w:rFonts w:ascii="Times New Roman" w:hAnsi="Calibri" w:eastAsia="黑体" w:cs="Times New Roman"/>
      <w:b/>
      <w:bCs/>
      <w:kern w:val="0"/>
      <w:sz w:val="28"/>
      <w:szCs w:val="24"/>
    </w:rPr>
  </w:style>
  <w:style w:type="character" w:customStyle="1" w:styleId="142">
    <w:name w:val="正文文本 2 Char"/>
    <w:link w:val="32"/>
    <w:qFormat/>
    <w:uiPriority w:val="0"/>
    <w:rPr>
      <w:rFonts w:ascii="Arial" w:hAnsi="Arial" w:eastAsia="宋体" w:cs="Times New Roman"/>
      <w:color w:val="000000"/>
      <w:szCs w:val="24"/>
    </w:rPr>
  </w:style>
  <w:style w:type="character" w:customStyle="1" w:styleId="143">
    <w:name w:val="标题 3 Char"/>
    <w:link w:val="5"/>
    <w:qFormat/>
    <w:uiPriority w:val="0"/>
    <w:rPr>
      <w:rFonts w:ascii="宋体" w:hAnsi="Calibri" w:eastAsia="宋体" w:cs="Times New Roman"/>
      <w:kern w:val="0"/>
      <w:sz w:val="24"/>
      <w:szCs w:val="24"/>
    </w:rPr>
  </w:style>
  <w:style w:type="character" w:customStyle="1" w:styleId="144">
    <w:name w:val="正文文本缩进 2 字符1"/>
    <w:semiHidden/>
    <w:qFormat/>
    <w:uiPriority w:val="99"/>
    <w:rPr>
      <w:rFonts w:ascii="宋体" w:hAnsi="Calibri" w:eastAsia="宋体" w:cs="Times New Roman"/>
      <w:kern w:val="0"/>
      <w:sz w:val="24"/>
      <w:szCs w:val="24"/>
    </w:rPr>
  </w:style>
  <w:style w:type="character" w:customStyle="1" w:styleId="145">
    <w:name w:val="正文文本缩进 3 字符1"/>
    <w:semiHidden/>
    <w:qFormat/>
    <w:uiPriority w:val="99"/>
    <w:rPr>
      <w:rFonts w:ascii="宋体" w:hAnsi="Calibri" w:eastAsia="宋体" w:cs="Times New Roman"/>
      <w:kern w:val="0"/>
      <w:sz w:val="16"/>
      <w:szCs w:val="16"/>
    </w:rPr>
  </w:style>
  <w:style w:type="character" w:customStyle="1" w:styleId="146">
    <w:name w:val="正文文本 2 字符1"/>
    <w:semiHidden/>
    <w:qFormat/>
    <w:uiPriority w:val="99"/>
    <w:rPr>
      <w:rFonts w:ascii="宋体" w:hAnsi="Calibri" w:eastAsia="宋体" w:cs="Times New Roman"/>
      <w:kern w:val="0"/>
      <w:sz w:val="24"/>
      <w:szCs w:val="24"/>
    </w:rPr>
  </w:style>
  <w:style w:type="character" w:customStyle="1" w:styleId="147">
    <w:name w:val="eschoolnr"/>
    <w:qFormat/>
    <w:uiPriority w:val="0"/>
    <w:rPr>
      <w:sz w:val="23"/>
      <w:szCs w:val="23"/>
    </w:rPr>
  </w:style>
  <w:style w:type="character" w:customStyle="1" w:styleId="148">
    <w:name w:val="访问过的超链接1"/>
    <w:qFormat/>
    <w:uiPriority w:val="0"/>
    <w:rPr>
      <w:rFonts w:ascii="Arial" w:hAnsi="Arial" w:cs="Arial"/>
      <w:color w:val="000000"/>
      <w:sz w:val="20"/>
      <w:szCs w:val="20"/>
      <w:u w:val="none"/>
    </w:rPr>
  </w:style>
  <w:style w:type="character" w:customStyle="1" w:styleId="149">
    <w:name w:val="标题 1 Char1"/>
    <w:link w:val="3"/>
    <w:qFormat/>
    <w:uiPriority w:val="0"/>
    <w:rPr>
      <w:rFonts w:ascii="宋体" w:hAnsi="Calibri" w:eastAsia="宋体" w:cs="Times New Roman"/>
      <w:kern w:val="0"/>
      <w:sz w:val="24"/>
      <w:szCs w:val="24"/>
    </w:rPr>
  </w:style>
  <w:style w:type="character" w:customStyle="1" w:styleId="150">
    <w:name w:val="批注文字 Char1"/>
    <w:qFormat/>
    <w:uiPriority w:val="0"/>
    <w:rPr>
      <w:kern w:val="2"/>
      <w:sz w:val="21"/>
      <w:szCs w:val="24"/>
    </w:rPr>
  </w:style>
  <w:style w:type="character" w:customStyle="1" w:styleId="151">
    <w:name w:val="批注框文本 Char"/>
    <w:semiHidden/>
    <w:qFormat/>
    <w:uiPriority w:val="99"/>
    <w:rPr>
      <w:kern w:val="2"/>
      <w:sz w:val="18"/>
      <w:szCs w:val="18"/>
    </w:rPr>
  </w:style>
  <w:style w:type="character" w:customStyle="1" w:styleId="152">
    <w:name w:val="DAS正文 Char"/>
    <w:qFormat/>
    <w:uiPriority w:val="0"/>
    <w:rPr>
      <w:rFonts w:ascii="Verdana" w:hAnsi="Verdana" w:eastAsia="宋体"/>
      <w:kern w:val="2"/>
      <w:sz w:val="21"/>
      <w:szCs w:val="21"/>
      <w:lang w:val="en-US" w:eastAsia="zh-CN" w:bidi="ar-SA"/>
    </w:rPr>
  </w:style>
  <w:style w:type="character" w:customStyle="1" w:styleId="153">
    <w:name w:val="正文文本缩进 3 Char"/>
    <w:link w:val="30"/>
    <w:qFormat/>
    <w:uiPriority w:val="0"/>
    <w:rPr>
      <w:rFonts w:ascii="宋体" w:hAnsi="Times New Roman" w:eastAsia="宋体" w:cs="Times New Roman"/>
      <w:kern w:val="0"/>
      <w:sz w:val="24"/>
      <w:szCs w:val="24"/>
    </w:rPr>
  </w:style>
  <w:style w:type="character" w:customStyle="1" w:styleId="154">
    <w:name w:val="页眉 Char"/>
    <w:qFormat/>
    <w:uiPriority w:val="99"/>
    <w:rPr>
      <w:kern w:val="2"/>
      <w:sz w:val="18"/>
      <w:szCs w:val="18"/>
    </w:rPr>
  </w:style>
  <w:style w:type="character" w:customStyle="1" w:styleId="155">
    <w:name w:val="正文文本 3 Char"/>
    <w:link w:val="17"/>
    <w:qFormat/>
    <w:uiPriority w:val="0"/>
    <w:rPr>
      <w:rFonts w:ascii="宋体" w:hAnsi="Times New Roman" w:eastAsia="宋体" w:cs="Times New Roman"/>
      <w:b/>
      <w:bCs/>
      <w:color w:val="3366FF"/>
      <w:sz w:val="52"/>
      <w:szCs w:val="52"/>
      <w:lang w:val="zh-CN"/>
    </w:rPr>
  </w:style>
  <w:style w:type="character" w:customStyle="1" w:styleId="156">
    <w:name w:val="HTML 预设格式 字符1"/>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qFormat/>
    <w:uiPriority w:val="0"/>
    <w:rPr>
      <w:rFonts w:ascii="宋体"/>
      <w:sz w:val="24"/>
      <w:szCs w:val="24"/>
    </w:rPr>
  </w:style>
  <w:style w:type="paragraph" w:customStyle="1" w:styleId="158">
    <w:name w:val="彩色列表 - 强调文字颜色 11"/>
    <w:basedOn w:val="1"/>
    <w:link w:val="157"/>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9"/>
    <w:semiHidden/>
    <w:qFormat/>
    <w:uiPriority w:val="99"/>
    <w:rPr>
      <w:rFonts w:hAnsi="Courier New" w:cs="Courier New" w:asciiTheme="minorEastAsia"/>
    </w:rPr>
  </w:style>
  <w:style w:type="character" w:customStyle="1" w:styleId="162">
    <w:name w:val="批注文字 Char2"/>
    <w:basedOn w:val="39"/>
    <w:link w:val="16"/>
    <w:semiHidden/>
    <w:qFormat/>
    <w:uiPriority w:val="99"/>
  </w:style>
  <w:style w:type="character" w:customStyle="1" w:styleId="163">
    <w:name w:val="批注主题 字符2"/>
    <w:basedOn w:val="162"/>
    <w:semiHidden/>
    <w:qFormat/>
    <w:uiPriority w:val="99"/>
    <w:rPr>
      <w:b/>
      <w:bCs/>
    </w:rPr>
  </w:style>
  <w:style w:type="character" w:customStyle="1" w:styleId="164">
    <w:name w:val="标题 字符3"/>
    <w:basedOn w:val="39"/>
    <w:qFormat/>
    <w:uiPriority w:val="10"/>
    <w:rPr>
      <w:rFonts w:asciiTheme="majorHAnsi" w:hAnsiTheme="majorHAnsi" w:eastAsiaTheme="majorEastAsia" w:cstheme="majorBidi"/>
      <w:b/>
      <w:bCs/>
      <w:sz w:val="32"/>
      <w:szCs w:val="32"/>
    </w:rPr>
  </w:style>
  <w:style w:type="character" w:customStyle="1" w:styleId="165">
    <w:name w:val="正文文本缩进 字符3"/>
    <w:basedOn w:val="39"/>
    <w:semiHidden/>
    <w:qFormat/>
    <w:uiPriority w:val="99"/>
  </w:style>
  <w:style w:type="character" w:customStyle="1" w:styleId="166">
    <w:name w:val="正文文本 字符4"/>
    <w:basedOn w:val="39"/>
    <w:semiHidden/>
    <w:qFormat/>
    <w:uiPriority w:val="99"/>
  </w:style>
  <w:style w:type="character" w:customStyle="1" w:styleId="167">
    <w:name w:val="正文文本缩进 3 字符2"/>
    <w:basedOn w:val="39"/>
    <w:semiHidden/>
    <w:qFormat/>
    <w:uiPriority w:val="99"/>
    <w:rPr>
      <w:sz w:val="16"/>
      <w:szCs w:val="16"/>
    </w:rPr>
  </w:style>
  <w:style w:type="character" w:customStyle="1" w:styleId="168">
    <w:name w:val="页眉 字符2"/>
    <w:basedOn w:val="39"/>
    <w:semiHidden/>
    <w:qFormat/>
    <w:uiPriority w:val="99"/>
    <w:rPr>
      <w:sz w:val="18"/>
      <w:szCs w:val="18"/>
    </w:rPr>
  </w:style>
  <w:style w:type="character" w:customStyle="1" w:styleId="169">
    <w:name w:val="批注框文本 字符2"/>
    <w:basedOn w:val="39"/>
    <w:semiHidden/>
    <w:qFormat/>
    <w:uiPriority w:val="99"/>
    <w:rPr>
      <w:sz w:val="18"/>
      <w:szCs w:val="18"/>
    </w:rPr>
  </w:style>
  <w:style w:type="character" w:customStyle="1" w:styleId="170">
    <w:name w:val="HTML 预设格式 字符2"/>
    <w:basedOn w:val="39"/>
    <w:semiHidden/>
    <w:qFormat/>
    <w:uiPriority w:val="99"/>
    <w:rPr>
      <w:rFonts w:ascii="Courier New" w:hAnsi="Courier New" w:cs="Courier New"/>
      <w:sz w:val="20"/>
      <w:szCs w:val="20"/>
    </w:rPr>
  </w:style>
  <w:style w:type="character" w:customStyle="1" w:styleId="171">
    <w:name w:val="页脚 字符2"/>
    <w:basedOn w:val="39"/>
    <w:semiHidden/>
    <w:qFormat/>
    <w:uiPriority w:val="99"/>
    <w:rPr>
      <w:sz w:val="18"/>
      <w:szCs w:val="18"/>
    </w:rPr>
  </w:style>
  <w:style w:type="character" w:customStyle="1" w:styleId="172">
    <w:name w:val="正文文本缩进 2 字符2"/>
    <w:basedOn w:val="39"/>
    <w:semiHidden/>
    <w:qFormat/>
    <w:uiPriority w:val="99"/>
  </w:style>
  <w:style w:type="character" w:customStyle="1" w:styleId="173">
    <w:name w:val="正文文本 3 字符2"/>
    <w:basedOn w:val="39"/>
    <w:semiHidden/>
    <w:qFormat/>
    <w:uiPriority w:val="99"/>
    <w:rPr>
      <w:sz w:val="16"/>
      <w:szCs w:val="16"/>
    </w:rPr>
  </w:style>
  <w:style w:type="character" w:customStyle="1" w:styleId="174">
    <w:name w:val="正文文本 2 字符2"/>
    <w:basedOn w:val="39"/>
    <w:semiHidden/>
    <w:qFormat/>
    <w:uiPriority w:val="99"/>
  </w:style>
  <w:style w:type="paragraph" w:customStyle="1" w:styleId="175">
    <w:name w:val="WPSOffice手动目录 3"/>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9"/>
    <w:semiHidden/>
    <w:qFormat/>
    <w:uiPriority w:val="99"/>
    <w:rPr>
      <w:rFonts w:ascii="Microsoft YaHei UI" w:eastAsia="Microsoft YaHei UI"/>
      <w:sz w:val="18"/>
      <w:szCs w:val="18"/>
    </w:rPr>
  </w:style>
  <w:style w:type="character" w:customStyle="1" w:styleId="178">
    <w:name w:val="日期 字符2"/>
    <w:basedOn w:val="39"/>
    <w:semiHidden/>
    <w:qFormat/>
    <w:uiPriority w:val="99"/>
  </w:style>
  <w:style w:type="paragraph" w:customStyle="1" w:styleId="17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semiHidden/>
    <w:qFormat/>
    <w:uiPriority w:val="99"/>
    <w:rPr>
      <w:rFonts w:ascii="宋体" w:hAnsi="Calibri" w:eastAsia="宋体" w:cs="Times New Roman"/>
      <w:sz w:val="24"/>
      <w:szCs w:val="24"/>
      <w:lang w:val="en-US" w:eastAsia="zh-CN" w:bidi="ar-SA"/>
    </w:rPr>
  </w:style>
  <w:style w:type="paragraph" w:customStyle="1" w:styleId="182">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8"/>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qFormat/>
    <w:uiPriority w:val="0"/>
    <w:pPr>
      <w:jc w:val="center"/>
    </w:pPr>
    <w:rPr>
      <w:rFonts w:cs="宋体"/>
      <w:szCs w:val="20"/>
    </w:rPr>
  </w:style>
  <w:style w:type="paragraph" w:customStyle="1" w:styleId="198">
    <w:name w:val="正文缩进4格"/>
    <w:basedOn w:val="62"/>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19"/>
    <w:semiHidden/>
    <w:qFormat/>
    <w:uiPriority w:val="99"/>
    <w:rPr>
      <w:rFonts w:ascii="宋体" w:eastAsia="宋体"/>
      <w:b w:val="0"/>
      <w:bCs w:val="0"/>
      <w:sz w:val="84"/>
      <w:szCs w:val="84"/>
      <w:lang w:val="zh-CN"/>
    </w:rPr>
  </w:style>
  <w:style w:type="paragraph" w:customStyle="1" w:styleId="20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2">
    <w:name w:val="样式4"/>
    <w:basedOn w:val="1"/>
    <w:qFormat/>
    <w:uiPriority w:val="0"/>
    <w:pPr>
      <w:numPr>
        <w:ilvl w:val="3"/>
        <w:numId w:val="1"/>
      </w:numPr>
      <w:tabs>
        <w:tab w:val="left" w:pos="851"/>
        <w:tab w:val="left" w:pos="1984"/>
      </w:tabs>
      <w:autoSpaceDE/>
      <w:autoSpaceDN/>
      <w:adjustRightInd/>
      <w:jc w:val="both"/>
    </w:pPr>
    <w:rPr>
      <w:rFonts w:ascii="等线 Light"/>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68659</Words>
  <Characters>72227</Characters>
  <Lines>1</Lines>
  <Paragraphs>1</Paragraphs>
  <TotalTime>0</TotalTime>
  <ScaleCrop>false</ScaleCrop>
  <LinksUpToDate>false</LinksUpToDate>
  <CharactersWithSpaces>75247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2023-07-19T18:55:00Z</dcterms:created>
  <dc:creator>HS</dc:creator>
  <cp:lastModifiedBy>柒</cp:lastModifiedBy>
  <cp:lastPrinted>2024-01-27T00:00:00Z</cp:lastPrinted>
  <dcterms:modified xsi:type="dcterms:W3CDTF">2025-03-12T09:43:17Z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93621AE0AD3B260DDD42B5673BD17F1B_33</vt:lpwstr>
  </property>
  <property fmtid="{D5CDD505-2E9C-101B-9397-08002B2CF9AE}" pid="4" name="KSOTemplateDocerSaveRecord">
    <vt:lpwstr>eyJoZGlkIjoiYTA5ZjFjOTQ2NTNkMTFkZmFlYjNmMDAxZDRiODc3NjEiLCJ1c2VySWQiOiIzMDE5NDU0MDYifQ==</vt:lpwstr>
  </property>
</Properties>
</file>