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DBF97">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6164C66A">
      <w:pPr>
        <w:autoSpaceDE w:val="0"/>
        <w:autoSpaceDN w:val="0"/>
        <w:adjustRightInd w:val="0"/>
        <w:spacing w:line="276" w:lineRule="auto"/>
        <w:ind w:left="357" w:leftChars="170" w:right="-23" w:rightChars="-11"/>
        <w:jc w:val="center"/>
        <w:outlineLvl w:val="0"/>
        <w:rPr>
          <w:rFonts w:hint="eastAsia" w:ascii="宋体" w:hAnsi="宋体" w:eastAsia="宋体" w:cs="宋体"/>
          <w:b/>
          <w:bCs/>
          <w:color w:val="auto"/>
          <w:kern w:val="0"/>
          <w:sz w:val="60"/>
          <w:szCs w:val="60"/>
          <w:highlight w:val="none"/>
          <w:lang w:val="zh-CN"/>
        </w:rPr>
      </w:pPr>
      <w:bookmarkStart w:id="0" w:name="_Toc5315"/>
      <w:r>
        <w:rPr>
          <w:rFonts w:hint="eastAsia" w:ascii="宋体" w:hAnsi="宋体" w:eastAsia="宋体" w:cs="宋体"/>
          <w:b/>
          <w:bCs/>
          <w:color w:val="auto"/>
          <w:kern w:val="0"/>
          <w:sz w:val="60"/>
          <w:szCs w:val="60"/>
          <w:highlight w:val="none"/>
          <w:lang w:val="zh-CN"/>
        </w:rPr>
        <w:t>东莞市水务集团有限公司2025年度液态次氯酸钠采购项目</w:t>
      </w:r>
      <w:bookmarkEnd w:id="0"/>
    </w:p>
    <w:p w14:paraId="2E9D06FD">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p>
    <w:p w14:paraId="2AE653E7">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14:paraId="238C934E">
      <w:pPr>
        <w:autoSpaceDE w:val="0"/>
        <w:autoSpaceDN w:val="0"/>
        <w:adjustRightInd w:val="0"/>
        <w:ind w:right="-23" w:rightChars="-11"/>
        <w:jc w:val="center"/>
        <w:rPr>
          <w:rFonts w:hint="eastAsia" w:ascii="宋体" w:hAnsi="宋体" w:eastAsia="宋体" w:cs="Times New Roman"/>
          <w:b/>
          <w:bCs/>
          <w:color w:val="auto"/>
          <w:sz w:val="72"/>
          <w:szCs w:val="72"/>
          <w:highlight w:val="none"/>
        </w:rPr>
      </w:pPr>
    </w:p>
    <w:p w14:paraId="48A63AE6">
      <w:pPr>
        <w:autoSpaceDE w:val="0"/>
        <w:autoSpaceDN w:val="0"/>
        <w:adjustRightInd w:val="0"/>
        <w:ind w:right="-23" w:rightChars="-11"/>
        <w:jc w:val="center"/>
        <w:rPr>
          <w:rFonts w:hint="eastAsia"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3AF96231">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14:paraId="39E98867">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14:paraId="39D064E5">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14:paraId="01B8C8C2">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14:paraId="118B77A5">
      <w:pPr>
        <w:autoSpaceDE w:val="0"/>
        <w:autoSpaceDN w:val="0"/>
        <w:adjustRightInd w:val="0"/>
        <w:spacing w:line="480" w:lineRule="auto"/>
        <w:ind w:left="1842" w:leftChars="877" w:firstLine="19" w:firstLineChars="6"/>
        <w:jc w:val="left"/>
        <w:outlineLvl w:val="0"/>
        <w:rPr>
          <w:rFonts w:hint="eastAsia" w:ascii="宋体" w:hAnsi="宋体" w:eastAsia="宋体" w:cs="Times New Roman"/>
          <w:b/>
          <w:bCs/>
          <w:color w:val="auto"/>
          <w:sz w:val="32"/>
          <w:szCs w:val="32"/>
          <w:highlight w:val="none"/>
          <w:lang w:val="zh-CN"/>
        </w:rPr>
      </w:pPr>
      <w:bookmarkStart w:id="1" w:name="_Toc5838"/>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
      </w:r>
      <w:bookmarkEnd w:id="1"/>
      <w:r>
        <w:rPr>
          <w:rFonts w:hint="eastAsia" w:ascii="宋体" w:hAnsi="宋体" w:eastAsia="宋体" w:cs="宋体"/>
          <w:b/>
          <w:bCs/>
          <w:color w:val="auto"/>
          <w:sz w:val="32"/>
          <w:szCs w:val="32"/>
          <w:highlight w:val="none"/>
          <w:lang w:val="zh-CN"/>
        </w:rPr>
        <w:t>YDZB25DGQY0005</w:t>
      </w:r>
    </w:p>
    <w:p w14:paraId="355BBCD3">
      <w:pPr>
        <w:autoSpaceDE w:val="0"/>
        <w:autoSpaceDN w:val="0"/>
        <w:adjustRightInd w:val="0"/>
        <w:spacing w:line="480" w:lineRule="auto"/>
        <w:ind w:left="1842" w:leftChars="877" w:firstLine="19" w:firstLineChars="6"/>
        <w:jc w:val="left"/>
        <w:outlineLvl w:val="0"/>
        <w:rPr>
          <w:rFonts w:hint="eastAsia" w:ascii="宋体" w:hAnsi="宋体" w:eastAsia="宋体" w:cs="Times New Roman"/>
          <w:b/>
          <w:bCs/>
          <w:color w:val="auto"/>
          <w:sz w:val="32"/>
          <w:szCs w:val="32"/>
          <w:highlight w:val="none"/>
          <w:lang w:val="zh-CN"/>
        </w:rPr>
      </w:pPr>
      <w:bookmarkStart w:id="2" w:name="_Toc18438"/>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人：东莞市水务集团有限公司</w:t>
      </w:r>
      <w:bookmarkEnd w:id="2"/>
    </w:p>
    <w:p w14:paraId="57AE2FFC">
      <w:pPr>
        <w:autoSpaceDE w:val="0"/>
        <w:autoSpaceDN w:val="0"/>
        <w:adjustRightInd w:val="0"/>
        <w:spacing w:line="480" w:lineRule="auto"/>
        <w:ind w:left="1842" w:leftChars="877" w:firstLine="19" w:firstLineChars="6"/>
        <w:jc w:val="left"/>
        <w:outlineLvl w:val="0"/>
        <w:rPr>
          <w:rFonts w:hint="eastAsia" w:ascii="宋体" w:hAnsi="宋体" w:eastAsia="宋体" w:cs="Times New Roman"/>
          <w:b/>
          <w:bCs/>
          <w:color w:val="auto"/>
          <w:sz w:val="32"/>
          <w:szCs w:val="32"/>
          <w:highlight w:val="none"/>
          <w:lang w:val="zh-CN"/>
        </w:rPr>
      </w:pPr>
      <w:bookmarkStart w:id="3" w:name="_Toc1480"/>
      <w:r>
        <w:rPr>
          <w:rFonts w:hint="eastAsia" w:ascii="宋体" w:hAnsi="宋体" w:eastAsia="宋体" w:cs="Times New Roman"/>
          <w:b/>
          <w:bCs/>
          <w:color w:val="auto"/>
          <w:sz w:val="32"/>
          <w:szCs w:val="32"/>
          <w:highlight w:val="none"/>
          <w:lang w:val="zh-CN"/>
        </w:rPr>
        <w:t>招标代理机构：</w:t>
      </w:r>
      <w:r>
        <w:rPr>
          <w:rFonts w:hint="eastAsia" w:ascii="宋体" w:hAnsi="宋体" w:eastAsia="宋体" w:cs="宋体"/>
          <w:b/>
          <w:bCs/>
          <w:color w:val="auto"/>
          <w:sz w:val="32"/>
          <w:szCs w:val="32"/>
          <w:highlight w:val="none"/>
          <w:lang w:val="zh-CN"/>
        </w:rPr>
        <w:t>广东有德招标采购有限公司</w:t>
      </w:r>
      <w:bookmarkEnd w:id="3"/>
    </w:p>
    <w:p w14:paraId="425F7ACE">
      <w:pPr>
        <w:autoSpaceDE w:val="0"/>
        <w:autoSpaceDN w:val="0"/>
        <w:adjustRightInd w:val="0"/>
        <w:ind w:right="-23" w:rightChars="-11"/>
        <w:jc w:val="left"/>
        <w:rPr>
          <w:rFonts w:hint="eastAsia" w:ascii="宋体" w:hAnsi="宋体" w:eastAsia="宋体" w:cs="Times New Roman"/>
          <w:b/>
          <w:bCs/>
          <w:color w:val="auto"/>
          <w:kern w:val="0"/>
          <w:sz w:val="32"/>
          <w:szCs w:val="32"/>
          <w:highlight w:val="none"/>
          <w:lang w:val="zh-CN"/>
        </w:rPr>
      </w:pPr>
    </w:p>
    <w:p w14:paraId="15F09298">
      <w:pPr>
        <w:autoSpaceDE w:val="0"/>
        <w:autoSpaceDN w:val="0"/>
        <w:adjustRightInd w:val="0"/>
        <w:ind w:right="-23" w:rightChars="-11"/>
        <w:jc w:val="center"/>
        <w:rPr>
          <w:rFonts w:hint="eastAsia" w:ascii="宋体" w:hAnsi="宋体" w:eastAsia="宋体" w:cs="Times New Roman"/>
          <w:b/>
          <w:bCs/>
          <w:color w:val="auto"/>
          <w:kern w:val="0"/>
          <w:sz w:val="84"/>
          <w:szCs w:val="84"/>
          <w:highlight w:val="none"/>
          <w:lang w:val="zh-CN"/>
        </w:rPr>
      </w:pPr>
    </w:p>
    <w:p w14:paraId="1F4117E9">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val="zh-CN"/>
        </w:rPr>
        <w:t>日</w:t>
      </w:r>
    </w:p>
    <w:p w14:paraId="30DEBC85">
      <w:pPr>
        <w:pageBreakBefore/>
        <w:jc w:val="center"/>
        <w:rPr>
          <w:rFonts w:hint="eastAsia"/>
          <w:b/>
          <w:bCs/>
          <w:color w:val="auto"/>
          <w:sz w:val="24"/>
          <w:szCs w:val="28"/>
          <w:highlight w:val="none"/>
        </w:rPr>
      </w:pPr>
      <w:r>
        <w:rPr>
          <w:rFonts w:ascii="宋体" w:hAnsi="宋体" w:eastAsia="宋体"/>
          <w:b/>
          <w:bCs/>
          <w:color w:val="auto"/>
          <w:sz w:val="24"/>
          <w:szCs w:val="28"/>
          <w:highlight w:val="none"/>
        </w:rPr>
        <w:t>目录</w:t>
      </w:r>
    </w:p>
    <w:sdt>
      <w:sdtPr>
        <w:rPr>
          <w:rFonts w:ascii="宋体" w:hAnsi="宋体" w:eastAsia="宋体"/>
          <w:color w:val="auto"/>
          <w:highlight w:val="none"/>
        </w:rPr>
        <w:id w:val="147454312"/>
        <w15:color w:val="DBDBDB"/>
        <w:docPartObj>
          <w:docPartGallery w:val="Table of Contents"/>
          <w:docPartUnique/>
        </w:docPartObj>
      </w:sdtPr>
      <w:sdtEndPr>
        <w:rPr>
          <w:rFonts w:ascii="宋体" w:hAnsi="宋体" w:eastAsia="宋体"/>
          <w:color w:val="auto"/>
          <w:highlight w:val="none"/>
        </w:rPr>
      </w:sdtEndPr>
      <w:sdtContent>
        <w:p w14:paraId="7C5F9E9A">
          <w:pPr>
            <w:jc w:val="center"/>
            <w:rPr>
              <w:rFonts w:hint="eastAsia"/>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p>
        <w:p w14:paraId="3786CDCA">
          <w:pPr>
            <w:pStyle w:val="27"/>
            <w:tabs>
              <w:tab w:val="right" w:leader="dot" w:pos="10154"/>
            </w:tabs>
            <w:spacing w:line="360" w:lineRule="auto"/>
            <w:rPr>
              <w:rFonts w:hint="eastAsia" w:ascii="宋体" w:hAnsi="宋体" w:eastAsia="宋体" w:cs="宋体"/>
              <w:b/>
              <w:bCs/>
              <w:color w:val="auto"/>
              <w:szCs w:val="21"/>
              <w:highlight w:val="none"/>
            </w:rPr>
          </w:pPr>
          <w:r>
            <w:rPr>
              <w:color w:val="auto"/>
              <w:highlight w:val="none"/>
            </w:rPr>
            <w:fldChar w:fldCharType="begin"/>
          </w:r>
          <w:r>
            <w:rPr>
              <w:color w:val="auto"/>
              <w:highlight w:val="none"/>
            </w:rPr>
            <w:instrText xml:space="preserve"> HYPERLINK \l "_Toc12785" </w:instrText>
          </w:r>
          <w:r>
            <w:rPr>
              <w:color w:val="auto"/>
              <w:highlight w:val="none"/>
            </w:rPr>
            <w:fldChar w:fldCharType="separate"/>
          </w:r>
          <w:r>
            <w:rPr>
              <w:rFonts w:hint="eastAsia" w:ascii="宋体" w:hAnsi="宋体" w:eastAsia="宋体" w:cs="宋体"/>
              <w:b/>
              <w:bCs/>
              <w:color w:val="auto"/>
              <w:szCs w:val="21"/>
              <w:highlight w:val="none"/>
              <w:lang w:val="zh-CN"/>
            </w:rPr>
            <w:t>第一篇 招标公告</w:t>
          </w:r>
          <w:r>
            <w:rPr>
              <w:rFonts w:hint="eastAsia" w:ascii="宋体" w:hAnsi="宋体" w:eastAsia="宋体" w:cs="宋体"/>
              <w:b/>
              <w:bCs/>
              <w:color w:val="auto"/>
              <w:szCs w:val="21"/>
              <w:highlight w:val="none"/>
            </w:rPr>
            <w:tab/>
          </w: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 PAGEREF _Toc12785 \h </w:instrText>
          </w:r>
          <w:r>
            <w:rPr>
              <w:rFonts w:hint="eastAsia" w:ascii="宋体" w:hAnsi="宋体" w:eastAsia="宋体" w:cs="宋体"/>
              <w:b/>
              <w:bCs/>
              <w:color w:val="auto"/>
              <w:szCs w:val="21"/>
              <w:highlight w:val="none"/>
            </w:rPr>
            <w:fldChar w:fldCharType="separate"/>
          </w:r>
          <w:r>
            <w:rPr>
              <w:rFonts w:hint="eastAsia" w:ascii="宋体" w:hAnsi="宋体" w:eastAsia="宋体" w:cs="宋体"/>
              <w:b/>
              <w:bCs/>
              <w:color w:val="auto"/>
              <w:szCs w:val="21"/>
              <w:highlight w:val="none"/>
            </w:rPr>
            <w:t>4</w:t>
          </w:r>
          <w:r>
            <w:rPr>
              <w:rFonts w:hint="eastAsia" w:ascii="宋体" w:hAnsi="宋体" w:eastAsia="宋体" w:cs="宋体"/>
              <w:b/>
              <w:bCs/>
              <w:color w:val="auto"/>
              <w:szCs w:val="21"/>
              <w:highlight w:val="none"/>
            </w:rPr>
            <w:fldChar w:fldCharType="end"/>
          </w:r>
          <w:r>
            <w:rPr>
              <w:rFonts w:hint="eastAsia" w:ascii="宋体" w:hAnsi="宋体" w:eastAsia="宋体" w:cs="宋体"/>
              <w:b/>
              <w:bCs/>
              <w:color w:val="auto"/>
              <w:szCs w:val="21"/>
              <w:highlight w:val="none"/>
            </w:rPr>
            <w:fldChar w:fldCharType="end"/>
          </w:r>
        </w:p>
        <w:p w14:paraId="5F8F0537">
          <w:pPr>
            <w:pStyle w:val="27"/>
            <w:tabs>
              <w:tab w:val="right" w:leader="dot" w:pos="10154"/>
            </w:tabs>
            <w:spacing w:line="360" w:lineRule="auto"/>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"_Toc9862" </w:instrText>
          </w:r>
          <w:r>
            <w:rPr>
              <w:color w:val="auto"/>
              <w:highlight w:val="none"/>
            </w:rPr>
            <w:fldChar w:fldCharType="separate"/>
          </w:r>
          <w:r>
            <w:rPr>
              <w:rFonts w:hint="eastAsia" w:ascii="宋体" w:hAnsi="宋体" w:eastAsia="宋体" w:cs="宋体"/>
              <w:b/>
              <w:bCs/>
              <w:color w:val="auto"/>
              <w:szCs w:val="21"/>
              <w:highlight w:val="none"/>
              <w:lang w:val="zh-CN"/>
            </w:rPr>
            <w:t>第二篇</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val="zh-CN"/>
            </w:rPr>
            <w:t>投标人须知</w:t>
          </w:r>
          <w:r>
            <w:rPr>
              <w:rFonts w:hint="eastAsia" w:ascii="宋体" w:hAnsi="宋体" w:eastAsia="宋体" w:cs="宋体"/>
              <w:b/>
              <w:bCs/>
              <w:color w:val="auto"/>
              <w:szCs w:val="21"/>
              <w:highlight w:val="none"/>
            </w:rPr>
            <w:tab/>
          </w: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 PAGEREF _Toc9862 \h </w:instrText>
          </w:r>
          <w:r>
            <w:rPr>
              <w:rFonts w:hint="eastAsia" w:ascii="宋体" w:hAnsi="宋体" w:eastAsia="宋体" w:cs="宋体"/>
              <w:b/>
              <w:bCs/>
              <w:color w:val="auto"/>
              <w:szCs w:val="21"/>
              <w:highlight w:val="none"/>
            </w:rPr>
            <w:fldChar w:fldCharType="separate"/>
          </w:r>
          <w:r>
            <w:rPr>
              <w:rFonts w:hint="eastAsia" w:ascii="宋体" w:hAnsi="宋体" w:eastAsia="宋体" w:cs="宋体"/>
              <w:b/>
              <w:bCs/>
              <w:color w:val="auto"/>
              <w:szCs w:val="21"/>
              <w:highlight w:val="none"/>
            </w:rPr>
            <w:t>7</w:t>
          </w:r>
          <w:r>
            <w:rPr>
              <w:rFonts w:hint="eastAsia" w:ascii="宋体" w:hAnsi="宋体" w:eastAsia="宋体" w:cs="宋体"/>
              <w:b/>
              <w:bCs/>
              <w:color w:val="auto"/>
              <w:szCs w:val="21"/>
              <w:highlight w:val="none"/>
            </w:rPr>
            <w:fldChar w:fldCharType="end"/>
          </w:r>
          <w:r>
            <w:rPr>
              <w:rFonts w:hint="eastAsia" w:ascii="宋体" w:hAnsi="宋体" w:eastAsia="宋体" w:cs="宋体"/>
              <w:b/>
              <w:bCs/>
              <w:color w:val="auto"/>
              <w:szCs w:val="21"/>
              <w:highlight w:val="none"/>
            </w:rPr>
            <w:fldChar w:fldCharType="end"/>
          </w:r>
        </w:p>
        <w:p w14:paraId="7A454626">
          <w:pPr>
            <w:pStyle w:val="30"/>
            <w:tabs>
              <w:tab w:val="right" w:leader="dot" w:pos="10154"/>
            </w:tabs>
            <w:spacing w:line="360" w:lineRule="auto"/>
            <w:ind w:left="412" w:leftChars="196" w:firstLine="7"/>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"_Toc20771" </w:instrText>
          </w:r>
          <w:r>
            <w:rPr>
              <w:color w:val="auto"/>
              <w:highlight w:val="none"/>
            </w:rPr>
            <w:fldChar w:fldCharType="separate"/>
          </w:r>
          <w:r>
            <w:rPr>
              <w:rFonts w:hint="eastAsia" w:ascii="宋体" w:hAnsi="宋体" w:eastAsia="宋体" w:cs="宋体"/>
              <w:b/>
              <w:bCs/>
              <w:color w:val="auto"/>
              <w:kern w:val="44"/>
              <w:szCs w:val="21"/>
              <w:highlight w:val="none"/>
              <w:lang w:val="zh-CN"/>
            </w:rPr>
            <w:t>一、总则</w:t>
          </w:r>
          <w:r>
            <w:rPr>
              <w:rFonts w:hint="eastAsia" w:ascii="宋体" w:hAnsi="宋体" w:eastAsia="宋体" w:cs="宋体"/>
              <w:b/>
              <w:bCs/>
              <w:color w:val="auto"/>
              <w:kern w:val="44"/>
              <w:szCs w:val="21"/>
              <w:highlight w:val="none"/>
              <w:lang w:val="zh-CN"/>
            </w:rPr>
            <w:tab/>
          </w:r>
          <w:r>
            <w:rPr>
              <w:rFonts w:hint="eastAsia" w:ascii="宋体" w:hAnsi="宋体" w:eastAsia="宋体" w:cs="宋体"/>
              <w:b/>
              <w:bCs/>
              <w:color w:val="auto"/>
              <w:kern w:val="44"/>
              <w:szCs w:val="21"/>
              <w:highlight w:val="none"/>
              <w:lang w:val="zh-CN"/>
            </w:rPr>
            <w:fldChar w:fldCharType="begin"/>
          </w:r>
          <w:r>
            <w:rPr>
              <w:rFonts w:hint="eastAsia" w:ascii="宋体" w:hAnsi="宋体" w:eastAsia="宋体" w:cs="宋体"/>
              <w:b/>
              <w:bCs/>
              <w:color w:val="auto"/>
              <w:kern w:val="44"/>
              <w:szCs w:val="21"/>
              <w:highlight w:val="none"/>
              <w:lang w:val="zh-CN"/>
            </w:rPr>
            <w:instrText xml:space="preserve"> PAGEREF _Toc20771 \h </w:instrText>
          </w:r>
          <w:r>
            <w:rPr>
              <w:rFonts w:hint="eastAsia" w:ascii="宋体" w:hAnsi="宋体" w:eastAsia="宋体" w:cs="宋体"/>
              <w:b/>
              <w:bCs/>
              <w:color w:val="auto"/>
              <w:kern w:val="44"/>
              <w:szCs w:val="21"/>
              <w:highlight w:val="none"/>
              <w:lang w:val="zh-CN"/>
            </w:rPr>
            <w:fldChar w:fldCharType="separate"/>
          </w:r>
          <w:r>
            <w:rPr>
              <w:rFonts w:hint="eastAsia" w:ascii="宋体" w:hAnsi="宋体" w:eastAsia="宋体" w:cs="宋体"/>
              <w:b/>
              <w:bCs/>
              <w:color w:val="auto"/>
              <w:kern w:val="44"/>
              <w:szCs w:val="21"/>
              <w:highlight w:val="none"/>
              <w:lang w:val="zh-CN"/>
            </w:rPr>
            <w:t>7</w:t>
          </w:r>
          <w:r>
            <w:rPr>
              <w:rFonts w:hint="eastAsia" w:ascii="宋体" w:hAnsi="宋体" w:eastAsia="宋体" w:cs="宋体"/>
              <w:b/>
              <w:bCs/>
              <w:color w:val="auto"/>
              <w:kern w:val="44"/>
              <w:szCs w:val="21"/>
              <w:highlight w:val="none"/>
              <w:lang w:val="zh-CN"/>
            </w:rPr>
            <w:fldChar w:fldCharType="end"/>
          </w:r>
          <w:r>
            <w:rPr>
              <w:rFonts w:hint="eastAsia" w:ascii="宋体" w:hAnsi="宋体" w:eastAsia="宋体" w:cs="宋体"/>
              <w:b/>
              <w:bCs/>
              <w:color w:val="auto"/>
              <w:kern w:val="44"/>
              <w:szCs w:val="21"/>
              <w:highlight w:val="none"/>
              <w:lang w:val="zh-CN"/>
            </w:rPr>
            <w:fldChar w:fldCharType="end"/>
          </w:r>
        </w:p>
        <w:p w14:paraId="67A0D71B">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"_Toc18901" </w:instrText>
          </w:r>
          <w:r>
            <w:rPr>
              <w:color w:val="auto"/>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_Toc18901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51EB6AB">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"_Toc28435" </w:instrText>
          </w:r>
          <w:r>
            <w:rPr>
              <w:color w:val="auto"/>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_Toc28435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45DBB50C">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"_Toc9870" </w:instrText>
          </w:r>
          <w:r>
            <w:rPr>
              <w:color w:val="auto"/>
              <w:highlight w:val="none"/>
            </w:rPr>
            <w:fldChar w:fldCharType="separate"/>
          </w:r>
          <w:r>
            <w:rPr>
              <w:rFonts w:hint="eastAsia" w:ascii="宋体" w:hAnsi="宋体" w:eastAsia="宋体" w:cs="宋体"/>
              <w:color w:val="auto"/>
              <w:szCs w:val="21"/>
              <w:highlight w:val="none"/>
              <w:lang w:val="zh-CN"/>
            </w:rPr>
            <w:t>3 合格的货物</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_Toc9870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3946EAE">
          <w:pPr>
            <w:pStyle w:val="30"/>
            <w:tabs>
              <w:tab w:val="right" w:leader="dot" w:pos="10154"/>
            </w:tabs>
            <w:spacing w:line="360" w:lineRule="auto"/>
            <w:ind w:left="630" w:leftChars="300" w:firstLine="9"/>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"_Toc19181" </w:instrText>
          </w:r>
          <w:r>
            <w:rPr>
              <w:color w:val="auto"/>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_Toc19181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ED031E1">
          <w:pPr>
            <w:pStyle w:val="30"/>
            <w:tabs>
              <w:tab w:val="right" w:leader="dot" w:pos="10154"/>
            </w:tabs>
            <w:spacing w:line="360" w:lineRule="auto"/>
            <w:ind w:left="412" w:leftChars="196" w:firstLine="7"/>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"_Toc19081" </w:instrText>
          </w:r>
          <w:r>
            <w:rPr>
              <w:color w:val="auto"/>
              <w:highlight w:val="none"/>
            </w:rPr>
            <w:fldChar w:fldCharType="separate"/>
          </w:r>
          <w:r>
            <w:rPr>
              <w:rFonts w:hint="eastAsia" w:ascii="宋体" w:hAnsi="宋体" w:eastAsia="宋体" w:cs="宋体"/>
              <w:b/>
              <w:bCs/>
              <w:color w:val="auto"/>
              <w:highlight w:val="none"/>
              <w:lang w:val="zh-CN"/>
            </w:rPr>
            <w:t>二、招标文件</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_Toc19081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9</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8E61844">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"_Toc1375" </w:instrText>
          </w:r>
          <w:r>
            <w:rPr>
              <w:color w:val="auto"/>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_Toc1375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78B2269A">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"_Toc990" </w:instrText>
          </w:r>
          <w:r>
            <w:rPr>
              <w:color w:val="auto"/>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_Toc990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7008E35">
          <w:pPr>
            <w:pStyle w:val="30"/>
            <w:tabs>
              <w:tab w:val="right" w:leader="dot" w:pos="10154"/>
            </w:tabs>
            <w:spacing w:line="360" w:lineRule="auto"/>
            <w:ind w:left="630" w:leftChars="300" w:firstLine="9"/>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"_Toc10838" </w:instrText>
          </w:r>
          <w:r>
            <w:rPr>
              <w:color w:val="auto"/>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_Toc10838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3EEC90A9">
          <w:pPr>
            <w:pStyle w:val="30"/>
            <w:tabs>
              <w:tab w:val="right" w:leader="dot" w:pos="10154"/>
            </w:tabs>
            <w:spacing w:line="360" w:lineRule="auto"/>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"_Toc9169" </w:instrText>
          </w:r>
          <w:r>
            <w:rPr>
              <w:color w:val="auto"/>
              <w:highlight w:val="none"/>
            </w:rPr>
            <w:fldChar w:fldCharType="separate"/>
          </w:r>
          <w:r>
            <w:rPr>
              <w:rFonts w:hint="eastAsia" w:ascii="宋体" w:hAnsi="宋体" w:eastAsia="宋体" w:cs="宋体"/>
              <w:b/>
              <w:bCs/>
              <w:color w:val="auto"/>
              <w:highlight w:val="none"/>
              <w:lang w:val="zh-CN"/>
            </w:rPr>
            <w:t>三、投标文件的编制</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_Toc9169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10</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5372D366">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"_Toc17518" </w:instrText>
          </w:r>
          <w:r>
            <w:rPr>
              <w:color w:val="auto"/>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_Toc17518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3F0F2279">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"_Toc97" </w:instrText>
          </w:r>
          <w:r>
            <w:rPr>
              <w:color w:val="auto"/>
              <w:highlight w:val="none"/>
            </w:rPr>
            <w:fldChar w:fldCharType="separate"/>
          </w:r>
          <w:r>
            <w:rPr>
              <w:rFonts w:hint="eastAsia" w:ascii="宋体" w:hAnsi="宋体" w:eastAsia="宋体" w:cs="宋体"/>
              <w:color w:val="auto"/>
              <w:szCs w:val="21"/>
              <w:highlight w:val="none"/>
              <w:lang w:val="zh-CN"/>
            </w:rPr>
            <w:t>9 投标文件的组成</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_Toc97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6DD1702">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"_Toc9572" </w:instrText>
          </w:r>
          <w:r>
            <w:rPr>
              <w:color w:val="auto"/>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_Toc9572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9955285">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"_Toc28245" </w:instrText>
          </w:r>
          <w:r>
            <w:rPr>
              <w:color w:val="auto"/>
              <w:highlight w:val="none"/>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_Toc28245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7A9B9BB5">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"_Toc28875" </w:instrText>
          </w:r>
          <w:r>
            <w:rPr>
              <w:color w:val="auto"/>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_Toc28875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612D6C0E">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"_Toc1313" </w:instrText>
          </w:r>
          <w:r>
            <w:rPr>
              <w:color w:val="auto"/>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_Toc1313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607A24E5">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"_Toc27529" </w:instrText>
          </w:r>
          <w:r>
            <w:rPr>
              <w:color w:val="auto"/>
              <w:highlight w:val="none"/>
            </w:rPr>
            <w:fldChar w:fldCharType="separate"/>
          </w:r>
          <w:r>
            <w:rPr>
              <w:rFonts w:hint="eastAsia" w:ascii="宋体" w:hAnsi="宋体" w:eastAsia="宋体" w:cs="宋体"/>
              <w:color w:val="auto"/>
              <w:szCs w:val="21"/>
              <w:highlight w:val="none"/>
              <w:lang w:val="zh-CN"/>
            </w:rPr>
            <w:t>14 证明货物的合格性并符合招标文件规定的声明文件</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_Toc27529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E228D11">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"_Toc13155" </w:instrText>
          </w:r>
          <w:r>
            <w:rPr>
              <w:color w:val="auto"/>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_Toc13155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15</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7EABD526">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"_Toc12139" </w:instrText>
          </w:r>
          <w:r>
            <w:rPr>
              <w:color w:val="auto"/>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_Toc12139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4653824D">
          <w:pPr>
            <w:pStyle w:val="30"/>
            <w:tabs>
              <w:tab w:val="right" w:leader="dot" w:pos="10154"/>
            </w:tabs>
            <w:spacing w:line="360" w:lineRule="auto"/>
            <w:ind w:left="630" w:leftChars="300" w:firstLine="9"/>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"_Toc25018" </w:instrText>
          </w:r>
          <w:r>
            <w:rPr>
              <w:color w:val="auto"/>
              <w:highlight w:val="none"/>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_Toc25018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343210C8">
          <w:pPr>
            <w:pStyle w:val="30"/>
            <w:tabs>
              <w:tab w:val="right" w:leader="dot" w:pos="10154"/>
            </w:tabs>
            <w:spacing w:line="360" w:lineRule="auto"/>
            <w:ind w:left="412" w:leftChars="196" w:firstLine="7"/>
            <w:rPr>
              <w:rFonts w:hint="eastAsia" w:ascii="宋体" w:hAnsi="宋体" w:eastAsia="宋体" w:cs="宋体"/>
              <w:b/>
              <w:bCs/>
              <w:color w:val="auto"/>
              <w:highlight w:val="none"/>
            </w:rPr>
          </w:pPr>
          <w:r>
            <w:rPr>
              <w:color w:val="auto"/>
              <w:highlight w:val="none"/>
            </w:rPr>
            <w:fldChar w:fldCharType="begin"/>
          </w:r>
          <w:r>
            <w:rPr>
              <w:color w:val="auto"/>
              <w:highlight w:val="none"/>
            </w:rPr>
            <w:instrText xml:space="preserve"> HYPERLINK \l "_Toc2401" </w:instrText>
          </w:r>
          <w:r>
            <w:rPr>
              <w:color w:val="auto"/>
              <w:highlight w:val="none"/>
            </w:rPr>
            <w:fldChar w:fldCharType="separate"/>
          </w:r>
          <w:r>
            <w:rPr>
              <w:rFonts w:hint="eastAsia" w:ascii="宋体" w:hAnsi="宋体" w:eastAsia="宋体" w:cs="宋体"/>
              <w:b/>
              <w:bCs/>
              <w:color w:val="auto"/>
              <w:highlight w:val="none"/>
              <w:lang w:val="zh-CN"/>
            </w:rPr>
            <w:t>四、投标文件的递交</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_Toc2401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92AECDB">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"_Toc31468" </w:instrText>
          </w:r>
          <w:r>
            <w:rPr>
              <w:color w:val="auto"/>
              <w:highlight w:val="none"/>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_Toc31468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09FF567E">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"_Toc28670" </w:instrText>
          </w:r>
          <w:r>
            <w:rPr>
              <w:color w:val="auto"/>
              <w:highlight w:val="none"/>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_Toc28670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E94B743">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"_Toc14563" </w:instrText>
          </w:r>
          <w:r>
            <w:rPr>
              <w:color w:val="auto"/>
              <w:highlight w:val="none"/>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_Toc14563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4AD8B07">
          <w:pPr>
            <w:pStyle w:val="30"/>
            <w:tabs>
              <w:tab w:val="right" w:leader="dot" w:pos="10154"/>
            </w:tabs>
            <w:spacing w:line="360" w:lineRule="auto"/>
            <w:ind w:left="630" w:leftChars="300" w:firstLine="9"/>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"_Toc4089" </w:instrText>
          </w:r>
          <w:r>
            <w:rPr>
              <w:color w:val="auto"/>
              <w:highlight w:val="none"/>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_Toc4089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651FDC59">
          <w:pPr>
            <w:pStyle w:val="30"/>
            <w:tabs>
              <w:tab w:val="right" w:leader="dot" w:pos="10154"/>
            </w:tabs>
            <w:spacing w:line="360" w:lineRule="auto"/>
            <w:ind w:left="412" w:leftChars="196" w:firstLine="7"/>
            <w:rPr>
              <w:rFonts w:hint="eastAsia" w:ascii="宋体" w:hAnsi="宋体" w:eastAsia="宋体" w:cs="宋体"/>
              <w:b/>
              <w:bCs/>
              <w:color w:val="auto"/>
              <w:highlight w:val="none"/>
            </w:rPr>
          </w:pPr>
          <w:r>
            <w:rPr>
              <w:color w:val="auto"/>
              <w:highlight w:val="none"/>
            </w:rPr>
            <w:fldChar w:fldCharType="begin"/>
          </w:r>
          <w:r>
            <w:rPr>
              <w:color w:val="auto"/>
              <w:highlight w:val="none"/>
            </w:rPr>
            <w:instrText xml:space="preserve"> HYPERLINK \l "_Toc14739" </w:instrText>
          </w:r>
          <w:r>
            <w:rPr>
              <w:color w:val="auto"/>
              <w:highlight w:val="none"/>
            </w:rPr>
            <w:fldChar w:fldCharType="separate"/>
          </w:r>
          <w:r>
            <w:rPr>
              <w:rFonts w:hint="eastAsia" w:ascii="宋体" w:hAnsi="宋体" w:eastAsia="宋体" w:cs="宋体"/>
              <w:b/>
              <w:bCs/>
              <w:color w:val="auto"/>
              <w:highlight w:val="none"/>
              <w:lang w:val="zh-CN"/>
            </w:rPr>
            <w:t>五、开标与评标</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_Toc14739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17</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52DA90A6">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"_Toc30803" </w:instrText>
          </w:r>
          <w:r>
            <w:rPr>
              <w:color w:val="auto"/>
              <w:highlight w:val="none"/>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_Toc30803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1602ED0">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"_Toc8281" </w:instrText>
          </w:r>
          <w:r>
            <w:rPr>
              <w:color w:val="auto"/>
              <w:highlight w:val="none"/>
            </w:rPr>
            <w:fldChar w:fldCharType="separate"/>
          </w:r>
          <w:r>
            <w:rPr>
              <w:rFonts w:hint="eastAsia" w:ascii="宋体" w:hAnsi="宋体" w:eastAsia="宋体" w:cs="宋体"/>
              <w:color w:val="auto"/>
              <w:szCs w:val="21"/>
              <w:highlight w:val="none"/>
              <w:lang w:val="zh-CN"/>
            </w:rPr>
            <w:t xml:space="preserve">23 </w:t>
          </w:r>
          <w:r>
            <w:rPr>
              <w:rFonts w:hint="eastAsia" w:ascii="宋体" w:hAnsi="宋体" w:eastAsia="宋体" w:cs="宋体"/>
              <w:color w:val="auto"/>
              <w:szCs w:val="21"/>
              <w:highlight w:val="none"/>
            </w:rPr>
            <w:t>评标过程的保密性</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_Toc8281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0484A4B6">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"_Toc16357" </w:instrText>
          </w:r>
          <w:r>
            <w:rPr>
              <w:color w:val="auto"/>
              <w:highlight w:val="none"/>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_Toc16357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0BF4A0B4">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"_Toc3353" </w:instrText>
          </w:r>
          <w:r>
            <w:rPr>
              <w:color w:val="auto"/>
              <w:highlight w:val="none"/>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_Toc3353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453FE4B">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"_Toc2529" </w:instrText>
          </w:r>
          <w:r>
            <w:rPr>
              <w:color w:val="auto"/>
              <w:highlight w:val="none"/>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_Toc2529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72F48C6">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"_Toc28302" </w:instrText>
          </w:r>
          <w:r>
            <w:rPr>
              <w:color w:val="auto"/>
              <w:highlight w:val="none"/>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_Toc28302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6F68D495">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"_Toc22253" </w:instrText>
          </w:r>
          <w:r>
            <w:rPr>
              <w:color w:val="auto"/>
              <w:highlight w:val="none"/>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_Toc22253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04E0A5C">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"_Toc2988" </w:instrText>
          </w:r>
          <w:r>
            <w:rPr>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_Toc2988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08E8EBD4">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"_Toc32328" </w:instrText>
          </w:r>
          <w:r>
            <w:rPr>
              <w:color w:val="auto"/>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_Toc32328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5B1FBCD9">
          <w:pPr>
            <w:pStyle w:val="30"/>
            <w:tabs>
              <w:tab w:val="right" w:leader="dot" w:pos="10154"/>
            </w:tabs>
            <w:spacing w:line="360" w:lineRule="auto"/>
            <w:ind w:left="630" w:leftChars="300" w:firstLine="9"/>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"_Toc9904" </w:instrText>
          </w:r>
          <w:r>
            <w:rPr>
              <w:color w:val="auto"/>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_Toc9904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6C6EAADC">
          <w:pPr>
            <w:pStyle w:val="30"/>
            <w:tabs>
              <w:tab w:val="right" w:leader="dot" w:pos="10154"/>
            </w:tabs>
            <w:spacing w:line="360" w:lineRule="auto"/>
            <w:ind w:left="412" w:leftChars="196" w:firstLine="7"/>
            <w:rPr>
              <w:rFonts w:hint="eastAsia" w:ascii="宋体" w:hAnsi="宋体" w:eastAsia="宋体" w:cs="宋体"/>
              <w:b/>
              <w:bCs/>
              <w:color w:val="auto"/>
              <w:highlight w:val="none"/>
            </w:rPr>
          </w:pPr>
          <w:r>
            <w:rPr>
              <w:color w:val="auto"/>
              <w:highlight w:val="none"/>
            </w:rPr>
            <w:fldChar w:fldCharType="begin"/>
          </w:r>
          <w:r>
            <w:rPr>
              <w:color w:val="auto"/>
              <w:highlight w:val="none"/>
            </w:rPr>
            <w:instrText xml:space="preserve"> HYPERLINK \l "_Toc32115" </w:instrText>
          </w:r>
          <w:r>
            <w:rPr>
              <w:color w:val="auto"/>
              <w:highlight w:val="none"/>
            </w:rPr>
            <w:fldChar w:fldCharType="separate"/>
          </w:r>
          <w:r>
            <w:rPr>
              <w:rFonts w:hint="eastAsia" w:ascii="宋体" w:hAnsi="宋体" w:eastAsia="宋体" w:cs="宋体"/>
              <w:b/>
              <w:bCs/>
              <w:color w:val="auto"/>
              <w:highlight w:val="none"/>
              <w:lang w:val="zh-CN"/>
            </w:rPr>
            <w:t>六、授予合同</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_Toc32115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21</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67A78BBF">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"_Toc22313" </w:instrText>
          </w:r>
          <w:r>
            <w:rPr>
              <w:color w:val="auto"/>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_Toc22313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7F8225B4">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"_Toc1590" </w:instrText>
          </w:r>
          <w:r>
            <w:rPr>
              <w:color w:val="auto"/>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_Toc1590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1721955E">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"_Toc495" </w:instrText>
          </w:r>
          <w:r>
            <w:rPr>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_Toc495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55E81B8F">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"_Toc31705" </w:instrText>
          </w:r>
          <w:r>
            <w:rPr>
              <w:color w:val="auto"/>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_Toc31705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3BDD9498">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"_Toc30511" </w:instrText>
          </w:r>
          <w:r>
            <w:rPr>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_Toc30511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71769EBD">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"_Toc27777" </w:instrText>
          </w:r>
          <w:r>
            <w:rPr>
              <w:color w:val="auto"/>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_Toc27777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39ED6814">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"_Toc30502" </w:instrText>
          </w:r>
          <w:r>
            <w:rPr>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_Toc30502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0089A8BB">
          <w:pPr>
            <w:pStyle w:val="30"/>
            <w:tabs>
              <w:tab w:val="right" w:leader="dot" w:pos="10154"/>
            </w:tabs>
            <w:spacing w:line="360" w:lineRule="auto"/>
            <w:ind w:left="630" w:leftChars="300" w:firstLine="9"/>
            <w:rPr>
              <w:rFonts w:hint="eastAsia" w:ascii="宋体" w:hAnsi="宋体" w:eastAsia="宋体" w:cs="宋体"/>
              <w:color w:val="auto"/>
              <w:szCs w:val="21"/>
              <w:highlight w:val="none"/>
            </w:rPr>
          </w:pPr>
          <w:r>
            <w:rPr>
              <w:color w:val="auto"/>
              <w:highlight w:val="none"/>
            </w:rPr>
            <w:fldChar w:fldCharType="begin"/>
          </w:r>
          <w:r>
            <w:rPr>
              <w:color w:val="auto"/>
              <w:highlight w:val="none"/>
            </w:rPr>
            <w:instrText xml:space="preserve"> HYPERLINK \l "_Toc16829" </w:instrText>
          </w:r>
          <w:r>
            <w:rPr>
              <w:color w:val="auto"/>
              <w:highlight w:val="none"/>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_Toc16829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2F754B57">
          <w:pPr>
            <w:pStyle w:val="30"/>
            <w:tabs>
              <w:tab w:val="right" w:leader="dot" w:pos="10154"/>
            </w:tabs>
            <w:spacing w:line="360" w:lineRule="auto"/>
            <w:ind w:left="630" w:leftChars="300" w:firstLine="9"/>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"_Toc17174" </w:instrText>
          </w:r>
          <w:r>
            <w:rPr>
              <w:color w:val="auto"/>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_Toc17174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14:paraId="6EFE295F">
          <w:pPr>
            <w:pStyle w:val="27"/>
            <w:tabs>
              <w:tab w:val="right" w:leader="dot" w:pos="10154"/>
            </w:tabs>
            <w:spacing w:line="360" w:lineRule="auto"/>
            <w:rPr>
              <w:rFonts w:hint="eastAsia" w:ascii="宋体" w:hAnsi="宋体" w:eastAsia="宋体" w:cs="宋体"/>
              <w:b/>
              <w:bCs/>
              <w:color w:val="auto"/>
              <w:szCs w:val="21"/>
              <w:highlight w:val="none"/>
            </w:rPr>
          </w:pPr>
          <w:r>
            <w:rPr>
              <w:color w:val="auto"/>
              <w:highlight w:val="none"/>
            </w:rPr>
            <w:fldChar w:fldCharType="begin"/>
          </w:r>
          <w:r>
            <w:rPr>
              <w:color w:val="auto"/>
              <w:highlight w:val="none"/>
            </w:rPr>
            <w:instrText xml:space="preserve"> HYPERLINK \l "_Toc19102" </w:instrText>
          </w:r>
          <w:r>
            <w:rPr>
              <w:color w:val="auto"/>
              <w:highlight w:val="none"/>
            </w:rPr>
            <w:fldChar w:fldCharType="separate"/>
          </w:r>
          <w:r>
            <w:rPr>
              <w:rFonts w:hint="eastAsia" w:ascii="宋体" w:hAnsi="宋体" w:eastAsia="宋体" w:cs="宋体"/>
              <w:b/>
              <w:bCs/>
              <w:color w:val="auto"/>
              <w:szCs w:val="21"/>
              <w:highlight w:val="none"/>
              <w:lang w:val="zh-CN"/>
            </w:rPr>
            <w:t>第三篇 用户需求书</w:t>
          </w:r>
          <w:r>
            <w:rPr>
              <w:rFonts w:hint="eastAsia" w:ascii="宋体" w:hAnsi="宋体" w:eastAsia="宋体" w:cs="宋体"/>
              <w:b/>
              <w:bCs/>
              <w:color w:val="auto"/>
              <w:szCs w:val="21"/>
              <w:highlight w:val="none"/>
            </w:rPr>
            <w:tab/>
          </w: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 PAGEREF _Toc19102 \h </w:instrText>
          </w:r>
          <w:r>
            <w:rPr>
              <w:rFonts w:hint="eastAsia" w:ascii="宋体" w:hAnsi="宋体" w:eastAsia="宋体" w:cs="宋体"/>
              <w:b/>
              <w:bCs/>
              <w:color w:val="auto"/>
              <w:szCs w:val="21"/>
              <w:highlight w:val="none"/>
            </w:rPr>
            <w:fldChar w:fldCharType="separate"/>
          </w:r>
          <w:r>
            <w:rPr>
              <w:rFonts w:hint="eastAsia" w:ascii="宋体" w:hAnsi="宋体" w:eastAsia="宋体" w:cs="宋体"/>
              <w:b/>
              <w:bCs/>
              <w:color w:val="auto"/>
              <w:szCs w:val="21"/>
              <w:highlight w:val="none"/>
            </w:rPr>
            <w:t>26</w:t>
          </w:r>
          <w:r>
            <w:rPr>
              <w:rFonts w:hint="eastAsia" w:ascii="宋体" w:hAnsi="宋体" w:eastAsia="宋体" w:cs="宋体"/>
              <w:b/>
              <w:bCs/>
              <w:color w:val="auto"/>
              <w:szCs w:val="21"/>
              <w:highlight w:val="none"/>
            </w:rPr>
            <w:fldChar w:fldCharType="end"/>
          </w:r>
          <w:r>
            <w:rPr>
              <w:rFonts w:hint="eastAsia" w:ascii="宋体" w:hAnsi="宋体" w:eastAsia="宋体" w:cs="宋体"/>
              <w:b/>
              <w:bCs/>
              <w:color w:val="auto"/>
              <w:szCs w:val="21"/>
              <w:highlight w:val="none"/>
            </w:rPr>
            <w:fldChar w:fldCharType="end"/>
          </w:r>
        </w:p>
        <w:p w14:paraId="6E2B2F72">
          <w:pPr>
            <w:pStyle w:val="27"/>
            <w:tabs>
              <w:tab w:val="right" w:leader="dot" w:pos="10154"/>
            </w:tabs>
            <w:spacing w:line="360" w:lineRule="auto"/>
            <w:rPr>
              <w:rFonts w:hint="eastAsia" w:ascii="宋体" w:hAnsi="宋体" w:eastAsia="宋体" w:cs="宋体"/>
              <w:b/>
              <w:bCs/>
              <w:color w:val="auto"/>
              <w:szCs w:val="21"/>
              <w:highlight w:val="none"/>
            </w:rPr>
          </w:pPr>
          <w:r>
            <w:rPr>
              <w:color w:val="auto"/>
              <w:highlight w:val="none"/>
            </w:rPr>
            <w:fldChar w:fldCharType="begin"/>
          </w:r>
          <w:r>
            <w:rPr>
              <w:color w:val="auto"/>
              <w:highlight w:val="none"/>
            </w:rPr>
            <w:instrText xml:space="preserve"> HYPERLINK \l "_Toc17532" </w:instrText>
          </w:r>
          <w:r>
            <w:rPr>
              <w:color w:val="auto"/>
              <w:highlight w:val="none"/>
            </w:rPr>
            <w:fldChar w:fldCharType="separate"/>
          </w:r>
          <w:r>
            <w:rPr>
              <w:rFonts w:hint="eastAsia" w:ascii="宋体" w:hAnsi="宋体" w:eastAsia="宋体" w:cs="宋体"/>
              <w:b/>
              <w:bCs/>
              <w:color w:val="auto"/>
              <w:szCs w:val="21"/>
              <w:highlight w:val="none"/>
              <w:lang w:val="zh-CN"/>
            </w:rPr>
            <w:t>第四篇 合同条款格式</w:t>
          </w:r>
          <w:r>
            <w:rPr>
              <w:rFonts w:hint="eastAsia" w:ascii="宋体" w:hAnsi="宋体" w:eastAsia="宋体" w:cs="宋体"/>
              <w:b/>
              <w:bCs/>
              <w:color w:val="auto"/>
              <w:szCs w:val="21"/>
              <w:highlight w:val="none"/>
            </w:rPr>
            <w:tab/>
          </w: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 PAGEREF _Toc17532 \h </w:instrText>
          </w:r>
          <w:r>
            <w:rPr>
              <w:rFonts w:hint="eastAsia" w:ascii="宋体" w:hAnsi="宋体" w:eastAsia="宋体" w:cs="宋体"/>
              <w:b/>
              <w:bCs/>
              <w:color w:val="auto"/>
              <w:szCs w:val="21"/>
              <w:highlight w:val="none"/>
            </w:rPr>
            <w:fldChar w:fldCharType="separate"/>
          </w:r>
          <w:r>
            <w:rPr>
              <w:rFonts w:hint="eastAsia" w:ascii="宋体" w:hAnsi="宋体" w:eastAsia="宋体" w:cs="宋体"/>
              <w:b/>
              <w:bCs/>
              <w:color w:val="auto"/>
              <w:szCs w:val="21"/>
              <w:highlight w:val="none"/>
            </w:rPr>
            <w:t>38</w:t>
          </w:r>
          <w:r>
            <w:rPr>
              <w:rFonts w:hint="eastAsia" w:ascii="宋体" w:hAnsi="宋体" w:eastAsia="宋体" w:cs="宋体"/>
              <w:b/>
              <w:bCs/>
              <w:color w:val="auto"/>
              <w:szCs w:val="21"/>
              <w:highlight w:val="none"/>
            </w:rPr>
            <w:fldChar w:fldCharType="end"/>
          </w:r>
          <w:r>
            <w:rPr>
              <w:rFonts w:hint="eastAsia" w:ascii="宋体" w:hAnsi="宋体" w:eastAsia="宋体" w:cs="宋体"/>
              <w:b/>
              <w:bCs/>
              <w:color w:val="auto"/>
              <w:szCs w:val="21"/>
              <w:highlight w:val="none"/>
            </w:rPr>
            <w:fldChar w:fldCharType="end"/>
          </w:r>
        </w:p>
        <w:p w14:paraId="10835B1C">
          <w:pPr>
            <w:pStyle w:val="27"/>
            <w:tabs>
              <w:tab w:val="right" w:leader="dot" w:pos="10154"/>
            </w:tabs>
            <w:spacing w:line="360" w:lineRule="auto"/>
            <w:rPr>
              <w:rFonts w:hint="eastAsia" w:ascii="宋体" w:hAnsi="宋体" w:eastAsia="宋体" w:cs="宋体"/>
              <w:b/>
              <w:bCs/>
              <w:color w:val="auto"/>
              <w:szCs w:val="21"/>
              <w:highlight w:val="none"/>
            </w:rPr>
          </w:pPr>
          <w:r>
            <w:rPr>
              <w:color w:val="auto"/>
              <w:highlight w:val="none"/>
            </w:rPr>
            <w:fldChar w:fldCharType="begin"/>
          </w:r>
          <w:r>
            <w:rPr>
              <w:color w:val="auto"/>
              <w:highlight w:val="none"/>
            </w:rPr>
            <w:instrText xml:space="preserve"> HYPERLINK \l "_Toc19440" </w:instrText>
          </w:r>
          <w:r>
            <w:rPr>
              <w:color w:val="auto"/>
              <w:highlight w:val="none"/>
            </w:rPr>
            <w:fldChar w:fldCharType="separate"/>
          </w:r>
          <w:r>
            <w:rPr>
              <w:rFonts w:hint="eastAsia" w:ascii="宋体" w:hAnsi="宋体" w:eastAsia="宋体" w:cs="宋体"/>
              <w:b/>
              <w:bCs/>
              <w:color w:val="auto"/>
              <w:szCs w:val="21"/>
              <w:highlight w:val="none"/>
              <w:lang w:val="zh-CN"/>
            </w:rPr>
            <w:t>第五篇 相关保函格式</w:t>
          </w:r>
          <w:r>
            <w:rPr>
              <w:rFonts w:hint="eastAsia" w:ascii="宋体" w:hAnsi="宋体" w:eastAsia="宋体" w:cs="宋体"/>
              <w:b/>
              <w:bCs/>
              <w:color w:val="auto"/>
              <w:szCs w:val="21"/>
              <w:highlight w:val="none"/>
            </w:rPr>
            <w:tab/>
          </w: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 PAGEREF _Toc19440 \h </w:instrText>
          </w:r>
          <w:r>
            <w:rPr>
              <w:rFonts w:hint="eastAsia" w:ascii="宋体" w:hAnsi="宋体" w:eastAsia="宋体" w:cs="宋体"/>
              <w:b/>
              <w:bCs/>
              <w:color w:val="auto"/>
              <w:szCs w:val="21"/>
              <w:highlight w:val="none"/>
            </w:rPr>
            <w:fldChar w:fldCharType="separate"/>
          </w:r>
          <w:r>
            <w:rPr>
              <w:rFonts w:hint="eastAsia" w:ascii="宋体" w:hAnsi="宋体" w:eastAsia="宋体" w:cs="宋体"/>
              <w:b/>
              <w:bCs/>
              <w:color w:val="auto"/>
              <w:szCs w:val="21"/>
              <w:highlight w:val="none"/>
            </w:rPr>
            <w:t>57</w:t>
          </w:r>
          <w:r>
            <w:rPr>
              <w:rFonts w:hint="eastAsia" w:ascii="宋体" w:hAnsi="宋体" w:eastAsia="宋体" w:cs="宋体"/>
              <w:b/>
              <w:bCs/>
              <w:color w:val="auto"/>
              <w:szCs w:val="21"/>
              <w:highlight w:val="none"/>
            </w:rPr>
            <w:fldChar w:fldCharType="end"/>
          </w:r>
          <w:r>
            <w:rPr>
              <w:rFonts w:hint="eastAsia" w:ascii="宋体" w:hAnsi="宋体" w:eastAsia="宋体" w:cs="宋体"/>
              <w:b/>
              <w:bCs/>
              <w:color w:val="auto"/>
              <w:szCs w:val="21"/>
              <w:highlight w:val="none"/>
            </w:rPr>
            <w:fldChar w:fldCharType="end"/>
          </w:r>
        </w:p>
        <w:p w14:paraId="577264AC">
          <w:pPr>
            <w:pStyle w:val="27"/>
            <w:tabs>
              <w:tab w:val="right" w:leader="dot" w:pos="10154"/>
            </w:tabs>
            <w:spacing w:line="360" w:lineRule="auto"/>
            <w:rPr>
              <w:rFonts w:hint="eastAsia" w:ascii="宋体" w:hAnsi="宋体" w:eastAsia="宋体" w:cs="宋体"/>
              <w:b/>
              <w:bCs/>
              <w:color w:val="auto"/>
              <w:szCs w:val="21"/>
              <w:highlight w:val="none"/>
            </w:rPr>
          </w:pPr>
          <w:r>
            <w:rPr>
              <w:color w:val="auto"/>
              <w:highlight w:val="none"/>
            </w:rPr>
            <w:fldChar w:fldCharType="begin"/>
          </w:r>
          <w:r>
            <w:rPr>
              <w:color w:val="auto"/>
              <w:highlight w:val="none"/>
            </w:rPr>
            <w:instrText xml:space="preserve"> HYPERLINK \l "_Toc16740" </w:instrText>
          </w:r>
          <w:r>
            <w:rPr>
              <w:color w:val="auto"/>
              <w:highlight w:val="none"/>
            </w:rPr>
            <w:fldChar w:fldCharType="separate"/>
          </w:r>
          <w:r>
            <w:rPr>
              <w:rFonts w:hint="eastAsia" w:ascii="宋体" w:hAnsi="宋体" w:eastAsia="宋体" w:cs="宋体"/>
              <w:b/>
              <w:bCs/>
              <w:color w:val="auto"/>
              <w:szCs w:val="21"/>
              <w:highlight w:val="none"/>
              <w:lang w:val="zh-CN"/>
            </w:rPr>
            <w:t>第六篇 投标文件格式</w:t>
          </w:r>
          <w:r>
            <w:rPr>
              <w:rFonts w:hint="eastAsia" w:ascii="宋体" w:hAnsi="宋体" w:eastAsia="宋体" w:cs="宋体"/>
              <w:b/>
              <w:bCs/>
              <w:color w:val="auto"/>
              <w:szCs w:val="21"/>
              <w:highlight w:val="none"/>
            </w:rPr>
            <w:tab/>
          </w: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 PAGEREF _Toc16740 \h </w:instrText>
          </w:r>
          <w:r>
            <w:rPr>
              <w:rFonts w:hint="eastAsia" w:ascii="宋体" w:hAnsi="宋体" w:eastAsia="宋体" w:cs="宋体"/>
              <w:b/>
              <w:bCs/>
              <w:color w:val="auto"/>
              <w:szCs w:val="21"/>
              <w:highlight w:val="none"/>
            </w:rPr>
            <w:fldChar w:fldCharType="separate"/>
          </w:r>
          <w:r>
            <w:rPr>
              <w:rFonts w:hint="eastAsia" w:ascii="宋体" w:hAnsi="宋体" w:eastAsia="宋体" w:cs="宋体"/>
              <w:b/>
              <w:bCs/>
              <w:color w:val="auto"/>
              <w:szCs w:val="21"/>
              <w:highlight w:val="none"/>
            </w:rPr>
            <w:t>60</w:t>
          </w:r>
          <w:r>
            <w:rPr>
              <w:rFonts w:hint="eastAsia" w:ascii="宋体" w:hAnsi="宋体" w:eastAsia="宋体" w:cs="宋体"/>
              <w:b/>
              <w:bCs/>
              <w:color w:val="auto"/>
              <w:szCs w:val="21"/>
              <w:highlight w:val="none"/>
            </w:rPr>
            <w:fldChar w:fldCharType="end"/>
          </w:r>
          <w:r>
            <w:rPr>
              <w:rFonts w:hint="eastAsia" w:ascii="宋体" w:hAnsi="宋体" w:eastAsia="宋体" w:cs="宋体"/>
              <w:b/>
              <w:bCs/>
              <w:color w:val="auto"/>
              <w:szCs w:val="21"/>
              <w:highlight w:val="none"/>
            </w:rPr>
            <w:fldChar w:fldCharType="end"/>
          </w:r>
        </w:p>
        <w:p w14:paraId="29213235">
          <w:pPr>
            <w:pStyle w:val="27"/>
            <w:tabs>
              <w:tab w:val="right" w:leader="dot" w:pos="10154"/>
            </w:tabs>
            <w:spacing w:line="360" w:lineRule="auto"/>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"_Toc22726" </w:instrText>
          </w:r>
          <w:r>
            <w:rPr>
              <w:color w:val="auto"/>
              <w:highlight w:val="none"/>
            </w:rPr>
            <w:fldChar w:fldCharType="separate"/>
          </w:r>
          <w:r>
            <w:rPr>
              <w:rFonts w:hint="eastAsia" w:ascii="宋体" w:hAnsi="宋体" w:eastAsia="宋体" w:cs="宋体"/>
              <w:b/>
              <w:bCs/>
              <w:color w:val="auto"/>
              <w:szCs w:val="21"/>
              <w:highlight w:val="none"/>
              <w:lang w:val="zh-CN"/>
            </w:rPr>
            <w:t>附件一：评标工作大纲</w:t>
          </w:r>
          <w:r>
            <w:rPr>
              <w:rFonts w:hint="eastAsia" w:ascii="宋体" w:hAnsi="宋体" w:eastAsia="宋体" w:cs="宋体"/>
              <w:b/>
              <w:bCs/>
              <w:color w:val="auto"/>
              <w:szCs w:val="21"/>
              <w:highlight w:val="none"/>
            </w:rPr>
            <w:tab/>
          </w: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 PAGEREF _Toc22726 \h </w:instrText>
          </w:r>
          <w:r>
            <w:rPr>
              <w:rFonts w:hint="eastAsia" w:ascii="宋体" w:hAnsi="宋体" w:eastAsia="宋体" w:cs="宋体"/>
              <w:b/>
              <w:bCs/>
              <w:color w:val="auto"/>
              <w:szCs w:val="21"/>
              <w:highlight w:val="none"/>
            </w:rPr>
            <w:fldChar w:fldCharType="separate"/>
          </w:r>
          <w:r>
            <w:rPr>
              <w:rFonts w:hint="eastAsia" w:ascii="宋体" w:hAnsi="宋体" w:eastAsia="宋体" w:cs="宋体"/>
              <w:b/>
              <w:bCs/>
              <w:color w:val="auto"/>
              <w:szCs w:val="21"/>
              <w:highlight w:val="none"/>
            </w:rPr>
            <w:t>100</w:t>
          </w:r>
          <w:r>
            <w:rPr>
              <w:rFonts w:hint="eastAsia" w:ascii="宋体" w:hAnsi="宋体" w:eastAsia="宋体" w:cs="宋体"/>
              <w:b/>
              <w:bCs/>
              <w:color w:val="auto"/>
              <w:szCs w:val="21"/>
              <w:highlight w:val="none"/>
            </w:rPr>
            <w:fldChar w:fldCharType="end"/>
          </w:r>
          <w:r>
            <w:rPr>
              <w:rFonts w:hint="eastAsia" w:ascii="宋体" w:hAnsi="宋体" w:eastAsia="宋体" w:cs="宋体"/>
              <w:b/>
              <w:bCs/>
              <w:color w:val="auto"/>
              <w:szCs w:val="21"/>
              <w:highlight w:val="none"/>
            </w:rPr>
            <w:fldChar w:fldCharType="end"/>
          </w:r>
        </w:p>
        <w:p w14:paraId="79FBD92A">
          <w:pPr>
            <w:rPr>
              <w:rFonts w:hint="eastAsia"/>
              <w:color w:val="auto"/>
              <w:highlight w:val="none"/>
            </w:rPr>
          </w:pPr>
          <w:r>
            <w:rPr>
              <w:color w:val="auto"/>
              <w:highlight w:val="none"/>
            </w:rPr>
            <w:fldChar w:fldCharType="end"/>
          </w:r>
        </w:p>
      </w:sdtContent>
    </w:sdt>
    <w:p w14:paraId="4CABA93B">
      <w:pPr>
        <w:pageBreakBefore/>
        <w:tabs>
          <w:tab w:val="left" w:pos="1080"/>
        </w:tabs>
        <w:autoSpaceDE w:val="0"/>
        <w:autoSpaceDN w:val="0"/>
        <w:adjustRightInd w:val="0"/>
        <w:spacing w:line="360" w:lineRule="auto"/>
        <w:ind w:left="-167" w:leftChars="-100" w:hanging="43"/>
        <w:jc w:val="center"/>
        <w:outlineLvl w:val="1"/>
        <w:rPr>
          <w:rFonts w:hint="eastAsia" w:ascii="宋体" w:hAnsi="宋体" w:eastAsia="宋体" w:cs="宋体"/>
          <w:b/>
          <w:bCs/>
          <w:color w:val="auto"/>
          <w:kern w:val="44"/>
          <w:sz w:val="32"/>
          <w:szCs w:val="32"/>
          <w:highlight w:val="none"/>
          <w:lang w:val="zh-CN"/>
        </w:rPr>
      </w:pPr>
      <w:bookmarkStart w:id="4" w:name="_Toc12785"/>
      <w:bookmarkStart w:id="5" w:name="_Toc2648"/>
      <w:bookmarkStart w:id="6" w:name="_Toc108597923"/>
      <w:r>
        <w:rPr>
          <w:rFonts w:hint="eastAsia" w:ascii="宋体" w:hAnsi="宋体" w:eastAsia="宋体" w:cs="宋体"/>
          <w:b/>
          <w:bCs/>
          <w:color w:val="auto"/>
          <w:kern w:val="44"/>
          <w:sz w:val="32"/>
          <w:szCs w:val="32"/>
          <w:highlight w:val="none"/>
          <w:lang w:val="zh-CN"/>
        </w:rPr>
        <w:t>第一篇 招标公告</w:t>
      </w:r>
      <w:bookmarkEnd w:id="4"/>
      <w:bookmarkEnd w:id="5"/>
      <w:bookmarkEnd w:id="6"/>
    </w:p>
    <w:p w14:paraId="757C8285">
      <w:pPr>
        <w:autoSpaceDE w:val="0"/>
        <w:autoSpaceDN w:val="0"/>
        <w:adjustRightInd w:val="0"/>
        <w:snapToGrid w:val="0"/>
        <w:spacing w:line="360" w:lineRule="auto"/>
        <w:ind w:right="-34" w:firstLine="420" w:firstLineChars="200"/>
        <w:rPr>
          <w:rFonts w:hint="eastAsia"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rPr>
        <w:t>广东有德招标采购有限公司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rPr>
        <w:t>东莞市水务集团有限公司</w:t>
      </w:r>
      <w:r>
        <w:rPr>
          <w:rFonts w:ascii="宋体" w:hAnsi="宋体" w:eastAsia="宋体" w:cs="Times New Roman"/>
          <w:color w:val="auto"/>
          <w:szCs w:val="21"/>
          <w:highlight w:val="none"/>
          <w:lang w:val="zh-CN"/>
        </w:rPr>
        <w:t>（以下简称“招标人”）的委托，对</w:t>
      </w:r>
      <w:bookmarkStart w:id="7" w:name="_Hlk41903390"/>
      <w:r>
        <w:rPr>
          <w:rFonts w:hint="eastAsia" w:ascii="宋体" w:hAnsi="宋体" w:eastAsia="宋体" w:cs="Times New Roman"/>
          <w:color w:val="auto"/>
          <w:kern w:val="0"/>
          <w:szCs w:val="21"/>
          <w:highlight w:val="none"/>
        </w:rPr>
        <w:t>东莞市水务集团有限公司2025年度液态次氯酸钠采购项目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kern w:val="0"/>
          <w:szCs w:val="21"/>
          <w:highlight w:val="none"/>
          <w:lang w:val="zh-CN"/>
        </w:rPr>
        <w:t>YDZB25DGQY0005</w:t>
      </w:r>
      <w:r>
        <w:rPr>
          <w:rFonts w:ascii="宋体" w:hAnsi="宋体" w:eastAsia="宋体" w:cs="Times New Roman"/>
          <w:color w:val="auto"/>
          <w:szCs w:val="21"/>
          <w:highlight w:val="none"/>
          <w:lang w:val="zh-CN"/>
        </w:rPr>
        <w:t>)</w:t>
      </w:r>
      <w:bookmarkEnd w:id="7"/>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13A95DBE">
      <w:pPr>
        <w:autoSpaceDE w:val="0"/>
        <w:autoSpaceDN w:val="0"/>
        <w:adjustRightInd w:val="0"/>
        <w:spacing w:line="360" w:lineRule="auto"/>
        <w:ind w:right="-29" w:rightChars="-14" w:firstLine="420" w:firstLineChars="200"/>
        <w:rPr>
          <w:rFonts w:hint="eastAsia" w:ascii="宋体" w:hAnsi="宋体" w:eastAsia="宋体" w:cs="Times New Roman"/>
          <w:color w:val="auto"/>
          <w:szCs w:val="21"/>
          <w:highlight w:val="none"/>
          <w:lang w:val="zh-CN"/>
        </w:rPr>
      </w:pPr>
    </w:p>
    <w:p w14:paraId="1AF91507">
      <w:pPr>
        <w:numPr>
          <w:ilvl w:val="0"/>
          <w:numId w:val="1"/>
        </w:numPr>
        <w:autoSpaceDE w:val="0"/>
        <w:autoSpaceDN w:val="0"/>
        <w:adjustRightInd w:val="0"/>
        <w:snapToGrid w:val="0"/>
        <w:spacing w:line="360" w:lineRule="auto"/>
        <w:ind w:right="-34"/>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tbl>
      <w:tblPr>
        <w:tblStyle w:val="37"/>
        <w:tblW w:w="10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29"/>
        <w:gridCol w:w="979"/>
        <w:gridCol w:w="1100"/>
        <w:gridCol w:w="1458"/>
        <w:gridCol w:w="1565"/>
        <w:gridCol w:w="1338"/>
        <w:gridCol w:w="1927"/>
        <w:gridCol w:w="1357"/>
      </w:tblGrid>
      <w:tr w14:paraId="5A80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15" w:hRule="atLeast"/>
          <w:jc w:val="center"/>
        </w:trPr>
        <w:tc>
          <w:tcPr>
            <w:tcW w:w="929" w:type="dxa"/>
            <w:vMerge w:val="restart"/>
            <w:vAlign w:val="center"/>
          </w:tcPr>
          <w:p w14:paraId="53DE88B4">
            <w:pPr>
              <w:widowControl/>
              <w:snapToGrid w:val="0"/>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货物名称</w:t>
            </w:r>
          </w:p>
        </w:tc>
        <w:tc>
          <w:tcPr>
            <w:tcW w:w="2079" w:type="dxa"/>
            <w:gridSpan w:val="2"/>
            <w:vAlign w:val="center"/>
          </w:tcPr>
          <w:p w14:paraId="020F5067">
            <w:pPr>
              <w:widowControl/>
              <w:snapToGrid w:val="0"/>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暂定采购数量</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吨</w:t>
            </w:r>
            <w:r>
              <w:rPr>
                <w:rFonts w:hint="eastAsia" w:ascii="Times New Roman" w:hAnsi="Times New Roman" w:eastAsia="宋体" w:cs="Times New Roman"/>
                <w:color w:val="auto"/>
                <w:szCs w:val="21"/>
                <w:highlight w:val="none"/>
              </w:rPr>
              <w:t>）</w:t>
            </w:r>
          </w:p>
        </w:tc>
        <w:tc>
          <w:tcPr>
            <w:tcW w:w="1458" w:type="dxa"/>
            <w:vMerge w:val="restart"/>
            <w:vAlign w:val="center"/>
          </w:tcPr>
          <w:p w14:paraId="3F707BEC">
            <w:pPr>
              <w:widowControl/>
              <w:snapToGrid w:val="0"/>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预算综合单价（不含税）</w:t>
            </w:r>
          </w:p>
          <w:p w14:paraId="1F72B429">
            <w:pPr>
              <w:widowControl/>
              <w:snapToGrid w:val="0"/>
              <w:spacing w:line="4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元/吨</w:t>
            </w:r>
            <w:r>
              <w:rPr>
                <w:rFonts w:hint="eastAsia" w:ascii="Times New Roman" w:hAnsi="Times New Roman" w:eastAsia="宋体" w:cs="Times New Roman"/>
                <w:color w:val="auto"/>
                <w:szCs w:val="21"/>
                <w:highlight w:val="none"/>
              </w:rPr>
              <w:t>）</w:t>
            </w:r>
          </w:p>
        </w:tc>
        <w:tc>
          <w:tcPr>
            <w:tcW w:w="1565" w:type="dxa"/>
            <w:vMerge w:val="restart"/>
            <w:vAlign w:val="center"/>
          </w:tcPr>
          <w:p w14:paraId="1A54CEE6">
            <w:pPr>
              <w:widowControl/>
              <w:snapToGrid w:val="0"/>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所涉及公司或其权属子公司</w:t>
            </w:r>
          </w:p>
        </w:tc>
        <w:tc>
          <w:tcPr>
            <w:tcW w:w="1338" w:type="dxa"/>
            <w:vMerge w:val="restart"/>
            <w:vAlign w:val="center"/>
          </w:tcPr>
          <w:p w14:paraId="60E451A5">
            <w:pPr>
              <w:widowControl/>
              <w:snapToGrid w:val="0"/>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供货期</w:t>
            </w:r>
          </w:p>
        </w:tc>
        <w:tc>
          <w:tcPr>
            <w:tcW w:w="1927" w:type="dxa"/>
            <w:vMerge w:val="restart"/>
            <w:vAlign w:val="center"/>
          </w:tcPr>
          <w:p w14:paraId="5944B94E">
            <w:pPr>
              <w:widowControl/>
              <w:snapToGrid w:val="0"/>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交货时间</w:t>
            </w:r>
          </w:p>
        </w:tc>
        <w:tc>
          <w:tcPr>
            <w:tcW w:w="1357" w:type="dxa"/>
            <w:vMerge w:val="restart"/>
            <w:vAlign w:val="center"/>
          </w:tcPr>
          <w:p w14:paraId="21D4AF60">
            <w:pPr>
              <w:widowControl/>
              <w:snapToGrid w:val="0"/>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交货地点</w:t>
            </w:r>
          </w:p>
        </w:tc>
      </w:tr>
      <w:tr w14:paraId="7DFC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15" w:hRule="atLeast"/>
          <w:jc w:val="center"/>
        </w:trPr>
        <w:tc>
          <w:tcPr>
            <w:tcW w:w="929" w:type="dxa"/>
            <w:vMerge w:val="continue"/>
            <w:vAlign w:val="center"/>
          </w:tcPr>
          <w:p w14:paraId="6ECB67DF">
            <w:pPr>
              <w:widowControl/>
              <w:snapToGrid w:val="0"/>
              <w:spacing w:line="400" w:lineRule="exact"/>
              <w:jc w:val="center"/>
              <w:rPr>
                <w:rFonts w:ascii="Times New Roman" w:hAnsi="Times New Roman" w:eastAsia="宋体" w:cs="Times New Roman"/>
                <w:color w:val="auto"/>
                <w:szCs w:val="21"/>
                <w:highlight w:val="none"/>
              </w:rPr>
            </w:pPr>
          </w:p>
        </w:tc>
        <w:tc>
          <w:tcPr>
            <w:tcW w:w="979" w:type="dxa"/>
            <w:shd w:val="clear" w:color="auto" w:fill="auto"/>
            <w:vAlign w:val="center"/>
          </w:tcPr>
          <w:p w14:paraId="68C8400B">
            <w:pPr>
              <w:widowControl/>
              <w:snapToGrid w:val="0"/>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合计</w:t>
            </w:r>
          </w:p>
        </w:tc>
        <w:tc>
          <w:tcPr>
            <w:tcW w:w="1100" w:type="dxa"/>
            <w:shd w:val="clear" w:color="auto" w:fill="auto"/>
            <w:vAlign w:val="center"/>
          </w:tcPr>
          <w:p w14:paraId="0E080122">
            <w:pPr>
              <w:widowControl/>
              <w:snapToGrid w:val="0"/>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小计</w:t>
            </w:r>
          </w:p>
        </w:tc>
        <w:tc>
          <w:tcPr>
            <w:tcW w:w="1458" w:type="dxa"/>
            <w:vMerge w:val="continue"/>
            <w:vAlign w:val="center"/>
          </w:tcPr>
          <w:p w14:paraId="7BDC5DB1">
            <w:pPr>
              <w:widowControl/>
              <w:snapToGrid w:val="0"/>
              <w:spacing w:line="400" w:lineRule="exact"/>
              <w:jc w:val="center"/>
              <w:rPr>
                <w:rFonts w:ascii="Times New Roman" w:hAnsi="Times New Roman" w:eastAsia="宋体" w:cs="Times New Roman"/>
                <w:color w:val="auto"/>
                <w:szCs w:val="21"/>
                <w:highlight w:val="none"/>
              </w:rPr>
            </w:pPr>
          </w:p>
        </w:tc>
        <w:tc>
          <w:tcPr>
            <w:tcW w:w="1565" w:type="dxa"/>
            <w:vMerge w:val="continue"/>
            <w:vAlign w:val="center"/>
          </w:tcPr>
          <w:p w14:paraId="3382838D">
            <w:pPr>
              <w:widowControl/>
              <w:snapToGrid w:val="0"/>
              <w:spacing w:line="400" w:lineRule="exact"/>
              <w:jc w:val="center"/>
              <w:rPr>
                <w:rFonts w:ascii="Times New Roman" w:hAnsi="Times New Roman" w:eastAsia="宋体" w:cs="Times New Roman"/>
                <w:color w:val="auto"/>
                <w:szCs w:val="21"/>
                <w:highlight w:val="none"/>
              </w:rPr>
            </w:pPr>
          </w:p>
        </w:tc>
        <w:tc>
          <w:tcPr>
            <w:tcW w:w="1338" w:type="dxa"/>
            <w:vMerge w:val="continue"/>
            <w:vAlign w:val="center"/>
          </w:tcPr>
          <w:p w14:paraId="1EF9A90C">
            <w:pPr>
              <w:widowControl/>
              <w:snapToGrid w:val="0"/>
              <w:spacing w:line="400" w:lineRule="exact"/>
              <w:jc w:val="center"/>
              <w:rPr>
                <w:rFonts w:ascii="Times New Roman" w:hAnsi="Times New Roman" w:eastAsia="宋体" w:cs="Times New Roman"/>
                <w:color w:val="auto"/>
                <w:szCs w:val="21"/>
                <w:highlight w:val="none"/>
              </w:rPr>
            </w:pPr>
          </w:p>
        </w:tc>
        <w:tc>
          <w:tcPr>
            <w:tcW w:w="1927" w:type="dxa"/>
            <w:vMerge w:val="continue"/>
            <w:vAlign w:val="center"/>
          </w:tcPr>
          <w:p w14:paraId="45B13F8F">
            <w:pPr>
              <w:widowControl/>
              <w:snapToGrid w:val="0"/>
              <w:spacing w:line="400" w:lineRule="exact"/>
              <w:jc w:val="center"/>
              <w:rPr>
                <w:rFonts w:ascii="Times New Roman" w:hAnsi="Times New Roman" w:eastAsia="宋体" w:cs="Times New Roman"/>
                <w:color w:val="auto"/>
                <w:szCs w:val="21"/>
                <w:highlight w:val="none"/>
              </w:rPr>
            </w:pPr>
          </w:p>
        </w:tc>
        <w:tc>
          <w:tcPr>
            <w:tcW w:w="1357" w:type="dxa"/>
            <w:vMerge w:val="continue"/>
            <w:vAlign w:val="center"/>
          </w:tcPr>
          <w:p w14:paraId="4F7B42E0">
            <w:pPr>
              <w:widowControl/>
              <w:snapToGrid w:val="0"/>
              <w:spacing w:line="400" w:lineRule="exact"/>
              <w:jc w:val="center"/>
              <w:rPr>
                <w:rFonts w:ascii="Times New Roman" w:hAnsi="Times New Roman" w:eastAsia="宋体" w:cs="Times New Roman"/>
                <w:color w:val="auto"/>
                <w:szCs w:val="21"/>
                <w:highlight w:val="none"/>
              </w:rPr>
            </w:pPr>
          </w:p>
        </w:tc>
      </w:tr>
      <w:tr w14:paraId="325C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555" w:hRule="atLeast"/>
          <w:jc w:val="center"/>
        </w:trPr>
        <w:tc>
          <w:tcPr>
            <w:tcW w:w="929" w:type="dxa"/>
            <w:vMerge w:val="restart"/>
            <w:vAlign w:val="center"/>
          </w:tcPr>
          <w:p w14:paraId="651588AF">
            <w:pPr>
              <w:widowControl/>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液态次氯酸钠</w:t>
            </w:r>
          </w:p>
        </w:tc>
        <w:tc>
          <w:tcPr>
            <w:tcW w:w="979" w:type="dxa"/>
            <w:vMerge w:val="restart"/>
            <w:vAlign w:val="center"/>
          </w:tcPr>
          <w:p w14:paraId="10B3A72D">
            <w:pPr>
              <w:widowControl/>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38500</w:t>
            </w:r>
          </w:p>
        </w:tc>
        <w:tc>
          <w:tcPr>
            <w:tcW w:w="1100" w:type="dxa"/>
            <w:vAlign w:val="center"/>
          </w:tcPr>
          <w:p w14:paraId="6F8A7392">
            <w:pPr>
              <w:widowControl/>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33650</w:t>
            </w:r>
          </w:p>
        </w:tc>
        <w:tc>
          <w:tcPr>
            <w:tcW w:w="1458" w:type="dxa"/>
            <w:vAlign w:val="center"/>
          </w:tcPr>
          <w:p w14:paraId="3062EAA0">
            <w:pPr>
              <w:widowControl/>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512.39</w:t>
            </w:r>
          </w:p>
        </w:tc>
        <w:tc>
          <w:tcPr>
            <w:tcW w:w="1565" w:type="dxa"/>
            <w:vAlign w:val="center"/>
          </w:tcPr>
          <w:p w14:paraId="4B4B65D5">
            <w:pPr>
              <w:widowControl/>
              <w:snapToGrid w:val="0"/>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供水公司及其权属子公司</w:t>
            </w:r>
          </w:p>
        </w:tc>
        <w:tc>
          <w:tcPr>
            <w:tcW w:w="1338" w:type="dxa"/>
            <w:vMerge w:val="restart"/>
            <w:vAlign w:val="center"/>
          </w:tcPr>
          <w:p w14:paraId="334E8D6F">
            <w:pPr>
              <w:widowControl/>
              <w:snapToGrid w:val="0"/>
              <w:spacing w:line="400" w:lineRule="exact"/>
              <w:jc w:val="center"/>
              <w:rPr>
                <w:rFonts w:ascii="Times New Roman" w:hAnsi="Times New Roman" w:eastAsia="宋体" w:cs="Times New Roman"/>
                <w:iCs/>
                <w:color w:val="auto"/>
                <w:szCs w:val="21"/>
                <w:highlight w:val="none"/>
              </w:rPr>
            </w:pPr>
            <w:r>
              <w:rPr>
                <w:rFonts w:ascii="Times New Roman" w:hAnsi="Times New Roman" w:eastAsia="宋体" w:cs="Times New Roman"/>
                <w:iCs/>
                <w:color w:val="auto"/>
                <w:szCs w:val="21"/>
                <w:highlight w:val="none"/>
              </w:rPr>
              <w:t>自合同签订之日起一年。供货期结束后，按招标人或招标人权属子公司（含招标人权属子公司的子公司、分公司）实际生产需要，经双方协商同意后，可签订补充协议延长不超过三个月的供货期。</w:t>
            </w:r>
          </w:p>
        </w:tc>
        <w:tc>
          <w:tcPr>
            <w:tcW w:w="1927" w:type="dxa"/>
            <w:vMerge w:val="restart"/>
            <w:vAlign w:val="center"/>
          </w:tcPr>
          <w:p w14:paraId="5F66D6B5">
            <w:pPr>
              <w:widowControl/>
              <w:snapToGrid w:val="0"/>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日常供货（非加急供货）为接到供货通知24小时内，加急供货</w:t>
            </w:r>
            <w:r>
              <w:rPr>
                <w:rFonts w:hint="eastAsia" w:ascii="宋体" w:hAnsi="宋体" w:eastAsia="宋体" w:cs="宋体"/>
                <w:color w:val="auto"/>
                <w:szCs w:val="21"/>
                <w:highlight w:val="none"/>
              </w:rPr>
              <w:t>根据招标人权属子公司运营项目要求时间节点，其中供水公司要求12小时内，净水公司要求4小时内</w:t>
            </w:r>
            <w:r>
              <w:rPr>
                <w:rFonts w:ascii="Times New Roman" w:hAnsi="Times New Roman" w:eastAsia="宋体" w:cs="Times New Roman"/>
                <w:color w:val="auto"/>
                <w:szCs w:val="21"/>
                <w:highlight w:val="none"/>
              </w:rPr>
              <w:t>，具体交货时间以招标人权属子公司运营项目供货通知为准。招标人无需因加急供货而额外支付任何费用。节假日期间，需保障正常供货，不受交通及其他方面的影响。</w:t>
            </w:r>
          </w:p>
        </w:tc>
        <w:tc>
          <w:tcPr>
            <w:tcW w:w="1357" w:type="dxa"/>
            <w:vMerge w:val="restart"/>
            <w:vAlign w:val="center"/>
          </w:tcPr>
          <w:p w14:paraId="59447255">
            <w:pPr>
              <w:widowControl/>
              <w:snapToGrid w:val="0"/>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招标人权属子公司在东莞市范围内的运营项目。</w:t>
            </w:r>
          </w:p>
        </w:tc>
      </w:tr>
      <w:tr w14:paraId="3444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555" w:hRule="atLeast"/>
          <w:jc w:val="center"/>
        </w:trPr>
        <w:tc>
          <w:tcPr>
            <w:tcW w:w="929" w:type="dxa"/>
            <w:vMerge w:val="continue"/>
            <w:vAlign w:val="center"/>
          </w:tcPr>
          <w:p w14:paraId="797DEE24">
            <w:pPr>
              <w:widowControl/>
              <w:snapToGrid w:val="0"/>
              <w:spacing w:line="400" w:lineRule="exact"/>
              <w:jc w:val="center"/>
              <w:rPr>
                <w:rFonts w:hint="eastAsia" w:ascii="宋体" w:hAnsi="宋体" w:eastAsia="宋体" w:cs="宋体"/>
                <w:color w:val="auto"/>
                <w:kern w:val="0"/>
                <w:szCs w:val="21"/>
                <w:highlight w:val="none"/>
              </w:rPr>
            </w:pPr>
          </w:p>
        </w:tc>
        <w:tc>
          <w:tcPr>
            <w:tcW w:w="979" w:type="dxa"/>
            <w:vMerge w:val="continue"/>
            <w:vAlign w:val="center"/>
          </w:tcPr>
          <w:p w14:paraId="35C5F834">
            <w:pPr>
              <w:widowControl/>
              <w:snapToGrid w:val="0"/>
              <w:spacing w:line="400" w:lineRule="exact"/>
              <w:jc w:val="center"/>
              <w:rPr>
                <w:rFonts w:hint="eastAsia" w:ascii="宋体" w:hAnsi="宋体" w:eastAsia="宋体" w:cs="宋体"/>
                <w:color w:val="auto"/>
                <w:szCs w:val="21"/>
                <w:highlight w:val="none"/>
              </w:rPr>
            </w:pPr>
          </w:p>
        </w:tc>
        <w:tc>
          <w:tcPr>
            <w:tcW w:w="1100" w:type="dxa"/>
            <w:vAlign w:val="center"/>
          </w:tcPr>
          <w:p w14:paraId="1B04B8B8">
            <w:pPr>
              <w:widowControl/>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4850</w:t>
            </w:r>
          </w:p>
        </w:tc>
        <w:tc>
          <w:tcPr>
            <w:tcW w:w="1458" w:type="dxa"/>
            <w:vAlign w:val="center"/>
          </w:tcPr>
          <w:p w14:paraId="398D2F22">
            <w:pPr>
              <w:widowControl/>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64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60</w:t>
            </w:r>
          </w:p>
        </w:tc>
        <w:tc>
          <w:tcPr>
            <w:tcW w:w="1565" w:type="dxa"/>
            <w:vAlign w:val="center"/>
          </w:tcPr>
          <w:p w14:paraId="2A32FB4A">
            <w:pPr>
              <w:widowControl/>
              <w:snapToGrid w:val="0"/>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净水公司及其权属子公司</w:t>
            </w:r>
          </w:p>
        </w:tc>
        <w:tc>
          <w:tcPr>
            <w:tcW w:w="1338" w:type="dxa"/>
            <w:vMerge w:val="continue"/>
            <w:vAlign w:val="center"/>
          </w:tcPr>
          <w:p w14:paraId="39F143DD">
            <w:pPr>
              <w:widowControl/>
              <w:snapToGrid w:val="0"/>
              <w:spacing w:line="400" w:lineRule="exact"/>
              <w:jc w:val="center"/>
              <w:rPr>
                <w:rFonts w:ascii="Times New Roman" w:hAnsi="Times New Roman" w:eastAsia="宋体" w:cs="Times New Roman"/>
                <w:iCs/>
                <w:color w:val="auto"/>
                <w:szCs w:val="21"/>
                <w:highlight w:val="none"/>
              </w:rPr>
            </w:pPr>
          </w:p>
        </w:tc>
        <w:tc>
          <w:tcPr>
            <w:tcW w:w="1927" w:type="dxa"/>
            <w:vMerge w:val="continue"/>
            <w:vAlign w:val="center"/>
          </w:tcPr>
          <w:p w14:paraId="4E81495A">
            <w:pPr>
              <w:widowControl/>
              <w:snapToGrid w:val="0"/>
              <w:spacing w:line="400" w:lineRule="exact"/>
              <w:jc w:val="center"/>
              <w:rPr>
                <w:rFonts w:ascii="Times New Roman" w:hAnsi="Times New Roman" w:eastAsia="宋体" w:cs="Times New Roman"/>
                <w:color w:val="auto"/>
                <w:szCs w:val="21"/>
                <w:highlight w:val="none"/>
              </w:rPr>
            </w:pPr>
          </w:p>
        </w:tc>
        <w:tc>
          <w:tcPr>
            <w:tcW w:w="1357" w:type="dxa"/>
            <w:vMerge w:val="continue"/>
            <w:vAlign w:val="center"/>
          </w:tcPr>
          <w:p w14:paraId="26687F85">
            <w:pPr>
              <w:widowControl/>
              <w:snapToGrid w:val="0"/>
              <w:spacing w:line="400" w:lineRule="exact"/>
              <w:jc w:val="center"/>
              <w:rPr>
                <w:rFonts w:ascii="Times New Roman" w:hAnsi="Times New Roman" w:eastAsia="宋体" w:cs="Times New Roman"/>
                <w:color w:val="auto"/>
                <w:szCs w:val="21"/>
                <w:highlight w:val="none"/>
              </w:rPr>
            </w:pPr>
          </w:p>
        </w:tc>
      </w:tr>
    </w:tbl>
    <w:p w14:paraId="1B6544C4">
      <w:pPr>
        <w:autoSpaceDE w:val="0"/>
        <w:autoSpaceDN w:val="0"/>
        <w:adjustRightInd w:val="0"/>
        <w:spacing w:line="360" w:lineRule="auto"/>
        <w:ind w:right="-29" w:rightChars="-14"/>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（具体内容详见：第三篇用户需求书）</w:t>
      </w:r>
    </w:p>
    <w:p w14:paraId="2A5A19A1">
      <w:pPr>
        <w:pStyle w:val="46"/>
        <w:ind w:firstLine="420"/>
        <w:rPr>
          <w:rFonts w:hint="eastAsia"/>
          <w:color w:val="auto"/>
          <w:highlight w:val="none"/>
        </w:rPr>
      </w:pPr>
    </w:p>
    <w:p w14:paraId="52981312">
      <w:pPr>
        <w:numPr>
          <w:ilvl w:val="0"/>
          <w:numId w:val="1"/>
        </w:numPr>
        <w:autoSpaceDE w:val="0"/>
        <w:autoSpaceDN w:val="0"/>
        <w:adjustRightInd w:val="0"/>
        <w:snapToGrid w:val="0"/>
        <w:spacing w:line="360" w:lineRule="auto"/>
        <w:ind w:right="-34"/>
        <w:jc w:val="left"/>
        <w:outlineLvl w:val="0"/>
        <w:rPr>
          <w:rFonts w:hint="eastAsia" w:ascii="宋体" w:hAnsi="宋体" w:eastAsia="宋体" w:cs="Times New Roman"/>
          <w:b/>
          <w:color w:val="auto"/>
          <w:szCs w:val="21"/>
          <w:highlight w:val="none"/>
          <w:lang w:val="zh-CN"/>
        </w:rPr>
      </w:pPr>
      <w:bookmarkStart w:id="8" w:name="_Toc12310"/>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bookmarkEnd w:id="8"/>
    </w:p>
    <w:p w14:paraId="76FDD324">
      <w:pPr>
        <w:pStyle w:val="159"/>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250E790A">
      <w:pPr>
        <w:pStyle w:val="159"/>
        <w:spacing w:line="360" w:lineRule="auto"/>
        <w:ind w:left="422" w:right="-29" w:rightChars="-14" w:hanging="422" w:hangingChars="200"/>
        <w:jc w:val="both"/>
        <w:rPr>
          <w:rFonts w:hint="eastAsia" w:hAnsi="宋体" w:eastAsia="宋体"/>
          <w:b/>
          <w:color w:val="auto"/>
          <w:sz w:val="21"/>
          <w:szCs w:val="21"/>
          <w:highlight w:val="none"/>
        </w:rPr>
      </w:pPr>
      <w:r>
        <w:rPr>
          <w:rFonts w:hint="eastAsia" w:hAnsi="宋体" w:eastAsia="宋体"/>
          <w:b/>
          <w:color w:val="auto"/>
          <w:sz w:val="21"/>
          <w:szCs w:val="21"/>
          <w:highlight w:val="none"/>
        </w:rPr>
        <w:t xml:space="preserve">2.2 </w:t>
      </w:r>
      <w:r>
        <w:rPr>
          <w:rFonts w:hint="eastAsia" w:hAnsi="宋体" w:eastAsia="宋体" w:cs="宋体"/>
          <w:b/>
          <w:color w:val="auto"/>
          <w:sz w:val="21"/>
          <w:szCs w:val="21"/>
          <w:highlight w:val="none"/>
        </w:rPr>
        <w:t>投标人必须是投标产品的制造商，或取得投标产品制造商就本次投标独家授权的经销商</w:t>
      </w:r>
      <w:r>
        <w:rPr>
          <w:rFonts w:hint="eastAsia" w:hAnsi="宋体" w:eastAsia="宋体" w:cs="宋体"/>
          <w:b/>
          <w:color w:val="auto"/>
          <w:sz w:val="21"/>
          <w:szCs w:val="21"/>
          <w:highlight w:val="none"/>
          <w:lang w:eastAsia="zh-CN"/>
        </w:rPr>
        <w:t>，</w:t>
      </w:r>
      <w:r>
        <w:rPr>
          <w:rFonts w:hint="eastAsia" w:hAnsi="宋体" w:eastAsia="宋体" w:cs="宋体"/>
          <w:b/>
          <w:color w:val="auto"/>
          <w:sz w:val="21"/>
          <w:szCs w:val="21"/>
          <w:highlight w:val="none"/>
          <w:lang w:val="en-US" w:eastAsia="zh-CN"/>
        </w:rPr>
        <w:t>且</w:t>
      </w:r>
      <w:r>
        <w:rPr>
          <w:rFonts w:hint="eastAsia" w:hAnsi="宋体" w:eastAsia="宋体" w:cs="宋体"/>
          <w:b/>
          <w:color w:val="auto"/>
          <w:sz w:val="21"/>
          <w:szCs w:val="21"/>
          <w:highlight w:val="none"/>
        </w:rPr>
        <w:t>投标人供给供水公司和净水公司的次氯酸钠必须是同一制造商生产</w:t>
      </w:r>
      <w:r>
        <w:rPr>
          <w:rFonts w:hint="eastAsia" w:hAnsi="宋体" w:eastAsia="宋体" w:cs="宋体"/>
          <w:b/>
          <w:color w:val="auto"/>
          <w:sz w:val="21"/>
          <w:szCs w:val="21"/>
          <w:highlight w:val="none"/>
          <w:lang w:val="en-US" w:eastAsia="zh-CN"/>
        </w:rPr>
        <w:t>的</w:t>
      </w:r>
      <w:r>
        <w:rPr>
          <w:rFonts w:hint="eastAsia" w:hAnsi="宋体" w:eastAsia="宋体" w:cs="宋体"/>
          <w:b/>
          <w:color w:val="auto"/>
          <w:sz w:val="21"/>
          <w:szCs w:val="21"/>
          <w:highlight w:val="none"/>
        </w:rPr>
        <w:t>产品。</w:t>
      </w:r>
    </w:p>
    <w:p w14:paraId="5174E9B9">
      <w:pPr>
        <w:pStyle w:val="159"/>
        <w:spacing w:line="360" w:lineRule="auto"/>
        <w:ind w:left="422" w:right="-29" w:rightChars="-14" w:hanging="422" w:hangingChars="200"/>
        <w:jc w:val="both"/>
        <w:rPr>
          <w:rFonts w:hint="eastAsia" w:hAnsi="宋体" w:eastAsia="宋体"/>
          <w:b/>
          <w:color w:val="auto"/>
          <w:sz w:val="21"/>
          <w:szCs w:val="21"/>
          <w:highlight w:val="none"/>
        </w:rPr>
      </w:pPr>
      <w:r>
        <w:rPr>
          <w:rFonts w:hint="eastAsia" w:hAnsi="宋体" w:eastAsia="宋体"/>
          <w:b/>
          <w:color w:val="auto"/>
          <w:sz w:val="21"/>
          <w:szCs w:val="21"/>
          <w:highlight w:val="none"/>
        </w:rPr>
        <w:t>2.3 所投产品制造商须具有安全生产监督管理部门核发的合法有效的安全生产许可证（许可范围含次氯酸钠或液态次氯酸钠）及全国工业产品生产许可证（许可范围含次氯酸钠或液态次氯酸钠）；</w:t>
      </w:r>
    </w:p>
    <w:p w14:paraId="2A8FDD1C">
      <w:pPr>
        <w:pStyle w:val="159"/>
        <w:spacing w:line="360" w:lineRule="auto"/>
        <w:ind w:left="422" w:right="-29" w:rightChars="-14" w:hanging="422" w:hangingChars="200"/>
        <w:jc w:val="both"/>
        <w:rPr>
          <w:rFonts w:hint="eastAsia" w:hAnsi="宋体" w:eastAsia="宋体"/>
          <w:b/>
          <w:color w:val="auto"/>
          <w:sz w:val="21"/>
          <w:szCs w:val="21"/>
          <w:highlight w:val="none"/>
        </w:rPr>
      </w:pPr>
      <w:r>
        <w:rPr>
          <w:rFonts w:hint="eastAsia" w:hAnsi="宋体" w:eastAsia="宋体"/>
          <w:b/>
          <w:color w:val="auto"/>
          <w:sz w:val="21"/>
          <w:szCs w:val="21"/>
          <w:highlight w:val="none"/>
        </w:rPr>
        <w:t>2.</w:t>
      </w:r>
      <w:r>
        <w:rPr>
          <w:rFonts w:hint="eastAsia" w:hAnsi="宋体" w:eastAsia="宋体"/>
          <w:b/>
          <w:color w:val="auto"/>
          <w:sz w:val="21"/>
          <w:szCs w:val="21"/>
          <w:highlight w:val="none"/>
          <w:lang w:val="en-US" w:eastAsia="zh-CN"/>
        </w:rPr>
        <w:t>4</w:t>
      </w:r>
      <w:r>
        <w:rPr>
          <w:rFonts w:hint="eastAsia" w:hAnsi="宋体" w:eastAsia="宋体"/>
          <w:b/>
          <w:color w:val="auto"/>
          <w:sz w:val="21"/>
          <w:szCs w:val="21"/>
          <w:highlight w:val="none"/>
        </w:rPr>
        <w:t xml:space="preserve"> 所投产品制造商须具有环境管理部门核发的合法有效的环评批复复印件（批复内容须体现含投标产品）；</w:t>
      </w:r>
    </w:p>
    <w:p w14:paraId="0E0761E7">
      <w:pPr>
        <w:pStyle w:val="159"/>
        <w:spacing w:line="360" w:lineRule="auto"/>
        <w:ind w:left="422" w:right="-29" w:rightChars="-14" w:hanging="422" w:hangingChars="200"/>
        <w:jc w:val="both"/>
        <w:rPr>
          <w:rFonts w:hint="eastAsia" w:hAnsi="宋体" w:eastAsia="宋体"/>
          <w:b/>
          <w:color w:val="auto"/>
          <w:sz w:val="21"/>
          <w:szCs w:val="21"/>
          <w:highlight w:val="none"/>
        </w:rPr>
      </w:pPr>
      <w:bookmarkStart w:id="9" w:name="_Toc25819"/>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5</w:t>
      </w:r>
      <w:r>
        <w:rPr>
          <w:rFonts w:hint="eastAsia" w:hAnsi="宋体" w:eastAsia="宋体"/>
          <w:b/>
          <w:color w:val="auto"/>
          <w:sz w:val="21"/>
          <w:szCs w:val="21"/>
          <w:highlight w:val="none"/>
          <w:lang w:val="zh-CN"/>
        </w:rPr>
        <w:t xml:space="preserve"> 投标人</w:t>
      </w:r>
      <w:r>
        <w:rPr>
          <w:rFonts w:hint="eastAsia" w:hAnsi="宋体" w:eastAsia="宋体"/>
          <w:b/>
          <w:color w:val="auto"/>
          <w:sz w:val="21"/>
          <w:szCs w:val="21"/>
          <w:highlight w:val="none"/>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日以来具有一份</w:t>
      </w:r>
      <w:r>
        <w:rPr>
          <w:rFonts w:hint="eastAsia" w:hAnsi="宋体" w:eastAsia="宋体" w:cs="宋体"/>
          <w:b/>
          <w:color w:val="auto"/>
          <w:sz w:val="21"/>
          <w:szCs w:val="21"/>
          <w:highlight w:val="none"/>
        </w:rPr>
        <w:t>投标品牌</w:t>
      </w:r>
      <w:r>
        <w:rPr>
          <w:rFonts w:hint="eastAsia" w:hAnsi="宋体" w:eastAsia="宋体"/>
          <w:b/>
          <w:color w:val="auto"/>
          <w:sz w:val="21"/>
          <w:szCs w:val="21"/>
          <w:highlight w:val="none"/>
        </w:rPr>
        <w:t>液态次氯酸钠供货</w:t>
      </w:r>
      <w:r>
        <w:rPr>
          <w:rFonts w:hint="eastAsia" w:hAnsi="宋体" w:eastAsia="宋体"/>
          <w:b/>
          <w:color w:val="auto"/>
          <w:sz w:val="21"/>
          <w:szCs w:val="21"/>
          <w:highlight w:val="none"/>
          <w:lang w:val="zh-CN"/>
        </w:rPr>
        <w:t>业绩（为合同签订日期为2022年1月1日或以后或以后）；</w:t>
      </w:r>
    </w:p>
    <w:p w14:paraId="26BA2A1E">
      <w:pPr>
        <w:pStyle w:val="159"/>
        <w:spacing w:line="360" w:lineRule="auto"/>
        <w:ind w:right="-29" w:rightChars="-14" w:firstLine="0" w:firstLineChars="0"/>
        <w:jc w:val="both"/>
        <w:outlineLvl w:val="1"/>
        <w:rPr>
          <w:rFonts w:hint="eastAsia" w:hAnsi="宋体" w:eastAsia="宋体"/>
          <w:b/>
          <w:color w:val="auto"/>
          <w:sz w:val="21"/>
          <w:szCs w:val="21"/>
          <w:highlight w:val="none"/>
          <w:lang w:val="zh-CN"/>
        </w:rPr>
      </w:pPr>
      <w:bookmarkStart w:id="10" w:name="_Toc21752"/>
      <w:r>
        <w:rPr>
          <w:rFonts w:hint="eastAsia" w:hAnsi="宋体" w:eastAsia="宋体"/>
          <w:b/>
          <w:color w:val="auto"/>
          <w:sz w:val="21"/>
          <w:szCs w:val="21"/>
          <w:highlight w:val="none"/>
        </w:rPr>
        <w:t>2.</w:t>
      </w:r>
      <w:r>
        <w:rPr>
          <w:rFonts w:hint="eastAsia" w:hAnsi="宋体" w:eastAsia="宋体"/>
          <w:b/>
          <w:color w:val="auto"/>
          <w:sz w:val="21"/>
          <w:szCs w:val="21"/>
          <w:highlight w:val="none"/>
          <w:lang w:val="en-US" w:eastAsia="zh-CN"/>
        </w:rPr>
        <w:t>6</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本项目不接受联合体投标。</w:t>
      </w:r>
      <w:bookmarkEnd w:id="9"/>
      <w:bookmarkEnd w:id="10"/>
    </w:p>
    <w:p w14:paraId="6ADEFDB3">
      <w:pPr>
        <w:autoSpaceDE w:val="0"/>
        <w:autoSpaceDN w:val="0"/>
        <w:adjustRightInd w:val="0"/>
        <w:spacing w:line="360" w:lineRule="auto"/>
        <w:ind w:right="-29" w:rightChars="-14" w:firstLine="420" w:firstLineChars="200"/>
        <w:rPr>
          <w:rFonts w:hint="eastAsia" w:ascii="宋体" w:hAnsi="宋体" w:eastAsia="宋体" w:cs="Times New Roman"/>
          <w:color w:val="auto"/>
          <w:szCs w:val="21"/>
          <w:highlight w:val="none"/>
          <w:lang w:val="zh-CN"/>
        </w:rPr>
      </w:pPr>
    </w:p>
    <w:p w14:paraId="016A92AF">
      <w:pPr>
        <w:pStyle w:val="177"/>
        <w:numPr>
          <w:ilvl w:val="0"/>
          <w:numId w:val="1"/>
        </w:numPr>
        <w:spacing w:line="360" w:lineRule="auto"/>
        <w:ind w:left="426" w:right="-34" w:hanging="426" w:firstLineChars="0"/>
        <w:rPr>
          <w:rFonts w:hint="eastAsia" w:ascii="宋体" w:hAnsi="宋体" w:cs="宋体"/>
          <w:color w:val="auto"/>
          <w:szCs w:val="21"/>
          <w:highlight w:val="none"/>
        </w:rPr>
      </w:pPr>
      <w:r>
        <w:rPr>
          <w:rFonts w:ascii="宋体" w:hAnsi="宋体"/>
          <w:color w:val="auto"/>
          <w:szCs w:val="21"/>
          <w:highlight w:val="none"/>
          <w:lang w:val="zh-CN"/>
        </w:rPr>
        <w:t>获取招标文件</w:t>
      </w:r>
      <w:r>
        <w:rPr>
          <w:rFonts w:hint="eastAsia" w:ascii="宋体" w:hAnsi="宋体" w:cs="宋体"/>
          <w:color w:val="auto"/>
          <w:szCs w:val="21"/>
          <w:highlight w:val="none"/>
        </w:rPr>
        <w:t>方式：</w:t>
      </w:r>
      <w:r>
        <w:rPr>
          <w:rFonts w:hint="eastAsia" w:ascii="宋体" w:hAnsi="宋体" w:cs="宋体"/>
          <w:color w:val="auto"/>
          <w:szCs w:val="21"/>
          <w:highlight w:val="none"/>
          <w:lang w:val="zh-CN"/>
        </w:rPr>
        <w:t>本项目采用“不记名网上下载”的方式发布招标文件，有意向的投标人可于本项目投标截止时间前，在本项目招标信息发布媒介</w:t>
      </w:r>
      <w:r>
        <w:rPr>
          <w:rFonts w:hint="eastAsia" w:ascii="宋体" w:hAnsi="宋体" w:cs="宋体"/>
          <w:color w:val="auto"/>
          <w:szCs w:val="21"/>
          <w:highlight w:val="none"/>
        </w:rPr>
        <w:t>【</w:t>
      </w:r>
      <w:r>
        <w:rPr>
          <w:rFonts w:hint="eastAsia" w:ascii="宋体" w:hAnsi="宋体" w:cs="宋体"/>
          <w:color w:val="auto"/>
          <w:szCs w:val="21"/>
          <w:highlight w:val="none"/>
          <w:lang w:val="zh-CN"/>
        </w:rPr>
        <w:t>详见本招标公告第7点（除中国招标投标公共服务平台外）</w:t>
      </w:r>
      <w:r>
        <w:rPr>
          <w:rFonts w:hint="eastAsia" w:ascii="宋体" w:hAnsi="宋体" w:cs="宋体"/>
          <w:color w:val="auto"/>
          <w:szCs w:val="21"/>
          <w:highlight w:val="none"/>
        </w:rPr>
        <w:t>】</w:t>
      </w:r>
      <w:r>
        <w:rPr>
          <w:rFonts w:hint="eastAsia" w:ascii="宋体" w:hAnsi="宋体" w:cs="宋体"/>
          <w:color w:val="auto"/>
          <w:szCs w:val="21"/>
          <w:highlight w:val="none"/>
          <w:lang w:val="zh-CN"/>
        </w:rPr>
        <w:t>下载招标文件</w:t>
      </w:r>
      <w:r>
        <w:rPr>
          <w:rFonts w:hint="eastAsia" w:ascii="宋体" w:hAnsi="宋体" w:cs="宋体"/>
          <w:color w:val="auto"/>
          <w:szCs w:val="21"/>
          <w:highlight w:val="none"/>
        </w:rPr>
        <w:t>。</w:t>
      </w:r>
    </w:p>
    <w:p w14:paraId="3D0DD3EF">
      <w:pPr>
        <w:autoSpaceDE w:val="0"/>
        <w:autoSpaceDN w:val="0"/>
        <w:adjustRightInd w:val="0"/>
        <w:spacing w:line="360" w:lineRule="auto"/>
        <w:ind w:left="630" w:leftChars="100" w:right="-29" w:rightChars="-14" w:hanging="420" w:hangingChars="200"/>
        <w:rPr>
          <w:rFonts w:hint="eastAsia" w:ascii="宋体" w:hAnsi="宋体" w:eastAsia="宋体" w:cs="Times New Roman"/>
          <w:color w:val="auto"/>
          <w:szCs w:val="21"/>
          <w:highlight w:val="none"/>
          <w:lang w:val="zh-CN"/>
        </w:rPr>
      </w:pPr>
    </w:p>
    <w:p w14:paraId="4088FA35">
      <w:pPr>
        <w:numPr>
          <w:ilvl w:val="0"/>
          <w:numId w:val="1"/>
        </w:numPr>
        <w:autoSpaceDE w:val="0"/>
        <w:autoSpaceDN w:val="0"/>
        <w:adjustRightInd w:val="0"/>
        <w:snapToGrid w:val="0"/>
        <w:spacing w:line="360" w:lineRule="auto"/>
        <w:ind w:right="-34"/>
        <w:jc w:val="left"/>
        <w:rPr>
          <w:rFonts w:hint="eastAsia"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6DDAEA74">
      <w:pPr>
        <w:autoSpaceDE w:val="0"/>
        <w:autoSpaceDN w:val="0"/>
        <w:adjustRightInd w:val="0"/>
        <w:spacing w:line="360" w:lineRule="auto"/>
        <w:ind w:right="-29" w:rightChars="-14" w:firstLine="420"/>
        <w:rPr>
          <w:rFonts w:hint="eastAsia" w:ascii="宋体" w:hAnsi="宋体" w:eastAsia="宋体" w:cs="Times New Roman"/>
          <w:color w:val="auto"/>
          <w:szCs w:val="21"/>
          <w:highlight w:val="none"/>
          <w:lang w:val="zh-CN"/>
        </w:rPr>
      </w:pPr>
    </w:p>
    <w:p w14:paraId="2F062374">
      <w:pPr>
        <w:numPr>
          <w:ilvl w:val="0"/>
          <w:numId w:val="1"/>
        </w:numPr>
        <w:autoSpaceDE w:val="0"/>
        <w:autoSpaceDN w:val="0"/>
        <w:adjustRightInd w:val="0"/>
        <w:snapToGrid w:val="0"/>
        <w:spacing w:line="360" w:lineRule="auto"/>
        <w:ind w:right="-34"/>
        <w:jc w:val="left"/>
        <w:outlineLvl w:val="0"/>
        <w:rPr>
          <w:rFonts w:hint="eastAsia" w:ascii="宋体" w:hAnsi="宋体" w:eastAsia="宋体" w:cs="Times New Roman"/>
          <w:color w:val="auto"/>
          <w:szCs w:val="21"/>
          <w:highlight w:val="none"/>
          <w:lang w:val="zh-CN"/>
        </w:rPr>
      </w:pPr>
      <w:bookmarkStart w:id="11" w:name="_Toc21201"/>
      <w:r>
        <w:rPr>
          <w:rFonts w:ascii="宋体" w:hAnsi="宋体" w:eastAsia="宋体" w:cs="Times New Roman"/>
          <w:color w:val="auto"/>
          <w:szCs w:val="21"/>
          <w:highlight w:val="none"/>
          <w:lang w:val="zh-CN"/>
        </w:rPr>
        <w:t>投标、开标时间及地点：</w:t>
      </w:r>
      <w:bookmarkEnd w:id="11"/>
    </w:p>
    <w:p w14:paraId="422C200D">
      <w:pPr>
        <w:autoSpaceDE w:val="0"/>
        <w:autoSpaceDN w:val="0"/>
        <w:adjustRightInd w:val="0"/>
        <w:spacing w:line="360" w:lineRule="auto"/>
        <w:ind w:right="-29" w:rightChars="-14"/>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cs="宋体"/>
          <w:color w:val="auto"/>
          <w:sz w:val="21"/>
          <w:szCs w:val="21"/>
          <w:highlight w:val="none"/>
          <w:u w:val="single"/>
          <w:lang w:val="en-US" w:eastAsia="zh-CN"/>
        </w:rPr>
        <w:t>2025</w:t>
      </w:r>
      <w:r>
        <w:rPr>
          <w:rFonts w:hint="eastAsia" w:ascii="宋体" w:hAnsi="宋体" w:eastAsia="宋体" w:cs="宋体"/>
          <w:bCs/>
          <w:color w:val="auto"/>
          <w:kern w:val="0"/>
          <w:sz w:val="21"/>
          <w:szCs w:val="21"/>
          <w:highlight w:val="none"/>
        </w:rPr>
        <w:t>年</w:t>
      </w:r>
      <w:r>
        <w:rPr>
          <w:rFonts w:hint="eastAsia" w:ascii="宋体" w:hAnsi="宋体" w:cs="宋体"/>
          <w:color w:val="auto"/>
          <w:sz w:val="21"/>
          <w:szCs w:val="21"/>
          <w:highlight w:val="none"/>
          <w:u w:val="single"/>
          <w:lang w:val="en-US" w:eastAsia="zh-CN"/>
        </w:rPr>
        <w:t>3</w:t>
      </w:r>
      <w:r>
        <w:rPr>
          <w:rFonts w:hint="eastAsia" w:ascii="宋体" w:hAnsi="宋体" w:eastAsia="宋体" w:cs="宋体"/>
          <w:bCs/>
          <w:color w:val="auto"/>
          <w:kern w:val="0"/>
          <w:sz w:val="21"/>
          <w:szCs w:val="21"/>
          <w:highlight w:val="none"/>
        </w:rPr>
        <w:t>月</w:t>
      </w:r>
      <w:r>
        <w:rPr>
          <w:rFonts w:hint="eastAsia" w:ascii="宋体" w:hAnsi="宋体" w:cs="宋体"/>
          <w:color w:val="auto"/>
          <w:sz w:val="21"/>
          <w:szCs w:val="21"/>
          <w:highlight w:val="none"/>
          <w:u w:val="single"/>
          <w:lang w:val="en-US" w:eastAsia="zh-CN"/>
        </w:rPr>
        <w:t>26</w:t>
      </w:r>
      <w:r>
        <w:rPr>
          <w:rFonts w:hint="eastAsia" w:ascii="宋体" w:hAnsi="宋体" w:eastAsia="宋体" w:cs="宋体"/>
          <w:bCs/>
          <w:color w:val="auto"/>
          <w:kern w:val="0"/>
          <w:sz w:val="21"/>
          <w:szCs w:val="21"/>
          <w:highlight w:val="none"/>
        </w:rPr>
        <w:t>日</w:t>
      </w:r>
      <w:r>
        <w:rPr>
          <w:rFonts w:hint="eastAsia" w:ascii="宋体" w:hAnsi="宋体" w:cs="宋体"/>
          <w:color w:val="auto"/>
          <w:sz w:val="21"/>
          <w:szCs w:val="21"/>
          <w:highlight w:val="none"/>
          <w:u w:val="single"/>
          <w:lang w:val="en-US" w:eastAsia="zh-CN"/>
        </w:rPr>
        <w:t>10</w:t>
      </w:r>
      <w:r>
        <w:rPr>
          <w:rFonts w:hint="eastAsia" w:ascii="宋体" w:hAnsi="宋体" w:eastAsia="宋体" w:cs="宋体"/>
          <w:bCs/>
          <w:color w:val="auto"/>
          <w:kern w:val="0"/>
          <w:sz w:val="21"/>
          <w:szCs w:val="21"/>
          <w:highlight w:val="none"/>
          <w:u w:val="single"/>
        </w:rPr>
        <w:t>：</w:t>
      </w:r>
      <w:r>
        <w:rPr>
          <w:rFonts w:hint="eastAsia" w:ascii="宋体" w:hAnsi="宋体" w:cs="宋体"/>
          <w:color w:val="auto"/>
          <w:sz w:val="21"/>
          <w:szCs w:val="21"/>
          <w:highlight w:val="none"/>
          <w:u w:val="single"/>
          <w:lang w:val="en-US" w:eastAsia="zh-CN"/>
        </w:rPr>
        <w:t>00</w:t>
      </w:r>
      <w:r>
        <w:rPr>
          <w:rFonts w:hint="eastAsia" w:ascii="宋体" w:hAnsi="宋体" w:eastAsia="宋体" w:cs="宋体"/>
          <w:bCs/>
          <w:color w:val="auto"/>
          <w:kern w:val="0"/>
          <w:sz w:val="21"/>
          <w:szCs w:val="21"/>
          <w:highlight w:val="none"/>
        </w:rPr>
        <w:t>～</w:t>
      </w:r>
      <w:r>
        <w:rPr>
          <w:rFonts w:hint="eastAsia" w:ascii="宋体" w:hAnsi="宋体" w:cs="宋体"/>
          <w:color w:val="auto"/>
          <w:sz w:val="21"/>
          <w:szCs w:val="21"/>
          <w:highlight w:val="none"/>
          <w:u w:val="single"/>
          <w:lang w:val="en-US" w:eastAsia="zh-CN"/>
        </w:rPr>
        <w:t>10</w:t>
      </w:r>
      <w:r>
        <w:rPr>
          <w:rFonts w:hint="eastAsia" w:ascii="宋体" w:hAnsi="宋体" w:eastAsia="宋体" w:cs="宋体"/>
          <w:bCs/>
          <w:color w:val="auto"/>
          <w:kern w:val="0"/>
          <w:sz w:val="21"/>
          <w:szCs w:val="21"/>
          <w:highlight w:val="none"/>
          <w:u w:val="single"/>
        </w:rPr>
        <w:t>：</w:t>
      </w:r>
      <w:r>
        <w:rPr>
          <w:rFonts w:hint="eastAsia" w:ascii="宋体" w:hAnsi="宋体" w:cs="宋体"/>
          <w:color w:val="auto"/>
          <w:sz w:val="21"/>
          <w:szCs w:val="21"/>
          <w:highlight w:val="none"/>
          <w:u w:val="single"/>
          <w:lang w:val="en-US" w:eastAsia="zh-CN"/>
        </w:rPr>
        <w:t>30</w:t>
      </w:r>
      <w:r>
        <w:rPr>
          <w:rFonts w:hint="eastAsia" w:ascii="宋体" w:hAnsi="宋体" w:eastAsia="宋体" w:cs="Times New Roman"/>
          <w:bCs/>
          <w:color w:val="auto"/>
          <w:kern w:val="0"/>
          <w:szCs w:val="21"/>
          <w:highlight w:val="none"/>
        </w:rPr>
        <w:t>；</w:t>
      </w:r>
    </w:p>
    <w:p w14:paraId="3B6C1942">
      <w:pPr>
        <w:autoSpaceDE w:val="0"/>
        <w:autoSpaceDN w:val="0"/>
        <w:adjustRightInd w:val="0"/>
        <w:spacing w:line="360" w:lineRule="auto"/>
        <w:ind w:right="-29" w:rightChars="-14"/>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cs="宋体"/>
          <w:color w:val="auto"/>
          <w:sz w:val="21"/>
          <w:szCs w:val="21"/>
          <w:highlight w:val="none"/>
          <w:u w:val="single"/>
          <w:lang w:val="en-US" w:eastAsia="zh-CN"/>
        </w:rPr>
        <w:t>2025</w:t>
      </w:r>
      <w:r>
        <w:rPr>
          <w:rFonts w:hint="eastAsia" w:ascii="宋体" w:hAnsi="宋体" w:eastAsia="宋体" w:cs="宋体"/>
          <w:bCs/>
          <w:color w:val="auto"/>
          <w:kern w:val="0"/>
          <w:sz w:val="21"/>
          <w:szCs w:val="21"/>
          <w:highlight w:val="none"/>
        </w:rPr>
        <w:t>年</w:t>
      </w:r>
      <w:r>
        <w:rPr>
          <w:rFonts w:hint="eastAsia" w:ascii="宋体" w:hAnsi="宋体" w:cs="宋体"/>
          <w:color w:val="auto"/>
          <w:sz w:val="21"/>
          <w:szCs w:val="21"/>
          <w:highlight w:val="none"/>
          <w:u w:val="single"/>
          <w:lang w:val="en-US" w:eastAsia="zh-CN"/>
        </w:rPr>
        <w:t>3</w:t>
      </w:r>
      <w:r>
        <w:rPr>
          <w:rFonts w:hint="eastAsia" w:ascii="宋体" w:hAnsi="宋体" w:eastAsia="宋体" w:cs="宋体"/>
          <w:bCs/>
          <w:color w:val="auto"/>
          <w:kern w:val="0"/>
          <w:sz w:val="21"/>
          <w:szCs w:val="21"/>
          <w:highlight w:val="none"/>
        </w:rPr>
        <w:t>月</w:t>
      </w:r>
      <w:r>
        <w:rPr>
          <w:rFonts w:hint="eastAsia" w:ascii="宋体" w:hAnsi="宋体" w:cs="宋体"/>
          <w:color w:val="auto"/>
          <w:sz w:val="21"/>
          <w:szCs w:val="21"/>
          <w:highlight w:val="none"/>
          <w:u w:val="single"/>
          <w:lang w:val="en-US" w:eastAsia="zh-CN"/>
        </w:rPr>
        <w:t>26</w:t>
      </w:r>
      <w:r>
        <w:rPr>
          <w:rFonts w:hint="eastAsia" w:ascii="宋体" w:hAnsi="宋体" w:eastAsia="宋体" w:cs="宋体"/>
          <w:bCs/>
          <w:color w:val="auto"/>
          <w:kern w:val="0"/>
          <w:sz w:val="21"/>
          <w:szCs w:val="21"/>
          <w:highlight w:val="none"/>
        </w:rPr>
        <w:t>日</w:t>
      </w:r>
      <w:r>
        <w:rPr>
          <w:rFonts w:hint="eastAsia" w:ascii="宋体" w:hAnsi="宋体" w:cs="宋体"/>
          <w:color w:val="auto"/>
          <w:sz w:val="21"/>
          <w:szCs w:val="21"/>
          <w:highlight w:val="none"/>
          <w:u w:val="single"/>
          <w:lang w:val="en-US" w:eastAsia="zh-CN"/>
        </w:rPr>
        <w:t>10</w:t>
      </w:r>
      <w:r>
        <w:rPr>
          <w:rFonts w:hint="eastAsia" w:ascii="宋体" w:hAnsi="宋体" w:eastAsia="宋体" w:cs="宋体"/>
          <w:bCs/>
          <w:color w:val="auto"/>
          <w:kern w:val="0"/>
          <w:sz w:val="21"/>
          <w:szCs w:val="21"/>
          <w:highlight w:val="none"/>
          <w:u w:val="single"/>
        </w:rPr>
        <w:t>：</w:t>
      </w:r>
      <w:r>
        <w:rPr>
          <w:rFonts w:hint="eastAsia" w:ascii="宋体" w:hAnsi="宋体" w:cs="宋体"/>
          <w:color w:val="auto"/>
          <w:sz w:val="21"/>
          <w:szCs w:val="21"/>
          <w:highlight w:val="none"/>
          <w:u w:val="single"/>
          <w:lang w:val="en-US" w:eastAsia="zh-CN"/>
        </w:rPr>
        <w:t>30</w:t>
      </w:r>
      <w:r>
        <w:rPr>
          <w:rFonts w:hint="eastAsia" w:ascii="宋体" w:hAnsi="宋体" w:eastAsia="宋体" w:cs="Times New Roman"/>
          <w:bCs/>
          <w:color w:val="auto"/>
          <w:kern w:val="0"/>
          <w:szCs w:val="21"/>
          <w:highlight w:val="none"/>
        </w:rPr>
        <w:t>；</w:t>
      </w:r>
    </w:p>
    <w:p w14:paraId="30CA5A5E">
      <w:pPr>
        <w:autoSpaceDE w:val="0"/>
        <w:autoSpaceDN w:val="0"/>
        <w:adjustRightInd w:val="0"/>
        <w:spacing w:line="360" w:lineRule="auto"/>
        <w:ind w:right="-29" w:rightChars="-14"/>
        <w:rPr>
          <w:rFonts w:hint="eastAsia"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rPr>
        <w:t xml:space="preserve">东莞市南城区西平社区宏伟三路45号东莞市公共资源交易中心第 </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color w:val="auto"/>
          <w:szCs w:val="21"/>
          <w:highlight w:val="none"/>
          <w:u w:val="single"/>
        </w:rPr>
        <w:t xml:space="preserve"> 开标室</w:t>
      </w:r>
      <w:r>
        <w:rPr>
          <w:rFonts w:hint="eastAsia" w:ascii="宋体" w:hAnsi="宋体" w:eastAsia="宋体" w:cs="Times New Roman"/>
          <w:color w:val="auto"/>
          <w:kern w:val="0"/>
          <w:szCs w:val="21"/>
          <w:highlight w:val="none"/>
        </w:rPr>
        <w:t>。</w:t>
      </w:r>
    </w:p>
    <w:p w14:paraId="46BB1E95">
      <w:pPr>
        <w:autoSpaceDE w:val="0"/>
        <w:autoSpaceDN w:val="0"/>
        <w:adjustRightInd w:val="0"/>
        <w:spacing w:line="360" w:lineRule="auto"/>
        <w:ind w:right="-29" w:rightChars="-14" w:firstLine="210" w:firstLineChars="100"/>
        <w:rPr>
          <w:rFonts w:hint="eastAsia" w:ascii="宋体" w:hAnsi="宋体" w:eastAsia="宋体" w:cs="Times New Roman"/>
          <w:color w:val="auto"/>
          <w:kern w:val="0"/>
          <w:szCs w:val="21"/>
          <w:highlight w:val="none"/>
        </w:rPr>
      </w:pPr>
    </w:p>
    <w:p w14:paraId="58AF1093">
      <w:pPr>
        <w:numPr>
          <w:ilvl w:val="0"/>
          <w:numId w:val="1"/>
        </w:numPr>
        <w:autoSpaceDE w:val="0"/>
        <w:autoSpaceDN w:val="0"/>
        <w:adjustRightInd w:val="0"/>
        <w:snapToGrid w:val="0"/>
        <w:spacing w:line="360" w:lineRule="auto"/>
        <w:ind w:right="-34"/>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0B874169">
      <w:pPr>
        <w:autoSpaceDE w:val="0"/>
        <w:autoSpaceDN w:val="0"/>
        <w:adjustRightInd w:val="0"/>
        <w:spacing w:line="360" w:lineRule="auto"/>
        <w:ind w:left="210" w:leftChars="100" w:right="-29" w:rightChars="-14"/>
        <w:rPr>
          <w:rFonts w:hint="eastAsia" w:ascii="宋体" w:hAnsi="宋体" w:eastAsia="宋体" w:cs="Times New Roman"/>
          <w:color w:val="auto"/>
          <w:szCs w:val="21"/>
          <w:highlight w:val="none"/>
          <w:lang w:val="zh-CN"/>
        </w:rPr>
      </w:pPr>
      <w:bookmarkStart w:id="840" w:name="_GoBack"/>
      <w:bookmarkEnd w:id="840"/>
    </w:p>
    <w:p w14:paraId="2FC4F975">
      <w:pPr>
        <w:numPr>
          <w:ilvl w:val="0"/>
          <w:numId w:val="1"/>
        </w:numPr>
        <w:autoSpaceDE w:val="0"/>
        <w:autoSpaceDN w:val="0"/>
        <w:adjustRightInd w:val="0"/>
        <w:snapToGrid w:val="0"/>
        <w:spacing w:line="360" w:lineRule="auto"/>
        <w:ind w:right="-34"/>
        <w:jc w:val="left"/>
        <w:rPr>
          <w:rFonts w:hint="eastAsia"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本项目相关公告在以下媒介发布：广东省公共资源交易平台（ygp.gdzwfw.gov.cn）、中国招标投标公共服务平台（www.cebpubservice.com）、东莞市水务集团有限公司网（www.dgswjt.cn）、招标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rPr>
        <w:t>机构</w:t>
      </w:r>
      <w:r>
        <w:rPr>
          <w:rFonts w:hint="eastAsia" w:ascii="宋体" w:hAnsi="宋体" w:eastAsia="宋体" w:cs="Times New Roman"/>
          <w:color w:val="auto"/>
          <w:szCs w:val="21"/>
          <w:highlight w:val="none"/>
          <w:lang w:val="zh-CN"/>
        </w:rPr>
        <w:t>网站（</w:t>
      </w:r>
      <w:r>
        <w:rPr>
          <w:rFonts w:hint="eastAsia" w:ascii="宋体" w:hAnsi="宋体" w:eastAsia="宋体" w:cs="宋体"/>
          <w:color w:val="auto"/>
          <w:szCs w:val="21"/>
          <w:highlight w:val="none"/>
          <w:lang w:val="zh-CN"/>
        </w:rPr>
        <w:t>www.youde.net</w:t>
      </w:r>
      <w:r>
        <w:rPr>
          <w:rFonts w:ascii="宋体" w:hAnsi="宋体" w:eastAsia="宋体" w:cs="Times New Roman"/>
          <w:color w:val="auto"/>
          <w:szCs w:val="21"/>
          <w:highlight w:val="none"/>
          <w:lang w:val="zh-CN"/>
        </w:rPr>
        <w:t>）。</w:t>
      </w:r>
    </w:p>
    <w:p w14:paraId="66E235FE">
      <w:pPr>
        <w:autoSpaceDE w:val="0"/>
        <w:autoSpaceDN w:val="0"/>
        <w:adjustRightInd w:val="0"/>
        <w:spacing w:line="360" w:lineRule="auto"/>
        <w:ind w:right="-29" w:rightChars="-14" w:firstLine="420"/>
        <w:rPr>
          <w:rFonts w:hint="eastAsia" w:ascii="宋体" w:hAnsi="宋体" w:eastAsia="宋体" w:cs="Times New Roman"/>
          <w:bCs/>
          <w:color w:val="auto"/>
          <w:szCs w:val="21"/>
          <w:highlight w:val="none"/>
        </w:rPr>
      </w:pPr>
    </w:p>
    <w:p w14:paraId="542C54DC">
      <w:pPr>
        <w:numPr>
          <w:ilvl w:val="0"/>
          <w:numId w:val="1"/>
        </w:numPr>
        <w:autoSpaceDE w:val="0"/>
        <w:autoSpaceDN w:val="0"/>
        <w:adjustRightInd w:val="0"/>
        <w:snapToGrid w:val="0"/>
        <w:spacing w:line="360" w:lineRule="auto"/>
        <w:ind w:right="-34"/>
        <w:jc w:val="left"/>
        <w:outlineLvl w:val="0"/>
        <w:rPr>
          <w:rFonts w:hint="eastAsia" w:ascii="宋体" w:hAnsi="宋体" w:eastAsia="宋体" w:cs="Times New Roman"/>
          <w:color w:val="auto"/>
          <w:szCs w:val="21"/>
          <w:highlight w:val="none"/>
        </w:rPr>
      </w:pPr>
      <w:bookmarkStart w:id="12" w:name="_Toc29813"/>
      <w:r>
        <w:rPr>
          <w:rFonts w:ascii="宋体" w:hAnsi="宋体" w:eastAsia="宋体" w:cs="Times New Roman"/>
          <w:bCs/>
          <w:color w:val="auto"/>
          <w:szCs w:val="21"/>
          <w:highlight w:val="none"/>
          <w:lang w:val="zh-CN"/>
        </w:rPr>
        <w:t>招标人联系方式</w:t>
      </w:r>
      <w:bookmarkEnd w:id="12"/>
    </w:p>
    <w:p w14:paraId="6ACC3A6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rPr>
        <w:t>东莞市水务集团有限公司</w:t>
      </w:r>
    </w:p>
    <w:p w14:paraId="48680D4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宋体"/>
          <w:color w:val="auto"/>
          <w:kern w:val="0"/>
          <w:szCs w:val="21"/>
          <w:highlight w:val="none"/>
        </w:rPr>
        <w:t>东莞市东城街道育华路1号</w:t>
      </w:r>
    </w:p>
    <w:p w14:paraId="0CDF77E4">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：何寿祥</w:t>
      </w:r>
    </w:p>
    <w:p w14:paraId="09DC123F">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0769-22296765</w:t>
      </w:r>
    </w:p>
    <w:p w14:paraId="1EDA6CCB">
      <w:pPr>
        <w:autoSpaceDE w:val="0"/>
        <w:autoSpaceDN w:val="0"/>
        <w:adjustRightInd w:val="0"/>
        <w:spacing w:line="360" w:lineRule="auto"/>
        <w:ind w:right="-29" w:rightChars="-14" w:firstLine="420"/>
        <w:rPr>
          <w:rFonts w:hint="eastAsia" w:ascii="宋体" w:hAnsi="宋体" w:eastAsia="宋体" w:cs="Times New Roman"/>
          <w:color w:val="auto"/>
          <w:kern w:val="0"/>
          <w:szCs w:val="21"/>
          <w:highlight w:val="none"/>
        </w:rPr>
      </w:pPr>
    </w:p>
    <w:p w14:paraId="5E092ADD">
      <w:pPr>
        <w:numPr>
          <w:ilvl w:val="0"/>
          <w:numId w:val="1"/>
        </w:numPr>
        <w:autoSpaceDE w:val="0"/>
        <w:autoSpaceDN w:val="0"/>
        <w:adjustRightInd w:val="0"/>
        <w:snapToGrid w:val="0"/>
        <w:spacing w:line="360" w:lineRule="auto"/>
        <w:ind w:right="-34"/>
        <w:jc w:val="left"/>
        <w:outlineLvl w:val="0"/>
        <w:rPr>
          <w:rFonts w:hint="eastAsia" w:ascii="宋体" w:hAnsi="宋体" w:eastAsia="宋体" w:cs="Times New Roman"/>
          <w:color w:val="auto"/>
          <w:szCs w:val="21"/>
          <w:highlight w:val="none"/>
        </w:rPr>
      </w:pPr>
      <w:bookmarkStart w:id="13" w:name="_Toc23535"/>
      <w:r>
        <w:rPr>
          <w:rFonts w:ascii="宋体" w:hAnsi="宋体" w:eastAsia="宋体" w:cs="Times New Roman"/>
          <w:color w:val="auto"/>
          <w:szCs w:val="21"/>
          <w:highlight w:val="none"/>
        </w:rPr>
        <w:t>招标代理机构</w:t>
      </w:r>
      <w:r>
        <w:rPr>
          <w:rFonts w:hint="eastAsia" w:ascii="宋体" w:hAnsi="宋体" w:eastAsia="宋体" w:cs="宋体"/>
          <w:color w:val="auto"/>
          <w:kern w:val="0"/>
          <w:szCs w:val="21"/>
          <w:highlight w:val="none"/>
        </w:rPr>
        <w:t>及异议受理</w:t>
      </w:r>
      <w:r>
        <w:rPr>
          <w:rFonts w:ascii="宋体" w:hAnsi="宋体" w:eastAsia="宋体" w:cs="Times New Roman"/>
          <w:color w:val="auto"/>
          <w:szCs w:val="21"/>
          <w:highlight w:val="none"/>
        </w:rPr>
        <w:t>联系方式</w:t>
      </w:r>
      <w:bookmarkEnd w:id="13"/>
    </w:p>
    <w:p w14:paraId="258F07A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bookmarkStart w:id="14" w:name="_Toc31764_WPSOffice_Level1"/>
      <w:bookmarkStart w:id="15" w:name="_Toc486167661"/>
      <w:bookmarkStart w:id="16" w:name="_Toc450662847"/>
      <w:r>
        <w:rPr>
          <w:rFonts w:hint="eastAsia" w:ascii="宋体" w:hAnsi="宋体" w:eastAsia="宋体" w:cs="宋体"/>
          <w:color w:val="auto"/>
          <w:kern w:val="0"/>
          <w:szCs w:val="21"/>
          <w:highlight w:val="none"/>
        </w:rPr>
        <w:t>招标代理机构：广东有德招标采购有限公司</w:t>
      </w:r>
    </w:p>
    <w:p w14:paraId="60B3E17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址：东莞市东城街道新源路海德琥珀台6栋1703室</w:t>
      </w:r>
    </w:p>
    <w:p w14:paraId="1C1D735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联系人：郑翠婷</w:t>
      </w:r>
    </w:p>
    <w:p w14:paraId="00764E8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szCs w:val="21"/>
          <w:highlight w:val="none"/>
        </w:rPr>
        <w:t>0769-23362836-8019</w:t>
      </w:r>
    </w:p>
    <w:p w14:paraId="30981429">
      <w:pPr>
        <w:pageBreakBefore/>
        <w:tabs>
          <w:tab w:val="left" w:pos="1080"/>
        </w:tabs>
        <w:autoSpaceDE w:val="0"/>
        <w:autoSpaceDN w:val="0"/>
        <w:adjustRightInd w:val="0"/>
        <w:spacing w:line="360" w:lineRule="auto"/>
        <w:ind w:left="-167" w:leftChars="-100" w:hanging="43"/>
        <w:jc w:val="center"/>
        <w:outlineLvl w:val="1"/>
        <w:rPr>
          <w:rFonts w:hint="eastAsia" w:ascii="宋体" w:hAnsi="宋体" w:eastAsia="宋体" w:cs="宋体"/>
          <w:b/>
          <w:bCs/>
          <w:color w:val="auto"/>
          <w:kern w:val="44"/>
          <w:sz w:val="32"/>
          <w:szCs w:val="32"/>
          <w:highlight w:val="none"/>
        </w:rPr>
      </w:pPr>
      <w:bookmarkStart w:id="17" w:name="_Toc12475"/>
      <w:bookmarkStart w:id="18" w:name="_Toc9862"/>
      <w:bookmarkStart w:id="19" w:name="_Toc142508311"/>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4"/>
      <w:bookmarkEnd w:id="15"/>
      <w:bookmarkEnd w:id="16"/>
      <w:bookmarkEnd w:id="17"/>
      <w:bookmarkEnd w:id="18"/>
      <w:bookmarkEnd w:id="19"/>
    </w:p>
    <w:p w14:paraId="036AF319">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0" w:name="_Toc140596871"/>
      <w:bookmarkStart w:id="21" w:name="_Toc142508312"/>
      <w:bookmarkStart w:id="22" w:name="_Toc450662848"/>
      <w:bookmarkStart w:id="23" w:name="_Toc20771"/>
      <w:bookmarkStart w:id="24" w:name="_Toc15366_WPSOffice_Level2"/>
      <w:bookmarkStart w:id="25" w:name="_Toc486167662"/>
      <w:bookmarkStart w:id="26" w:name="_Toc16098"/>
      <w:r>
        <w:rPr>
          <w:rFonts w:hint="eastAsia" w:ascii="宋体" w:hAnsi="宋体" w:eastAsia="宋体" w:cs="宋体"/>
          <w:b/>
          <w:bCs/>
          <w:color w:val="auto"/>
          <w:kern w:val="44"/>
          <w:szCs w:val="21"/>
          <w:highlight w:val="none"/>
          <w:lang w:val="zh-CN"/>
        </w:rPr>
        <w:t>一、总则</w:t>
      </w:r>
      <w:bookmarkEnd w:id="20"/>
      <w:bookmarkEnd w:id="21"/>
      <w:bookmarkEnd w:id="22"/>
      <w:bookmarkEnd w:id="23"/>
      <w:bookmarkEnd w:id="24"/>
      <w:bookmarkEnd w:id="25"/>
      <w:bookmarkEnd w:id="26"/>
    </w:p>
    <w:p w14:paraId="0A6A1AF4">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7" w:name="_Toc21710_WPSOffice_Level3"/>
      <w:bookmarkStart w:id="28" w:name="_Toc450662849"/>
      <w:bookmarkStart w:id="29" w:name="_Toc18901"/>
      <w:bookmarkStart w:id="30" w:name="_Toc142508313"/>
      <w:bookmarkStart w:id="31" w:name="_Toc16700"/>
      <w:bookmarkStart w:id="32" w:name="_Toc48616766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7"/>
      <w:bookmarkEnd w:id="28"/>
      <w:bookmarkEnd w:id="29"/>
      <w:bookmarkEnd w:id="30"/>
      <w:bookmarkEnd w:id="31"/>
      <w:bookmarkEnd w:id="32"/>
    </w:p>
    <w:p w14:paraId="240140B0">
      <w:pPr>
        <w:autoSpaceDE w:val="0"/>
        <w:autoSpaceDN w:val="0"/>
        <w:adjustRightInd w:val="0"/>
        <w:jc w:val="left"/>
        <w:rPr>
          <w:rFonts w:hint="eastAsia" w:ascii="宋体" w:hAnsi="宋体" w:eastAsia="宋体" w:cs="宋体"/>
          <w:color w:val="auto"/>
          <w:kern w:val="0"/>
          <w:sz w:val="24"/>
          <w:szCs w:val="24"/>
          <w:highlight w:val="none"/>
        </w:rPr>
      </w:pPr>
    </w:p>
    <w:p w14:paraId="2C224A1D">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33" w:name="_Toc486167664"/>
      <w:bookmarkStart w:id="34" w:name="_Toc142508314"/>
      <w:bookmarkStart w:id="35" w:name="_Toc5550"/>
      <w:bookmarkStart w:id="36" w:name="_Toc450662850"/>
      <w:bookmarkStart w:id="37" w:name="_Toc28435"/>
      <w:bookmarkStart w:id="38" w:name="_Toc80_WPSOffice_Level3"/>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3"/>
      <w:bookmarkEnd w:id="34"/>
      <w:bookmarkEnd w:id="35"/>
      <w:bookmarkEnd w:id="36"/>
      <w:bookmarkEnd w:id="37"/>
      <w:bookmarkEnd w:id="38"/>
    </w:p>
    <w:p w14:paraId="69BD1BB3">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rPr>
        <w:t>2.5</w:t>
      </w:r>
      <w:r>
        <w:rPr>
          <w:rFonts w:hint="eastAsia" w:ascii="宋体" w:hAnsi="宋体" w:eastAsia="宋体" w:cs="宋体"/>
          <w:b/>
          <w:color w:val="auto"/>
          <w:szCs w:val="21"/>
          <w:highlight w:val="none"/>
          <w:lang w:val="zh-CN"/>
        </w:rPr>
        <w:t>款的通用要求。</w:t>
      </w:r>
    </w:p>
    <w:p w14:paraId="75625E9E">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18F268FE">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48009D28">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14:paraId="0B250BEA">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5A842A02">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14:paraId="718DF1AE">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39" w:name="_Toc142508315"/>
      <w:bookmarkStart w:id="40" w:name="_Toc8199"/>
      <w:bookmarkStart w:id="41" w:name="_Toc23847_WPSOffice_Level3"/>
      <w:bookmarkStart w:id="42" w:name="_Toc9870"/>
      <w:bookmarkStart w:id="43" w:name="_Toc450662851"/>
      <w:bookmarkStart w:id="44"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9"/>
      <w:bookmarkEnd w:id="40"/>
      <w:bookmarkEnd w:id="41"/>
      <w:bookmarkEnd w:id="42"/>
    </w:p>
    <w:p w14:paraId="51FCDC7A">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720F10B1">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45" w:name="_Toc1977663"/>
      <w:bookmarkStart w:id="46" w:name="_Toc5337080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45"/>
    <w:bookmarkEnd w:id="46"/>
    <w:p w14:paraId="25AFC78D">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47" w:name="_Toc533708064"/>
      <w:bookmarkStart w:id="48" w:name="_Toc1977664"/>
      <w:r>
        <w:rPr>
          <w:rFonts w:hint="eastAsia" w:ascii="宋体" w:hAnsi="宋体" w:eastAsia="宋体" w:cs="宋体"/>
          <w:color w:val="auto"/>
          <w:szCs w:val="21"/>
          <w:highlight w:val="none"/>
          <w:lang w:val="zh-CN"/>
        </w:rPr>
        <w:t xml:space="preserve">3.3  </w:t>
      </w:r>
      <w:bookmarkEnd w:id="47"/>
      <w:bookmarkEnd w:id="48"/>
      <w:bookmarkStart w:id="49" w:name="_Toc1977665"/>
      <w:bookmarkStart w:id="50"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9"/>
      <w:bookmarkEnd w:id="50"/>
    </w:p>
    <w:p w14:paraId="28671345">
      <w:pPr>
        <w:autoSpaceDE w:val="0"/>
        <w:autoSpaceDN w:val="0"/>
        <w:adjustRightInd w:val="0"/>
        <w:spacing w:line="360" w:lineRule="auto"/>
        <w:ind w:left="315" w:leftChars="-100" w:hanging="525" w:hangingChars="250"/>
        <w:rPr>
          <w:rFonts w:hint="eastAsia" w:ascii="宋体" w:hAnsi="宋体" w:eastAsia="宋体" w:cs="Times New Roman"/>
          <w:color w:val="auto"/>
          <w:kern w:val="0"/>
          <w:szCs w:val="21"/>
          <w:highlight w:val="none"/>
        </w:rPr>
      </w:pPr>
      <w:bookmarkStart w:id="51" w:name="_Toc1977666"/>
      <w:bookmarkStart w:id="52"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1"/>
    <w:bookmarkEnd w:id="52"/>
    <w:p w14:paraId="6EBE55C7">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3" w:name="_Toc1977667"/>
      <w:bookmarkStart w:id="54"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3"/>
      <w:bookmarkEnd w:id="54"/>
    </w:p>
    <w:p w14:paraId="44F3A7B8">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5" w:name="_Toc533708068"/>
      <w:bookmarkStart w:id="56"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highlight w:val="none"/>
          <w:lang w:val="zh-CN"/>
        </w:rPr>
        <w:t>。</w:t>
      </w:r>
      <w:bookmarkEnd w:id="55"/>
      <w:bookmarkEnd w:id="56"/>
    </w:p>
    <w:p w14:paraId="63BA1C3A">
      <w:pPr>
        <w:autoSpaceDE w:val="0"/>
        <w:autoSpaceDN w:val="0"/>
        <w:adjustRightInd w:val="0"/>
        <w:spacing w:line="360" w:lineRule="auto"/>
        <w:jc w:val="left"/>
        <w:rPr>
          <w:rFonts w:hint="eastAsia" w:ascii="宋体" w:hAnsi="宋体" w:eastAsia="宋体" w:cs="宋体"/>
          <w:color w:val="auto"/>
          <w:szCs w:val="21"/>
          <w:highlight w:val="none"/>
          <w:lang w:val="zh-CN"/>
        </w:rPr>
      </w:pPr>
    </w:p>
    <w:p w14:paraId="5FCF18ED">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57" w:name="_Toc19181"/>
      <w:bookmarkStart w:id="58" w:name="_Toc142508316"/>
      <w:bookmarkStart w:id="59" w:name="_Toc9658_WPSOffice_Level3"/>
      <w:bookmarkStart w:id="60" w:name="_Toc23394"/>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7"/>
      <w:bookmarkEnd w:id="58"/>
      <w:bookmarkEnd w:id="59"/>
      <w:bookmarkEnd w:id="60"/>
    </w:p>
    <w:p w14:paraId="06BABA9E">
      <w:pPr>
        <w:autoSpaceDE w:val="0"/>
        <w:autoSpaceDN w:val="0"/>
        <w:adjustRightInd w:val="0"/>
        <w:spacing w:line="360" w:lineRule="auto"/>
        <w:ind w:left="315" w:leftChars="-100" w:hanging="525" w:hangingChars="250"/>
        <w:outlineLvl w:val="1"/>
        <w:rPr>
          <w:rFonts w:hint="eastAsia" w:ascii="宋体" w:hAnsi="宋体" w:eastAsia="宋体" w:cs="宋体"/>
          <w:color w:val="auto"/>
          <w:szCs w:val="21"/>
          <w:highlight w:val="none"/>
          <w:lang w:val="zh-CN"/>
        </w:rPr>
      </w:pPr>
      <w:bookmarkStart w:id="61" w:name="_Toc533708070"/>
      <w:bookmarkStart w:id="62" w:name="_Toc1977670"/>
      <w:bookmarkStart w:id="63" w:name="_Toc31758"/>
      <w:r>
        <w:rPr>
          <w:rFonts w:hint="eastAsia" w:ascii="宋体" w:hAnsi="宋体" w:eastAsia="宋体" w:cs="宋体"/>
          <w:color w:val="auto"/>
          <w:szCs w:val="21"/>
          <w:highlight w:val="none"/>
          <w:lang w:val="zh-CN"/>
        </w:rPr>
        <w:t>4.1  投标费用</w:t>
      </w:r>
      <w:bookmarkEnd w:id="61"/>
      <w:bookmarkEnd w:id="62"/>
      <w:bookmarkEnd w:id="63"/>
    </w:p>
    <w:p w14:paraId="6D09A930">
      <w:pPr>
        <w:autoSpaceDE w:val="0"/>
        <w:autoSpaceDN w:val="0"/>
        <w:adjustRightInd w:val="0"/>
        <w:spacing w:line="360" w:lineRule="auto"/>
        <w:ind w:left="210" w:leftChars="100" w:firstLine="420" w:firstLineChars="200"/>
        <w:rPr>
          <w:rFonts w:hint="eastAsia" w:ascii="宋体" w:hAnsi="宋体" w:eastAsia="宋体" w:cs="宋体"/>
          <w:color w:val="auto"/>
          <w:szCs w:val="21"/>
          <w:highlight w:val="none"/>
          <w:lang w:val="zh-CN"/>
        </w:rPr>
      </w:pPr>
      <w:bookmarkStart w:id="64" w:name="_Toc1977672"/>
      <w:bookmarkStart w:id="65"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64"/>
      <w:bookmarkEnd w:id="65"/>
    </w:p>
    <w:p w14:paraId="28DE6B98">
      <w:pPr>
        <w:autoSpaceDE w:val="0"/>
        <w:autoSpaceDN w:val="0"/>
        <w:adjustRightInd w:val="0"/>
        <w:spacing w:line="360" w:lineRule="auto"/>
        <w:ind w:left="315" w:leftChars="-100" w:hanging="525" w:hangingChars="250"/>
        <w:outlineLvl w:val="1"/>
        <w:rPr>
          <w:rFonts w:hint="eastAsia" w:ascii="宋体" w:hAnsi="宋体" w:eastAsia="宋体" w:cs="宋体"/>
          <w:color w:val="auto"/>
          <w:szCs w:val="21"/>
          <w:highlight w:val="none"/>
          <w:lang w:val="zh-CN"/>
        </w:rPr>
      </w:pPr>
      <w:bookmarkStart w:id="66" w:name="_Toc20954"/>
      <w:bookmarkStart w:id="67" w:name="_Toc1977673"/>
      <w:bookmarkStart w:id="68" w:name="_Toc533708073"/>
      <w:r>
        <w:rPr>
          <w:rFonts w:hint="eastAsia" w:ascii="宋体" w:hAnsi="宋体" w:eastAsia="宋体" w:cs="宋体"/>
          <w:color w:val="auto"/>
          <w:szCs w:val="21"/>
          <w:highlight w:val="none"/>
          <w:lang w:val="zh-CN"/>
        </w:rPr>
        <w:t>4.2  踏勘现场</w:t>
      </w:r>
      <w:bookmarkEnd w:id="66"/>
      <w:bookmarkEnd w:id="67"/>
      <w:bookmarkEnd w:id="68"/>
    </w:p>
    <w:p w14:paraId="29F5B92D">
      <w:pPr>
        <w:autoSpaceDE w:val="0"/>
        <w:autoSpaceDN w:val="0"/>
        <w:adjustRightInd w:val="0"/>
        <w:spacing w:line="360" w:lineRule="auto"/>
        <w:ind w:left="300" w:leftChars="-59" w:hanging="424" w:hangingChars="202"/>
        <w:jc w:val="left"/>
        <w:rPr>
          <w:rFonts w:hint="eastAsia" w:ascii="宋体" w:hAnsi="宋体" w:eastAsia="宋体" w:cs="Times New Roman"/>
          <w:color w:val="auto"/>
          <w:kern w:val="0"/>
          <w:szCs w:val="21"/>
          <w:highlight w:val="none"/>
        </w:rPr>
      </w:pPr>
      <w:bookmarkStart w:id="69" w:name="_Toc1977676"/>
      <w:bookmarkStart w:id="70"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6217DC6C">
      <w:pPr>
        <w:autoSpaceDE w:val="0"/>
        <w:autoSpaceDN w:val="0"/>
        <w:adjustRightInd w:val="0"/>
        <w:spacing w:line="360" w:lineRule="auto"/>
        <w:ind w:left="300" w:leftChars="-59" w:hanging="424" w:hangingChars="202"/>
        <w:jc w:val="left"/>
        <w:outlineLvl w:val="2"/>
        <w:rPr>
          <w:rFonts w:hint="eastAsia" w:ascii="宋体" w:hAnsi="宋体" w:eastAsia="宋体" w:cs="Times New Roman"/>
          <w:color w:val="auto"/>
          <w:kern w:val="0"/>
          <w:szCs w:val="21"/>
          <w:highlight w:val="none"/>
        </w:rPr>
      </w:pPr>
      <w:bookmarkStart w:id="71" w:name="_Toc2328"/>
      <w:r>
        <w:rPr>
          <w:rFonts w:hint="eastAsia" w:ascii="宋体" w:hAnsi="宋体" w:eastAsia="宋体" w:cs="Times New Roman"/>
          <w:color w:val="auto"/>
          <w:kern w:val="0"/>
          <w:szCs w:val="21"/>
          <w:highlight w:val="none"/>
        </w:rPr>
        <w:t>（2）潜在投标人应承担踏勘现场自身所发生的费用。</w:t>
      </w:r>
      <w:bookmarkEnd w:id="71"/>
    </w:p>
    <w:p w14:paraId="5F6CED0E">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0121DBF9">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5060539B">
      <w:pPr>
        <w:autoSpaceDE w:val="0"/>
        <w:autoSpaceDN w:val="0"/>
        <w:adjustRightInd w:val="0"/>
        <w:spacing w:line="360" w:lineRule="auto"/>
        <w:ind w:left="315" w:leftChars="-100" w:hanging="525" w:hangingChars="250"/>
        <w:outlineLvl w:val="1"/>
        <w:rPr>
          <w:rFonts w:hint="eastAsia" w:ascii="宋体" w:hAnsi="宋体" w:eastAsia="宋体" w:cs="宋体"/>
          <w:color w:val="auto"/>
          <w:szCs w:val="21"/>
          <w:highlight w:val="none"/>
          <w:lang w:val="zh-CN"/>
        </w:rPr>
      </w:pPr>
      <w:bookmarkStart w:id="72" w:name="_Toc7401"/>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3"/>
      <w:bookmarkEnd w:id="44"/>
      <w:bookmarkEnd w:id="69"/>
      <w:bookmarkEnd w:id="70"/>
      <w:bookmarkEnd w:id="72"/>
    </w:p>
    <w:p w14:paraId="0E2DD972">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74D03E2C">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1E7A3D11">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67F175AF">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2E9FF80F">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288D926B">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5F5B2B19">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14:paraId="7E8EA83F">
      <w:pPr>
        <w:keepNext/>
        <w:keepLines/>
        <w:autoSpaceDE w:val="0"/>
        <w:autoSpaceDN w:val="0"/>
        <w:adjustRightInd w:val="0"/>
        <w:spacing w:line="360" w:lineRule="auto"/>
        <w:jc w:val="left"/>
        <w:outlineLvl w:val="2"/>
        <w:rPr>
          <w:rFonts w:hint="eastAsia" w:ascii="宋体" w:hAnsi="宋体" w:eastAsia="宋体" w:cs="宋体"/>
          <w:b/>
          <w:bCs/>
          <w:color w:val="auto"/>
          <w:kern w:val="44"/>
          <w:szCs w:val="21"/>
          <w:highlight w:val="none"/>
          <w:lang w:val="zh-CN"/>
        </w:rPr>
      </w:pPr>
      <w:bookmarkStart w:id="73" w:name="_Toc142508317"/>
      <w:bookmarkStart w:id="74" w:name="_Toc140596876"/>
      <w:bookmarkStart w:id="75" w:name="_Toc1482"/>
      <w:bookmarkStart w:id="76" w:name="_Toc19081"/>
      <w:bookmarkStart w:id="77" w:name="_Toc450662853"/>
      <w:bookmarkStart w:id="78" w:name="_Toc30507_WPSOffice_Level2"/>
      <w:bookmarkStart w:id="79" w:name="_Toc486167667"/>
      <w:r>
        <w:rPr>
          <w:rFonts w:hint="eastAsia" w:ascii="宋体" w:hAnsi="宋体" w:eastAsia="宋体" w:cs="宋体"/>
          <w:b/>
          <w:bCs/>
          <w:color w:val="auto"/>
          <w:kern w:val="44"/>
          <w:szCs w:val="21"/>
          <w:highlight w:val="none"/>
          <w:lang w:val="zh-CN"/>
        </w:rPr>
        <w:t>二、招标文件</w:t>
      </w:r>
      <w:bookmarkEnd w:id="73"/>
      <w:bookmarkEnd w:id="74"/>
      <w:bookmarkEnd w:id="75"/>
      <w:bookmarkEnd w:id="76"/>
      <w:bookmarkEnd w:id="77"/>
      <w:bookmarkEnd w:id="78"/>
      <w:bookmarkEnd w:id="79"/>
    </w:p>
    <w:p w14:paraId="0A6A9D9B">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80" w:name="_Toc26635_WPSOffice_Level3"/>
      <w:bookmarkStart w:id="81" w:name="_Toc486167668"/>
      <w:bookmarkStart w:id="82" w:name="_Toc450662854"/>
      <w:bookmarkStart w:id="83" w:name="_Toc142508318"/>
      <w:bookmarkStart w:id="84" w:name="_Toc1375"/>
      <w:bookmarkStart w:id="85" w:name="_Toc28179"/>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80"/>
      <w:bookmarkEnd w:id="81"/>
      <w:bookmarkEnd w:id="82"/>
      <w:bookmarkEnd w:id="83"/>
      <w:bookmarkEnd w:id="84"/>
      <w:bookmarkEnd w:id="85"/>
    </w:p>
    <w:p w14:paraId="54969557">
      <w:pPr>
        <w:tabs>
          <w:tab w:val="left" w:pos="567"/>
        </w:tabs>
        <w:autoSpaceDE w:val="0"/>
        <w:autoSpaceDN w:val="0"/>
        <w:adjustRightInd w:val="0"/>
        <w:spacing w:line="360" w:lineRule="auto"/>
        <w:ind w:left="357" w:leftChars="-100" w:hanging="567"/>
        <w:outlineLvl w:val="1"/>
        <w:rPr>
          <w:rFonts w:hint="eastAsia" w:ascii="宋体" w:hAnsi="宋体" w:eastAsia="宋体" w:cs="宋体"/>
          <w:color w:val="auto"/>
          <w:szCs w:val="21"/>
          <w:highlight w:val="none"/>
          <w:lang w:val="zh-CN"/>
        </w:rPr>
      </w:pPr>
      <w:bookmarkStart w:id="86" w:name="_Toc19689"/>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bookmarkEnd w:id="86"/>
    </w:p>
    <w:p w14:paraId="3BE270BF">
      <w:pPr>
        <w:tabs>
          <w:tab w:val="left" w:pos="1890"/>
        </w:tabs>
        <w:autoSpaceDE w:val="0"/>
        <w:autoSpaceDN w:val="0"/>
        <w:adjustRightInd w:val="0"/>
        <w:spacing w:line="360" w:lineRule="auto"/>
        <w:ind w:firstLine="424" w:firstLineChars="202"/>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5F4A7038">
      <w:pPr>
        <w:tabs>
          <w:tab w:val="left" w:pos="1890"/>
        </w:tabs>
        <w:autoSpaceDE w:val="0"/>
        <w:autoSpaceDN w:val="0"/>
        <w:adjustRightInd w:val="0"/>
        <w:spacing w:line="360" w:lineRule="auto"/>
        <w:ind w:firstLine="424" w:firstLineChars="202"/>
        <w:outlineLvl w:val="2"/>
        <w:rPr>
          <w:rFonts w:hint="eastAsia" w:ascii="宋体" w:hAnsi="宋体" w:eastAsia="宋体" w:cs="Times New Roman"/>
          <w:color w:val="auto"/>
          <w:szCs w:val="21"/>
          <w:highlight w:val="none"/>
          <w:lang w:val="zh-CN"/>
        </w:rPr>
      </w:pPr>
      <w:bookmarkStart w:id="87" w:name="_Toc1177"/>
      <w:r>
        <w:rPr>
          <w:rFonts w:hint="eastAsia" w:ascii="宋体" w:hAnsi="宋体" w:eastAsia="宋体" w:cs="Times New Roman"/>
          <w:color w:val="auto"/>
          <w:szCs w:val="21"/>
          <w:highlight w:val="none"/>
          <w:lang w:val="zh-CN"/>
        </w:rPr>
        <w:t>第二篇 投标人须知</w:t>
      </w:r>
      <w:bookmarkEnd w:id="87"/>
    </w:p>
    <w:p w14:paraId="72F74E10">
      <w:pPr>
        <w:tabs>
          <w:tab w:val="left" w:pos="1890"/>
        </w:tabs>
        <w:autoSpaceDE w:val="0"/>
        <w:autoSpaceDN w:val="0"/>
        <w:adjustRightInd w:val="0"/>
        <w:spacing w:line="360" w:lineRule="auto"/>
        <w:ind w:firstLine="424" w:firstLineChars="202"/>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31E54D9D">
      <w:pPr>
        <w:tabs>
          <w:tab w:val="left" w:pos="1890"/>
        </w:tabs>
        <w:autoSpaceDE w:val="0"/>
        <w:autoSpaceDN w:val="0"/>
        <w:adjustRightInd w:val="0"/>
        <w:spacing w:line="360" w:lineRule="auto"/>
        <w:ind w:firstLine="424" w:firstLineChars="202"/>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4F1F2270">
      <w:pPr>
        <w:tabs>
          <w:tab w:val="left" w:pos="1890"/>
        </w:tabs>
        <w:autoSpaceDE w:val="0"/>
        <w:autoSpaceDN w:val="0"/>
        <w:adjustRightInd w:val="0"/>
        <w:spacing w:line="360" w:lineRule="auto"/>
        <w:ind w:firstLine="424" w:firstLineChars="202"/>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41DEB4B8">
      <w:pPr>
        <w:tabs>
          <w:tab w:val="left" w:pos="1890"/>
        </w:tabs>
        <w:autoSpaceDE w:val="0"/>
        <w:autoSpaceDN w:val="0"/>
        <w:adjustRightInd w:val="0"/>
        <w:spacing w:line="360" w:lineRule="auto"/>
        <w:ind w:firstLine="424" w:firstLineChars="202"/>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07143B66">
      <w:pPr>
        <w:tabs>
          <w:tab w:val="left" w:pos="1890"/>
        </w:tabs>
        <w:autoSpaceDE w:val="0"/>
        <w:autoSpaceDN w:val="0"/>
        <w:adjustRightInd w:val="0"/>
        <w:spacing w:line="360" w:lineRule="auto"/>
        <w:ind w:firstLine="424" w:firstLineChars="202"/>
        <w:rPr>
          <w:rFonts w:hint="eastAsia"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149D9EB3">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4C5F9F2A">
      <w:pPr>
        <w:autoSpaceDE w:val="0"/>
        <w:autoSpaceDN w:val="0"/>
        <w:adjustRightInd w:val="0"/>
        <w:spacing w:line="360" w:lineRule="auto"/>
        <w:ind w:left="356" w:leftChars="-99" w:hanging="564" w:hangingChars="269"/>
        <w:outlineLvl w:val="1"/>
        <w:rPr>
          <w:rFonts w:hint="eastAsia" w:ascii="宋体" w:hAnsi="宋体" w:eastAsia="宋体" w:cs="宋体"/>
          <w:b/>
          <w:bCs/>
          <w:color w:val="auto"/>
          <w:szCs w:val="21"/>
          <w:highlight w:val="none"/>
          <w:u w:val="single"/>
        </w:rPr>
      </w:pPr>
      <w:bookmarkStart w:id="88" w:name="_Toc3916"/>
      <w:r>
        <w:rPr>
          <w:rFonts w:hint="eastAsia" w:ascii="宋体" w:hAnsi="宋体" w:eastAsia="宋体" w:cs="宋体"/>
          <w:color w:val="auto"/>
          <w:szCs w:val="21"/>
          <w:highlight w:val="none"/>
          <w:lang w:val="zh-CN"/>
        </w:rPr>
        <w:t>5.3  本招标文件使用的词语有如下定义：</w:t>
      </w:r>
      <w:bookmarkEnd w:id="88"/>
    </w:p>
    <w:p w14:paraId="01EC730D">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（1）“招标人”指东莞市水务集团有限公司；</w:t>
      </w:r>
    </w:p>
    <w:p w14:paraId="0EA4999E">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宋体"/>
          <w:color w:val="auto"/>
          <w:kern w:val="0"/>
          <w:szCs w:val="21"/>
          <w:highlight w:val="none"/>
        </w:rPr>
        <w:t>广东有德招标采购有限公司</w:t>
      </w:r>
      <w:r>
        <w:rPr>
          <w:rFonts w:hint="eastAsia" w:ascii="宋体" w:hAnsi="宋体" w:eastAsia="宋体" w:cs="Times New Roman"/>
          <w:color w:val="auto"/>
          <w:kern w:val="0"/>
          <w:szCs w:val="21"/>
          <w:highlight w:val="none"/>
        </w:rPr>
        <w:t>；</w:t>
      </w:r>
    </w:p>
    <w:p w14:paraId="07BD1CE9">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）“投标人”指参加东莞市水务集团有限公司2025年度液态次氯酸钠采购项目所需的货物及有关服务的投标，并向招标代理机构提交投标文件的当事人；</w:t>
      </w:r>
    </w:p>
    <w:p w14:paraId="5162E73C">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7C2E2335">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）“中标人”指其投标被招标人接受，并与招标人权属子公司（含招标人权属子公司的子公司、分公司）签订合同的当事人；</w:t>
      </w:r>
    </w:p>
    <w:p w14:paraId="10B2B547">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）“甲方”指在合同条款中指明的购买货物及有关服务的单位，即东莞市水务集团有限公司权属子公司（含东莞市水务集团有限公司权属子公司的子公司、分公司）；</w:t>
      </w:r>
    </w:p>
    <w:p w14:paraId="31A0314A">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2A5EF26D">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）“招标文件”指包括招标公告和招标文件及其补充、变更和澄清等一系列文件；</w:t>
      </w:r>
    </w:p>
    <w:p w14:paraId="604B3D26">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361EABF0">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1DDF9919">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50B07895">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4DB423CC">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26836511">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生产运输、采购货物等所产生的价税）的其他全部费用。本采购项目投标人的销项税额由招标人权属子公司（含招标人权属子公司的子公司、分公司）承担，不计入投标报价。</w:t>
      </w:r>
    </w:p>
    <w:p w14:paraId="2B75F3A6">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14:paraId="4DA29CF4">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89" w:name="_Toc18407"/>
      <w:bookmarkStart w:id="90" w:name="_Toc486167669"/>
      <w:bookmarkStart w:id="91" w:name="_Toc142508319"/>
      <w:bookmarkStart w:id="92" w:name="_Toc29125_WPSOffice_Level3"/>
      <w:bookmarkStart w:id="93" w:name="_Toc990"/>
      <w:bookmarkStart w:id="94" w:name="_Toc450662855"/>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89"/>
      <w:bookmarkEnd w:id="90"/>
      <w:bookmarkEnd w:id="91"/>
      <w:bookmarkEnd w:id="92"/>
      <w:bookmarkEnd w:id="93"/>
      <w:bookmarkEnd w:id="94"/>
    </w:p>
    <w:p w14:paraId="5FCE9BEA">
      <w:pPr>
        <w:autoSpaceDE w:val="0"/>
        <w:autoSpaceDN w:val="0"/>
        <w:adjustRightInd w:val="0"/>
        <w:spacing w:line="360" w:lineRule="auto"/>
        <w:ind w:left="288" w:leftChars="137" w:firstLine="420" w:firstLineChars="200"/>
        <w:rPr>
          <w:rFonts w:hint="eastAsia"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78718BAF">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14:paraId="0212F644">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95" w:name="_Toc450662856"/>
      <w:bookmarkStart w:id="96" w:name="_Toc142508320"/>
      <w:bookmarkStart w:id="97" w:name="_Toc26320"/>
      <w:bookmarkStart w:id="98" w:name="_Toc486167670"/>
      <w:bookmarkStart w:id="99" w:name="_Toc10838"/>
      <w:bookmarkStart w:id="100" w:name="_Toc23483_WPSOffice_Level3"/>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95"/>
      <w:bookmarkEnd w:id="96"/>
      <w:bookmarkEnd w:id="97"/>
      <w:bookmarkEnd w:id="98"/>
      <w:bookmarkEnd w:id="99"/>
      <w:bookmarkEnd w:id="100"/>
    </w:p>
    <w:p w14:paraId="5E4EB170">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1342C5F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7D181B4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HYPERLINK "D:\\软件\\WeChat Files\\WeChat Files\\wxid_4239732397412\\FileStorage\\File\\2025-02\\www.dgswjt.cn）、招标代理公司网站（http:\\              ）"</w:instrText>
      </w:r>
      <w:r>
        <w:rPr>
          <w:color w:val="auto"/>
          <w:highlight w:val="none"/>
        </w:rPr>
        <w:fldChar w:fldCharType="separate"/>
      </w:r>
      <w:r>
        <w:rPr>
          <w:rStyle w:val="44"/>
          <w:rFonts w:ascii="宋体" w:hAnsi="宋体" w:eastAsia="宋体" w:cs="Times New Roman"/>
          <w:color w:val="auto"/>
          <w:sz w:val="21"/>
          <w:szCs w:val="21"/>
          <w:highlight w:val="none"/>
        </w:rPr>
        <w:t>www.dgswjt.cn）</w:t>
      </w:r>
      <w:r>
        <w:rPr>
          <w:rStyle w:val="44"/>
          <w:rFonts w:ascii="宋体" w:hAnsi="宋体" w:eastAsia="宋体" w:cs="Times New Roman"/>
          <w:color w:val="auto"/>
          <w:sz w:val="21"/>
          <w:szCs w:val="21"/>
          <w:highlight w:val="none"/>
          <w:lang w:val="zh-CN"/>
        </w:rPr>
        <w:t>、</w:t>
      </w:r>
      <w:r>
        <w:rPr>
          <w:rStyle w:val="44"/>
          <w:rFonts w:hint="eastAsia" w:ascii="宋体" w:hAnsi="宋体" w:eastAsia="宋体" w:cs="Times New Roman"/>
          <w:bCs/>
          <w:color w:val="auto"/>
          <w:kern w:val="0"/>
          <w:sz w:val="21"/>
          <w:szCs w:val="21"/>
          <w:highlight w:val="none"/>
        </w:rPr>
        <w:t>招标代理机构网站（</w:t>
      </w:r>
      <w:r>
        <w:rPr>
          <w:rStyle w:val="44"/>
          <w:rFonts w:hint="eastAsia" w:ascii="宋体" w:hAnsi="宋体" w:eastAsia="宋体" w:cs="宋体"/>
          <w:bCs/>
          <w:color w:val="auto"/>
          <w:kern w:val="0"/>
          <w:sz w:val="21"/>
          <w:szCs w:val="21"/>
          <w:highlight w:val="none"/>
        </w:rPr>
        <w:t>www.youde.net</w:t>
      </w:r>
      <w:r>
        <w:rPr>
          <w:rStyle w:val="44"/>
          <w:rFonts w:ascii="宋体" w:hAnsi="宋体" w:eastAsia="宋体" w:cs="Times New Roman"/>
          <w:bCs/>
          <w:color w:val="auto"/>
          <w:kern w:val="0"/>
          <w:sz w:val="21"/>
          <w:szCs w:val="21"/>
          <w:highlight w:val="none"/>
        </w:rPr>
        <w:t>）</w:t>
      </w:r>
      <w:r>
        <w:rPr>
          <w:rStyle w:val="44"/>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w:t>
      </w:r>
      <w:r>
        <w:rPr>
          <w:rFonts w:hint="eastAsia" w:ascii="宋体" w:hAnsi="宋体" w:eastAsia="宋体" w:cs="Times New Roman"/>
          <w:color w:val="auto"/>
          <w:szCs w:val="21"/>
          <w:highlight w:val="none"/>
          <w:lang w:val="zh-CN"/>
        </w:rPr>
        <w:t>，</w:t>
      </w:r>
      <w:r>
        <w:rPr>
          <w:rFonts w:hint="eastAsia" w:ascii="宋体" w:hAnsi="宋体" w:eastAsia="宋体" w:cs="宋体"/>
          <w:color w:val="auto"/>
          <w:szCs w:val="21"/>
          <w:highlight w:val="none"/>
          <w:lang w:val="zh-CN"/>
        </w:rPr>
        <w:t>请各投标人密切留意。</w:t>
      </w:r>
    </w:p>
    <w:p w14:paraId="51D96A8C">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5581F2EC">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101" w:name="_Toc140596880"/>
      <w:bookmarkStart w:id="102" w:name="_Toc142508321"/>
      <w:bookmarkStart w:id="103" w:name="_Toc9169"/>
      <w:bookmarkStart w:id="104" w:name="_Toc450662857"/>
      <w:bookmarkStart w:id="105" w:name="_Toc486167671"/>
      <w:bookmarkStart w:id="106" w:name="_Toc29659_WPSOffice_Level2"/>
      <w:bookmarkStart w:id="107" w:name="_Toc6039"/>
      <w:r>
        <w:rPr>
          <w:rFonts w:hint="eastAsia" w:ascii="宋体" w:hAnsi="宋体" w:eastAsia="宋体" w:cs="宋体"/>
          <w:b/>
          <w:bCs/>
          <w:color w:val="auto"/>
          <w:kern w:val="44"/>
          <w:szCs w:val="21"/>
          <w:highlight w:val="none"/>
          <w:lang w:val="zh-CN"/>
        </w:rPr>
        <w:t>三、投标文件的编制</w:t>
      </w:r>
      <w:bookmarkEnd w:id="101"/>
      <w:bookmarkEnd w:id="102"/>
      <w:bookmarkEnd w:id="103"/>
      <w:bookmarkEnd w:id="104"/>
      <w:bookmarkEnd w:id="105"/>
      <w:bookmarkEnd w:id="106"/>
      <w:bookmarkEnd w:id="107"/>
    </w:p>
    <w:p w14:paraId="5EA61DFE">
      <w:pPr>
        <w:tabs>
          <w:tab w:val="left" w:pos="67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08" w:name="_Toc450662858"/>
      <w:bookmarkStart w:id="109" w:name="_Toc25773"/>
      <w:bookmarkStart w:id="110" w:name="_Toc486167672"/>
      <w:bookmarkStart w:id="111" w:name="_Toc17518"/>
      <w:bookmarkStart w:id="112" w:name="_Toc142508322"/>
      <w:bookmarkStart w:id="113" w:name="_Toc10015_WPSOffice_Level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8"/>
      <w:bookmarkEnd w:id="109"/>
      <w:bookmarkEnd w:id="110"/>
      <w:bookmarkEnd w:id="111"/>
      <w:bookmarkEnd w:id="112"/>
      <w:bookmarkEnd w:id="113"/>
    </w:p>
    <w:p w14:paraId="1C79D360">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6A89B6E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351045BA">
      <w:pPr>
        <w:autoSpaceDE w:val="0"/>
        <w:autoSpaceDN w:val="0"/>
        <w:adjustRightInd w:val="0"/>
        <w:spacing w:line="360" w:lineRule="auto"/>
        <w:rPr>
          <w:rFonts w:hint="eastAsia" w:ascii="宋体" w:hAnsi="宋体" w:eastAsia="宋体" w:cs="宋体"/>
          <w:color w:val="auto"/>
          <w:szCs w:val="21"/>
          <w:highlight w:val="none"/>
          <w:lang w:val="zh-CN"/>
        </w:rPr>
      </w:pPr>
    </w:p>
    <w:p w14:paraId="3E29CD75">
      <w:pPr>
        <w:tabs>
          <w:tab w:val="left" w:pos="540"/>
        </w:tabs>
        <w:autoSpaceDE w:val="0"/>
        <w:autoSpaceDN w:val="0"/>
        <w:adjustRightInd w:val="0"/>
        <w:spacing w:line="360" w:lineRule="auto"/>
        <w:ind w:left="357" w:leftChars="-100" w:hanging="567"/>
        <w:jc w:val="left"/>
        <w:outlineLvl w:val="0"/>
        <w:rPr>
          <w:rFonts w:hint="eastAsia" w:ascii="宋体" w:hAnsi="宋体" w:eastAsia="宋体" w:cs="宋体"/>
          <w:color w:val="auto"/>
          <w:sz w:val="24"/>
          <w:szCs w:val="24"/>
          <w:highlight w:val="none"/>
          <w:lang w:val="zh-CN"/>
        </w:rPr>
      </w:pPr>
      <w:bookmarkStart w:id="114" w:name="_Toc486167673"/>
      <w:bookmarkStart w:id="115" w:name="_Toc1879"/>
      <w:bookmarkStart w:id="116" w:name="_Toc97"/>
      <w:bookmarkStart w:id="117" w:name="_Toc24916_WPSOffice_Level3"/>
      <w:bookmarkStart w:id="118" w:name="_Toc142508323"/>
      <w:bookmarkStart w:id="119" w:name="_Toc45066285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14"/>
      <w:bookmarkEnd w:id="115"/>
      <w:bookmarkEnd w:id="116"/>
      <w:bookmarkEnd w:id="117"/>
      <w:bookmarkEnd w:id="118"/>
      <w:bookmarkEnd w:id="119"/>
    </w:p>
    <w:p w14:paraId="2C763D42">
      <w:pPr>
        <w:autoSpaceDE w:val="0"/>
        <w:autoSpaceDN w:val="0"/>
        <w:adjustRightInd w:val="0"/>
        <w:spacing w:line="360" w:lineRule="auto"/>
        <w:ind w:left="422" w:leftChars="-100" w:hanging="632" w:hangingChars="300"/>
        <w:rPr>
          <w:rFonts w:hint="eastAsia"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7AFE7B15">
      <w:pPr>
        <w:autoSpaceDE w:val="0"/>
        <w:autoSpaceDN w:val="0"/>
        <w:adjustRightInd w:val="0"/>
        <w:spacing w:line="360" w:lineRule="auto"/>
        <w:ind w:left="422" w:leftChars="-100" w:hanging="632" w:hangingChars="300"/>
        <w:outlineLvl w:val="1"/>
        <w:rPr>
          <w:rFonts w:hint="eastAsia" w:ascii="宋体" w:hAnsi="宋体" w:eastAsia="宋体" w:cs="Times New Roman"/>
          <w:b/>
          <w:color w:val="auto"/>
          <w:kern w:val="0"/>
          <w:szCs w:val="21"/>
          <w:highlight w:val="none"/>
        </w:rPr>
      </w:pPr>
      <w:bookmarkStart w:id="120" w:name="_Toc25687"/>
      <w:r>
        <w:rPr>
          <w:rFonts w:hint="eastAsia" w:ascii="宋体" w:hAnsi="宋体" w:eastAsia="宋体" w:cs="宋体"/>
          <w:b/>
          <w:color w:val="auto"/>
          <w:kern w:val="0"/>
          <w:szCs w:val="24"/>
          <w:highlight w:val="none"/>
        </w:rPr>
        <w:t>9.1.1 商务文件：</w:t>
      </w:r>
      <w:bookmarkEnd w:id="120"/>
    </w:p>
    <w:p w14:paraId="04859D3F">
      <w:pPr>
        <w:autoSpaceDE w:val="0"/>
        <w:autoSpaceDN w:val="0"/>
        <w:adjustRightInd w:val="0"/>
        <w:spacing w:line="360" w:lineRule="auto"/>
        <w:jc w:val="left"/>
        <w:rPr>
          <w:rFonts w:hint="eastAsia"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402B611C">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1D8C46A9">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41525E56">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272E92F4">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）投标报价表；</w:t>
      </w:r>
    </w:p>
    <w:p w14:paraId="158C031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）投标人资格证明文件：</w:t>
      </w:r>
    </w:p>
    <w:p w14:paraId="71E65FDC">
      <w:pPr>
        <w:autoSpaceDE w:val="0"/>
        <w:autoSpaceDN w:val="0"/>
        <w:adjustRightInd w:val="0"/>
        <w:spacing w:line="360" w:lineRule="auto"/>
        <w:ind w:left="283" w:hanging="283" w:hangingChars="135"/>
        <w:outlineLvl w:val="2"/>
        <w:rPr>
          <w:rFonts w:hint="eastAsia" w:ascii="宋体" w:hAnsi="宋体" w:eastAsia="宋体" w:cs="Times New Roman"/>
          <w:color w:val="auto"/>
          <w:szCs w:val="21"/>
          <w:highlight w:val="none"/>
          <w:lang w:val="zh-CN"/>
        </w:rPr>
      </w:pPr>
      <w:bookmarkStart w:id="121" w:name="_Toc23925"/>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bookmarkEnd w:id="121"/>
    </w:p>
    <w:p w14:paraId="5CEDE261">
      <w:pPr>
        <w:autoSpaceDE w:val="0"/>
        <w:autoSpaceDN w:val="0"/>
        <w:adjustRightInd w:val="0"/>
        <w:spacing w:line="360" w:lineRule="auto"/>
        <w:ind w:left="283" w:hanging="283" w:hangingChars="135"/>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开户许可证（基本存款账户）复印件</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7924EFA7">
      <w:pPr>
        <w:autoSpaceDE w:val="0"/>
        <w:autoSpaceDN w:val="0"/>
        <w:adjustRightInd w:val="0"/>
        <w:spacing w:line="360" w:lineRule="auto"/>
        <w:ind w:left="283" w:hanging="283" w:hangingChars="135"/>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7D0B50E4">
      <w:pPr>
        <w:autoSpaceDE w:val="0"/>
        <w:autoSpaceDN w:val="0"/>
        <w:adjustRightInd w:val="0"/>
        <w:spacing w:line="360" w:lineRule="auto"/>
        <w:ind w:left="283" w:hanging="283" w:hangingChars="135"/>
        <w:rPr>
          <w:rFonts w:hint="eastAsia" w:ascii="宋体" w:hAnsi="宋体" w:eastAsia="宋体" w:cs="宋体"/>
          <w:color w:val="auto"/>
          <w:szCs w:val="21"/>
          <w:highlight w:val="none"/>
          <w:lang w:val="en-US" w:eastAsia="zh-CN"/>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lang w:val="zh-CN"/>
        </w:rPr>
        <w:t>）</w:t>
      </w:r>
      <w:r>
        <w:rPr>
          <w:rFonts w:hint="eastAsia" w:ascii="宋体" w:hAnsi="宋体" w:eastAsia="宋体" w:cs="宋体"/>
          <w:color w:val="auto"/>
          <w:szCs w:val="21"/>
          <w:highlight w:val="none"/>
          <w:lang w:val="zh-CN"/>
        </w:rPr>
        <w:t>制造商资格声明和独家授权销售及售后服务承诺函（若投标人为制造商，必须提供制造商资格声明</w:t>
      </w:r>
      <w:r>
        <w:rPr>
          <w:rFonts w:hint="eastAsia" w:ascii="宋体" w:hAnsi="宋体" w:eastAsia="宋体" w:cs="宋体"/>
          <w:b/>
          <w:bCs/>
          <w:color w:val="auto"/>
          <w:szCs w:val="21"/>
          <w:highlight w:val="none"/>
          <w:lang w:val="en-US" w:eastAsia="zh-CN"/>
        </w:rPr>
        <w:t>原件</w:t>
      </w:r>
      <w:r>
        <w:rPr>
          <w:rFonts w:hint="eastAsia" w:ascii="宋体" w:hAnsi="宋体" w:eastAsia="宋体" w:cs="宋体"/>
          <w:color w:val="auto"/>
          <w:szCs w:val="21"/>
          <w:highlight w:val="none"/>
          <w:lang w:val="zh-CN"/>
        </w:rPr>
        <w:t>；若投标人为经销商，必须提供制造商资格声明</w:t>
      </w:r>
      <w:r>
        <w:rPr>
          <w:rFonts w:hint="eastAsia" w:ascii="宋体" w:hAnsi="宋体" w:eastAsia="宋体" w:cs="宋体"/>
          <w:b/>
          <w:bCs/>
          <w:color w:val="auto"/>
          <w:szCs w:val="21"/>
          <w:highlight w:val="none"/>
          <w:lang w:val="en-US" w:eastAsia="zh-CN"/>
        </w:rPr>
        <w:t>原件</w:t>
      </w:r>
      <w:r>
        <w:rPr>
          <w:rFonts w:hint="eastAsia" w:ascii="宋体" w:hAnsi="宋体" w:eastAsia="宋体" w:cs="宋体"/>
          <w:color w:val="auto"/>
          <w:szCs w:val="21"/>
          <w:highlight w:val="none"/>
          <w:lang w:val="zh-CN"/>
        </w:rPr>
        <w:t>和投标产品制造商出具的《独家授权销售及售后服务承诺函》</w:t>
      </w:r>
      <w:r>
        <w:rPr>
          <w:rFonts w:hint="eastAsia" w:ascii="宋体" w:hAnsi="宋体" w:eastAsia="宋体" w:cs="宋体"/>
          <w:b/>
          <w:bCs/>
          <w:color w:val="auto"/>
          <w:szCs w:val="21"/>
          <w:highlight w:val="none"/>
          <w:lang w:val="en-US" w:eastAsia="zh-CN"/>
        </w:rPr>
        <w:t>原件</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且，且投标人供给供水公司和净水公司的次氯酸钠必须是同一制造商生产的产品；</w:t>
      </w:r>
    </w:p>
    <w:p w14:paraId="28A8D38C">
      <w:pPr>
        <w:autoSpaceDE w:val="0"/>
        <w:autoSpaceDN w:val="0"/>
        <w:adjustRightInd w:val="0"/>
        <w:spacing w:line="360" w:lineRule="auto"/>
        <w:ind w:left="283" w:hanging="283" w:hangingChars="13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w:t>
      </w:r>
      <w:r>
        <w:rPr>
          <w:rFonts w:hint="eastAsia" w:ascii="宋体" w:hAnsi="宋体" w:eastAsia="宋体" w:cs="宋体"/>
          <w:color w:val="auto"/>
          <w:szCs w:val="21"/>
          <w:highlight w:val="none"/>
        </w:rPr>
        <w:t>所投产品制造商</w:t>
      </w:r>
      <w:r>
        <w:rPr>
          <w:rFonts w:hint="eastAsia" w:ascii="宋体" w:hAnsi="宋体" w:eastAsia="宋体" w:cs="Times New Roman"/>
          <w:color w:val="auto"/>
          <w:szCs w:val="21"/>
          <w:highlight w:val="none"/>
        </w:rPr>
        <w:t>具有安全生产监督管理部门核发的合法有效的安全生产许可证（许可范围含次氯酸钠或液态次氯酸钠）及全国工业产品生产许可证（许可范围含次氯酸钠或液态次氯酸钠）；</w:t>
      </w:r>
    </w:p>
    <w:p w14:paraId="230B4200">
      <w:pPr>
        <w:autoSpaceDE w:val="0"/>
        <w:autoSpaceDN w:val="0"/>
        <w:adjustRightInd w:val="0"/>
        <w:spacing w:line="360" w:lineRule="auto"/>
        <w:ind w:left="283" w:hanging="283" w:hangingChars="13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w:t>
      </w:r>
      <w:r>
        <w:rPr>
          <w:rFonts w:hint="eastAsia" w:ascii="宋体" w:hAnsi="宋体" w:eastAsia="宋体" w:cs="宋体"/>
          <w:color w:val="auto"/>
          <w:szCs w:val="21"/>
          <w:highlight w:val="none"/>
        </w:rPr>
        <w:t>所投产品制造商</w:t>
      </w:r>
      <w:r>
        <w:rPr>
          <w:rFonts w:hint="eastAsia" w:ascii="宋体" w:hAnsi="宋体" w:eastAsia="宋体" w:cs="Times New Roman"/>
          <w:color w:val="auto"/>
          <w:szCs w:val="21"/>
          <w:highlight w:val="none"/>
        </w:rPr>
        <w:t>具有环境管理部门核发的合法有效的环评批复复印件（批复内容必须体现含投标产品）；</w:t>
      </w:r>
    </w:p>
    <w:p w14:paraId="2A53E017">
      <w:pPr>
        <w:tabs>
          <w:tab w:val="left" w:pos="1276"/>
        </w:tabs>
        <w:spacing w:line="360" w:lineRule="auto"/>
        <w:ind w:left="283" w:hanging="283" w:hangingChars="135"/>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7</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资格业绩【投标人提供一份202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年1月1日以来</w:t>
      </w:r>
      <w:r>
        <w:rPr>
          <w:rFonts w:hint="eastAsia" w:ascii="宋体" w:hAnsi="宋体" w:eastAsia="宋体" w:cs="宋体"/>
          <w:b/>
          <w:color w:val="auto"/>
          <w:szCs w:val="21"/>
          <w:highlight w:val="none"/>
        </w:rPr>
        <w:t>投标品牌液态次氯酸钠供货业绩</w:t>
      </w:r>
      <w:r>
        <w:rPr>
          <w:rFonts w:hint="eastAsia" w:ascii="宋体" w:hAnsi="宋体" w:eastAsia="宋体" w:cs="宋体"/>
          <w:bCs/>
          <w:color w:val="auto"/>
          <w:szCs w:val="21"/>
          <w:highlight w:val="none"/>
        </w:rPr>
        <w:t>，</w:t>
      </w:r>
      <w:r>
        <w:rPr>
          <w:rFonts w:hint="eastAsia" w:ascii="宋体" w:hAnsi="宋体" w:eastAsia="宋体"/>
          <w:color w:val="auto"/>
          <w:szCs w:val="21"/>
          <w:highlight w:val="none"/>
        </w:rPr>
        <w:t>合同签订日期为202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年1月1日或以后，资格业绩证明材料提交要求详见招标文件第六篇投标文件格式5.7】；</w:t>
      </w:r>
    </w:p>
    <w:p w14:paraId="6ACC4C96">
      <w:pPr>
        <w:autoSpaceDE w:val="0"/>
        <w:autoSpaceDN w:val="0"/>
        <w:adjustRightInd w:val="0"/>
        <w:spacing w:line="360" w:lineRule="auto"/>
        <w:ind w:left="913" w:hanging="913" w:hangingChars="435"/>
        <w:outlineLvl w:val="2"/>
        <w:rPr>
          <w:rFonts w:hint="eastAsia" w:ascii="宋体" w:hAnsi="宋体" w:eastAsia="宋体" w:cs="宋体"/>
          <w:color w:val="auto"/>
          <w:szCs w:val="21"/>
          <w:highlight w:val="none"/>
          <w:lang w:val="zh-CN"/>
        </w:rPr>
      </w:pPr>
      <w:bookmarkStart w:id="122" w:name="_Toc32205"/>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bookmarkEnd w:id="122"/>
    </w:p>
    <w:p w14:paraId="2C2002BC">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）投标人基本情况一览表；</w:t>
      </w:r>
    </w:p>
    <w:p w14:paraId="14F2D88D">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）投标人财务状况表；</w:t>
      </w:r>
    </w:p>
    <w:p w14:paraId="03CE740A">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（8）合同条款响应程度（合同条款偏离表）；</w:t>
      </w:r>
    </w:p>
    <w:p w14:paraId="527D8EAA">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）业绩表；</w:t>
      </w:r>
    </w:p>
    <w:p w14:paraId="34609389">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zh-CN"/>
        </w:rPr>
        <w:t>）投标保证金汇入情况说明；</w:t>
      </w:r>
    </w:p>
    <w:p w14:paraId="5E6B1602">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rPr>
        <w:t>及有关</w:t>
      </w:r>
      <w:r>
        <w:rPr>
          <w:rFonts w:hint="eastAsia" w:ascii="宋体" w:hAnsi="宋体" w:eastAsia="宋体" w:cs="宋体"/>
          <w:color w:val="auto"/>
          <w:szCs w:val="21"/>
          <w:highlight w:val="none"/>
          <w:lang w:val="zh-CN"/>
        </w:rPr>
        <w:t>服务能力的有关其它商务文件（不做强制要求）。</w:t>
      </w:r>
    </w:p>
    <w:p w14:paraId="497F1D39">
      <w:pPr>
        <w:autoSpaceDE w:val="0"/>
        <w:autoSpaceDN w:val="0"/>
        <w:adjustRightInd w:val="0"/>
        <w:spacing w:line="360" w:lineRule="auto"/>
        <w:ind w:left="422" w:leftChars="-100" w:hanging="632" w:hangingChars="300"/>
        <w:outlineLvl w:val="1"/>
        <w:rPr>
          <w:rFonts w:hint="eastAsia" w:ascii="宋体" w:hAnsi="宋体" w:eastAsia="宋体" w:cs="宋体"/>
          <w:b/>
          <w:color w:val="auto"/>
          <w:kern w:val="0"/>
          <w:szCs w:val="24"/>
          <w:highlight w:val="none"/>
        </w:rPr>
      </w:pPr>
      <w:bookmarkStart w:id="123" w:name="_Toc18844"/>
      <w:r>
        <w:rPr>
          <w:rFonts w:hint="eastAsia" w:ascii="宋体" w:hAnsi="宋体" w:eastAsia="宋体" w:cs="宋体"/>
          <w:b/>
          <w:color w:val="auto"/>
          <w:kern w:val="0"/>
          <w:szCs w:val="24"/>
          <w:highlight w:val="none"/>
        </w:rPr>
        <w:t>9.1.2 技术文件：</w:t>
      </w:r>
      <w:bookmarkEnd w:id="123"/>
    </w:p>
    <w:p w14:paraId="5605201D">
      <w:pPr>
        <w:autoSpaceDE w:val="0"/>
        <w:autoSpaceDN w:val="0"/>
        <w:adjustRightInd w:val="0"/>
        <w:spacing w:line="360" w:lineRule="auto"/>
        <w:ind w:right="-23" w:rightChars="-11"/>
        <w:jc w:val="left"/>
        <w:rPr>
          <w:rFonts w:hint="eastAsia"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71E27C96">
      <w:pPr>
        <w:spacing w:line="360" w:lineRule="auto"/>
        <w:ind w:left="105" w:leftChars="-100" w:hanging="315" w:hangingChars="150"/>
        <w:outlineLvl w:val="2"/>
        <w:rPr>
          <w:rFonts w:hint="eastAsia" w:ascii="宋体" w:hAnsi="宋体" w:eastAsia="宋体" w:cs="宋体"/>
          <w:color w:val="auto"/>
          <w:kern w:val="0"/>
          <w:szCs w:val="21"/>
          <w:highlight w:val="none"/>
        </w:rPr>
      </w:pPr>
      <w:bookmarkStart w:id="124" w:name="_Toc12252"/>
      <w:r>
        <w:rPr>
          <w:rFonts w:hint="eastAsia" w:ascii="宋体" w:hAnsi="宋体" w:eastAsia="宋体" w:cs="宋体"/>
          <w:color w:val="auto"/>
          <w:kern w:val="0"/>
          <w:szCs w:val="21"/>
          <w:highlight w:val="none"/>
        </w:rPr>
        <w:t>（1）用户需求响应程度（即用户需求偏离表格式）；</w:t>
      </w:r>
      <w:bookmarkEnd w:id="124"/>
    </w:p>
    <w:p w14:paraId="78F48CC4">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（2）投标产品技术指标承诺书；</w:t>
      </w:r>
    </w:p>
    <w:p w14:paraId="6B37DAAA">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（3）第三方检测机构出具的检验报告复印件（须为2024年1月1日以后出具的投标产品检验报告）；</w:t>
      </w:r>
    </w:p>
    <w:p w14:paraId="498E014C">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（4）生产规模及技术力量；</w:t>
      </w:r>
    </w:p>
    <w:p w14:paraId="0B8C809A">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（5）供货运输保障；</w:t>
      </w:r>
    </w:p>
    <w:p w14:paraId="33434337">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（6）投标人认为有必要提供的其它材料（不做强制要求）。</w:t>
      </w:r>
    </w:p>
    <w:p w14:paraId="0DD900C9">
      <w:pPr>
        <w:autoSpaceDE w:val="0"/>
        <w:autoSpaceDN w:val="0"/>
        <w:adjustRightInd w:val="0"/>
        <w:spacing w:line="360" w:lineRule="auto"/>
        <w:ind w:left="422" w:leftChars="-100" w:hanging="632" w:hangingChars="300"/>
        <w:outlineLvl w:val="1"/>
        <w:rPr>
          <w:rFonts w:hint="eastAsia" w:ascii="宋体" w:hAnsi="宋体" w:eastAsia="宋体" w:cs="宋体"/>
          <w:color w:val="auto"/>
          <w:kern w:val="0"/>
          <w:szCs w:val="21"/>
          <w:highlight w:val="none"/>
          <w:lang w:val="zh-CN"/>
        </w:rPr>
      </w:pPr>
      <w:bookmarkStart w:id="125" w:name="_Toc28548"/>
      <w:r>
        <w:rPr>
          <w:rFonts w:hint="eastAsia" w:ascii="宋体" w:hAnsi="宋体" w:eastAsia="宋体" w:cs="宋体"/>
          <w:b/>
          <w:color w:val="auto"/>
          <w:kern w:val="0"/>
          <w:szCs w:val="21"/>
          <w:highlight w:val="none"/>
        </w:rPr>
        <w:t xml:space="preserve">9.1.3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bookmarkEnd w:id="125"/>
    </w:p>
    <w:p w14:paraId="1A5AE433">
      <w:pPr>
        <w:autoSpaceDE w:val="0"/>
        <w:autoSpaceDN w:val="0"/>
        <w:adjustRightInd w:val="0"/>
        <w:spacing w:line="360" w:lineRule="auto"/>
        <w:ind w:left="35" w:leftChars="-118" w:hanging="283" w:hangingChars="135"/>
        <w:outlineLvl w:val="2"/>
        <w:rPr>
          <w:rFonts w:hint="eastAsia" w:ascii="宋体" w:hAnsi="宋体" w:eastAsia="宋体" w:cs="宋体"/>
          <w:color w:val="auto"/>
          <w:kern w:val="0"/>
          <w:szCs w:val="21"/>
          <w:highlight w:val="none"/>
        </w:rPr>
      </w:pPr>
      <w:bookmarkStart w:id="126" w:name="_Toc11011"/>
      <w:r>
        <w:rPr>
          <w:rFonts w:hint="eastAsia" w:ascii="宋体" w:hAnsi="宋体" w:eastAsia="宋体" w:cs="宋体"/>
          <w:color w:val="auto"/>
          <w:kern w:val="0"/>
          <w:szCs w:val="21"/>
          <w:highlight w:val="none"/>
        </w:rPr>
        <w:t>（1）签字、盖章后的投标文件扫描版PDF格式电子文件。</w:t>
      </w:r>
      <w:bookmarkEnd w:id="126"/>
    </w:p>
    <w:p w14:paraId="1CDDF439">
      <w:pPr>
        <w:autoSpaceDE w:val="0"/>
        <w:autoSpaceDN w:val="0"/>
        <w:adjustRightInd w:val="0"/>
        <w:spacing w:line="360" w:lineRule="auto"/>
        <w:ind w:left="422" w:leftChars="-100" w:hanging="632" w:hangingChars="300"/>
        <w:outlineLvl w:val="1"/>
        <w:rPr>
          <w:rFonts w:hint="eastAsia" w:ascii="宋体" w:hAnsi="宋体" w:eastAsia="宋体" w:cs="宋体"/>
          <w:b/>
          <w:bCs/>
          <w:color w:val="auto"/>
          <w:szCs w:val="21"/>
          <w:highlight w:val="none"/>
          <w:lang w:val="zh-CN"/>
        </w:rPr>
      </w:pPr>
      <w:bookmarkStart w:id="127" w:name="_Toc21525"/>
      <w:r>
        <w:rPr>
          <w:rFonts w:hint="eastAsia" w:ascii="宋体" w:hAnsi="宋体" w:eastAsia="宋体" w:cs="宋体"/>
          <w:b/>
          <w:bCs/>
          <w:color w:val="auto"/>
          <w:szCs w:val="21"/>
          <w:highlight w:val="none"/>
          <w:lang w:val="zh-CN"/>
        </w:rPr>
        <w:t>9.1.4 唱标信封（单独密封）</w:t>
      </w:r>
      <w:bookmarkEnd w:id="127"/>
    </w:p>
    <w:p w14:paraId="6B924EA2">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7132FCA7">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170717F0">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4BF40D4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4B1C596C">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14:paraId="348AE389">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28" w:name="_Toc142508324"/>
      <w:bookmarkStart w:id="129" w:name="_Toc18697"/>
      <w:bookmarkStart w:id="130" w:name="_Toc450662860"/>
      <w:bookmarkStart w:id="131" w:name="_Toc8675_WPSOffice_Level3"/>
      <w:bookmarkStart w:id="132" w:name="_Toc486167674"/>
      <w:bookmarkStart w:id="133" w:name="_Toc9572"/>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28"/>
      <w:bookmarkEnd w:id="129"/>
      <w:bookmarkEnd w:id="130"/>
      <w:bookmarkEnd w:id="131"/>
      <w:bookmarkEnd w:id="132"/>
      <w:bookmarkEnd w:id="133"/>
    </w:p>
    <w:p w14:paraId="65A5CBB0">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0FCBD3B4">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14:paraId="540E82C1">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34" w:name="_Toc28822"/>
      <w:bookmarkStart w:id="135" w:name="_Toc486167675"/>
      <w:bookmarkStart w:id="136" w:name="_Toc28245"/>
      <w:bookmarkStart w:id="137" w:name="_Toc4385_WPSOffice_Level3"/>
      <w:bookmarkStart w:id="138" w:name="_Toc142508325"/>
      <w:bookmarkStart w:id="139" w:name="_Toc450662861"/>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34"/>
      <w:bookmarkEnd w:id="135"/>
      <w:bookmarkEnd w:id="136"/>
      <w:bookmarkEnd w:id="137"/>
      <w:bookmarkEnd w:id="138"/>
      <w:bookmarkEnd w:id="139"/>
    </w:p>
    <w:p w14:paraId="4DE45837">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6E9D20AE">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7E383D68">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7BA139CF">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lang w:val="zh-CN"/>
        </w:rPr>
        <w:t>投标人的报价为综合单价(元/吨)乘以采购货物暂定数量的总价。合同履约过程中，在供货期内按投标时的综合单价(元/吨)乘以实际供货数量，</w:t>
      </w:r>
      <w:r>
        <w:rPr>
          <w:rFonts w:hint="eastAsia" w:ascii="宋体" w:hAnsi="宋体" w:eastAsia="宋体" w:cs="宋体"/>
          <w:b/>
          <w:color w:val="auto"/>
          <w:szCs w:val="21"/>
          <w:highlight w:val="none"/>
        </w:rPr>
        <w:t>并结合《供应商履约评价表》得分情况</w:t>
      </w:r>
      <w:r>
        <w:rPr>
          <w:rFonts w:hint="eastAsia" w:ascii="宋体" w:hAnsi="宋体" w:eastAsia="宋体" w:cs="宋体"/>
          <w:b/>
          <w:color w:val="auto"/>
          <w:szCs w:val="21"/>
          <w:highlight w:val="none"/>
          <w:lang w:val="zh-CN"/>
        </w:rPr>
        <w:t>进行结算。</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w:t>
      </w:r>
      <w:r>
        <w:rPr>
          <w:rFonts w:hint="eastAsia" w:ascii="宋体" w:hAnsi="宋体" w:eastAsia="宋体" w:cs="Times New Roman"/>
          <w:color w:val="auto"/>
          <w:kern w:val="0"/>
          <w:szCs w:val="21"/>
          <w:highlight w:val="none"/>
        </w:rPr>
        <w:t>生产运输</w:t>
      </w:r>
      <w:r>
        <w:rPr>
          <w:rFonts w:hint="eastAsia" w:ascii="宋体" w:hAnsi="宋体" w:eastAsia="宋体" w:cs="Times New Roman"/>
          <w:color w:val="auto"/>
          <w:szCs w:val="21"/>
          <w:highlight w:val="none"/>
          <w:lang w:val="zh-CN"/>
        </w:rPr>
        <w:t>、采购货物等所产生的价税）的其他全部费用。本采购项目的销项税额由招标人承担，不计入投标报价。</w:t>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14:paraId="132C7FEB">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（1）合同范围内所有货物的研究、采购、制造、检验、配合试验（含小试、中试）、包装、储存、运输（退换货运输）、称重、装卸、安全、保险、培训、验收的费用；</w:t>
      </w:r>
    </w:p>
    <w:p w14:paraId="65AC4A02">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（2）应急供货费用、为满足项目调试需求导致的小批量、多频次分散供货的成本以及货物运输、货物验收合格前发生的安全事故所产生的一切费用；</w:t>
      </w:r>
    </w:p>
    <w:p w14:paraId="7155BFBA">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（3）货物及其工艺所有制造方、甲方应支付的对专有技术、商标权、专利权和版权、设计或其他知识产权而需要向其他方支付的版税；</w:t>
      </w:r>
    </w:p>
    <w:p w14:paraId="3C416875">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（4）日常技术指导，免费的质保服务，包括但不限于免费现场质量问题处理或更换无效产品，按甲方要求小试、中试，并以甲方确认的最优化的产品成分配比供货；</w:t>
      </w:r>
    </w:p>
    <w:p w14:paraId="2FC54B6D">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（5）合理利润、</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zh-CN"/>
        </w:rPr>
        <w:t>销项税额以外的税费等；</w:t>
      </w:r>
    </w:p>
    <w:p w14:paraId="4D0B0B9E">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zh-CN"/>
        </w:rPr>
        <w:t>承担的其他直接及间接费用。</w:t>
      </w:r>
    </w:p>
    <w:p w14:paraId="41B83169">
      <w:pPr>
        <w:pStyle w:val="21"/>
        <w:spacing w:line="360" w:lineRule="auto"/>
        <w:ind w:left="124" w:leftChars="59" w:firstLine="424" w:firstLineChars="201"/>
        <w:rPr>
          <w:rFonts w:hint="eastAsia" w:hAnsi="宋体" w:cs="宋体"/>
          <w:b/>
          <w:color w:val="auto"/>
          <w:szCs w:val="21"/>
          <w:highlight w:val="none"/>
          <w:lang w:val="zh-CN"/>
        </w:rPr>
      </w:pPr>
      <w:r>
        <w:rPr>
          <w:rFonts w:hint="eastAsia" w:hAnsi="宋体" w:cs="宋体"/>
          <w:b/>
          <w:color w:val="auto"/>
          <w:szCs w:val="21"/>
          <w:highlight w:val="none"/>
          <w:lang w:val="zh-CN"/>
        </w:rPr>
        <w:t>另外</w:t>
      </w:r>
      <w:r>
        <w:rPr>
          <w:rFonts w:hint="eastAsia" w:hAnsi="宋体"/>
          <w:b/>
          <w:color w:val="auto"/>
          <w:szCs w:val="21"/>
          <w:highlight w:val="none"/>
        </w:rPr>
        <w:t>液态次氯酸钠</w:t>
      </w:r>
      <w:r>
        <w:rPr>
          <w:rFonts w:hint="eastAsia" w:hAnsi="宋体" w:cs="宋体"/>
          <w:b/>
          <w:color w:val="auto"/>
          <w:szCs w:val="21"/>
          <w:highlight w:val="none"/>
          <w:lang w:val="zh-CN"/>
        </w:rPr>
        <w:t>的供货须按照招标人</w:t>
      </w:r>
      <w:r>
        <w:rPr>
          <w:rFonts w:hint="eastAsia" w:hAnsi="宋体" w:cs="宋体"/>
          <w:b/>
          <w:color w:val="auto"/>
          <w:szCs w:val="21"/>
          <w:highlight w:val="none"/>
        </w:rPr>
        <w:t>运营项目</w:t>
      </w:r>
      <w:r>
        <w:rPr>
          <w:rFonts w:hint="eastAsia" w:hAnsi="宋体" w:cs="宋体"/>
          <w:b/>
          <w:color w:val="auto"/>
          <w:szCs w:val="21"/>
          <w:highlight w:val="none"/>
          <w:lang w:val="zh-CN"/>
        </w:rPr>
        <w:t>的实际供货需求，将会存在不同项目、不同时间</w:t>
      </w:r>
      <w:r>
        <w:rPr>
          <w:rFonts w:hint="eastAsia" w:hAnsi="宋体" w:cs="宋体"/>
          <w:b/>
          <w:color w:val="auto"/>
          <w:szCs w:val="21"/>
          <w:highlight w:val="none"/>
        </w:rPr>
        <w:t>分</w:t>
      </w:r>
      <w:r>
        <w:rPr>
          <w:rFonts w:hint="eastAsia" w:hAnsi="宋体" w:cs="宋体"/>
          <w:b/>
          <w:color w:val="auto"/>
          <w:szCs w:val="21"/>
          <w:highlight w:val="none"/>
          <w:lang w:val="zh-CN"/>
        </w:rPr>
        <w:t>次供货的情况，投标人应充分考虑上述因素可能导致的增加成本，</w:t>
      </w:r>
      <w:r>
        <w:rPr>
          <w:rFonts w:hint="eastAsia" w:hAnsi="宋体" w:cs="宋体"/>
          <w:b/>
          <w:color w:val="auto"/>
          <w:szCs w:val="21"/>
          <w:highlight w:val="none"/>
        </w:rPr>
        <w:t>并且</w:t>
      </w:r>
      <w:r>
        <w:rPr>
          <w:rFonts w:hint="eastAsia" w:hAnsi="宋体" w:cs="宋体"/>
          <w:b/>
          <w:color w:val="auto"/>
          <w:szCs w:val="21"/>
          <w:highlight w:val="none"/>
          <w:lang w:val="zh-CN"/>
        </w:rPr>
        <w:t>该成本已包含在</w:t>
      </w:r>
      <w:r>
        <w:rPr>
          <w:rFonts w:hint="eastAsia" w:hAnsi="宋体" w:cs="宋体"/>
          <w:b/>
          <w:color w:val="auto"/>
          <w:szCs w:val="21"/>
          <w:highlight w:val="none"/>
        </w:rPr>
        <w:t>上述</w:t>
      </w:r>
      <w:r>
        <w:rPr>
          <w:rFonts w:hint="eastAsia" w:hAnsi="宋体" w:cs="宋体"/>
          <w:b/>
          <w:color w:val="auto"/>
          <w:szCs w:val="21"/>
          <w:highlight w:val="none"/>
          <w:lang w:val="zh-CN"/>
        </w:rPr>
        <w:t>全部费用内。</w:t>
      </w:r>
    </w:p>
    <w:p w14:paraId="687FB712">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rFonts w:hint="eastAsia"/>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47DB966C">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7D522C9A">
      <w:pPr>
        <w:autoSpaceDE w:val="0"/>
        <w:autoSpaceDN w:val="0"/>
        <w:adjustRightInd w:val="0"/>
        <w:spacing w:line="360" w:lineRule="auto"/>
        <w:ind w:left="357" w:leftChars="-100" w:hanging="567"/>
        <w:rPr>
          <w:rFonts w:hint="eastAsia"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rPr>
        <w:t>有关</w:t>
      </w:r>
      <w:r>
        <w:rPr>
          <w:rFonts w:hint="eastAsia" w:ascii="宋体" w:hAnsi="宋体" w:eastAsia="宋体" w:cs="Times New Roman"/>
          <w:b/>
          <w:bCs/>
          <w:color w:val="auto"/>
          <w:szCs w:val="21"/>
          <w:highlight w:val="none"/>
          <w:lang w:val="zh-CN"/>
        </w:rPr>
        <w:t>服务所需的费用，投标人都应计入投标报价总价。</w:t>
      </w:r>
    </w:p>
    <w:p w14:paraId="44C3E2D4">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bCs/>
          <w:color w:val="auto"/>
          <w:kern w:val="0"/>
          <w:szCs w:val="21"/>
          <w:highlight w:val="none"/>
          <w:u w:val="single"/>
          <w:lang w:val="zh-CN"/>
        </w:rPr>
        <w:t>投</w:t>
      </w:r>
      <w:r>
        <w:rPr>
          <w:rFonts w:hint="eastAsia" w:ascii="宋体" w:hAnsi="宋体" w:eastAsia="宋体" w:cs="宋体"/>
          <w:b/>
          <w:bCs/>
          <w:color w:val="auto"/>
          <w:kern w:val="0"/>
          <w:szCs w:val="21"/>
          <w:highlight w:val="none"/>
          <w:u w:val="single"/>
        </w:rPr>
        <w:t>标人的投标报价或综合单价高于不含税最高投标限价或不含税预算综合单价的</w:t>
      </w:r>
      <w:r>
        <w:rPr>
          <w:rFonts w:hint="eastAsia" w:ascii="宋体" w:hAnsi="宋体" w:eastAsia="宋体" w:cs="Times New Roman"/>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w:t>
      </w:r>
      <w:r>
        <w:rPr>
          <w:rFonts w:hint="eastAsia" w:ascii="宋体" w:hAnsi="宋体" w:eastAsia="宋体" w:cs="宋体"/>
          <w:b/>
          <w:bCs/>
          <w:color w:val="auto"/>
          <w:kern w:val="0"/>
          <w:szCs w:val="21"/>
          <w:highlight w:val="none"/>
          <w:u w:val="single"/>
        </w:rPr>
        <w:t>本项目暂定采购数量对应的不含税最高投标限价为19,9</w:t>
      </w:r>
      <w:r>
        <w:rPr>
          <w:rFonts w:hint="eastAsia" w:ascii="宋体" w:hAnsi="宋体" w:eastAsia="宋体" w:cs="宋体"/>
          <w:b/>
          <w:bCs/>
          <w:color w:val="auto"/>
          <w:kern w:val="0"/>
          <w:szCs w:val="21"/>
          <w:highlight w:val="none"/>
          <w:u w:val="single"/>
          <w:lang w:val="en-US" w:eastAsia="zh-CN"/>
        </w:rPr>
        <w:t>80</w:t>
      </w:r>
      <w:r>
        <w:rPr>
          <w:rFonts w:hint="eastAsia" w:ascii="宋体" w:hAnsi="宋体" w:eastAsia="宋体" w:cs="宋体"/>
          <w:b/>
          <w:bCs/>
          <w:color w:val="auto"/>
          <w:kern w:val="0"/>
          <w:szCs w:val="21"/>
          <w:highlight w:val="none"/>
          <w:u w:val="single"/>
        </w:rPr>
        <w:t>,</w:t>
      </w:r>
      <w:r>
        <w:rPr>
          <w:rFonts w:hint="eastAsia" w:ascii="宋体" w:hAnsi="宋体" w:eastAsia="宋体" w:cs="宋体"/>
          <w:b/>
          <w:bCs/>
          <w:color w:val="auto"/>
          <w:kern w:val="0"/>
          <w:szCs w:val="21"/>
          <w:highlight w:val="none"/>
          <w:u w:val="single"/>
          <w:lang w:val="en-US" w:eastAsia="zh-CN"/>
        </w:rPr>
        <w:t>22</w:t>
      </w:r>
      <w:r>
        <w:rPr>
          <w:rFonts w:hint="eastAsia" w:ascii="宋体" w:hAnsi="宋体" w:eastAsia="宋体" w:cs="宋体"/>
          <w:b/>
          <w:bCs/>
          <w:color w:val="auto"/>
          <w:kern w:val="0"/>
          <w:szCs w:val="21"/>
          <w:highlight w:val="none"/>
          <w:u w:val="single"/>
        </w:rPr>
        <w:t>1.</w:t>
      </w:r>
      <w:r>
        <w:rPr>
          <w:rFonts w:hint="eastAsia" w:ascii="宋体" w:hAnsi="宋体" w:eastAsia="宋体" w:cs="宋体"/>
          <w:b/>
          <w:bCs/>
          <w:color w:val="auto"/>
          <w:kern w:val="0"/>
          <w:szCs w:val="21"/>
          <w:highlight w:val="none"/>
          <w:u w:val="single"/>
          <w:lang w:val="en-US" w:eastAsia="zh-CN"/>
        </w:rPr>
        <w:t>24</w:t>
      </w:r>
      <w:r>
        <w:rPr>
          <w:rFonts w:hint="eastAsia" w:ascii="宋体" w:hAnsi="宋体" w:eastAsia="宋体" w:cs="宋体"/>
          <w:b/>
          <w:bCs/>
          <w:color w:val="auto"/>
          <w:kern w:val="0"/>
          <w:szCs w:val="21"/>
          <w:highlight w:val="none"/>
          <w:u w:val="single"/>
        </w:rPr>
        <w:t>元（大写：人民币壹仟玖佰玖拾捌万零贰佰贰拾壹元贰角肆分），其中供水公司使用的液态次氯酸钠不含税预算综合单价为 512.39 元/吨（大写：每吨人民币伍佰壹拾贰元叁角玖分），净水公司使用的液态次氯酸钠不含税预算综合单价为 5</w:t>
      </w:r>
      <w:r>
        <w:rPr>
          <w:rFonts w:hint="eastAsia" w:ascii="宋体" w:hAnsi="宋体" w:eastAsia="宋体" w:cs="宋体"/>
          <w:b/>
          <w:bCs/>
          <w:color w:val="auto"/>
          <w:kern w:val="0"/>
          <w:szCs w:val="21"/>
          <w:highlight w:val="none"/>
          <w:u w:val="single"/>
          <w:lang w:val="en-US" w:eastAsia="zh-CN"/>
        </w:rPr>
        <w:t>64</w:t>
      </w:r>
      <w:r>
        <w:rPr>
          <w:rFonts w:hint="eastAsia" w:ascii="宋体" w:hAnsi="宋体" w:eastAsia="宋体" w:cs="宋体"/>
          <w:b/>
          <w:bCs/>
          <w:color w:val="auto"/>
          <w:kern w:val="0"/>
          <w:szCs w:val="21"/>
          <w:highlight w:val="none"/>
          <w:u w:val="single"/>
        </w:rPr>
        <w:t>.</w:t>
      </w:r>
      <w:r>
        <w:rPr>
          <w:rFonts w:hint="eastAsia" w:ascii="宋体" w:hAnsi="宋体" w:eastAsia="宋体" w:cs="宋体"/>
          <w:b/>
          <w:bCs/>
          <w:color w:val="auto"/>
          <w:kern w:val="0"/>
          <w:szCs w:val="21"/>
          <w:highlight w:val="none"/>
          <w:u w:val="single"/>
          <w:lang w:val="en-US" w:eastAsia="zh-CN"/>
        </w:rPr>
        <w:t>60</w:t>
      </w:r>
      <w:r>
        <w:rPr>
          <w:rFonts w:hint="eastAsia" w:ascii="宋体" w:hAnsi="宋体" w:eastAsia="宋体" w:cs="宋体"/>
          <w:b/>
          <w:bCs/>
          <w:color w:val="auto"/>
          <w:kern w:val="0"/>
          <w:szCs w:val="21"/>
          <w:highlight w:val="none"/>
          <w:u w:val="single"/>
        </w:rPr>
        <w:t xml:space="preserve"> 元/吨（大写：每吨人民币伍佰</w:t>
      </w:r>
      <w:r>
        <w:rPr>
          <w:rFonts w:hint="eastAsia" w:ascii="宋体" w:hAnsi="宋体" w:eastAsia="宋体" w:cs="宋体"/>
          <w:b/>
          <w:bCs/>
          <w:color w:val="auto"/>
          <w:kern w:val="0"/>
          <w:szCs w:val="21"/>
          <w:highlight w:val="none"/>
          <w:u w:val="single"/>
          <w:lang w:val="en-US" w:eastAsia="zh-CN"/>
        </w:rPr>
        <w:t>陆</w:t>
      </w:r>
      <w:r>
        <w:rPr>
          <w:rFonts w:hint="eastAsia" w:ascii="宋体" w:hAnsi="宋体" w:eastAsia="宋体" w:cs="宋体"/>
          <w:b/>
          <w:bCs/>
          <w:color w:val="auto"/>
          <w:kern w:val="0"/>
          <w:szCs w:val="21"/>
          <w:highlight w:val="none"/>
          <w:u w:val="single"/>
        </w:rPr>
        <w:t>拾</w:t>
      </w:r>
      <w:r>
        <w:rPr>
          <w:rFonts w:hint="eastAsia" w:ascii="宋体" w:hAnsi="宋体" w:eastAsia="宋体" w:cs="宋体"/>
          <w:b/>
          <w:bCs/>
          <w:color w:val="auto"/>
          <w:kern w:val="0"/>
          <w:szCs w:val="21"/>
          <w:highlight w:val="none"/>
          <w:u w:val="single"/>
          <w:lang w:val="en-US" w:eastAsia="zh-CN"/>
        </w:rPr>
        <w:t>肆</w:t>
      </w:r>
      <w:r>
        <w:rPr>
          <w:rFonts w:hint="eastAsia" w:ascii="宋体" w:hAnsi="宋体" w:eastAsia="宋体" w:cs="宋体"/>
          <w:b/>
          <w:bCs/>
          <w:color w:val="auto"/>
          <w:kern w:val="0"/>
          <w:szCs w:val="21"/>
          <w:highlight w:val="none"/>
          <w:u w:val="single"/>
        </w:rPr>
        <w:t>元</w:t>
      </w:r>
      <w:r>
        <w:rPr>
          <w:rFonts w:hint="eastAsia" w:ascii="宋体" w:hAnsi="宋体" w:eastAsia="宋体" w:cs="宋体"/>
          <w:b/>
          <w:bCs/>
          <w:color w:val="auto"/>
          <w:kern w:val="0"/>
          <w:szCs w:val="21"/>
          <w:highlight w:val="none"/>
          <w:u w:val="single"/>
          <w:lang w:val="en-US" w:eastAsia="zh-CN"/>
        </w:rPr>
        <w:t>陆</w:t>
      </w:r>
      <w:r>
        <w:rPr>
          <w:rFonts w:hint="eastAsia" w:ascii="宋体" w:hAnsi="宋体" w:eastAsia="宋体" w:cs="宋体"/>
          <w:b/>
          <w:bCs/>
          <w:color w:val="auto"/>
          <w:kern w:val="0"/>
          <w:szCs w:val="21"/>
          <w:highlight w:val="none"/>
          <w:u w:val="single"/>
        </w:rPr>
        <w:t>角</w:t>
      </w:r>
      <w:r>
        <w:rPr>
          <w:rFonts w:hint="eastAsia" w:ascii="宋体" w:hAnsi="宋体" w:eastAsia="宋体" w:cs="宋体"/>
          <w:b/>
          <w:bCs/>
          <w:color w:val="auto"/>
          <w:kern w:val="0"/>
          <w:szCs w:val="21"/>
          <w:highlight w:val="none"/>
          <w:u w:val="single"/>
          <w:lang w:val="en-US" w:eastAsia="zh-CN"/>
        </w:rPr>
        <w:t>整</w:t>
      </w:r>
      <w:r>
        <w:rPr>
          <w:rFonts w:hint="eastAsia" w:ascii="宋体" w:hAnsi="宋体" w:eastAsia="宋体" w:cs="宋体"/>
          <w:b/>
          <w:bCs/>
          <w:color w:val="auto"/>
          <w:kern w:val="0"/>
          <w:szCs w:val="21"/>
          <w:highlight w:val="none"/>
          <w:u w:val="single"/>
        </w:rPr>
        <w:t>）</w:t>
      </w:r>
      <w:r>
        <w:rPr>
          <w:rFonts w:hint="eastAsia" w:ascii="宋体" w:hAnsi="宋体" w:eastAsia="宋体" w:cs="宋体"/>
          <w:b/>
          <w:color w:val="auto"/>
          <w:szCs w:val="21"/>
          <w:highlight w:val="none"/>
          <w:u w:val="single"/>
          <w:lang w:val="zh-CN"/>
        </w:rPr>
        <w:t>。</w:t>
      </w:r>
    </w:p>
    <w:p w14:paraId="46357C39">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1AE92A1A">
      <w:pPr>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140" w:name="_Toc450662862"/>
      <w:bookmarkStart w:id="141" w:name="_Toc14068"/>
      <w:bookmarkStart w:id="142" w:name="_Toc486167676"/>
      <w:bookmarkStart w:id="143" w:name="_Toc28875"/>
      <w:bookmarkStart w:id="144" w:name="_Toc30042_WPSOffice_Level3"/>
      <w:bookmarkStart w:id="145" w:name="_Toc14250832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40"/>
      <w:bookmarkEnd w:id="141"/>
      <w:bookmarkEnd w:id="142"/>
      <w:bookmarkEnd w:id="143"/>
      <w:bookmarkEnd w:id="144"/>
      <w:bookmarkEnd w:id="145"/>
    </w:p>
    <w:p w14:paraId="40C604AD">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75D41AEE">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14:paraId="06102CB4">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46" w:name="_Toc142508327"/>
      <w:bookmarkStart w:id="147" w:name="_Toc450662863"/>
      <w:bookmarkStart w:id="148" w:name="_Toc9411_WPSOffice_Level3"/>
      <w:bookmarkStart w:id="149" w:name="_Toc25596"/>
      <w:bookmarkStart w:id="150" w:name="_Toc486167677"/>
      <w:bookmarkStart w:id="151" w:name="_Toc131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46"/>
      <w:bookmarkEnd w:id="147"/>
      <w:bookmarkEnd w:id="148"/>
      <w:bookmarkEnd w:id="149"/>
      <w:bookmarkEnd w:id="150"/>
      <w:bookmarkEnd w:id="151"/>
    </w:p>
    <w:p w14:paraId="0746C4F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7744E130">
      <w:pPr>
        <w:autoSpaceDE w:val="0"/>
        <w:autoSpaceDN w:val="0"/>
        <w:adjustRightInd w:val="0"/>
        <w:spacing w:line="360" w:lineRule="auto"/>
        <w:ind w:left="357" w:leftChars="-100" w:hanging="567"/>
        <w:outlineLvl w:val="1"/>
        <w:rPr>
          <w:rFonts w:hint="eastAsia" w:ascii="宋体" w:hAnsi="宋体" w:eastAsia="宋体" w:cs="宋体"/>
          <w:color w:val="auto"/>
          <w:szCs w:val="21"/>
          <w:highlight w:val="none"/>
          <w:vertAlign w:val="superscript"/>
          <w:lang w:val="zh-CN"/>
        </w:rPr>
      </w:pPr>
      <w:bookmarkStart w:id="152" w:name="_Toc20334"/>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bookmarkEnd w:id="152"/>
    </w:p>
    <w:p w14:paraId="278BF2B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0C0F020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6757BD2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6CEEA744">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725015EF">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14:paraId="447693BD">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53" w:name="_Toc486167678"/>
      <w:bookmarkStart w:id="154" w:name="_Toc30441"/>
      <w:bookmarkStart w:id="155" w:name="_Toc27771_WPSOffice_Level3"/>
      <w:bookmarkStart w:id="156" w:name="_Toc27529"/>
      <w:bookmarkStart w:id="157" w:name="_Toc450662864"/>
      <w:bookmarkStart w:id="158" w:name="_Toc14250832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53"/>
      <w:bookmarkEnd w:id="154"/>
      <w:bookmarkEnd w:id="155"/>
      <w:bookmarkEnd w:id="156"/>
      <w:bookmarkEnd w:id="157"/>
      <w:bookmarkEnd w:id="158"/>
    </w:p>
    <w:p w14:paraId="523D2AC5">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53AA36FD">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3ADCC1C9">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34124CBF">
      <w:pPr>
        <w:autoSpaceDE w:val="0"/>
        <w:autoSpaceDN w:val="0"/>
        <w:adjustRightInd w:val="0"/>
        <w:spacing w:line="360" w:lineRule="auto"/>
        <w:ind w:left="392" w:leftChars="-100" w:hanging="602" w:hangingChars="251"/>
        <w:rPr>
          <w:rFonts w:hint="eastAsia" w:ascii="宋体" w:hAnsi="宋体" w:eastAsia="宋体" w:cs="Times New Roman"/>
          <w:color w:val="auto"/>
          <w:kern w:val="0"/>
          <w:sz w:val="24"/>
          <w:szCs w:val="24"/>
          <w:highlight w:val="none"/>
        </w:rPr>
      </w:pPr>
    </w:p>
    <w:p w14:paraId="05F3D6A8">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59" w:name="_Toc486167679"/>
      <w:bookmarkStart w:id="160" w:name="_Toc24774"/>
      <w:bookmarkStart w:id="161" w:name="_Toc13155"/>
      <w:bookmarkStart w:id="162" w:name="_Toc5356_WPSOffice_Level3"/>
      <w:bookmarkStart w:id="163" w:name="_Toc14250832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59"/>
      <w:bookmarkEnd w:id="160"/>
      <w:bookmarkEnd w:id="161"/>
      <w:bookmarkEnd w:id="162"/>
      <w:bookmarkEnd w:id="163"/>
    </w:p>
    <w:p w14:paraId="1189A08A">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10</w:t>
      </w:r>
      <w:r>
        <w:rPr>
          <w:rFonts w:hint="eastAsia" w:ascii="宋体" w:hAnsi="宋体" w:eastAsia="宋体" w:cs="宋体"/>
          <w:b/>
          <w:bCs/>
          <w:color w:val="auto"/>
          <w:kern w:val="0"/>
          <w:szCs w:val="21"/>
          <w:highlight w:val="none"/>
          <w:u w:val="single"/>
        </w:rPr>
        <w:t>0,000.00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w:t>
      </w:r>
      <w:r>
        <w:rPr>
          <w:rFonts w:hint="eastAsia" w:ascii="宋体" w:hAnsi="宋体" w:eastAsia="宋体" w:cs="宋体"/>
          <w:b/>
          <w:color w:val="auto"/>
          <w:kern w:val="0"/>
          <w:szCs w:val="21"/>
          <w:highlight w:val="none"/>
          <w:u w:val="single"/>
        </w:rPr>
        <w:t>拾万元整）</w:t>
      </w:r>
      <w:r>
        <w:rPr>
          <w:rFonts w:hint="eastAsia" w:ascii="宋体" w:hAnsi="宋体" w:eastAsia="宋体" w:cs="宋体"/>
          <w:b/>
          <w:color w:val="auto"/>
          <w:kern w:val="0"/>
          <w:szCs w:val="21"/>
          <w:highlight w:val="none"/>
        </w:rPr>
        <w:t>。</w:t>
      </w:r>
    </w:p>
    <w:p w14:paraId="094D2866">
      <w:pPr>
        <w:spacing w:line="360" w:lineRule="auto"/>
        <w:ind w:left="315" w:leftChars="-100" w:hanging="525" w:hangingChars="250"/>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331EBA07">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Cs/>
          <w:color w:val="auto"/>
          <w:kern w:val="0"/>
          <w:szCs w:val="21"/>
          <w:highlight w:val="none"/>
          <w:lang w:val="zh-CN"/>
        </w:rPr>
      </w:pPr>
      <w:bookmarkStart w:id="164" w:name="_Toc8130"/>
      <w:r>
        <w:rPr>
          <w:rFonts w:hint="eastAsia" w:ascii="宋体" w:hAnsi="宋体" w:eastAsia="宋体" w:cs="宋体"/>
          <w:bCs/>
          <w:color w:val="auto"/>
          <w:kern w:val="0"/>
          <w:szCs w:val="21"/>
          <w:highlight w:val="none"/>
          <w:lang w:val="zh-CN"/>
        </w:rPr>
        <w:t>15.3 提交保证金时应符合下列规定：</w:t>
      </w:r>
      <w:bookmarkEnd w:id="164"/>
    </w:p>
    <w:p w14:paraId="2704DCF2">
      <w:pPr>
        <w:spacing w:line="360" w:lineRule="auto"/>
        <w:ind w:firstLine="777" w:firstLineChars="3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rPr>
        <w:t>并注明招标编号</w:t>
      </w:r>
      <w:r>
        <w:rPr>
          <w:rFonts w:hint="eastAsia" w:ascii="宋体" w:hAnsi="宋体" w:eastAsia="宋体" w:cs="宋体"/>
          <w:color w:val="auto"/>
          <w:kern w:val="0"/>
          <w:szCs w:val="21"/>
          <w:highlight w:val="none"/>
        </w:rPr>
        <w:t>。</w:t>
      </w:r>
    </w:p>
    <w:p w14:paraId="2F6129B1">
      <w:pPr>
        <w:autoSpaceDE w:val="0"/>
        <w:autoSpaceDN w:val="0"/>
        <w:adjustRightInd w:val="0"/>
        <w:spacing w:line="360" w:lineRule="auto"/>
        <w:ind w:left="225" w:leftChars="107" w:firstLine="491" w:firstLineChars="233"/>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开户名称：东莞市水务集团有限公司</w:t>
      </w:r>
    </w:p>
    <w:p w14:paraId="3B3904C5">
      <w:pPr>
        <w:autoSpaceDE w:val="0"/>
        <w:autoSpaceDN w:val="0"/>
        <w:adjustRightInd w:val="0"/>
        <w:spacing w:line="360" w:lineRule="auto"/>
        <w:ind w:left="225" w:leftChars="107" w:firstLine="491" w:firstLineChars="233"/>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开户银行：东莞农村商业银行中心支行</w:t>
      </w:r>
    </w:p>
    <w:p w14:paraId="65F28E4A">
      <w:pPr>
        <w:autoSpaceDE w:val="0"/>
        <w:autoSpaceDN w:val="0"/>
        <w:adjustRightInd w:val="0"/>
        <w:spacing w:line="360" w:lineRule="auto"/>
        <w:ind w:left="225" w:leftChars="107" w:firstLine="491" w:firstLineChars="233"/>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银行账号：380010190010046195</w:t>
      </w:r>
    </w:p>
    <w:p w14:paraId="25EC6274">
      <w:pPr>
        <w:spacing w:line="360" w:lineRule="auto"/>
        <w:ind w:left="210" w:leftChars="100" w:firstLine="211" w:firstLineChars="1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42F849B9">
      <w:pPr>
        <w:autoSpaceDE w:val="0"/>
        <w:autoSpaceDN w:val="0"/>
        <w:adjustRightInd w:val="0"/>
        <w:spacing w:line="360" w:lineRule="auto"/>
        <w:ind w:left="357" w:leftChars="-100" w:hanging="567" w:hangingChars="270"/>
        <w:jc w:val="left"/>
        <w:rPr>
          <w:rFonts w:hint="eastAsia"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33C14533">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2BBB407D">
      <w:pPr>
        <w:spacing w:line="360" w:lineRule="auto"/>
        <w:ind w:left="357" w:leftChars="-100" w:hanging="567" w:hangingChars="27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3EB178F9">
      <w:pPr>
        <w:autoSpaceDE w:val="0"/>
        <w:autoSpaceDN w:val="0"/>
        <w:adjustRightInd w:val="0"/>
        <w:spacing w:line="360" w:lineRule="auto"/>
        <w:ind w:left="357" w:leftChars="-100" w:hanging="567"/>
        <w:outlineLvl w:val="2"/>
        <w:rPr>
          <w:rFonts w:hint="eastAsia" w:ascii="宋体" w:hAnsi="宋体" w:eastAsia="宋体" w:cs="宋体"/>
          <w:color w:val="auto"/>
          <w:szCs w:val="21"/>
          <w:highlight w:val="none"/>
          <w:lang w:val="zh-CN"/>
        </w:rPr>
      </w:pPr>
      <w:bookmarkStart w:id="165" w:name="_Toc1420"/>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bookmarkEnd w:id="165"/>
    </w:p>
    <w:p w14:paraId="71C24F05">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45168E5D">
      <w:pPr>
        <w:spacing w:line="360" w:lineRule="auto"/>
        <w:ind w:left="315" w:leftChars="-100" w:hanging="525" w:hangingChars="250"/>
        <w:rPr>
          <w:rFonts w:hint="eastAsia"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46F383DC">
      <w:pPr>
        <w:numPr>
          <w:ilvl w:val="2"/>
          <w:numId w:val="0"/>
        </w:numPr>
        <w:autoSpaceDE w:val="0"/>
        <w:autoSpaceDN w:val="0"/>
        <w:adjustRightInd w:val="0"/>
        <w:spacing w:line="360" w:lineRule="auto"/>
        <w:ind w:left="853" w:leftChars="136" w:hanging="567"/>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0786F8D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4D67A80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3B6214E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7F3F757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16491DC0">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0270B2A5">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14:paraId="5437BA6D">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66" w:name="_Toc450662865"/>
      <w:bookmarkStart w:id="167" w:name="_Toc486167680"/>
      <w:bookmarkStart w:id="168" w:name="_Toc12139"/>
      <w:bookmarkStart w:id="169" w:name="_Toc10550"/>
      <w:bookmarkStart w:id="170" w:name="_Toc142508330"/>
      <w:bookmarkStart w:id="171" w:name="_Toc22649_WPSOffice_Level3"/>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66"/>
      <w:bookmarkEnd w:id="167"/>
      <w:bookmarkEnd w:id="168"/>
      <w:bookmarkEnd w:id="169"/>
      <w:bookmarkEnd w:id="170"/>
      <w:bookmarkEnd w:id="171"/>
    </w:p>
    <w:p w14:paraId="3F3CFFD5">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1A487259">
      <w:pPr>
        <w:autoSpaceDE w:val="0"/>
        <w:autoSpaceDN w:val="0"/>
        <w:adjustRightInd w:val="0"/>
        <w:spacing w:line="360" w:lineRule="auto"/>
        <w:ind w:left="357" w:leftChars="-100" w:hanging="567"/>
        <w:outlineLvl w:val="1"/>
        <w:rPr>
          <w:rFonts w:hint="eastAsia" w:ascii="宋体" w:hAnsi="宋体" w:eastAsia="宋体" w:cs="宋体"/>
          <w:color w:val="auto"/>
          <w:szCs w:val="21"/>
          <w:highlight w:val="none"/>
          <w:lang w:val="zh-CN"/>
        </w:rPr>
      </w:pPr>
      <w:bookmarkStart w:id="172" w:name="_Toc19527"/>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bookmarkEnd w:id="172"/>
    </w:p>
    <w:p w14:paraId="70C7CC4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69127EDF">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35B1AB0F">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73" w:name="_Toc13311"/>
      <w:bookmarkStart w:id="174" w:name="_Toc142508331"/>
      <w:bookmarkStart w:id="175" w:name="_Toc25018"/>
      <w:bookmarkStart w:id="176" w:name="_Toc486167681"/>
      <w:bookmarkStart w:id="177" w:name="_Toc450662866"/>
      <w:bookmarkStart w:id="178" w:name="_Toc25637_WPSOffice_Level3"/>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73"/>
      <w:bookmarkEnd w:id="174"/>
      <w:bookmarkEnd w:id="175"/>
      <w:bookmarkEnd w:id="176"/>
      <w:bookmarkEnd w:id="177"/>
      <w:bookmarkEnd w:id="178"/>
    </w:p>
    <w:p w14:paraId="57F1FB40">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w:t>
      </w:r>
      <w:r>
        <w:rPr>
          <w:rFonts w:hint="eastAsia" w:ascii="宋体" w:hAnsi="宋体" w:eastAsia="宋体" w:cs="宋体"/>
          <w:b/>
          <w:color w:val="auto"/>
          <w:szCs w:val="21"/>
          <w:highlight w:val="none"/>
          <w:u w:val="single"/>
        </w:rPr>
        <w:t>七</w:t>
      </w:r>
      <w:r>
        <w:rPr>
          <w:rFonts w:hint="eastAsia" w:ascii="宋体" w:hAnsi="宋体" w:eastAsia="宋体" w:cs="宋体"/>
          <w:b/>
          <w:color w:val="auto"/>
          <w:szCs w:val="21"/>
          <w:highlight w:val="none"/>
          <w:u w:val="single"/>
          <w:lang w:val="zh-CN"/>
        </w:rPr>
        <w:t>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4DA1142D">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bCs/>
          <w:color w:val="auto"/>
          <w:szCs w:val="21"/>
          <w:highlight w:val="none"/>
          <w:lang w:val="zh-CN"/>
        </w:rPr>
        <w:t>“</w:t>
      </w:r>
      <w:r>
        <w:rPr>
          <w:rFonts w:hint="eastAsia" w:ascii="宋体" w:hAnsi="宋体" w:eastAsia="宋体" w:cs="宋体"/>
          <w:color w:val="auto"/>
          <w:szCs w:val="21"/>
          <w:highlight w:val="none"/>
          <w:lang w:val="zh-CN"/>
        </w:rPr>
        <w:t>法定代表人授权书</w:t>
      </w:r>
      <w:r>
        <w:rPr>
          <w:rFonts w:hint="eastAsia" w:ascii="宋体" w:hAnsi="宋体" w:eastAsia="宋体" w:cs="宋体"/>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604C86DA">
      <w:pPr>
        <w:autoSpaceDE w:val="0"/>
        <w:autoSpaceDN w:val="0"/>
        <w:adjustRightInd w:val="0"/>
        <w:spacing w:line="360" w:lineRule="auto"/>
        <w:ind w:left="357" w:leftChars="-100" w:hanging="567"/>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4D0DBB99">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237634B1">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32B3B027">
      <w:pPr>
        <w:autoSpaceDE w:val="0"/>
        <w:autoSpaceDN w:val="0"/>
        <w:adjustRightInd w:val="0"/>
        <w:spacing w:line="360" w:lineRule="auto"/>
        <w:ind w:left="357" w:leftChars="-100" w:hanging="567"/>
        <w:outlineLvl w:val="1"/>
        <w:rPr>
          <w:rFonts w:hint="eastAsia" w:ascii="宋体" w:hAnsi="宋体" w:eastAsia="宋体" w:cs="宋体"/>
          <w:color w:val="auto"/>
          <w:szCs w:val="21"/>
          <w:highlight w:val="none"/>
          <w:lang w:val="zh-CN"/>
        </w:rPr>
      </w:pPr>
      <w:bookmarkStart w:id="179" w:name="_Toc27386"/>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bookmarkEnd w:id="179"/>
    </w:p>
    <w:p w14:paraId="5C81D3E4">
      <w:pPr>
        <w:autoSpaceDE w:val="0"/>
        <w:autoSpaceDN w:val="0"/>
        <w:adjustRightInd w:val="0"/>
        <w:jc w:val="left"/>
        <w:rPr>
          <w:rFonts w:hint="eastAsia" w:ascii="宋体" w:hAnsi="宋体" w:eastAsia="宋体" w:cs="宋体"/>
          <w:color w:val="auto"/>
          <w:kern w:val="0"/>
          <w:sz w:val="24"/>
          <w:szCs w:val="24"/>
          <w:highlight w:val="none"/>
        </w:rPr>
      </w:pPr>
      <w:bookmarkStart w:id="180" w:name="_Toc450662867"/>
    </w:p>
    <w:p w14:paraId="6EA28CB4">
      <w:pPr>
        <w:keepNext/>
        <w:keepLines/>
        <w:tabs>
          <w:tab w:val="left" w:pos="509"/>
        </w:tabs>
        <w:autoSpaceDE w:val="0"/>
        <w:autoSpaceDN w:val="0"/>
        <w:adjustRightInd w:val="0"/>
        <w:spacing w:line="360" w:lineRule="auto"/>
        <w:jc w:val="left"/>
        <w:outlineLvl w:val="2"/>
        <w:rPr>
          <w:rFonts w:hint="eastAsia" w:ascii="宋体" w:hAnsi="宋体" w:eastAsia="宋体" w:cs="宋体"/>
          <w:color w:val="auto"/>
          <w:kern w:val="0"/>
          <w:sz w:val="24"/>
          <w:szCs w:val="24"/>
          <w:highlight w:val="none"/>
        </w:rPr>
      </w:pPr>
      <w:bookmarkStart w:id="181" w:name="_Toc140596891"/>
      <w:bookmarkStart w:id="182" w:name="_Toc2401"/>
      <w:bookmarkStart w:id="183" w:name="_Toc486167682"/>
      <w:bookmarkStart w:id="184" w:name="_Toc142508332"/>
      <w:bookmarkStart w:id="185" w:name="_Toc22356_WPSOffice_Level2"/>
      <w:bookmarkStart w:id="186" w:name="_Toc17608"/>
      <w:r>
        <w:rPr>
          <w:rFonts w:hint="eastAsia" w:ascii="宋体" w:hAnsi="宋体" w:eastAsia="宋体" w:cs="宋体"/>
          <w:b/>
          <w:bCs/>
          <w:color w:val="auto"/>
          <w:kern w:val="44"/>
          <w:szCs w:val="21"/>
          <w:highlight w:val="none"/>
          <w:lang w:val="zh-CN"/>
        </w:rPr>
        <w:t>四、投标文件的递交</w:t>
      </w:r>
      <w:bookmarkEnd w:id="180"/>
      <w:bookmarkEnd w:id="181"/>
      <w:bookmarkEnd w:id="182"/>
      <w:bookmarkEnd w:id="183"/>
      <w:bookmarkEnd w:id="184"/>
      <w:bookmarkEnd w:id="185"/>
      <w:bookmarkEnd w:id="186"/>
    </w:p>
    <w:p w14:paraId="47C33C3F">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87" w:name="_Toc12192_WPSOffice_Level3"/>
      <w:bookmarkStart w:id="188" w:name="_Toc142508333"/>
      <w:bookmarkStart w:id="189" w:name="_Toc9900"/>
      <w:bookmarkStart w:id="190" w:name="_Toc450662868"/>
      <w:bookmarkStart w:id="191" w:name="_Toc31468"/>
      <w:bookmarkStart w:id="192" w:name="_Toc48616768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87"/>
      <w:bookmarkEnd w:id="188"/>
      <w:bookmarkEnd w:id="189"/>
      <w:bookmarkEnd w:id="190"/>
      <w:bookmarkEnd w:id="191"/>
      <w:bookmarkEnd w:id="192"/>
    </w:p>
    <w:p w14:paraId="22074D97">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5107C51A">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4C97B006">
      <w:pPr>
        <w:autoSpaceDE w:val="0"/>
        <w:autoSpaceDN w:val="0"/>
        <w:adjustRightInd w:val="0"/>
        <w:spacing w:line="360" w:lineRule="auto"/>
        <w:ind w:left="357" w:leftChars="-100" w:right="15" w:rightChars="7" w:hanging="567"/>
        <w:outlineLvl w:val="1"/>
        <w:rPr>
          <w:rFonts w:hint="eastAsia" w:ascii="宋体" w:hAnsi="宋体" w:eastAsia="宋体" w:cs="宋体"/>
          <w:color w:val="auto"/>
          <w:szCs w:val="21"/>
          <w:highlight w:val="none"/>
          <w:lang w:val="zh-CN"/>
        </w:rPr>
      </w:pPr>
      <w:bookmarkStart w:id="193" w:name="_Toc3703"/>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bookmarkEnd w:id="193"/>
    </w:p>
    <w:p w14:paraId="27CE813B">
      <w:pPr>
        <w:autoSpaceDE w:val="0"/>
        <w:autoSpaceDN w:val="0"/>
        <w:adjustRightInd w:val="0"/>
        <w:spacing w:line="360" w:lineRule="auto"/>
        <w:ind w:left="319" w:leftChars="-118" w:hanging="567" w:hangingChars="270"/>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194AE42E">
      <w:pPr>
        <w:autoSpaceDE w:val="0"/>
        <w:autoSpaceDN w:val="0"/>
        <w:adjustRightInd w:val="0"/>
        <w:spacing w:line="360" w:lineRule="auto"/>
        <w:ind w:left="319" w:leftChars="-118" w:hanging="567" w:hangingChars="270"/>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23619346">
      <w:pPr>
        <w:autoSpaceDE w:val="0"/>
        <w:autoSpaceDN w:val="0"/>
        <w:adjustRightInd w:val="0"/>
        <w:spacing w:line="360" w:lineRule="auto"/>
        <w:ind w:left="319" w:leftChars="-118" w:hanging="567" w:hangingChars="270"/>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25F8D104">
      <w:pPr>
        <w:tabs>
          <w:tab w:val="left" w:pos="567"/>
        </w:tabs>
        <w:autoSpaceDE w:val="0"/>
        <w:autoSpaceDN w:val="0"/>
        <w:adjustRightInd w:val="0"/>
        <w:spacing w:line="360" w:lineRule="auto"/>
        <w:ind w:left="357" w:leftChars="-100" w:right="15" w:rightChars="7"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40867FAC">
      <w:pPr>
        <w:autoSpaceDE w:val="0"/>
        <w:autoSpaceDN w:val="0"/>
        <w:adjustRightInd w:val="0"/>
        <w:spacing w:line="360" w:lineRule="auto"/>
        <w:ind w:left="355" w:leftChars="-101" w:right="15" w:rightChars="7"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00E3E696">
      <w:pPr>
        <w:tabs>
          <w:tab w:val="left" w:pos="567"/>
        </w:tabs>
        <w:autoSpaceDE w:val="0"/>
        <w:autoSpaceDN w:val="0"/>
        <w:adjustRightInd w:val="0"/>
        <w:spacing w:line="360" w:lineRule="auto"/>
        <w:ind w:right="15" w:rightChars="7" w:firstLine="525" w:firstLineChars="250"/>
        <w:rPr>
          <w:rFonts w:hint="eastAsia" w:ascii="宋体" w:hAnsi="宋体" w:eastAsia="宋体" w:cs="宋体"/>
          <w:color w:val="auto"/>
          <w:szCs w:val="21"/>
          <w:highlight w:val="none"/>
          <w:lang w:val="zh-CN"/>
        </w:rPr>
      </w:pPr>
    </w:p>
    <w:p w14:paraId="34D42834">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94" w:name="_Toc3384"/>
      <w:bookmarkStart w:id="195" w:name="_Toc142508334"/>
      <w:bookmarkStart w:id="196" w:name="_Toc486167684"/>
      <w:bookmarkStart w:id="197" w:name="_Toc28670"/>
      <w:bookmarkStart w:id="198" w:name="_Toc450662869"/>
      <w:bookmarkStart w:id="199" w:name="_Toc29665_WPSOffice_Level3"/>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94"/>
      <w:bookmarkEnd w:id="195"/>
      <w:bookmarkEnd w:id="196"/>
      <w:bookmarkEnd w:id="197"/>
      <w:bookmarkEnd w:id="198"/>
      <w:bookmarkEnd w:id="199"/>
    </w:p>
    <w:p w14:paraId="2928634D">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0F0F578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395EECD4">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433FC411">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kern w:val="0"/>
          <w:sz w:val="24"/>
          <w:szCs w:val="24"/>
          <w:highlight w:val="none"/>
        </w:rPr>
      </w:pPr>
      <w:bookmarkStart w:id="200" w:name="_Toc14563"/>
      <w:bookmarkStart w:id="201" w:name="_Toc486167685"/>
      <w:bookmarkStart w:id="202" w:name="_Toc142508335"/>
      <w:bookmarkStart w:id="203" w:name="_Toc450662870"/>
      <w:bookmarkStart w:id="204" w:name="_Toc6684"/>
      <w:bookmarkStart w:id="205" w:name="_Toc22431_WPSOffice_Level3"/>
      <w:r>
        <w:rPr>
          <w:rFonts w:hint="eastAsia" w:ascii="宋体" w:hAnsi="宋体" w:eastAsia="宋体" w:cs="宋体"/>
          <w:color w:val="auto"/>
          <w:szCs w:val="21"/>
          <w:highlight w:val="none"/>
          <w:lang w:val="zh-CN"/>
        </w:rPr>
        <w:t>20 迟交的投标文件</w:t>
      </w:r>
      <w:bookmarkEnd w:id="200"/>
      <w:bookmarkEnd w:id="201"/>
      <w:bookmarkEnd w:id="202"/>
      <w:bookmarkEnd w:id="203"/>
      <w:bookmarkEnd w:id="204"/>
      <w:bookmarkEnd w:id="205"/>
    </w:p>
    <w:p w14:paraId="628CAB5B">
      <w:pPr>
        <w:autoSpaceDE w:val="0"/>
        <w:autoSpaceDN w:val="0"/>
        <w:adjustRightInd w:val="0"/>
        <w:spacing w:line="360" w:lineRule="auto"/>
        <w:ind w:firstLine="315" w:firstLineChars="1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47F8234D">
      <w:pPr>
        <w:autoSpaceDE w:val="0"/>
        <w:autoSpaceDN w:val="0"/>
        <w:adjustRightInd w:val="0"/>
        <w:jc w:val="left"/>
        <w:rPr>
          <w:rFonts w:hint="eastAsia" w:ascii="宋体" w:hAnsi="宋体" w:eastAsia="宋体" w:cs="宋体"/>
          <w:color w:val="auto"/>
          <w:kern w:val="0"/>
          <w:sz w:val="24"/>
          <w:szCs w:val="24"/>
          <w:highlight w:val="none"/>
        </w:rPr>
      </w:pPr>
    </w:p>
    <w:p w14:paraId="2D67DECF">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06" w:name="_Toc4089"/>
      <w:bookmarkStart w:id="207" w:name="_Toc450662871"/>
      <w:bookmarkStart w:id="208" w:name="_Toc16964"/>
      <w:bookmarkStart w:id="209" w:name="_Toc486167686"/>
      <w:bookmarkStart w:id="210" w:name="_Toc142508336"/>
      <w:bookmarkStart w:id="211" w:name="_Toc4883_WPSOffice_Level3"/>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06"/>
      <w:bookmarkEnd w:id="207"/>
      <w:bookmarkEnd w:id="208"/>
      <w:bookmarkEnd w:id="209"/>
      <w:bookmarkEnd w:id="210"/>
      <w:bookmarkEnd w:id="211"/>
    </w:p>
    <w:p w14:paraId="2557E8A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1D9EB246">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3C0E037C">
      <w:pPr>
        <w:autoSpaceDE w:val="0"/>
        <w:autoSpaceDN w:val="0"/>
        <w:adjustRightInd w:val="0"/>
        <w:spacing w:line="360" w:lineRule="auto"/>
        <w:ind w:left="357" w:leftChars="-100" w:right="15" w:rightChars="7" w:hanging="567"/>
        <w:outlineLvl w:val="1"/>
        <w:rPr>
          <w:rFonts w:hint="eastAsia" w:ascii="宋体" w:hAnsi="宋体" w:eastAsia="宋体" w:cs="宋体"/>
          <w:color w:val="auto"/>
          <w:szCs w:val="21"/>
          <w:highlight w:val="none"/>
          <w:lang w:val="zh-CN"/>
        </w:rPr>
      </w:pPr>
      <w:bookmarkStart w:id="212" w:name="_Toc18134"/>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bookmarkEnd w:id="212"/>
    </w:p>
    <w:p w14:paraId="5BC672A0">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将按第15.7款（1）规定不予退还其投标保证金。</w:t>
      </w:r>
    </w:p>
    <w:p w14:paraId="342FEDD9">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30493BB5">
      <w:pPr>
        <w:keepNext/>
        <w:keepLines/>
        <w:tabs>
          <w:tab w:val="left" w:pos="509"/>
        </w:tabs>
        <w:autoSpaceDE w:val="0"/>
        <w:autoSpaceDN w:val="0"/>
        <w:adjustRightInd w:val="0"/>
        <w:spacing w:line="360" w:lineRule="auto"/>
        <w:jc w:val="left"/>
        <w:outlineLvl w:val="2"/>
        <w:rPr>
          <w:rFonts w:hint="eastAsia" w:ascii="宋体" w:hAnsi="宋体" w:eastAsia="宋体" w:cs="宋体"/>
          <w:b/>
          <w:bCs/>
          <w:color w:val="auto"/>
          <w:kern w:val="44"/>
          <w:szCs w:val="21"/>
          <w:highlight w:val="none"/>
          <w:lang w:val="zh-CN"/>
        </w:rPr>
      </w:pPr>
      <w:bookmarkStart w:id="213" w:name="_Toc450662872"/>
      <w:bookmarkStart w:id="214" w:name="_Toc14739"/>
      <w:bookmarkStart w:id="215" w:name="_Toc27648"/>
      <w:bookmarkStart w:id="216" w:name="_Toc140596896"/>
      <w:bookmarkStart w:id="217" w:name="_Toc486167687"/>
      <w:bookmarkStart w:id="218" w:name="_Toc1049_WPSOffice_Level2"/>
      <w:bookmarkStart w:id="219" w:name="_Toc142508337"/>
      <w:r>
        <w:rPr>
          <w:rFonts w:hint="eastAsia" w:ascii="宋体" w:hAnsi="宋体" w:eastAsia="宋体" w:cs="宋体"/>
          <w:b/>
          <w:bCs/>
          <w:color w:val="auto"/>
          <w:kern w:val="44"/>
          <w:szCs w:val="21"/>
          <w:highlight w:val="none"/>
          <w:lang w:val="zh-CN"/>
        </w:rPr>
        <w:t>五、开标与评标</w:t>
      </w:r>
      <w:bookmarkEnd w:id="213"/>
      <w:bookmarkEnd w:id="214"/>
      <w:bookmarkEnd w:id="215"/>
      <w:bookmarkEnd w:id="216"/>
      <w:bookmarkEnd w:id="217"/>
      <w:bookmarkEnd w:id="218"/>
      <w:bookmarkEnd w:id="219"/>
    </w:p>
    <w:p w14:paraId="1D5B4BE3">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20" w:name="_Toc144_WPSOffice_Level3"/>
      <w:bookmarkStart w:id="221" w:name="_Toc486167688"/>
      <w:bookmarkStart w:id="222" w:name="_Toc142508338"/>
      <w:bookmarkStart w:id="223" w:name="_Toc7200"/>
      <w:bookmarkStart w:id="224" w:name="_Toc450662873"/>
      <w:bookmarkStart w:id="225" w:name="_Toc30803"/>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20"/>
      <w:bookmarkEnd w:id="221"/>
      <w:bookmarkEnd w:id="222"/>
      <w:bookmarkEnd w:id="223"/>
      <w:bookmarkEnd w:id="224"/>
      <w:bookmarkEnd w:id="225"/>
    </w:p>
    <w:p w14:paraId="507FF08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4B15C62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07F5F78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rPr>
        <w:t>相关内容</w:t>
      </w:r>
      <w:r>
        <w:rPr>
          <w:rFonts w:hint="eastAsia" w:ascii="宋体" w:hAnsi="宋体" w:eastAsia="宋体" w:cs="宋体"/>
          <w:color w:val="auto"/>
          <w:szCs w:val="21"/>
          <w:highlight w:val="none"/>
          <w:lang w:val="zh-CN"/>
        </w:rPr>
        <w:t>。若投标人现场未提出异议，则视为投标人确认宣读的结果。</w:t>
      </w:r>
    </w:p>
    <w:p w14:paraId="52B6706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72E2E872">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1E06BB9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2F16EB3B">
      <w:pPr>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14:paraId="319F0D2E">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26" w:name="_Toc12165_WPSOffice_Level3"/>
      <w:bookmarkStart w:id="227" w:name="_Toc142508339"/>
      <w:bookmarkStart w:id="228" w:name="_Toc8281"/>
      <w:bookmarkStart w:id="229" w:name="_Toc2038"/>
      <w:bookmarkStart w:id="230" w:name="_Toc486167689"/>
      <w:bookmarkStart w:id="231" w:name="_Toc450662874"/>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6"/>
      <w:bookmarkEnd w:id="227"/>
      <w:bookmarkEnd w:id="228"/>
      <w:bookmarkEnd w:id="229"/>
      <w:bookmarkEnd w:id="230"/>
      <w:bookmarkEnd w:id="231"/>
    </w:p>
    <w:p w14:paraId="61C2B06F">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7046651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76469452">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5408EE57">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32" w:name="_Toc16357"/>
      <w:bookmarkStart w:id="233" w:name="_Toc833"/>
      <w:bookmarkStart w:id="234" w:name="_Toc15565_WPSOffice_Level3"/>
      <w:bookmarkStart w:id="235" w:name="_Toc142508340"/>
      <w:bookmarkStart w:id="236" w:name="_Toc450662875"/>
      <w:bookmarkStart w:id="237" w:name="_Toc48616769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32"/>
      <w:bookmarkEnd w:id="233"/>
      <w:bookmarkEnd w:id="234"/>
      <w:bookmarkEnd w:id="235"/>
      <w:bookmarkEnd w:id="236"/>
      <w:bookmarkEnd w:id="237"/>
    </w:p>
    <w:p w14:paraId="097AD770">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11CB7C0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5407D2B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7ED81A2E">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238" w:name="_Toc31399"/>
      <w:bookmarkStart w:id="239" w:name="_Toc28910_WPSOffice_Level3"/>
      <w:bookmarkStart w:id="240" w:name="_Toc3353"/>
      <w:bookmarkStart w:id="241" w:name="_Toc450662876"/>
      <w:bookmarkStart w:id="242" w:name="_Toc486167691"/>
      <w:bookmarkStart w:id="243" w:name="_Toc14250834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38"/>
      <w:bookmarkEnd w:id="239"/>
      <w:bookmarkEnd w:id="240"/>
      <w:bookmarkEnd w:id="241"/>
      <w:bookmarkEnd w:id="242"/>
      <w:bookmarkEnd w:id="243"/>
    </w:p>
    <w:p w14:paraId="5CC9C47F">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262EE956">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13464DB8">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14:paraId="075D356C">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44" w:name="_Toc2529"/>
      <w:bookmarkStart w:id="245" w:name="_Toc338_WPSOffice_Level3"/>
      <w:bookmarkStart w:id="246" w:name="_Toc486167692"/>
      <w:bookmarkStart w:id="247" w:name="_Toc142508342"/>
      <w:bookmarkStart w:id="248" w:name="_Toc10130"/>
      <w:bookmarkStart w:id="249" w:name="_Toc450662877"/>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44"/>
      <w:bookmarkEnd w:id="245"/>
      <w:bookmarkEnd w:id="246"/>
      <w:bookmarkEnd w:id="247"/>
      <w:bookmarkEnd w:id="248"/>
      <w:bookmarkEnd w:id="249"/>
    </w:p>
    <w:p w14:paraId="61169376">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4B82939A">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250"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50"/>
    <w:p w14:paraId="75779E2A">
      <w:pPr>
        <w:tabs>
          <w:tab w:val="left" w:pos="525"/>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251" w:name="_Toc18368_WPSOffice_Level3"/>
      <w:bookmarkStart w:id="252" w:name="_Toc521918096"/>
      <w:bookmarkStart w:id="253" w:name="_Toc522047355"/>
      <w:bookmarkStart w:id="254" w:name="_Toc142508343"/>
    </w:p>
    <w:p w14:paraId="1D5F8D52">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55" w:name="_Toc28302"/>
      <w:bookmarkStart w:id="256" w:name="_Toc1502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51"/>
      <w:bookmarkEnd w:id="252"/>
      <w:bookmarkEnd w:id="253"/>
      <w:bookmarkEnd w:id="254"/>
      <w:bookmarkEnd w:id="255"/>
      <w:bookmarkEnd w:id="256"/>
    </w:p>
    <w:p w14:paraId="4412F3D5">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2EA272B7">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1DEA1B82">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75776DE5">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7D8D47B3">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32CCB246">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60705ED6">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257" w:name="_Toc522047356"/>
      <w:bookmarkStart w:id="258" w:name="_Toc521918097"/>
    </w:p>
    <w:p w14:paraId="3096E1C6">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59" w:name="_Toc142508344"/>
      <w:bookmarkStart w:id="260" w:name="_Toc22253"/>
      <w:bookmarkStart w:id="261" w:name="_Toc31279"/>
      <w:bookmarkStart w:id="262" w:name="_Toc21460_WPSOffice_Level3"/>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57"/>
      <w:bookmarkEnd w:id="258"/>
      <w:bookmarkEnd w:id="259"/>
      <w:bookmarkEnd w:id="260"/>
      <w:bookmarkEnd w:id="261"/>
      <w:bookmarkEnd w:id="262"/>
    </w:p>
    <w:p w14:paraId="6FE8A4CA">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38B3AC0F">
      <w:pPr>
        <w:tabs>
          <w:tab w:val="left" w:pos="360"/>
        </w:tabs>
        <w:autoSpaceDE w:val="0"/>
        <w:autoSpaceDN w:val="0"/>
        <w:adjustRightInd w:val="0"/>
        <w:spacing w:line="360" w:lineRule="auto"/>
        <w:ind w:left="330" w:leftChars="-100" w:right="44" w:rightChars="21" w:hanging="540"/>
        <w:outlineLvl w:val="1"/>
        <w:rPr>
          <w:rFonts w:hint="eastAsia" w:ascii="宋体" w:hAnsi="宋体" w:eastAsia="宋体" w:cs="宋体"/>
          <w:color w:val="auto"/>
          <w:szCs w:val="21"/>
          <w:highlight w:val="none"/>
          <w:lang w:val="zh-CN"/>
        </w:rPr>
      </w:pPr>
      <w:bookmarkStart w:id="263" w:name="_Toc9292"/>
      <w:r>
        <w:rPr>
          <w:rFonts w:hint="eastAsia" w:ascii="宋体" w:hAnsi="宋体" w:eastAsia="宋体" w:cs="宋体"/>
          <w:color w:val="auto"/>
          <w:szCs w:val="21"/>
          <w:highlight w:val="none"/>
          <w:lang w:val="zh-CN"/>
        </w:rPr>
        <w:t>28.2 评标严格按照招标文件的要求和条件进行。</w:t>
      </w:r>
      <w:bookmarkEnd w:id="263"/>
    </w:p>
    <w:p w14:paraId="6DC58F1E">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15C4DF3C">
      <w:pPr>
        <w:autoSpaceDE w:val="0"/>
        <w:autoSpaceDN w:val="0"/>
        <w:adjustRightInd w:val="0"/>
        <w:spacing w:line="360" w:lineRule="auto"/>
        <w:ind w:left="441" w:leftChars="-60"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0ADFE89C">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14:paraId="3D201A3E">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64" w:name="_Toc15841"/>
      <w:bookmarkStart w:id="265" w:name="_Toc32498_WPSOffice_Level3"/>
      <w:bookmarkStart w:id="266" w:name="_Toc465358969"/>
      <w:bookmarkStart w:id="267" w:name="_Toc142508345"/>
      <w:bookmarkStart w:id="268" w:name="_Toc486167694"/>
      <w:bookmarkStart w:id="269" w:name="_Toc2988"/>
      <w:bookmarkStart w:id="270" w:name="_Toc46688201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64"/>
      <w:bookmarkEnd w:id="265"/>
      <w:bookmarkEnd w:id="266"/>
      <w:bookmarkEnd w:id="267"/>
      <w:bookmarkEnd w:id="268"/>
      <w:bookmarkEnd w:id="269"/>
      <w:bookmarkEnd w:id="270"/>
    </w:p>
    <w:p w14:paraId="59AEDC4D">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54F09971">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185D3B30">
      <w:pPr>
        <w:autoSpaceDE w:val="0"/>
        <w:autoSpaceDN w:val="0"/>
        <w:adjustRightInd w:val="0"/>
        <w:spacing w:line="360" w:lineRule="auto"/>
        <w:ind w:left="284" w:hanging="568"/>
        <w:rPr>
          <w:rFonts w:hint="eastAsia"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642F640A">
      <w:pPr>
        <w:autoSpaceDE w:val="0"/>
        <w:autoSpaceDN w:val="0"/>
        <w:adjustRightInd w:val="0"/>
        <w:snapToGrid w:val="0"/>
        <w:spacing w:line="360" w:lineRule="auto"/>
        <w:ind w:left="246" w:leftChars="117" w:firstLine="422" w:firstLineChars="200"/>
        <w:jc w:val="left"/>
        <w:rPr>
          <w:rFonts w:hint="eastAsia"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2D899CF5">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1D1979A7">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6FB3CF2F">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24F37D3B">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1FFCE62D">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0F75F190">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4A1C5EB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5513EB52">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551F4E83">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212B593F">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53788088">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14:paraId="35323569">
      <w:pPr>
        <w:tabs>
          <w:tab w:val="left" w:pos="567"/>
        </w:tabs>
        <w:autoSpaceDE w:val="0"/>
        <w:autoSpaceDN w:val="0"/>
        <w:adjustRightInd w:val="0"/>
        <w:spacing w:line="360" w:lineRule="auto"/>
        <w:ind w:left="288" w:leftChars="-100" w:hanging="498" w:hangingChars="236"/>
        <w:outlineLvl w:val="0"/>
        <w:rPr>
          <w:rFonts w:hint="eastAsia" w:ascii="宋体" w:hAnsi="宋体" w:eastAsia="宋体" w:cs="宋体"/>
          <w:b/>
          <w:color w:val="auto"/>
          <w:szCs w:val="21"/>
          <w:highlight w:val="none"/>
          <w:lang w:val="zh-CN"/>
        </w:rPr>
      </w:pPr>
      <w:bookmarkStart w:id="271" w:name="_Toc32328"/>
      <w:bookmarkStart w:id="272" w:name="_Toc1848_WPSOffice_Level3"/>
      <w:bookmarkStart w:id="273" w:name="_Toc142508346"/>
      <w:bookmarkStart w:id="274" w:name="_Toc466882018"/>
      <w:bookmarkStart w:id="275" w:name="_Toc486167695"/>
      <w:bookmarkStart w:id="276" w:name="_Toc465358970"/>
      <w:bookmarkStart w:id="277" w:name="_Toc26138"/>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1"/>
      <w:bookmarkEnd w:id="272"/>
      <w:bookmarkEnd w:id="273"/>
      <w:bookmarkEnd w:id="274"/>
      <w:bookmarkEnd w:id="275"/>
      <w:bookmarkEnd w:id="276"/>
      <w:bookmarkEnd w:id="277"/>
    </w:p>
    <w:p w14:paraId="6986D984">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D113DD7">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8F2C29A">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w:t>
      </w:r>
      <w:r>
        <w:rPr>
          <w:rFonts w:hint="eastAsia" w:ascii="宋体" w:hAnsi="宋体" w:eastAsia="宋体" w:cs="宋体"/>
          <w:b/>
          <w:color w:val="auto"/>
          <w:szCs w:val="21"/>
          <w:highlight w:val="none"/>
        </w:rPr>
        <w:t>招标人或招标人权属子公司（含招标人权属子公司的子公司、分公司）</w:t>
      </w:r>
      <w:r>
        <w:rPr>
          <w:rFonts w:ascii="宋体" w:hAnsi="宋体" w:eastAsia="宋体" w:cs="宋体"/>
          <w:b/>
          <w:color w:val="auto"/>
          <w:szCs w:val="21"/>
          <w:highlight w:val="none"/>
        </w:rPr>
        <w:t>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6A1C4185">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278" w:name="_Toc466882019"/>
      <w:bookmarkStart w:id="279" w:name="_Toc465358971"/>
    </w:p>
    <w:p w14:paraId="274528C2">
      <w:pPr>
        <w:tabs>
          <w:tab w:val="left" w:pos="567"/>
        </w:tabs>
        <w:autoSpaceDE w:val="0"/>
        <w:autoSpaceDN w:val="0"/>
        <w:adjustRightInd w:val="0"/>
        <w:spacing w:line="360" w:lineRule="auto"/>
        <w:ind w:left="16" w:leftChars="-59" w:hanging="140" w:hangingChars="67"/>
        <w:outlineLvl w:val="0"/>
        <w:rPr>
          <w:rFonts w:hint="eastAsia" w:ascii="宋体" w:hAnsi="宋体" w:eastAsia="宋体" w:cs="宋体"/>
          <w:color w:val="auto"/>
          <w:szCs w:val="21"/>
          <w:highlight w:val="none"/>
          <w:lang w:val="zh-CN"/>
        </w:rPr>
      </w:pPr>
      <w:bookmarkStart w:id="280" w:name="_Toc9904"/>
      <w:bookmarkStart w:id="281" w:name="_Toc26035"/>
      <w:bookmarkStart w:id="282" w:name="_Toc486167696"/>
      <w:bookmarkStart w:id="283" w:name="_Toc142508347"/>
      <w:bookmarkStart w:id="284" w:name="_Toc10867_WPSOffice_Level3"/>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78"/>
      <w:bookmarkEnd w:id="279"/>
      <w:bookmarkEnd w:id="280"/>
      <w:bookmarkEnd w:id="281"/>
      <w:bookmarkEnd w:id="282"/>
      <w:bookmarkEnd w:id="283"/>
      <w:bookmarkEnd w:id="284"/>
    </w:p>
    <w:p w14:paraId="7BCD79D3">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4575F85B">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bookmarkStart w:id="285" w:name="_Toc450662880"/>
    </w:p>
    <w:p w14:paraId="59A3BDB0">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86" w:name="_Toc142508348"/>
      <w:bookmarkStart w:id="287" w:name="_Toc18316"/>
      <w:bookmarkStart w:id="288" w:name="_Toc486167697"/>
      <w:bookmarkStart w:id="289" w:name="_Toc32115"/>
      <w:bookmarkStart w:id="290" w:name="_Toc140596907"/>
      <w:bookmarkStart w:id="291" w:name="_Toc16848_WPSOffice_Level2"/>
      <w:r>
        <w:rPr>
          <w:rFonts w:hint="eastAsia" w:ascii="宋体" w:hAnsi="宋体" w:eastAsia="宋体" w:cs="宋体"/>
          <w:b/>
          <w:bCs/>
          <w:color w:val="auto"/>
          <w:kern w:val="44"/>
          <w:szCs w:val="21"/>
          <w:highlight w:val="none"/>
          <w:lang w:val="zh-CN"/>
        </w:rPr>
        <w:t>六、授予合同</w:t>
      </w:r>
      <w:bookmarkEnd w:id="285"/>
      <w:bookmarkEnd w:id="286"/>
      <w:bookmarkEnd w:id="287"/>
      <w:bookmarkEnd w:id="288"/>
      <w:bookmarkEnd w:id="289"/>
      <w:bookmarkEnd w:id="290"/>
      <w:bookmarkEnd w:id="291"/>
    </w:p>
    <w:p w14:paraId="1E4382D4">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92" w:name="_Toc22313"/>
      <w:bookmarkStart w:id="293" w:name="_Toc450662881"/>
      <w:bookmarkStart w:id="294" w:name="_Toc25540"/>
      <w:bookmarkStart w:id="295" w:name="_Toc6401_WPSOffice_Level3"/>
      <w:bookmarkStart w:id="296" w:name="_Toc142508349"/>
      <w:bookmarkStart w:id="297" w:name="_Toc486167698"/>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92"/>
      <w:bookmarkEnd w:id="293"/>
      <w:bookmarkEnd w:id="294"/>
      <w:bookmarkEnd w:id="295"/>
      <w:bookmarkEnd w:id="296"/>
      <w:bookmarkEnd w:id="297"/>
    </w:p>
    <w:p w14:paraId="59C834FD">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或招标人权属子公司（含招标人权属子公司的子公司、分公司）将合同授予其投标文件符合招标文件要求，并且能承诺履行合同，对招标人或招标人权属子公司（含招标人权属子公司的子公司、分公司）最为有利的投标人。</w:t>
      </w:r>
    </w:p>
    <w:p w14:paraId="40C6131D">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188E018B">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w:t>
      </w:r>
      <w:r>
        <w:rPr>
          <w:rFonts w:hint="eastAsia" w:ascii="宋体" w:hAnsi="宋体" w:eastAsia="宋体" w:cs="宋体"/>
          <w:color w:val="auto"/>
          <w:szCs w:val="21"/>
          <w:highlight w:val="none"/>
          <w:lang w:val="zh-CN"/>
        </w:rPr>
        <w:t>招标人或招标人权属子公司（含招标人权属子公司的子公司、分公司）</w:t>
      </w:r>
      <w:r>
        <w:rPr>
          <w:rFonts w:hint="eastAsia" w:ascii="宋体" w:hAnsi="宋体" w:eastAsia="宋体" w:cs="宋体"/>
          <w:color w:val="auto"/>
          <w:kern w:val="0"/>
          <w:szCs w:val="21"/>
          <w:highlight w:val="none"/>
        </w:rPr>
        <w:t>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1B7FCB0F">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298" w:name="_Toc450662885"/>
    </w:p>
    <w:p w14:paraId="12EA5623">
      <w:pPr>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99" w:name="_Toc1590"/>
      <w:bookmarkStart w:id="300" w:name="_Toc6726_WPSOffice_Level3"/>
      <w:bookmarkStart w:id="301" w:name="_Toc486167699"/>
      <w:bookmarkStart w:id="302" w:name="_Toc24266"/>
      <w:bookmarkStart w:id="303" w:name="_Toc142508350"/>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298"/>
      <w:bookmarkEnd w:id="299"/>
      <w:bookmarkEnd w:id="300"/>
      <w:bookmarkEnd w:id="301"/>
      <w:bookmarkEnd w:id="302"/>
      <w:bookmarkEnd w:id="303"/>
    </w:p>
    <w:p w14:paraId="0052E2E8">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04"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5E85E598">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7B0B5774">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09B03F5D">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05" w:name="_Toc495"/>
      <w:bookmarkStart w:id="306" w:name="_Toc486167700"/>
      <w:bookmarkStart w:id="307" w:name="_Toc32732"/>
      <w:bookmarkStart w:id="308" w:name="_Toc142508351"/>
      <w:bookmarkStart w:id="309" w:name="_Toc9694_WPSOffice_Level3"/>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04"/>
      <w:bookmarkEnd w:id="305"/>
      <w:bookmarkEnd w:id="306"/>
      <w:bookmarkEnd w:id="307"/>
      <w:bookmarkEnd w:id="308"/>
      <w:bookmarkEnd w:id="309"/>
    </w:p>
    <w:p w14:paraId="0AE3BC7A">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权属子公司（含招标人权属子公司的子公司、分公司）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701EE47F">
      <w:pPr>
        <w:autoSpaceDE w:val="0"/>
        <w:autoSpaceDN w:val="0"/>
        <w:adjustRightInd w:val="0"/>
        <w:snapToGrid w:val="0"/>
        <w:spacing w:line="360" w:lineRule="auto"/>
        <w:ind w:left="315" w:leftChars="-100" w:hanging="525" w:hangingChars="2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1C091962">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按前述修正原则排序依次进行修正至唯一值后的报价表经双方确认后，作为合同文件的组成部分。</w:t>
      </w:r>
    </w:p>
    <w:p w14:paraId="435CF2CE">
      <w:pPr>
        <w:autoSpaceDE w:val="0"/>
        <w:autoSpaceDN w:val="0"/>
        <w:adjustRightInd w:val="0"/>
        <w:snapToGrid w:val="0"/>
        <w:spacing w:line="360" w:lineRule="auto"/>
        <w:ind w:left="315" w:leftChars="-100" w:hanging="525" w:hangingChars="250"/>
        <w:jc w:val="left"/>
        <w:rPr>
          <w:rFonts w:hint="eastAsia" w:ascii="宋体" w:hAnsi="宋体" w:eastAsia="宋体" w:cs="Times New Roman"/>
          <w:color w:val="auto"/>
          <w:szCs w:val="21"/>
          <w:highlight w:val="none"/>
          <w:lang w:val="zh-CN"/>
        </w:rPr>
      </w:pPr>
      <w:bookmarkStart w:id="310" w:name="_Toc450662887"/>
      <w:bookmarkStart w:id="311" w:name="_Toc486167701"/>
      <w:bookmarkStart w:id="312" w:name="_Toc142508352"/>
      <w:bookmarkStart w:id="313" w:name="_Toc10513_WPSOffice_Level3"/>
      <w:r>
        <w:rPr>
          <w:rFonts w:hint="eastAsia" w:ascii="宋体" w:hAnsi="宋体" w:eastAsia="宋体" w:cs="Times New Roman"/>
          <w:color w:val="auto"/>
          <w:szCs w:val="21"/>
          <w:highlight w:val="none"/>
          <w:lang w:val="zh-CN"/>
        </w:rPr>
        <w:t xml:space="preserve">34.3 </w:t>
      </w:r>
      <w:r>
        <w:rPr>
          <w:rFonts w:hint="eastAsia" w:ascii="宋体" w:hAnsi="宋体" w:eastAsia="宋体" w:cs="Times New Roman"/>
          <w:b/>
          <w:bCs/>
          <w:color w:val="auto"/>
          <w:szCs w:val="21"/>
          <w:highlight w:val="none"/>
          <w:lang w:val="zh-CN"/>
        </w:rPr>
        <w:t>本项目中标人须与招标人权属子公司（含招标人权属子公司的子公司、分公司）分别签署合同。合同履约过程中，如本项目因新增合同主体需要额外供货，招标人权属子公司（含招标人权属子公司的子公司、分公司）有权依据不含税中标综合单价与中标人协商并签订补充协议，并确保其作为原合同的有效补充。中标人应充分理解并接受本项目在合同履约期间可能新增合同主体的可能性，并承诺在接到招标人权属子公司（含招标人权属子公司的子公司、分公司）关于新增合同主体的供货通知及签订补充协议的要求时，积极配合并履行相应的供货义务，确保供货的及时性和质量等符合原合同的要求。</w:t>
      </w:r>
    </w:p>
    <w:p w14:paraId="22F5AF2B">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p>
    <w:p w14:paraId="256F4035">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14" w:name="_Toc31705"/>
      <w:bookmarkStart w:id="315" w:name="_Toc8873"/>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10"/>
      <w:bookmarkEnd w:id="311"/>
      <w:bookmarkEnd w:id="312"/>
      <w:bookmarkEnd w:id="313"/>
      <w:bookmarkEnd w:id="314"/>
      <w:bookmarkEnd w:id="315"/>
    </w:p>
    <w:p w14:paraId="0E93F36F">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bookmarkStart w:id="316" w:name="_Toc466882025"/>
      <w:bookmarkStart w:id="317"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中标人应在签订合同前，按本招标文件规定金额及形式要求，向招标人权属子公司（含招标人权属子公司的子公司、分公司）提交不可撤销银行履约保函（或履约保证金</w:t>
      </w:r>
      <w:r>
        <w:rPr>
          <w:rFonts w:hint="eastAsia" w:ascii="宋体" w:hAnsi="宋体" w:eastAsia="宋体" w:cs="Times New Roman"/>
          <w:b/>
          <w:bCs/>
          <w:color w:val="auto"/>
          <w:szCs w:val="21"/>
          <w:highlight w:val="none"/>
          <w:u w:val="single"/>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w:t>
      </w:r>
      <w:r>
        <w:rPr>
          <w:rFonts w:hint="eastAsia" w:ascii="宋体" w:hAnsi="宋体" w:eastAsia="宋体" w:cs="Arial"/>
          <w:b/>
          <w:bCs/>
          <w:color w:val="auto"/>
          <w:kern w:val="0"/>
          <w:szCs w:val="24"/>
          <w:highlight w:val="none"/>
          <w:u w:val="single"/>
          <w:lang w:val="en-US" w:eastAsia="zh-CN"/>
        </w:rPr>
        <w:t>或</w:t>
      </w:r>
      <w:r>
        <w:rPr>
          <w:rFonts w:hint="eastAsia" w:ascii="宋体" w:hAnsi="宋体" w:eastAsia="宋体" w:cs="Times New Roman"/>
          <w:b/>
          <w:color w:val="auto"/>
          <w:szCs w:val="21"/>
          <w:highlight w:val="none"/>
          <w:u w:val="single"/>
          <w:lang w:val="zh-CN"/>
        </w:rPr>
        <w:t>招标人权属子公司（含招标人权属子公司的子公司、分公司）</w:t>
      </w:r>
      <w:r>
        <w:rPr>
          <w:rFonts w:ascii="宋体" w:hAnsi="宋体" w:eastAsia="宋体" w:cs="Arial"/>
          <w:b/>
          <w:bCs/>
          <w:color w:val="auto"/>
          <w:kern w:val="0"/>
          <w:szCs w:val="24"/>
          <w:highlight w:val="none"/>
          <w:u w:val="single"/>
        </w:rPr>
        <w:t>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其中，采用履约保证金（银行转账形式）的金额为招标人</w:t>
      </w:r>
      <w:r>
        <w:rPr>
          <w:rFonts w:hint="eastAsia" w:ascii="宋体" w:hAnsi="宋体" w:eastAsia="宋体" w:cs="Times New Roman"/>
          <w:b/>
          <w:bCs/>
          <w:color w:val="auto"/>
          <w:szCs w:val="21"/>
          <w:highlight w:val="none"/>
          <w:u w:val="single"/>
          <w:lang w:val="en-US" w:eastAsia="zh-CN"/>
        </w:rPr>
        <w:t>权属子公司</w:t>
      </w:r>
      <w:r>
        <w:rPr>
          <w:rFonts w:hint="eastAsia" w:ascii="宋体" w:hAnsi="宋体" w:eastAsia="宋体" w:cs="Times New Roman"/>
          <w:b/>
          <w:bCs/>
          <w:color w:val="auto"/>
          <w:szCs w:val="21"/>
          <w:highlight w:val="none"/>
          <w:u w:val="single"/>
          <w:lang w:val="zh-CN"/>
        </w:rPr>
        <w:t>（含招标人权属子公司的子公司、分公司）</w:t>
      </w:r>
      <w:r>
        <w:rPr>
          <w:rFonts w:hint="eastAsia" w:ascii="宋体" w:hAnsi="宋体" w:eastAsia="宋体" w:cs="Times New Roman"/>
          <w:b/>
          <w:bCs/>
          <w:color w:val="auto"/>
          <w:szCs w:val="21"/>
          <w:highlight w:val="none"/>
          <w:u w:val="single"/>
          <w:lang w:val="en-US" w:eastAsia="zh-CN"/>
        </w:rPr>
        <w:t>相应标的</w:t>
      </w:r>
      <w:r>
        <w:rPr>
          <w:rFonts w:hint="eastAsia" w:ascii="宋体" w:hAnsi="宋体" w:eastAsia="宋体" w:cs="Times New Roman"/>
          <w:b/>
          <w:bCs/>
          <w:color w:val="auto"/>
          <w:szCs w:val="21"/>
          <w:highlight w:val="none"/>
          <w:u w:val="single"/>
          <w:lang w:val="zh-CN"/>
        </w:rPr>
        <w:t>不含税暂定总合同价的5%【按招标人要求分别存入招标人（含招标人权属子公司的子公司、分公司）指定的银行账户】；采用不可撤销银行履约保函（</w:t>
      </w:r>
      <w:r>
        <w:rPr>
          <w:rFonts w:hint="eastAsia" w:ascii="宋体" w:hAnsi="宋体" w:eastAsia="宋体" w:cs="宋体"/>
          <w:b/>
          <w:bCs/>
          <w:color w:val="auto"/>
          <w:szCs w:val="21"/>
          <w:highlight w:val="none"/>
          <w:u w:val="single"/>
          <w:lang w:val="zh-CN"/>
        </w:rPr>
        <w:t>或履约保证保险</w:t>
      </w:r>
      <w:r>
        <w:rPr>
          <w:rFonts w:hint="eastAsia" w:ascii="宋体" w:hAnsi="宋体" w:eastAsia="宋体" w:cs="Times New Roman"/>
          <w:b/>
          <w:bCs/>
          <w:color w:val="auto"/>
          <w:szCs w:val="21"/>
          <w:highlight w:val="none"/>
          <w:u w:val="single"/>
          <w:lang w:val="zh-CN"/>
        </w:rPr>
        <w:t>）形式的金额为招标人</w:t>
      </w:r>
      <w:r>
        <w:rPr>
          <w:rFonts w:hint="eastAsia" w:ascii="宋体" w:hAnsi="宋体" w:eastAsia="宋体" w:cs="Times New Roman"/>
          <w:b/>
          <w:bCs/>
          <w:color w:val="auto"/>
          <w:szCs w:val="21"/>
          <w:highlight w:val="none"/>
          <w:u w:val="single"/>
          <w:lang w:val="en-US" w:eastAsia="zh-CN"/>
        </w:rPr>
        <w:t>权属子公司</w:t>
      </w:r>
      <w:r>
        <w:rPr>
          <w:rFonts w:hint="eastAsia" w:ascii="宋体" w:hAnsi="宋体" w:eastAsia="宋体" w:cs="Times New Roman"/>
          <w:b/>
          <w:bCs/>
          <w:color w:val="auto"/>
          <w:szCs w:val="21"/>
          <w:highlight w:val="none"/>
          <w:u w:val="single"/>
          <w:lang w:val="zh-CN"/>
        </w:rPr>
        <w:t>（含招标人权属子公司的子公司、分公司）</w:t>
      </w:r>
      <w:r>
        <w:rPr>
          <w:rFonts w:hint="eastAsia" w:ascii="宋体" w:hAnsi="宋体" w:eastAsia="宋体" w:cs="Times New Roman"/>
          <w:b/>
          <w:bCs/>
          <w:color w:val="auto"/>
          <w:szCs w:val="21"/>
          <w:highlight w:val="none"/>
          <w:u w:val="single"/>
          <w:lang w:val="en-US" w:eastAsia="zh-CN"/>
        </w:rPr>
        <w:t>相应标的</w:t>
      </w:r>
      <w:r>
        <w:rPr>
          <w:rFonts w:hint="eastAsia" w:ascii="宋体" w:hAnsi="宋体" w:eastAsia="宋体" w:cs="Times New Roman"/>
          <w:b/>
          <w:bCs/>
          <w:color w:val="auto"/>
          <w:szCs w:val="21"/>
          <w:highlight w:val="none"/>
          <w:u w:val="single"/>
          <w:lang w:val="zh-CN"/>
        </w:rPr>
        <w:t>不含税暂定总合同价的8%，</w:t>
      </w:r>
      <w:r>
        <w:rPr>
          <w:rFonts w:hint="eastAsia" w:ascii="宋体" w:hAnsi="宋体" w:eastAsia="宋体" w:cs="宋体"/>
          <w:b/>
          <w:bCs/>
          <w:color w:val="auto"/>
          <w:szCs w:val="21"/>
          <w:highlight w:val="none"/>
          <w:u w:val="single"/>
          <w:lang w:val="zh-CN"/>
        </w:rPr>
        <w:t>中标人需开具一份受益人</w:t>
      </w:r>
      <w:r>
        <w:rPr>
          <w:rFonts w:hint="eastAsia" w:ascii="宋体" w:hAnsi="宋体" w:eastAsia="宋体" w:cs="宋体"/>
          <w:b/>
          <w:bCs/>
          <w:color w:val="auto"/>
          <w:szCs w:val="21"/>
          <w:highlight w:val="none"/>
          <w:u w:val="single"/>
        </w:rPr>
        <w:t>为</w:t>
      </w:r>
      <w:r>
        <w:rPr>
          <w:rFonts w:hint="eastAsia" w:ascii="宋体" w:hAnsi="宋体" w:eastAsia="宋体" w:cs="Times New Roman"/>
          <w:b/>
          <w:bCs/>
          <w:color w:val="auto"/>
          <w:szCs w:val="21"/>
          <w:highlight w:val="none"/>
          <w:u w:val="single"/>
          <w:lang w:val="zh-CN"/>
        </w:rPr>
        <w:t>招标人权属子公司（含招标人权属子公司的子公司、分公司）</w:t>
      </w:r>
      <w:r>
        <w:rPr>
          <w:rFonts w:hint="eastAsia" w:ascii="宋体" w:hAnsi="宋体" w:eastAsia="宋体" w:cs="宋体"/>
          <w:b/>
          <w:bCs/>
          <w:color w:val="auto"/>
          <w:szCs w:val="21"/>
          <w:highlight w:val="none"/>
          <w:u w:val="single"/>
          <w:lang w:val="zh-CN"/>
        </w:rPr>
        <w:t>的不可撤销银行履约保函(或履约保证保险)；</w:t>
      </w:r>
      <w:r>
        <w:rPr>
          <w:rFonts w:hint="eastAsia" w:ascii="宋体" w:hAnsi="宋体" w:eastAsia="宋体" w:cs="Times New Roman"/>
          <w:b/>
          <w:bCs/>
          <w:color w:val="auto"/>
          <w:szCs w:val="21"/>
          <w:highlight w:val="none"/>
          <w:u w:val="single"/>
          <w:lang w:val="zh-CN"/>
        </w:rPr>
        <w:t>采用担保公司履约担保书形式的金额为招标人</w:t>
      </w:r>
      <w:r>
        <w:rPr>
          <w:rFonts w:hint="eastAsia" w:ascii="宋体" w:hAnsi="宋体" w:eastAsia="宋体" w:cs="Times New Roman"/>
          <w:b/>
          <w:bCs/>
          <w:color w:val="auto"/>
          <w:szCs w:val="21"/>
          <w:highlight w:val="none"/>
          <w:u w:val="single"/>
          <w:lang w:val="en-US" w:eastAsia="zh-CN"/>
        </w:rPr>
        <w:t>权属子公司</w:t>
      </w:r>
      <w:r>
        <w:rPr>
          <w:rFonts w:hint="eastAsia" w:ascii="宋体" w:hAnsi="宋体" w:eastAsia="宋体" w:cs="Times New Roman"/>
          <w:b/>
          <w:bCs/>
          <w:color w:val="auto"/>
          <w:szCs w:val="21"/>
          <w:highlight w:val="none"/>
          <w:u w:val="single"/>
          <w:lang w:val="zh-CN"/>
        </w:rPr>
        <w:t>（含招标人权属子公司的子公司、分公司）</w:t>
      </w:r>
      <w:r>
        <w:rPr>
          <w:rFonts w:hint="eastAsia" w:ascii="宋体" w:hAnsi="宋体" w:eastAsia="宋体" w:cs="Times New Roman"/>
          <w:b/>
          <w:bCs/>
          <w:color w:val="auto"/>
          <w:szCs w:val="21"/>
          <w:highlight w:val="none"/>
          <w:u w:val="single"/>
          <w:lang w:val="en-US" w:eastAsia="zh-CN"/>
        </w:rPr>
        <w:t>相应标的</w:t>
      </w:r>
      <w:r>
        <w:rPr>
          <w:rFonts w:hint="eastAsia" w:ascii="宋体" w:hAnsi="宋体" w:eastAsia="宋体" w:cs="Times New Roman"/>
          <w:b/>
          <w:bCs/>
          <w:color w:val="auto"/>
          <w:szCs w:val="21"/>
          <w:highlight w:val="none"/>
          <w:u w:val="single"/>
          <w:lang w:val="zh-CN"/>
        </w:rPr>
        <w:t>不含税暂定总合同价的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宋体"/>
          <w:b/>
          <w:bCs/>
          <w:color w:val="auto"/>
          <w:szCs w:val="21"/>
          <w:highlight w:val="none"/>
          <w:u w:val="single"/>
          <w:lang w:val="zh-CN"/>
        </w:rPr>
        <w:t>中标人需开具受益人</w:t>
      </w:r>
      <w:r>
        <w:rPr>
          <w:rFonts w:hint="eastAsia" w:ascii="宋体" w:hAnsi="宋体" w:eastAsia="宋体" w:cs="宋体"/>
          <w:b/>
          <w:bCs/>
          <w:color w:val="auto"/>
          <w:szCs w:val="21"/>
          <w:highlight w:val="none"/>
          <w:u w:val="single"/>
        </w:rPr>
        <w:t>为</w:t>
      </w:r>
      <w:r>
        <w:rPr>
          <w:rFonts w:hint="eastAsia" w:ascii="宋体" w:hAnsi="宋体" w:eastAsia="宋体" w:cs="Times New Roman"/>
          <w:b/>
          <w:bCs/>
          <w:color w:val="auto"/>
          <w:szCs w:val="21"/>
          <w:highlight w:val="none"/>
          <w:u w:val="single"/>
          <w:lang w:val="zh-CN"/>
        </w:rPr>
        <w:t>招标人权属子公司（含招标人权属子公司的子公司、分公司）</w:t>
      </w:r>
      <w:r>
        <w:rPr>
          <w:rFonts w:hint="eastAsia" w:ascii="宋体" w:hAnsi="宋体" w:eastAsia="宋体" w:cs="宋体"/>
          <w:b/>
          <w:bCs/>
          <w:color w:val="auto"/>
          <w:szCs w:val="21"/>
          <w:highlight w:val="none"/>
          <w:u w:val="single"/>
          <w:lang w:val="zh-CN"/>
        </w:rPr>
        <w:t>的履约担保书</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权属子公司（含招标人权属子公司的子公司、分公司）造成的损失超过履约担保数额的，中标人还应当对超过部分予以赔偿，招标人权属子公司（含招标人权属子公司的子公司、分公司）并依法追究中标人的相应责任。</w:t>
      </w:r>
    </w:p>
    <w:p w14:paraId="5DAD7A92">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w:t>
      </w:r>
      <w:r>
        <w:rPr>
          <w:rFonts w:hint="eastAsia" w:ascii="宋体" w:hAnsi="宋体" w:eastAsia="宋体" w:cs="Arial"/>
          <w:color w:val="auto"/>
          <w:kern w:val="0"/>
          <w:szCs w:val="24"/>
          <w:highlight w:val="none"/>
        </w:rPr>
        <w:t>招标人权属子公司（含招标人权属子公司的子公司、分公司）</w:t>
      </w:r>
      <w:r>
        <w:rPr>
          <w:rFonts w:hint="eastAsia" w:ascii="宋体" w:hAnsi="宋体" w:eastAsia="宋体" w:cs="Times New Roman"/>
          <w:color w:val="auto"/>
          <w:kern w:val="0"/>
          <w:szCs w:val="21"/>
          <w:highlight w:val="none"/>
        </w:rPr>
        <w:t>因中标人不能完全履行其合同义务而蒙受的损失或其他合同约定的事项。如发生下列任一情况时，</w:t>
      </w:r>
      <w:r>
        <w:rPr>
          <w:rFonts w:hint="eastAsia" w:ascii="宋体" w:hAnsi="宋体" w:eastAsia="宋体" w:cs="Arial"/>
          <w:color w:val="auto"/>
          <w:kern w:val="0"/>
          <w:szCs w:val="24"/>
          <w:highlight w:val="none"/>
        </w:rPr>
        <w:t>招标人权属子公司（含招标人权属子公司的子公司、分公司）</w:t>
      </w:r>
      <w:r>
        <w:rPr>
          <w:rFonts w:hint="eastAsia" w:ascii="宋体" w:hAnsi="宋体" w:eastAsia="宋体" w:cs="Times New Roman"/>
          <w:color w:val="auto"/>
          <w:kern w:val="0"/>
          <w:szCs w:val="21"/>
          <w:highlight w:val="none"/>
        </w:rPr>
        <w:t>有权依合同追究违约责任外，同时有权提取履约担保并进行相应处理</w:t>
      </w:r>
      <w:r>
        <w:rPr>
          <w:rFonts w:hint="eastAsia" w:ascii="宋体" w:hAnsi="宋体" w:eastAsia="宋体" w:cs="宋体"/>
          <w:color w:val="auto"/>
          <w:kern w:val="0"/>
          <w:szCs w:val="21"/>
          <w:highlight w:val="none"/>
        </w:rPr>
        <w:t>：</w:t>
      </w:r>
    </w:p>
    <w:p w14:paraId="26B219C3">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w:t>
      </w:r>
      <w:r>
        <w:rPr>
          <w:rFonts w:hint="eastAsia" w:ascii="宋体" w:hAnsi="宋体" w:eastAsia="宋体" w:cs="Arial"/>
          <w:color w:val="auto"/>
          <w:kern w:val="0"/>
          <w:szCs w:val="24"/>
          <w:highlight w:val="none"/>
        </w:rPr>
        <w:t>或招标人权属子公司（含招标人权属子公司的子公司、分公司）</w:t>
      </w:r>
      <w:r>
        <w:rPr>
          <w:rFonts w:hint="eastAsia" w:ascii="宋体" w:hAnsi="宋体" w:eastAsia="宋体" w:cs="Times New Roman"/>
          <w:color w:val="auto"/>
          <w:kern w:val="0"/>
          <w:szCs w:val="21"/>
          <w:highlight w:val="none"/>
        </w:rPr>
        <w:t>书面同意将部分权利义务转让给第三方的，招标人</w:t>
      </w:r>
      <w:r>
        <w:rPr>
          <w:rFonts w:hint="eastAsia" w:ascii="宋体" w:hAnsi="宋体" w:eastAsia="宋体" w:cs="Arial"/>
          <w:color w:val="auto"/>
          <w:kern w:val="0"/>
          <w:szCs w:val="24"/>
          <w:highlight w:val="none"/>
        </w:rPr>
        <w:t>或招标人权属子公司（含招标人权属子公司的子公司、分公司）</w:t>
      </w:r>
      <w:r>
        <w:rPr>
          <w:rFonts w:hint="eastAsia" w:ascii="宋体" w:hAnsi="宋体" w:eastAsia="宋体" w:cs="Times New Roman"/>
          <w:color w:val="auto"/>
          <w:kern w:val="0"/>
          <w:szCs w:val="21"/>
          <w:highlight w:val="none"/>
        </w:rPr>
        <w:t>有权没收其履约担保。</w:t>
      </w:r>
    </w:p>
    <w:p w14:paraId="20F9CEC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w:t>
      </w:r>
      <w:r>
        <w:rPr>
          <w:rFonts w:hint="eastAsia" w:ascii="宋体" w:hAnsi="宋体" w:eastAsia="宋体" w:cs="Arial"/>
          <w:color w:val="auto"/>
          <w:kern w:val="0"/>
          <w:szCs w:val="24"/>
          <w:highlight w:val="none"/>
        </w:rPr>
        <w:t>招标人权属子公司（含招标人权属子公司的子公司、分公司）</w:t>
      </w:r>
      <w:r>
        <w:rPr>
          <w:rFonts w:hint="eastAsia" w:ascii="宋体" w:hAnsi="宋体" w:eastAsia="宋体" w:cs="Times New Roman"/>
          <w:color w:val="auto"/>
          <w:kern w:val="0"/>
          <w:szCs w:val="21"/>
          <w:highlight w:val="none"/>
        </w:rPr>
        <w:t>通知或要求承担违约金后仍拒不改正的，</w:t>
      </w:r>
      <w:r>
        <w:rPr>
          <w:rFonts w:hint="eastAsia" w:ascii="宋体" w:hAnsi="宋体" w:eastAsia="宋体" w:cs="Arial"/>
          <w:color w:val="auto"/>
          <w:kern w:val="0"/>
          <w:szCs w:val="24"/>
          <w:highlight w:val="none"/>
        </w:rPr>
        <w:t>招标人权属子公司（含招标人权属子公司的子公司、分公司）</w:t>
      </w:r>
      <w:r>
        <w:rPr>
          <w:rFonts w:hint="eastAsia" w:ascii="宋体" w:hAnsi="宋体" w:eastAsia="宋体" w:cs="Times New Roman"/>
          <w:color w:val="auto"/>
          <w:kern w:val="0"/>
          <w:szCs w:val="21"/>
          <w:highlight w:val="none"/>
        </w:rPr>
        <w:t>可依法没收或适当扣除其履约担保。</w:t>
      </w:r>
    </w:p>
    <w:p w14:paraId="0B7EBA20">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w:t>
      </w: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包括但不限于</w:t>
      </w:r>
      <w:r>
        <w:rPr>
          <w:rFonts w:hint="eastAsia" w:ascii="宋体" w:hAnsi="宋体" w:eastAsia="宋体" w:cs="Arial"/>
          <w:color w:val="auto"/>
          <w:kern w:val="0"/>
          <w:szCs w:val="24"/>
          <w:highlight w:val="none"/>
        </w:rPr>
        <w:t>招标人权属子公司（含招标人权属子公司的子公司、分公司）</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拖欠原材料供应商货款或与其所雇用员工发生劳资纠纷、上访、闹事或其他影响</w:t>
      </w:r>
      <w:r>
        <w:rPr>
          <w:rFonts w:hint="eastAsia" w:ascii="宋体" w:hAnsi="宋体" w:eastAsia="宋体" w:cs="Arial"/>
          <w:color w:val="auto"/>
          <w:kern w:val="0"/>
          <w:szCs w:val="24"/>
          <w:highlight w:val="none"/>
        </w:rPr>
        <w:t>招标人权属子公司（含招标人权属子公司的子公司、分公司）</w:t>
      </w:r>
      <w:r>
        <w:rPr>
          <w:rFonts w:hint="eastAsia" w:ascii="宋体" w:hAnsi="宋体" w:eastAsia="宋体" w:cs="Times New Roman"/>
          <w:color w:val="auto"/>
          <w:kern w:val="0"/>
          <w:szCs w:val="21"/>
          <w:highlight w:val="none"/>
        </w:rPr>
        <w:t>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Arial"/>
          <w:color w:val="auto"/>
          <w:kern w:val="0"/>
          <w:szCs w:val="24"/>
          <w:highlight w:val="none"/>
        </w:rPr>
        <w:t>招标人权属子公司（含招标人权属子公司的子公司、分公司）</w:t>
      </w:r>
      <w:r>
        <w:rPr>
          <w:rFonts w:hint="eastAsia" w:ascii="宋体" w:hAnsi="宋体" w:eastAsia="宋体" w:cs="Times New Roman"/>
          <w:color w:val="auto"/>
          <w:kern w:val="0"/>
          <w:szCs w:val="21"/>
          <w:highlight w:val="none"/>
        </w:rPr>
        <w:t>有权使用履约担保予以支付或作出相应处理，由此产生的一切法律后果由中标人承担。</w:t>
      </w:r>
    </w:p>
    <w:p w14:paraId="7B94D8BA">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w:t>
      </w:r>
      <w:r>
        <w:rPr>
          <w:rFonts w:hint="eastAsia" w:ascii="宋体" w:hAnsi="宋体" w:eastAsia="宋体" w:cs="Arial"/>
          <w:color w:val="auto"/>
          <w:kern w:val="0"/>
          <w:szCs w:val="24"/>
          <w:highlight w:val="none"/>
        </w:rPr>
        <w:t>招标人权属子公司（含招标人权属子公司的子公司、分公司）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10D66D4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w:t>
      </w:r>
      <w:r>
        <w:rPr>
          <w:rFonts w:hint="eastAsia" w:ascii="宋体" w:hAnsi="宋体" w:eastAsia="宋体" w:cs="Arial"/>
          <w:color w:val="auto"/>
          <w:kern w:val="0"/>
          <w:szCs w:val="24"/>
          <w:highlight w:val="none"/>
        </w:rPr>
        <w:t>招标人权属子公司（含招标人权属子公司的子公司、分公司）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5A251F8C">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w:t>
      </w:r>
      <w:r>
        <w:rPr>
          <w:rFonts w:hint="eastAsia" w:ascii="宋体" w:hAnsi="宋体" w:eastAsia="宋体" w:cs="Arial"/>
          <w:color w:val="auto"/>
          <w:kern w:val="0"/>
          <w:szCs w:val="24"/>
          <w:highlight w:val="none"/>
        </w:rPr>
        <w:t>招标人权属子公司（含招标人权属子公司的子公司、分公司）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16859176">
      <w:pPr>
        <w:tabs>
          <w:tab w:val="left" w:pos="360"/>
          <w:tab w:val="left" w:pos="4725"/>
        </w:tabs>
        <w:autoSpaceDE w:val="0"/>
        <w:autoSpaceDN w:val="0"/>
        <w:adjustRightInd w:val="0"/>
        <w:spacing w:line="360" w:lineRule="auto"/>
        <w:ind w:left="315" w:leftChars="-100" w:hanging="525" w:hangingChars="250"/>
        <w:jc w:val="left"/>
        <w:outlineLvl w:val="1"/>
        <w:rPr>
          <w:rFonts w:hint="eastAsia" w:ascii="宋体" w:hAnsi="宋体" w:eastAsia="宋体" w:cs="宋体"/>
          <w:color w:val="auto"/>
          <w:kern w:val="0"/>
          <w:szCs w:val="21"/>
          <w:highlight w:val="none"/>
        </w:rPr>
      </w:pPr>
      <w:bookmarkStart w:id="318" w:name="_Toc28617"/>
      <w:r>
        <w:rPr>
          <w:rFonts w:hint="eastAsia" w:ascii="宋体" w:hAnsi="宋体" w:eastAsia="宋体" w:cs="宋体"/>
          <w:color w:val="auto"/>
          <w:kern w:val="0"/>
          <w:szCs w:val="21"/>
          <w:highlight w:val="none"/>
        </w:rPr>
        <w:t>35.3  履约担保应符合如下规定：</w:t>
      </w:r>
      <w:bookmarkEnd w:id="318"/>
    </w:p>
    <w:p w14:paraId="6367E32A">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w:t>
      </w:r>
      <w:r>
        <w:rPr>
          <w:rFonts w:hint="eastAsia" w:ascii="宋体" w:hAnsi="宋体" w:eastAsia="宋体" w:cs="Arial"/>
          <w:color w:val="auto"/>
          <w:kern w:val="0"/>
          <w:szCs w:val="24"/>
          <w:highlight w:val="none"/>
        </w:rPr>
        <w:t>招标人权属子公司（含招标人权属子公司的子公司、分公司）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5D0F575F">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w:t>
      </w:r>
      <w:r>
        <w:rPr>
          <w:rFonts w:hint="eastAsia" w:ascii="宋体" w:hAnsi="宋体" w:eastAsia="宋体" w:cs="Arial"/>
          <w:color w:val="auto"/>
          <w:kern w:val="0"/>
          <w:szCs w:val="24"/>
          <w:highlight w:val="none"/>
        </w:rPr>
        <w:t>招标人权属子公司（含招标人权属子公司的子公司、分公司）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32D3BBBB">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）提供担保的担保机构经济性质须为东莞市国有企业，或政府性融资担保机构（中标人须提供能证明其属于政府性融资担保机构的证明文件），并经</w:t>
      </w:r>
      <w:r>
        <w:rPr>
          <w:rFonts w:hint="eastAsia" w:ascii="宋体" w:hAnsi="宋体" w:eastAsia="宋体" w:cs="Arial"/>
          <w:color w:val="auto"/>
          <w:kern w:val="0"/>
          <w:szCs w:val="24"/>
          <w:highlight w:val="none"/>
        </w:rPr>
        <w:t>招标人权属子公司（含招标人权属子公司的子公司、分公司）</w:t>
      </w:r>
      <w:r>
        <w:rPr>
          <w:rFonts w:hint="eastAsia" w:ascii="宋体" w:hAnsi="宋体" w:eastAsia="宋体" w:cs="Times New Roman"/>
          <w:color w:val="auto"/>
          <w:kern w:val="0"/>
          <w:szCs w:val="21"/>
          <w:highlight w:val="none"/>
        </w:rPr>
        <w:t>同意，执行本款时所发生的费用由中标人承担。如</w:t>
      </w:r>
      <w:r>
        <w:rPr>
          <w:rFonts w:hint="eastAsia" w:ascii="宋体" w:hAnsi="宋体" w:eastAsia="宋体" w:cs="Arial"/>
          <w:color w:val="auto"/>
          <w:kern w:val="0"/>
          <w:szCs w:val="24"/>
          <w:highlight w:val="none"/>
        </w:rPr>
        <w:t>招标人权属子公司（含招标人权属子公司的子公司、分公司）</w:t>
      </w:r>
      <w:r>
        <w:rPr>
          <w:rFonts w:hint="eastAsia" w:ascii="宋体" w:hAnsi="宋体" w:eastAsia="宋体" w:cs="Times New Roman"/>
          <w:color w:val="auto"/>
          <w:kern w:val="0"/>
          <w:szCs w:val="21"/>
          <w:highlight w:val="none"/>
        </w:rPr>
        <w:t>合同条款接受担保公司预付款担保函的，对担保机构要求参照本条执行</w:t>
      </w:r>
      <w:r>
        <w:rPr>
          <w:rFonts w:ascii="宋体" w:hAnsi="宋体" w:eastAsia="宋体" w:cs="Times New Roman"/>
          <w:color w:val="auto"/>
          <w:kern w:val="0"/>
          <w:szCs w:val="21"/>
          <w:highlight w:val="none"/>
        </w:rPr>
        <w:t>。</w:t>
      </w:r>
    </w:p>
    <w:p w14:paraId="7CCD5D7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w:t>
      </w:r>
      <w:r>
        <w:rPr>
          <w:rFonts w:hint="eastAsia" w:ascii="宋体" w:hAnsi="宋体" w:eastAsia="宋体" w:cs="Arial"/>
          <w:color w:val="auto"/>
          <w:kern w:val="0"/>
          <w:szCs w:val="24"/>
          <w:highlight w:val="none"/>
        </w:rPr>
        <w:t>招标人权属子公司（含招标人权属子公司的子公司、分公司）</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Arial"/>
          <w:color w:val="auto"/>
          <w:kern w:val="0"/>
          <w:szCs w:val="24"/>
          <w:highlight w:val="none"/>
        </w:rPr>
        <w:t>招标人权属子公司（含招标人权属子公司的子公司、分公司）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在不可撤销银行履约保函（或履约保证保险或担保公司履约担保书）到期后中标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w:t>
      </w:r>
      <w:r>
        <w:rPr>
          <w:rFonts w:hint="eastAsia" w:ascii="宋体" w:hAnsi="宋体" w:eastAsia="宋体" w:cs="Arial"/>
          <w:color w:val="auto"/>
          <w:kern w:val="0"/>
          <w:szCs w:val="24"/>
          <w:highlight w:val="none"/>
        </w:rPr>
        <w:t>招标人权属子公司（含招标人权属子公司的子公司、分公司）</w:t>
      </w:r>
      <w:r>
        <w:rPr>
          <w:rFonts w:hint="eastAsia" w:ascii="宋体" w:hAnsi="宋体" w:eastAsia="宋体" w:cs="Times New Roman"/>
          <w:color w:val="auto"/>
          <w:kern w:val="0"/>
          <w:szCs w:val="21"/>
          <w:highlight w:val="none"/>
        </w:rPr>
        <w:t>要求重新提供的，</w:t>
      </w:r>
      <w:r>
        <w:rPr>
          <w:rFonts w:hint="eastAsia" w:ascii="宋体" w:hAnsi="宋体" w:eastAsia="宋体" w:cs="Arial"/>
          <w:color w:val="auto"/>
          <w:kern w:val="0"/>
          <w:szCs w:val="24"/>
          <w:highlight w:val="none"/>
        </w:rPr>
        <w:t>招标人权属子公司（含招标人权属子公司的子公司、分公司）</w:t>
      </w:r>
      <w:r>
        <w:rPr>
          <w:rFonts w:hint="eastAsia" w:ascii="宋体" w:hAnsi="宋体" w:eastAsia="宋体" w:cs="Times New Roman"/>
          <w:color w:val="auto"/>
          <w:kern w:val="0"/>
          <w:szCs w:val="21"/>
          <w:highlight w:val="none"/>
        </w:rPr>
        <w:t>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6F13D374">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w:t>
      </w:r>
      <w:r>
        <w:rPr>
          <w:rFonts w:hint="eastAsia" w:ascii="宋体" w:hAnsi="宋体" w:eastAsia="宋体" w:cs="Arial"/>
          <w:color w:val="auto"/>
          <w:kern w:val="0"/>
          <w:szCs w:val="24"/>
          <w:highlight w:val="none"/>
        </w:rPr>
        <w:t>权属子公司（含招标人权属子公司的子公司、分公司）</w:t>
      </w:r>
      <w:r>
        <w:rPr>
          <w:rFonts w:hint="eastAsia" w:ascii="宋体" w:hAnsi="宋体" w:eastAsia="宋体" w:cs="Times New Roman"/>
          <w:color w:val="auto"/>
          <w:kern w:val="0"/>
          <w:szCs w:val="21"/>
          <w:highlight w:val="none"/>
        </w:rPr>
        <w:t>有权按需补足的金额要求中标人承担违约金，并要求限期补足。如中标人仍不补足的，招标人</w:t>
      </w:r>
      <w:r>
        <w:rPr>
          <w:rFonts w:hint="eastAsia" w:ascii="宋体" w:hAnsi="宋体" w:eastAsia="宋体" w:cs="Arial"/>
          <w:color w:val="auto"/>
          <w:kern w:val="0"/>
          <w:szCs w:val="24"/>
          <w:highlight w:val="none"/>
        </w:rPr>
        <w:t>权属子公司（含招标人权属子公司的子公司、分公司）</w:t>
      </w:r>
      <w:r>
        <w:rPr>
          <w:rFonts w:hint="eastAsia" w:ascii="宋体" w:hAnsi="宋体" w:eastAsia="宋体" w:cs="Times New Roman"/>
          <w:color w:val="auto"/>
          <w:kern w:val="0"/>
          <w:szCs w:val="21"/>
          <w:highlight w:val="none"/>
        </w:rPr>
        <w:t>有权单方解除合同，违约金可直接从未付合同款或履约担保中扣除。</w:t>
      </w:r>
    </w:p>
    <w:p w14:paraId="0C200D4F">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w:t>
      </w:r>
      <w:r>
        <w:rPr>
          <w:rFonts w:hint="eastAsia" w:ascii="宋体" w:hAnsi="宋体" w:eastAsia="宋体" w:cs="宋体"/>
          <w:color w:val="auto"/>
          <w:szCs w:val="21"/>
          <w:highlight w:val="none"/>
        </w:rPr>
        <w:t>应从合同签订之日起（或签订合同前）至合同期限届满并全部货物经最终验收合格、招标人权属子公司（含招标人权属子公司的子公司、分公司）向中标人支付全部货款（除质保金）后二十八（28）日内保持有效</w:t>
      </w:r>
      <w:r>
        <w:rPr>
          <w:rFonts w:hint="eastAsia" w:ascii="宋体" w:hAnsi="宋体" w:eastAsia="宋体" w:cs="宋体"/>
          <w:color w:val="auto"/>
          <w:kern w:val="0"/>
          <w:szCs w:val="21"/>
          <w:highlight w:val="none"/>
        </w:rPr>
        <w:t>。</w:t>
      </w:r>
    </w:p>
    <w:p w14:paraId="7E27E424">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22D2BD01">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54E7DFE0">
      <w:pPr>
        <w:tabs>
          <w:tab w:val="left" w:pos="360"/>
          <w:tab w:val="left" w:pos="4725"/>
        </w:tabs>
        <w:autoSpaceDE w:val="0"/>
        <w:autoSpaceDN w:val="0"/>
        <w:adjustRightInd w:val="0"/>
        <w:spacing w:line="360" w:lineRule="auto"/>
        <w:ind w:firstLine="632" w:firstLineChars="300"/>
        <w:jc w:val="left"/>
        <w:outlineLvl w:val="0"/>
        <w:rPr>
          <w:rFonts w:hint="eastAsia" w:ascii="宋体" w:hAnsi="宋体" w:eastAsia="宋体" w:cs="宋体"/>
          <w:b/>
          <w:color w:val="auto"/>
          <w:kern w:val="0"/>
          <w:szCs w:val="21"/>
          <w:highlight w:val="none"/>
        </w:rPr>
      </w:pPr>
      <w:bookmarkStart w:id="319" w:name="_Toc13340"/>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bookmarkEnd w:id="319"/>
    </w:p>
    <w:p w14:paraId="372A188B">
      <w:pPr>
        <w:tabs>
          <w:tab w:val="left" w:pos="360"/>
          <w:tab w:val="left" w:pos="4725"/>
        </w:tabs>
        <w:autoSpaceDE w:val="0"/>
        <w:autoSpaceDN w:val="0"/>
        <w:adjustRightInd w:val="0"/>
        <w:spacing w:line="360" w:lineRule="auto"/>
        <w:ind w:firstLine="632" w:firstLineChars="300"/>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【东莞市水务集团供水有限公司】</w:t>
      </w:r>
    </w:p>
    <w:p w14:paraId="2E1641EA">
      <w:pPr>
        <w:tabs>
          <w:tab w:val="left" w:pos="360"/>
          <w:tab w:val="left" w:pos="4725"/>
        </w:tabs>
        <w:autoSpaceDE w:val="0"/>
        <w:autoSpaceDN w:val="0"/>
        <w:adjustRightInd w:val="0"/>
        <w:spacing w:line="360" w:lineRule="auto"/>
        <w:ind w:firstLine="632" w:firstLineChars="300"/>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开户名称：东莞市水务集团供水有限公司制水分公司</w:t>
      </w:r>
    </w:p>
    <w:p w14:paraId="43BCEE15">
      <w:pPr>
        <w:tabs>
          <w:tab w:val="left" w:pos="360"/>
          <w:tab w:val="left" w:pos="4725"/>
        </w:tabs>
        <w:autoSpaceDE w:val="0"/>
        <w:autoSpaceDN w:val="0"/>
        <w:adjustRightInd w:val="0"/>
        <w:spacing w:line="360" w:lineRule="auto"/>
        <w:ind w:firstLine="632" w:firstLineChars="300"/>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银行账号：2010020109200400812</w:t>
      </w:r>
    </w:p>
    <w:p w14:paraId="588BF2AB">
      <w:pPr>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开户银行：中国工商银行股份有限公司东莞城区支行</w:t>
      </w:r>
    </w:p>
    <w:p w14:paraId="4C44328F">
      <w:pPr>
        <w:tabs>
          <w:tab w:val="left" w:pos="360"/>
          <w:tab w:val="left" w:pos="4725"/>
        </w:tabs>
        <w:autoSpaceDE w:val="0"/>
        <w:autoSpaceDN w:val="0"/>
        <w:adjustRightInd w:val="0"/>
        <w:spacing w:line="360" w:lineRule="auto"/>
        <w:ind w:firstLine="632" w:firstLineChars="300"/>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【东莞市水务集团净水有限公司】</w:t>
      </w:r>
    </w:p>
    <w:p w14:paraId="476D625E">
      <w:pPr>
        <w:tabs>
          <w:tab w:val="left" w:pos="360"/>
          <w:tab w:val="left" w:pos="4725"/>
        </w:tabs>
        <w:autoSpaceDE w:val="0"/>
        <w:autoSpaceDN w:val="0"/>
        <w:adjustRightInd w:val="0"/>
        <w:spacing w:line="360" w:lineRule="auto"/>
        <w:ind w:firstLine="632" w:firstLineChars="300"/>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开户名称：东莞市石鼓净水有限公司</w:t>
      </w:r>
    </w:p>
    <w:p w14:paraId="1ED39679">
      <w:pPr>
        <w:tabs>
          <w:tab w:val="left" w:pos="360"/>
          <w:tab w:val="left" w:pos="4725"/>
        </w:tabs>
        <w:autoSpaceDE w:val="0"/>
        <w:autoSpaceDN w:val="0"/>
        <w:adjustRightInd w:val="0"/>
        <w:spacing w:line="360" w:lineRule="auto"/>
        <w:ind w:firstLine="632" w:firstLineChars="300"/>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银行账号：944004010000157127</w:t>
      </w:r>
    </w:p>
    <w:p w14:paraId="648B1F28">
      <w:pPr>
        <w:tabs>
          <w:tab w:val="left" w:pos="360"/>
          <w:tab w:val="left" w:pos="4725"/>
        </w:tabs>
        <w:spacing w:line="360" w:lineRule="auto"/>
        <w:ind w:firstLine="632" w:firstLineChars="300"/>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开户银行：邮政储蓄东莞分行</w:t>
      </w:r>
    </w:p>
    <w:p w14:paraId="725F0054">
      <w:pPr>
        <w:tabs>
          <w:tab w:val="left" w:pos="360"/>
          <w:tab w:val="left" w:pos="4725"/>
        </w:tabs>
        <w:spacing w:line="360" w:lineRule="auto"/>
        <w:ind w:firstLine="630" w:firstLineChars="300"/>
        <w:jc w:val="left"/>
        <w:outlineLvl w:val="0"/>
        <w:rPr>
          <w:rFonts w:hint="eastAsia"/>
          <w:color w:val="auto"/>
          <w:highlight w:val="none"/>
        </w:rPr>
      </w:pPr>
    </w:p>
    <w:p w14:paraId="640E45B1">
      <w:pPr>
        <w:autoSpaceDE w:val="0"/>
        <w:autoSpaceDN w:val="0"/>
        <w:adjustRightInd w:val="0"/>
        <w:spacing w:line="360" w:lineRule="auto"/>
        <w:ind w:left="420" w:leftChars="-10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636BDB96">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w:t>
      </w:r>
      <w:r>
        <w:rPr>
          <w:rFonts w:hint="eastAsia" w:ascii="宋体" w:hAnsi="宋体" w:eastAsia="宋体" w:cs="Times New Roman"/>
          <w:color w:val="auto"/>
          <w:kern w:val="0"/>
          <w:szCs w:val="21"/>
          <w:highlight w:val="none"/>
        </w:rPr>
        <w:t>结算完毕之</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权属子公司（含招标人权属子公司的子公司、分公司）提交退回履约担保的申请。招标人审核无异议后，办理履约担保退还手续，退回时一律以银行转账的形式无息退回到中标人的账户。</w:t>
      </w:r>
    </w:p>
    <w:p w14:paraId="304C397A">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10837BBA">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20" w:name="_Toc486167702"/>
      <w:bookmarkStart w:id="321" w:name="_Toc30511"/>
      <w:bookmarkStart w:id="322" w:name="_Toc142508353"/>
      <w:bookmarkStart w:id="323" w:name="_Toc1303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16"/>
      <w:bookmarkEnd w:id="317"/>
      <w:bookmarkEnd w:id="320"/>
      <w:bookmarkEnd w:id="321"/>
      <w:bookmarkEnd w:id="322"/>
      <w:bookmarkEnd w:id="323"/>
    </w:p>
    <w:p w14:paraId="4B1BB567">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招标人权属子公司（含招标人权属子公司的子公司、分公司）在合同约定的范围内，有权根据项目实际情况及有关法律法规、政策的规定对采购范围进行变更调整，变更采购范围后，投标人应遵照执行。</w:t>
      </w:r>
    </w:p>
    <w:p w14:paraId="0C23825A">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24" w:name="_Toc450662888"/>
    </w:p>
    <w:p w14:paraId="6E8FFCEC">
      <w:pPr>
        <w:tabs>
          <w:tab w:val="left" w:pos="46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25" w:name="_Toc27777"/>
      <w:bookmarkStart w:id="326" w:name="_Toc142508354"/>
      <w:bookmarkStart w:id="327" w:name="_Toc14372"/>
      <w:bookmarkStart w:id="328" w:name="_Toc28921_WPSOffice_Level3"/>
      <w:bookmarkStart w:id="329" w:name="_Toc486167703"/>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24"/>
      <w:bookmarkEnd w:id="325"/>
      <w:bookmarkEnd w:id="326"/>
      <w:bookmarkEnd w:id="327"/>
      <w:bookmarkEnd w:id="328"/>
      <w:bookmarkEnd w:id="329"/>
    </w:p>
    <w:p w14:paraId="79A699D1">
      <w:pPr>
        <w:autoSpaceDE w:val="0"/>
        <w:autoSpaceDN w:val="0"/>
        <w:adjustRightInd w:val="0"/>
        <w:spacing w:line="360" w:lineRule="auto"/>
        <w:ind w:left="357" w:leftChars="-100" w:hanging="567" w:hangingChars="270"/>
        <w:jc w:val="left"/>
        <w:outlineLvl w:val="1"/>
        <w:rPr>
          <w:rFonts w:hint="eastAsia" w:ascii="宋体" w:hAnsi="宋体" w:eastAsia="宋体" w:cs="宋体"/>
          <w:color w:val="auto"/>
          <w:kern w:val="0"/>
          <w:szCs w:val="21"/>
          <w:highlight w:val="none"/>
        </w:rPr>
      </w:pPr>
      <w:bookmarkStart w:id="330" w:name="_Toc17622"/>
      <w:r>
        <w:rPr>
          <w:rFonts w:hint="eastAsia" w:ascii="宋体" w:hAnsi="宋体" w:eastAsia="宋体" w:cs="宋体"/>
          <w:color w:val="auto"/>
          <w:szCs w:val="21"/>
          <w:highlight w:val="none"/>
          <w:lang w:val="zh-CN"/>
        </w:rPr>
        <w:t>37.1 本项目中标服务费由招标人向招标代理机构支付。</w:t>
      </w:r>
      <w:bookmarkEnd w:id="330"/>
    </w:p>
    <w:p w14:paraId="0153C9FE">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31" w:name="_Toc450662889"/>
    </w:p>
    <w:p w14:paraId="5727CEF1">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32" w:name="_Toc142508355"/>
      <w:bookmarkStart w:id="333" w:name="_Toc486167704"/>
      <w:bookmarkStart w:id="334" w:name="_Toc26292"/>
      <w:bookmarkStart w:id="335" w:name="_Toc6764_WPSOffice_Level3"/>
      <w:bookmarkStart w:id="336" w:name="_Toc30502"/>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31"/>
      <w:bookmarkEnd w:id="332"/>
      <w:bookmarkEnd w:id="333"/>
      <w:bookmarkEnd w:id="334"/>
      <w:bookmarkEnd w:id="335"/>
      <w:bookmarkEnd w:id="336"/>
    </w:p>
    <w:p w14:paraId="6BAF99AD">
      <w:pPr>
        <w:autoSpaceDE w:val="0"/>
        <w:autoSpaceDN w:val="0"/>
        <w:adjustRightInd w:val="0"/>
        <w:snapToGrid w:val="0"/>
        <w:spacing w:line="360" w:lineRule="auto"/>
        <w:ind w:left="315" w:leftChars="-100" w:hanging="525" w:hangingChars="250"/>
        <w:jc w:val="left"/>
        <w:rPr>
          <w:rFonts w:hint="eastAsia"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w:t>
      </w:r>
      <w:r>
        <w:rPr>
          <w:rFonts w:hint="eastAsia" w:ascii="宋体" w:hAnsi="宋体" w:eastAsia="宋体" w:cs="宋体"/>
          <w:color w:val="auto"/>
          <w:kern w:val="0"/>
          <w:szCs w:val="21"/>
          <w:highlight w:val="none"/>
        </w:rPr>
        <w:t>招标人权属子公司（含招标人权属子公司的子公司、分公司）</w:t>
      </w:r>
      <w:r>
        <w:rPr>
          <w:rFonts w:hint="eastAsia" w:ascii="宋体" w:hAnsi="宋体" w:eastAsia="宋体" w:cs="Times New Roman"/>
          <w:color w:val="auto"/>
          <w:szCs w:val="21"/>
          <w:highlight w:val="none"/>
          <w:lang w:val="zh-CN"/>
        </w:rPr>
        <w:t>出具的发票必须是由中标人开具，不得以其他单位或个人名义出具，本项目中标人向</w:t>
      </w:r>
      <w:r>
        <w:rPr>
          <w:rFonts w:hint="eastAsia" w:ascii="宋体" w:hAnsi="宋体" w:eastAsia="宋体" w:cs="宋体"/>
          <w:color w:val="auto"/>
          <w:kern w:val="0"/>
          <w:szCs w:val="21"/>
          <w:highlight w:val="none"/>
        </w:rPr>
        <w:t>招标人权属子公司（含招标人权属子公司的子公司、分公司）</w:t>
      </w:r>
      <w:r>
        <w:rPr>
          <w:rFonts w:hint="eastAsia" w:ascii="宋体" w:hAnsi="宋体" w:eastAsia="宋体" w:cs="Times New Roman"/>
          <w:color w:val="auto"/>
          <w:szCs w:val="21"/>
          <w:highlight w:val="none"/>
          <w:lang w:val="zh-CN"/>
        </w:rPr>
        <w:t>出具的发票类型为增值税专用</w:t>
      </w:r>
      <w:r>
        <w:rPr>
          <w:rFonts w:hint="eastAsia" w:ascii="宋体" w:hAnsi="宋体" w:eastAsia="宋体" w:cs="Times New Roman"/>
          <w:color w:val="auto"/>
          <w:szCs w:val="21"/>
          <w:highlight w:val="none"/>
        </w:rPr>
        <w:t>或</w:t>
      </w:r>
      <w:r>
        <w:rPr>
          <w:rFonts w:hint="eastAsia" w:ascii="宋体" w:hAnsi="宋体" w:eastAsia="宋体" w:cs="Times New Roman"/>
          <w:color w:val="auto"/>
          <w:szCs w:val="21"/>
          <w:highlight w:val="none"/>
          <w:lang w:val="zh-CN"/>
        </w:rPr>
        <w:t>普通发票。</w:t>
      </w:r>
      <w:bookmarkStart w:id="337" w:name="_Toc31106_WPSOffice_Level3"/>
      <w:bookmarkStart w:id="338" w:name="_Toc486167705"/>
    </w:p>
    <w:p w14:paraId="05490438">
      <w:pPr>
        <w:autoSpaceDE w:val="0"/>
        <w:autoSpaceDN w:val="0"/>
        <w:adjustRightInd w:val="0"/>
        <w:snapToGrid w:val="0"/>
        <w:spacing w:line="360" w:lineRule="auto"/>
        <w:ind w:left="315" w:leftChars="-100" w:hanging="525" w:hangingChars="250"/>
        <w:jc w:val="left"/>
        <w:rPr>
          <w:rFonts w:hint="eastAsia" w:ascii="宋体" w:hAnsi="宋体" w:eastAsia="宋体" w:cs="Times New Roman"/>
          <w:color w:val="auto"/>
          <w:szCs w:val="21"/>
          <w:highlight w:val="none"/>
        </w:rPr>
      </w:pPr>
    </w:p>
    <w:p w14:paraId="71B272ED">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rPr>
      </w:pPr>
      <w:bookmarkStart w:id="339" w:name="_Toc142508356"/>
      <w:bookmarkStart w:id="340" w:name="_Toc16304"/>
      <w:bookmarkStart w:id="341" w:name="_Toc16829"/>
      <w:r>
        <w:rPr>
          <w:rFonts w:ascii="宋体" w:hAnsi="宋体" w:eastAsia="宋体" w:cs="宋体"/>
          <w:b/>
          <w:color w:val="auto"/>
          <w:szCs w:val="21"/>
          <w:highlight w:val="none"/>
        </w:rPr>
        <w:t>39 招标相关补充约定</w:t>
      </w:r>
      <w:bookmarkEnd w:id="339"/>
      <w:bookmarkEnd w:id="340"/>
      <w:bookmarkEnd w:id="341"/>
    </w:p>
    <w:p w14:paraId="512C3932">
      <w:pPr>
        <w:autoSpaceDE w:val="0"/>
        <w:autoSpaceDN w:val="0"/>
        <w:adjustRightInd w:val="0"/>
        <w:snapToGrid w:val="0"/>
        <w:spacing w:line="360" w:lineRule="auto"/>
        <w:ind w:left="317" w:leftChars="-100" w:hanging="527" w:hangingChars="250"/>
        <w:jc w:val="left"/>
        <w:rPr>
          <w:rFonts w:hint="eastAsia"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13CDC3A6">
      <w:pPr>
        <w:autoSpaceDE w:val="0"/>
        <w:autoSpaceDN w:val="0"/>
        <w:adjustRightInd w:val="0"/>
        <w:snapToGrid w:val="0"/>
        <w:spacing w:line="360" w:lineRule="auto"/>
        <w:ind w:left="315" w:leftChars="-100" w:hanging="525" w:hangingChars="250"/>
        <w:jc w:val="left"/>
        <w:rPr>
          <w:rFonts w:hint="eastAsia" w:ascii="宋体" w:hAnsi="宋体" w:eastAsia="宋体" w:cs="Times New Roman"/>
          <w:color w:val="auto"/>
          <w:szCs w:val="21"/>
          <w:highlight w:val="none"/>
        </w:rPr>
      </w:pPr>
    </w:p>
    <w:p w14:paraId="6C6D9465">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rPr>
      </w:pPr>
      <w:bookmarkStart w:id="342" w:name="_Toc142508357"/>
      <w:bookmarkStart w:id="343" w:name="_Toc26725"/>
      <w:bookmarkStart w:id="344" w:name="_Toc17174"/>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37"/>
      <w:bookmarkEnd w:id="338"/>
      <w:bookmarkEnd w:id="342"/>
      <w:bookmarkEnd w:id="343"/>
      <w:bookmarkEnd w:id="344"/>
    </w:p>
    <w:p w14:paraId="5E15131C">
      <w:pPr>
        <w:pageBreakBefore/>
        <w:tabs>
          <w:tab w:val="left" w:pos="1080"/>
        </w:tabs>
        <w:autoSpaceDE w:val="0"/>
        <w:autoSpaceDN w:val="0"/>
        <w:adjustRightInd w:val="0"/>
        <w:spacing w:line="360" w:lineRule="auto"/>
        <w:ind w:left="357" w:leftChars="-100" w:hanging="567"/>
        <w:jc w:val="center"/>
        <w:outlineLvl w:val="1"/>
        <w:rPr>
          <w:rFonts w:hint="eastAsia" w:ascii="宋体" w:hAnsi="宋体" w:eastAsia="宋体" w:cs="宋体"/>
          <w:b/>
          <w:bCs/>
          <w:color w:val="auto"/>
          <w:kern w:val="44"/>
          <w:sz w:val="32"/>
          <w:szCs w:val="32"/>
          <w:highlight w:val="none"/>
          <w:lang w:val="zh-CN"/>
        </w:rPr>
      </w:pPr>
      <w:bookmarkStart w:id="345" w:name="_Toc28218"/>
      <w:bookmarkStart w:id="346" w:name="_Toc450662891"/>
      <w:bookmarkStart w:id="347" w:name="_Toc142508358"/>
      <w:bookmarkStart w:id="348" w:name="_Toc486167706"/>
      <w:bookmarkStart w:id="349" w:name="_Toc19102"/>
      <w:bookmarkStart w:id="350" w:name="_Toc27939_WPSOffice_Level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45"/>
      <w:bookmarkEnd w:id="346"/>
      <w:bookmarkEnd w:id="347"/>
      <w:bookmarkEnd w:id="348"/>
      <w:bookmarkEnd w:id="349"/>
      <w:bookmarkEnd w:id="350"/>
    </w:p>
    <w:p w14:paraId="2531CBD9">
      <w:pPr>
        <w:numPr>
          <w:ilvl w:val="255"/>
          <w:numId w:val="0"/>
        </w:numPr>
        <w:spacing w:line="360" w:lineRule="auto"/>
        <w:rPr>
          <w:rFonts w:hint="eastAsia" w:ascii="宋体" w:hAnsi="宋体" w:eastAsia="宋体" w:cs="宋体"/>
          <w:b/>
          <w:color w:val="auto"/>
          <w:szCs w:val="21"/>
          <w:highlight w:val="none"/>
        </w:rPr>
      </w:pPr>
      <w:bookmarkStart w:id="351" w:name="_Toc1127"/>
      <w:bookmarkStart w:id="352" w:name="_Toc25536"/>
      <w:r>
        <w:rPr>
          <w:rFonts w:hint="eastAsia" w:ascii="宋体" w:hAnsi="宋体" w:eastAsia="宋体" w:cs="宋体"/>
          <w:b/>
          <w:color w:val="auto"/>
          <w:szCs w:val="21"/>
          <w:highlight w:val="none"/>
        </w:rPr>
        <w:t>一、基本招标要求</w:t>
      </w:r>
      <w:bookmarkEnd w:id="351"/>
      <w:bookmarkEnd w:id="352"/>
    </w:p>
    <w:p w14:paraId="6D5068D1">
      <w:pPr>
        <w:pStyle w:val="1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本次采购</w:t>
      </w:r>
      <w:bookmarkStart w:id="353" w:name="OLE_LINK35"/>
      <w:r>
        <w:rPr>
          <w:rFonts w:hint="eastAsia" w:ascii="宋体" w:hAnsi="宋体" w:eastAsia="宋体" w:cs="宋体"/>
          <w:color w:val="auto"/>
          <w:szCs w:val="21"/>
          <w:highlight w:val="none"/>
        </w:rPr>
        <w:t>东莞市水务集团有限公司</w:t>
      </w:r>
      <w:bookmarkStart w:id="354" w:name="OLE_LINK17"/>
      <w:r>
        <w:rPr>
          <w:rFonts w:hint="eastAsia" w:ascii="宋体" w:hAnsi="宋体" w:eastAsia="宋体" w:cs="宋体"/>
          <w:color w:val="auto"/>
          <w:szCs w:val="21"/>
          <w:highlight w:val="none"/>
        </w:rPr>
        <w:t>权属子公司</w:t>
      </w:r>
      <w:bookmarkEnd w:id="353"/>
      <w:bookmarkEnd w:id="354"/>
      <w:bookmarkStart w:id="355" w:name="OLE_LINK4"/>
      <w:r>
        <w:rPr>
          <w:rFonts w:hint="eastAsia" w:ascii="宋体" w:hAnsi="宋体" w:eastAsia="宋体" w:cs="宋体"/>
          <w:color w:val="auto"/>
          <w:szCs w:val="21"/>
          <w:highlight w:val="none"/>
        </w:rPr>
        <w:t>东莞市水务集团供水有限公司</w:t>
      </w:r>
      <w:bookmarkEnd w:id="355"/>
      <w:bookmarkStart w:id="356" w:name="OLE_LINK7"/>
      <w:r>
        <w:rPr>
          <w:rFonts w:hint="eastAsia" w:ascii="宋体" w:hAnsi="宋体" w:eastAsia="宋体" w:cs="宋体"/>
          <w:color w:val="auto"/>
          <w:szCs w:val="21"/>
          <w:highlight w:val="none"/>
        </w:rPr>
        <w:t>和东莞市水务集团净水有限公司</w:t>
      </w:r>
      <w:bookmarkEnd w:id="356"/>
      <w:r>
        <w:rPr>
          <w:rFonts w:hint="eastAsia" w:ascii="宋体" w:hAnsi="宋体" w:eastAsia="宋体" w:cs="宋体"/>
          <w:color w:val="auto"/>
          <w:szCs w:val="21"/>
          <w:highlight w:val="none"/>
        </w:rPr>
        <w:t>旗下运营项目（包括但不限于供水公司供水厂，净水公司自运营、托管运营项目等）（以下简称</w:t>
      </w:r>
      <w:bookmarkStart w:id="357" w:name="OLE_LINK2"/>
      <w:r>
        <w:rPr>
          <w:rFonts w:hint="eastAsia" w:ascii="宋体" w:hAnsi="宋体" w:eastAsia="宋体" w:cs="宋体"/>
          <w:color w:val="auto"/>
          <w:szCs w:val="21"/>
          <w:highlight w:val="none"/>
        </w:rPr>
        <w:t>招标人权属子公司运营项目</w:t>
      </w:r>
      <w:bookmarkEnd w:id="357"/>
      <w:r>
        <w:rPr>
          <w:rFonts w:hint="eastAsia" w:ascii="宋体" w:hAnsi="宋体" w:eastAsia="宋体" w:cs="宋体"/>
          <w:color w:val="auto"/>
          <w:szCs w:val="21"/>
          <w:highlight w:val="none"/>
        </w:rPr>
        <w:t>）所需生产药剂：液态次氯酸钠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次氯酸钠</w:t>
      </w:r>
      <w:r>
        <w:rPr>
          <w:rFonts w:hint="eastAsia" w:ascii="宋体" w:hAnsi="宋体" w:eastAsia="宋体" w:cs="宋体"/>
          <w:color w:val="auto"/>
          <w:szCs w:val="21"/>
          <w:highlight w:val="none"/>
          <w:lang w:val="en-US" w:eastAsia="zh-CN"/>
        </w:rPr>
        <w:t>溶液</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。东莞市水务集团有限公司权属子公司东莞市水务集团供水有限公司</w:t>
      </w:r>
      <w:bookmarkStart w:id="358" w:name="OLE_LINK20"/>
      <w:r>
        <w:rPr>
          <w:rFonts w:hint="eastAsia" w:ascii="宋体" w:hAnsi="宋体" w:eastAsia="宋体" w:cs="宋体"/>
          <w:color w:val="auto"/>
          <w:szCs w:val="21"/>
          <w:highlight w:val="none"/>
        </w:rPr>
        <w:t>(以下简称“供水公司”)</w:t>
      </w:r>
      <w:bookmarkEnd w:id="358"/>
      <w:r>
        <w:rPr>
          <w:rFonts w:hint="eastAsia" w:ascii="宋体" w:hAnsi="宋体" w:eastAsia="宋体" w:cs="宋体"/>
          <w:color w:val="auto"/>
          <w:szCs w:val="21"/>
          <w:highlight w:val="none"/>
        </w:rPr>
        <w:t>运营项目需要使用液态次氯酸钠作为消毒剂，东莞市水务集团有限公司权属子公司东莞市水务集团净水有限公司(以下简称“净水公司”)运营项目根据进水水质及工艺情况，需使用液态次氯酸钠作为出水强化消毒和MBR膜设备维护清洗。具体供货</w:t>
      </w:r>
      <w:bookmarkStart w:id="359" w:name="OLE_LINK8"/>
      <w:r>
        <w:rPr>
          <w:rFonts w:hint="eastAsia" w:ascii="宋体" w:hAnsi="宋体" w:eastAsia="宋体" w:cs="宋体"/>
          <w:color w:val="auto"/>
          <w:szCs w:val="21"/>
          <w:highlight w:val="none"/>
        </w:rPr>
        <w:t>招标人权属子公司运营项目</w:t>
      </w:r>
      <w:bookmarkEnd w:id="359"/>
      <w:r>
        <w:rPr>
          <w:rFonts w:hint="eastAsia" w:ascii="宋体" w:hAnsi="宋体" w:eastAsia="宋体" w:cs="宋体"/>
          <w:color w:val="auto"/>
          <w:szCs w:val="21"/>
          <w:highlight w:val="none"/>
        </w:rPr>
        <w:t>和供货量根据实际生产需求。</w:t>
      </w:r>
    </w:p>
    <w:p w14:paraId="72EB2BB2">
      <w:pPr>
        <w:pStyle w:val="1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本次招标人以公开招标方式确定一家供货单位，分别向招标人权属子公司（含招标人权属子公司的子公司、分公司）运营项目供货。</w:t>
      </w:r>
      <w:bookmarkStart w:id="360" w:name="OLE_LINK13"/>
      <w:r>
        <w:rPr>
          <w:rFonts w:hint="eastAsia" w:ascii="宋体" w:hAnsi="宋体" w:eastAsia="宋体" w:cs="宋体"/>
          <w:color w:val="auto"/>
          <w:szCs w:val="21"/>
          <w:highlight w:val="none"/>
        </w:rPr>
        <w:t>招标人权属子公司（含招标人权属子公司的子公司、分公司）与中标人签订采购合同。</w:t>
      </w:r>
      <w:bookmarkEnd w:id="360"/>
    </w:p>
    <w:p w14:paraId="53561162">
      <w:pPr>
        <w:pStyle w:val="1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供货期：自合同签订之日起一年。供货期结束后，按招标人权属子公司（含招标人权属子公司的子公司、分公司）实际生产需要，经双方协商同意后，可签订补充协议延长不超过三个月的供货期。</w:t>
      </w:r>
    </w:p>
    <w:p w14:paraId="3F3A25DE">
      <w:pPr>
        <w:numPr>
          <w:ilvl w:val="255"/>
          <w:numId w:val="0"/>
        </w:numPr>
        <w:spacing w:line="360" w:lineRule="auto"/>
        <w:rPr>
          <w:rFonts w:hint="eastAsia" w:ascii="宋体" w:hAnsi="宋体" w:eastAsia="宋体" w:cs="宋体"/>
          <w:b/>
          <w:color w:val="auto"/>
          <w:szCs w:val="21"/>
          <w:highlight w:val="none"/>
        </w:rPr>
      </w:pPr>
      <w:bookmarkStart w:id="361" w:name="_Toc6720"/>
      <w:bookmarkStart w:id="362" w:name="_Toc5339"/>
      <w:r>
        <w:rPr>
          <w:rFonts w:hint="eastAsia" w:ascii="宋体" w:hAnsi="宋体" w:eastAsia="宋体" w:cs="宋体"/>
          <w:b/>
          <w:color w:val="auto"/>
          <w:szCs w:val="21"/>
          <w:highlight w:val="none"/>
        </w:rPr>
        <w:t>二、标的物</w:t>
      </w:r>
      <w:bookmarkEnd w:id="361"/>
      <w:bookmarkEnd w:id="362"/>
    </w:p>
    <w:p w14:paraId="557F7B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2.1产品名称：液态次氯酸钠</w:t>
      </w:r>
    </w:p>
    <w:p w14:paraId="66546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2.2暂定采购数量：38500吨（其中</w:t>
      </w:r>
      <w:bookmarkStart w:id="363" w:name="OLE_LINK43"/>
      <w:r>
        <w:rPr>
          <w:rFonts w:hint="eastAsia" w:ascii="宋体" w:hAnsi="宋体" w:eastAsia="宋体" w:cs="宋体"/>
          <w:color w:val="auto"/>
          <w:szCs w:val="21"/>
          <w:highlight w:val="none"/>
        </w:rPr>
        <w:t>招标人权属子公司供水公司</w:t>
      </w:r>
      <w:bookmarkEnd w:id="363"/>
      <w:r>
        <w:rPr>
          <w:rFonts w:hint="eastAsia" w:ascii="宋体" w:hAnsi="宋体" w:eastAsia="宋体" w:cs="宋体"/>
          <w:color w:val="auto"/>
          <w:szCs w:val="21"/>
          <w:highlight w:val="none"/>
        </w:rPr>
        <w:t>33650吨、招标人权属子公司净水公司4850吨）。</w:t>
      </w:r>
    </w:p>
    <w:p w14:paraId="5557B1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2.3本次采购涉及</w:t>
      </w:r>
      <w:bookmarkStart w:id="364" w:name="OLE_LINK12"/>
      <w:r>
        <w:rPr>
          <w:rFonts w:hint="eastAsia" w:ascii="宋体" w:hAnsi="宋体" w:eastAsia="宋体" w:cs="宋体"/>
          <w:color w:val="auto"/>
          <w:szCs w:val="21"/>
          <w:highlight w:val="none"/>
        </w:rPr>
        <w:t>招标人</w:t>
      </w:r>
      <w:bookmarkEnd w:id="364"/>
      <w:bookmarkStart w:id="365" w:name="OLE_LINK9"/>
      <w:r>
        <w:rPr>
          <w:rFonts w:hint="eastAsia" w:ascii="宋体" w:hAnsi="宋体" w:eastAsia="宋体" w:cs="宋体"/>
          <w:color w:val="auto"/>
          <w:szCs w:val="21"/>
          <w:highlight w:val="none"/>
        </w:rPr>
        <w:t>权属子公司（含招标人权属子公司的子公司、分公司）运营项目</w:t>
      </w:r>
      <w:bookmarkEnd w:id="365"/>
      <w:r>
        <w:rPr>
          <w:rFonts w:hint="eastAsia" w:ascii="宋体" w:hAnsi="宋体" w:eastAsia="宋体" w:cs="宋体"/>
          <w:color w:val="auto"/>
          <w:szCs w:val="21"/>
          <w:highlight w:val="none"/>
        </w:rPr>
        <w:t>以及采购数量为暂定，仅为便于计算暂定总合同价使用，不作为招标人或招标人权属子公司（含招标人权属子公司的子公司、分公司）最终采购数量的保证</w:t>
      </w:r>
      <w:bookmarkStart w:id="366" w:name="OLE_LINK40"/>
      <w:bookmarkStart w:id="367" w:name="OLE_LINK24"/>
      <w:bookmarkStart w:id="368" w:name="OLE_LINK38"/>
      <w:r>
        <w:rPr>
          <w:rFonts w:hint="eastAsia" w:ascii="宋体" w:hAnsi="宋体" w:eastAsia="宋体" w:cs="宋体"/>
          <w:color w:val="auto"/>
          <w:szCs w:val="21"/>
          <w:highlight w:val="none"/>
        </w:rPr>
        <w:t>，招标人或招标人权属子公司（含招标人权属子公司的子公司、分公司）保留根据</w:t>
      </w:r>
      <w:bookmarkStart w:id="369" w:name="OLE_LINK18"/>
      <w:r>
        <w:rPr>
          <w:rFonts w:hint="eastAsia" w:ascii="宋体" w:hAnsi="宋体" w:eastAsia="宋体" w:cs="宋体"/>
          <w:color w:val="auto"/>
          <w:szCs w:val="21"/>
          <w:highlight w:val="none"/>
        </w:rPr>
        <w:t>招标人权属子公司（含招标人权属子公司的子公司、分公司）运营项目</w:t>
      </w:r>
      <w:bookmarkEnd w:id="369"/>
      <w:r>
        <w:rPr>
          <w:rFonts w:hint="eastAsia" w:ascii="宋体" w:hAnsi="宋体" w:eastAsia="宋体" w:cs="宋体"/>
          <w:color w:val="auto"/>
          <w:szCs w:val="21"/>
          <w:highlight w:val="none"/>
        </w:rPr>
        <w:t>及新增运营项目实际情况，对采购数量进行灵活调整的权利。</w:t>
      </w:r>
      <w:bookmarkEnd w:id="366"/>
      <w:r>
        <w:rPr>
          <w:rFonts w:hint="eastAsia" w:ascii="宋体" w:hAnsi="宋体" w:eastAsia="宋体" w:cs="宋体"/>
          <w:color w:val="auto"/>
          <w:szCs w:val="21"/>
          <w:highlight w:val="none"/>
        </w:rPr>
        <w:t>合同履约过程中，如本项目因</w:t>
      </w:r>
      <w:bookmarkStart w:id="370" w:name="OLE_LINK33"/>
      <w:r>
        <w:rPr>
          <w:rFonts w:hint="eastAsia" w:ascii="宋体" w:hAnsi="宋体" w:eastAsia="宋体" w:cs="宋体"/>
          <w:color w:val="auto"/>
          <w:szCs w:val="21"/>
          <w:highlight w:val="none"/>
        </w:rPr>
        <w:t>新增合同主体</w:t>
      </w:r>
      <w:bookmarkEnd w:id="370"/>
      <w:r>
        <w:rPr>
          <w:rFonts w:hint="eastAsia" w:ascii="宋体" w:hAnsi="宋体" w:eastAsia="宋体" w:cs="宋体"/>
          <w:color w:val="auto"/>
          <w:szCs w:val="21"/>
          <w:highlight w:val="none"/>
        </w:rPr>
        <w:t>需要额外供货，</w:t>
      </w:r>
      <w:bookmarkStart w:id="371" w:name="OLE_LINK1"/>
      <w:r>
        <w:rPr>
          <w:rFonts w:hint="eastAsia" w:ascii="宋体" w:hAnsi="宋体" w:eastAsia="宋体" w:cs="宋体"/>
          <w:color w:val="auto"/>
          <w:szCs w:val="21"/>
          <w:highlight w:val="none"/>
        </w:rPr>
        <w:t>招标人</w:t>
      </w:r>
      <w:bookmarkEnd w:id="371"/>
      <w:r>
        <w:rPr>
          <w:rFonts w:hint="eastAsia" w:ascii="宋体" w:hAnsi="宋体" w:eastAsia="宋体" w:cs="宋体"/>
          <w:color w:val="auto"/>
          <w:szCs w:val="21"/>
          <w:highlight w:val="none"/>
        </w:rPr>
        <w:t>或招标人权属子公司（含招标人权属子公司的子公司、分公司）有权依据不含税中标综合单价与中标人协商并签订补充协议，并确保其作为原合同的有效补充。中标人应充分理解并接受本项目在合同履约期间可能新增合同主体的可能性，并承诺在接到招标人或招标人权属子公司（含招标人权属子公司的子公司、分公司）关于新增合同主体的供货通知及签订补充协议的要求时，积极配合并履行相应的供货义务，确保供货的及时性和质量等符合原合同的要求</w:t>
      </w:r>
      <w:bookmarkEnd w:id="367"/>
      <w:r>
        <w:rPr>
          <w:rFonts w:hint="eastAsia" w:ascii="宋体" w:hAnsi="宋体" w:eastAsia="宋体" w:cs="宋体"/>
          <w:color w:val="auto"/>
          <w:szCs w:val="21"/>
          <w:highlight w:val="none"/>
        </w:rPr>
        <w:t>。</w:t>
      </w:r>
      <w:bookmarkEnd w:id="368"/>
      <w:r>
        <w:rPr>
          <w:rFonts w:hint="eastAsia" w:ascii="宋体" w:hAnsi="宋体" w:eastAsia="宋体" w:cs="宋体"/>
          <w:color w:val="auto"/>
          <w:szCs w:val="21"/>
          <w:highlight w:val="none"/>
        </w:rPr>
        <w:t>招标人或招标人权属子公司（含招标人权属子公司的子公司、分公司）的实际需求数量以招标人供水厂和污水厂每次的供货通知为准，在供货期内中标人不得因招标人或招标人权属子公司（含招标人权属子公司的子公司、分公司）实际采购数量的减少或增加而要求提供任何形式的补偿或赔偿，或要求招标人或招标人权属子公司（含招标人权属子公司的子公司、分公司）按暂定采购数量采购相应货物。2.</w:t>
      </w:r>
      <w:r>
        <w:rPr>
          <w:rFonts w:hint="default" w:ascii="宋体" w:hAnsi="宋体" w:eastAsia="宋体" w:cs="宋体"/>
          <w:color w:val="auto"/>
          <w:szCs w:val="21"/>
          <w:highlight w:val="none"/>
          <w:lang w:val="en-US"/>
        </w:rPr>
        <w:t>4</w:t>
      </w:r>
      <w:r>
        <w:rPr>
          <w:rFonts w:hint="eastAsia" w:ascii="宋体" w:hAnsi="宋体" w:eastAsia="宋体" w:cs="宋体"/>
          <w:color w:val="auto"/>
          <w:szCs w:val="21"/>
          <w:highlight w:val="none"/>
        </w:rPr>
        <w:t>主要技术指标</w:t>
      </w:r>
    </w:p>
    <w:p w14:paraId="3497A2FA">
      <w:pPr>
        <w:spacing w:line="360" w:lineRule="auto"/>
        <w:ind w:firstLine="420" w:firstLineChars="200"/>
        <w:rPr>
          <w:rFonts w:hint="eastAsia" w:ascii="宋体" w:hAnsi="宋体" w:eastAsia="宋体" w:cs="宋体"/>
          <w:color w:val="auto"/>
          <w:szCs w:val="21"/>
          <w:highlight w:val="none"/>
        </w:rPr>
      </w:pPr>
      <w:bookmarkStart w:id="372" w:name="_Toc7208"/>
      <w:bookmarkStart w:id="373" w:name="_Toc12795"/>
      <w:r>
        <w:rPr>
          <w:rFonts w:hint="eastAsia" w:ascii="宋体" w:hAnsi="宋体" w:eastAsia="宋体" w:cs="宋体"/>
          <w:color w:val="auto"/>
          <w:szCs w:val="21"/>
          <w:highlight w:val="none"/>
        </w:rPr>
        <w:t>2.</w:t>
      </w:r>
      <w:r>
        <w:rPr>
          <w:rFonts w:hint="default" w:ascii="宋体" w:hAnsi="宋体" w:eastAsia="宋体" w:cs="宋体"/>
          <w:color w:val="auto"/>
          <w:szCs w:val="21"/>
          <w:highlight w:val="none"/>
          <w:lang w:val="en-US"/>
        </w:rPr>
        <w:t>4</w:t>
      </w:r>
      <w:r>
        <w:rPr>
          <w:rFonts w:hint="eastAsia" w:ascii="宋体" w:hAnsi="宋体" w:eastAsia="宋体" w:cs="宋体"/>
          <w:color w:val="auto"/>
          <w:szCs w:val="21"/>
          <w:highlight w:val="none"/>
        </w:rPr>
        <w:t>.1液态次氯酸钠产品外观为浅黄色透明液体，无沉淀，无悬浮异物。</w:t>
      </w:r>
      <w:bookmarkEnd w:id="372"/>
      <w:bookmarkEnd w:id="373"/>
    </w:p>
    <w:p w14:paraId="0746D898">
      <w:pPr>
        <w:spacing w:line="360" w:lineRule="auto"/>
        <w:ind w:firstLine="211" w:firstLineChars="1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default" w:ascii="宋体" w:hAnsi="宋体" w:eastAsia="宋体" w:cs="宋体"/>
          <w:b/>
          <w:bCs/>
          <w:color w:val="auto"/>
          <w:szCs w:val="21"/>
          <w:highlight w:val="none"/>
          <w:lang w:val="en-US"/>
        </w:rPr>
        <w:t>4</w:t>
      </w:r>
      <w:r>
        <w:rPr>
          <w:rFonts w:hint="eastAsia" w:ascii="宋体" w:hAnsi="宋体" w:eastAsia="宋体" w:cs="宋体"/>
          <w:b/>
          <w:bCs/>
          <w:color w:val="auto"/>
          <w:szCs w:val="21"/>
          <w:highlight w:val="none"/>
        </w:rPr>
        <w:t>.2液态次氯酸钠必须符合《次氯酸钠》（GB 19106—2013）A型Ⅱ类产品质量及检测标准，包括下表技术指标：</w:t>
      </w:r>
    </w:p>
    <w:p w14:paraId="633BD089">
      <w:pPr>
        <w:spacing w:line="360" w:lineRule="auto"/>
        <w:ind w:firstLine="276" w:firstLineChars="131"/>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表1  液态次氯酸钠主要技术指标</w:t>
      </w:r>
    </w:p>
    <w:tbl>
      <w:tblPr>
        <w:tblStyle w:val="37"/>
        <w:tblW w:w="9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1"/>
        <w:gridCol w:w="4330"/>
      </w:tblGrid>
      <w:tr w14:paraId="3D8D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507" w:type="dxa"/>
            <w:vAlign w:val="center"/>
          </w:tcPr>
          <w:p w14:paraId="45CB020A">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指标项目</w:t>
            </w:r>
          </w:p>
        </w:tc>
        <w:tc>
          <w:tcPr>
            <w:tcW w:w="4281" w:type="dxa"/>
            <w:vAlign w:val="center"/>
          </w:tcPr>
          <w:p w14:paraId="2A8CA4F6">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指标</w:t>
            </w:r>
          </w:p>
        </w:tc>
      </w:tr>
      <w:tr w14:paraId="1854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7" w:type="dxa"/>
            <w:vAlign w:val="center"/>
          </w:tcPr>
          <w:p w14:paraId="3295A7F9">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有效氯（以Cl计）  ω/% </w:t>
            </w:r>
          </w:p>
        </w:tc>
        <w:tc>
          <w:tcPr>
            <w:tcW w:w="4281" w:type="dxa"/>
            <w:vAlign w:val="center"/>
          </w:tcPr>
          <w:p w14:paraId="69528B50">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≥10.0</w:t>
            </w:r>
          </w:p>
        </w:tc>
      </w:tr>
      <w:tr w14:paraId="1785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7" w:type="dxa"/>
            <w:vAlign w:val="center"/>
          </w:tcPr>
          <w:p w14:paraId="3F851850">
            <w:pPr>
              <w:spacing w:line="360" w:lineRule="auto"/>
              <w:ind w:firstLine="1476" w:firstLineChars="7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游离碱（以NaOH计）ω/% </w:t>
            </w:r>
          </w:p>
        </w:tc>
        <w:tc>
          <w:tcPr>
            <w:tcW w:w="4281" w:type="dxa"/>
            <w:vAlign w:val="center"/>
          </w:tcPr>
          <w:p w14:paraId="68E56854">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0.1~1.0</w:t>
            </w:r>
          </w:p>
        </w:tc>
      </w:tr>
      <w:tr w14:paraId="221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7" w:type="dxa"/>
            <w:vAlign w:val="center"/>
          </w:tcPr>
          <w:p w14:paraId="3438D3E0">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铁（Fe）           ω/% </w:t>
            </w:r>
          </w:p>
        </w:tc>
        <w:tc>
          <w:tcPr>
            <w:tcW w:w="4281" w:type="dxa"/>
            <w:vAlign w:val="center"/>
          </w:tcPr>
          <w:p w14:paraId="30410489">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≤0.005</w:t>
            </w:r>
          </w:p>
        </w:tc>
      </w:tr>
      <w:tr w14:paraId="6749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7" w:type="dxa"/>
            <w:vAlign w:val="center"/>
          </w:tcPr>
          <w:p w14:paraId="68EBD0B0">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重金属（以Pb计）  ω/% </w:t>
            </w:r>
          </w:p>
        </w:tc>
        <w:tc>
          <w:tcPr>
            <w:tcW w:w="4281" w:type="dxa"/>
            <w:vAlign w:val="center"/>
          </w:tcPr>
          <w:p w14:paraId="40A81331">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≤0.001</w:t>
            </w:r>
          </w:p>
        </w:tc>
      </w:tr>
      <w:tr w14:paraId="5FF6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7" w:type="dxa"/>
            <w:vAlign w:val="center"/>
          </w:tcPr>
          <w:p w14:paraId="5A436D41">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砷（As）           ω/% </w:t>
            </w:r>
          </w:p>
        </w:tc>
        <w:tc>
          <w:tcPr>
            <w:tcW w:w="4281" w:type="dxa"/>
            <w:vAlign w:val="center"/>
          </w:tcPr>
          <w:p w14:paraId="1EFBD3F2">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≤0.0001</w:t>
            </w:r>
          </w:p>
        </w:tc>
      </w:tr>
    </w:tbl>
    <w:p w14:paraId="2C8C49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default" w:ascii="宋体" w:hAnsi="宋体" w:eastAsia="宋体" w:cs="宋体"/>
          <w:color w:val="auto"/>
          <w:szCs w:val="21"/>
          <w:highlight w:val="none"/>
          <w:lang w:val="en-US"/>
        </w:rPr>
        <w:t>4</w:t>
      </w:r>
      <w:r>
        <w:rPr>
          <w:rFonts w:hint="eastAsia" w:ascii="宋体" w:hAnsi="宋体" w:eastAsia="宋体" w:cs="宋体"/>
          <w:color w:val="auto"/>
          <w:szCs w:val="21"/>
          <w:highlight w:val="none"/>
        </w:rPr>
        <w:t>.3供货期间，如有发布最新的行业标准或国家标准，招标人或招标人权属子公司（含招标人权属子公司的子公司、分公司）有权根据招标人</w:t>
      </w:r>
      <w:bookmarkStart w:id="374" w:name="OLE_LINK37"/>
      <w:bookmarkStart w:id="375" w:name="OLE_LINK36"/>
      <w:r>
        <w:rPr>
          <w:rFonts w:hint="eastAsia" w:ascii="宋体" w:hAnsi="宋体" w:eastAsia="宋体" w:cs="宋体"/>
          <w:color w:val="auto"/>
          <w:szCs w:val="21"/>
          <w:highlight w:val="none"/>
        </w:rPr>
        <w:t>权属子公司</w:t>
      </w:r>
      <w:bookmarkEnd w:id="374"/>
      <w:r>
        <w:rPr>
          <w:rFonts w:hint="eastAsia" w:ascii="宋体" w:hAnsi="宋体" w:eastAsia="宋体" w:cs="宋体"/>
          <w:color w:val="auto"/>
          <w:szCs w:val="21"/>
          <w:highlight w:val="none"/>
        </w:rPr>
        <w:t>运营项目</w:t>
      </w:r>
      <w:bookmarkEnd w:id="375"/>
      <w:r>
        <w:rPr>
          <w:rFonts w:hint="eastAsia" w:ascii="宋体" w:hAnsi="宋体" w:eastAsia="宋体" w:cs="宋体"/>
          <w:color w:val="auto"/>
          <w:szCs w:val="21"/>
          <w:highlight w:val="none"/>
        </w:rPr>
        <w:t>实际情况及有关行业标准或国家标准对合同的主要技术指标进行变更调整，中标人应无条件接受。</w:t>
      </w:r>
    </w:p>
    <w:p w14:paraId="0C9BCA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default" w:ascii="宋体" w:hAnsi="宋体" w:eastAsia="宋体" w:cs="宋体"/>
          <w:color w:val="auto"/>
          <w:szCs w:val="21"/>
          <w:highlight w:val="none"/>
          <w:lang w:val="en-US"/>
        </w:rPr>
        <w:t>4</w:t>
      </w:r>
      <w:r>
        <w:rPr>
          <w:rFonts w:hint="eastAsia" w:ascii="宋体" w:hAnsi="宋体" w:eastAsia="宋体" w:cs="宋体"/>
          <w:color w:val="auto"/>
          <w:szCs w:val="21"/>
          <w:highlight w:val="none"/>
        </w:rPr>
        <w:t>.4中标人应根据招标人权属子公司运营项目工艺以及性质，提供符合技术指标的药剂，配合各项目进行小试、中试，保证供货的药剂良好的杀菌和MBR膜设备清洗效果。</w:t>
      </w:r>
    </w:p>
    <w:p w14:paraId="40B496C3">
      <w:pPr>
        <w:spacing w:line="360" w:lineRule="auto"/>
        <w:ind w:firstLine="211" w:firstLineChars="100"/>
        <w:rPr>
          <w:rFonts w:hint="eastAsia" w:ascii="宋体" w:hAnsi="宋体" w:eastAsia="宋体" w:cs="宋体"/>
          <w:b/>
          <w:bCs/>
          <w:color w:val="auto"/>
          <w:szCs w:val="21"/>
          <w:highlight w:val="none"/>
        </w:rPr>
      </w:pPr>
      <w:bookmarkStart w:id="376" w:name="OLE_LINK25"/>
      <w:r>
        <w:rPr>
          <w:rFonts w:hint="eastAsia" w:ascii="宋体" w:hAnsi="宋体" w:eastAsia="宋体" w:cs="宋体"/>
          <w:b/>
          <w:bCs/>
          <w:color w:val="auto"/>
          <w:szCs w:val="21"/>
          <w:highlight w:val="none"/>
        </w:rPr>
        <w:t>★</w:t>
      </w:r>
      <w:bookmarkEnd w:id="376"/>
      <w:r>
        <w:rPr>
          <w:rFonts w:hint="eastAsia" w:ascii="宋体" w:hAnsi="宋体" w:eastAsia="宋体" w:cs="宋体"/>
          <w:b/>
          <w:bCs/>
          <w:color w:val="auto"/>
          <w:szCs w:val="21"/>
          <w:highlight w:val="none"/>
        </w:rPr>
        <w:t>2.</w:t>
      </w:r>
      <w:r>
        <w:rPr>
          <w:rFonts w:hint="default" w:ascii="宋体" w:hAnsi="宋体" w:eastAsia="宋体" w:cs="宋体"/>
          <w:b/>
          <w:bCs/>
          <w:color w:val="auto"/>
          <w:szCs w:val="21"/>
          <w:highlight w:val="none"/>
          <w:lang w:val="en-US"/>
        </w:rPr>
        <w:t>5</w:t>
      </w:r>
      <w:r>
        <w:rPr>
          <w:rFonts w:hint="eastAsia" w:ascii="宋体" w:hAnsi="宋体" w:eastAsia="宋体" w:cs="宋体"/>
          <w:b/>
          <w:bCs/>
          <w:color w:val="auto"/>
          <w:szCs w:val="21"/>
          <w:highlight w:val="none"/>
        </w:rPr>
        <w:t>投标人投标时须提供投标人委托的反映报价产品性能参数的具有资质的第三方检测机构出具的</w:t>
      </w:r>
      <w:bookmarkStart w:id="377" w:name="OLE_LINK21"/>
      <w:r>
        <w:rPr>
          <w:rFonts w:hint="eastAsia" w:ascii="宋体" w:hAnsi="宋体" w:eastAsia="宋体" w:cs="宋体"/>
          <w:b/>
          <w:bCs/>
          <w:color w:val="auto"/>
          <w:szCs w:val="21"/>
          <w:highlight w:val="none"/>
        </w:rPr>
        <w:t>符合表1《液态次氯酸钠主要技术指标》要求的</w:t>
      </w:r>
      <w:bookmarkEnd w:id="377"/>
      <w:r>
        <w:rPr>
          <w:rFonts w:hint="eastAsia" w:ascii="宋体" w:hAnsi="宋体" w:eastAsia="宋体" w:cs="宋体"/>
          <w:b/>
          <w:bCs/>
          <w:color w:val="auto"/>
          <w:szCs w:val="21"/>
          <w:highlight w:val="none"/>
        </w:rPr>
        <w:t>检验报告，检验报告上的标徽应包括但不限于CMA认证标徽，报告日期为2024年1月1日以后，</w:t>
      </w:r>
      <w:bookmarkStart w:id="378" w:name="OLE_LINK26"/>
      <w:r>
        <w:rPr>
          <w:rFonts w:hint="eastAsia" w:ascii="宋体" w:hAnsi="宋体" w:eastAsia="宋体" w:cs="宋体"/>
          <w:b/>
          <w:bCs/>
          <w:color w:val="auto"/>
          <w:szCs w:val="21"/>
          <w:highlight w:val="none"/>
        </w:rPr>
        <w:t>检验报告中检验指标为</w:t>
      </w:r>
      <w:bookmarkEnd w:id="378"/>
      <w:r>
        <w:rPr>
          <w:rFonts w:hint="eastAsia" w:ascii="宋体" w:hAnsi="宋体" w:eastAsia="宋体" w:cs="宋体"/>
          <w:b/>
          <w:bCs/>
          <w:color w:val="auto"/>
          <w:szCs w:val="21"/>
          <w:highlight w:val="none"/>
        </w:rPr>
        <w:t>表1《</w:t>
      </w:r>
      <w:bookmarkStart w:id="379" w:name="OLE_LINK5"/>
      <w:r>
        <w:rPr>
          <w:rFonts w:hint="eastAsia" w:ascii="宋体" w:hAnsi="宋体" w:eastAsia="宋体" w:cs="宋体"/>
          <w:b/>
          <w:bCs/>
          <w:color w:val="auto"/>
          <w:szCs w:val="21"/>
          <w:highlight w:val="none"/>
        </w:rPr>
        <w:t>液态次氯酸钠主要技术指标</w:t>
      </w:r>
      <w:bookmarkEnd w:id="379"/>
      <w:r>
        <w:rPr>
          <w:rFonts w:hint="eastAsia" w:ascii="宋体" w:hAnsi="宋体" w:eastAsia="宋体" w:cs="宋体"/>
          <w:b/>
          <w:bCs/>
          <w:color w:val="auto"/>
          <w:szCs w:val="21"/>
          <w:highlight w:val="none"/>
        </w:rPr>
        <w:t>》中各指标项目，检验报告使用的检测方法需符合</w:t>
      </w:r>
      <w:bookmarkStart w:id="380" w:name="OLE_LINK44"/>
      <w:r>
        <w:rPr>
          <w:rFonts w:hint="eastAsia" w:ascii="宋体" w:hAnsi="宋体" w:eastAsia="宋体" w:cs="宋体"/>
          <w:b/>
          <w:bCs/>
          <w:color w:val="auto"/>
          <w:szCs w:val="21"/>
          <w:highlight w:val="none"/>
        </w:rPr>
        <w:t>《次氯酸钠》（GB19106—2013）</w:t>
      </w:r>
      <w:bookmarkEnd w:id="380"/>
      <w:r>
        <w:rPr>
          <w:rFonts w:hint="eastAsia" w:ascii="宋体" w:hAnsi="宋体" w:eastAsia="宋体" w:cs="宋体"/>
          <w:b/>
          <w:bCs/>
          <w:color w:val="auto"/>
          <w:szCs w:val="21"/>
          <w:highlight w:val="none"/>
        </w:rPr>
        <w:t>。</w:t>
      </w:r>
    </w:p>
    <w:p w14:paraId="2E46A9F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default" w:ascii="宋体" w:hAnsi="宋体" w:eastAsia="宋体" w:cs="宋体"/>
          <w:b/>
          <w:bCs/>
          <w:color w:val="auto"/>
          <w:szCs w:val="21"/>
          <w:highlight w:val="none"/>
          <w:lang w:val="en-US"/>
        </w:rPr>
        <w:t>6</w:t>
      </w:r>
      <w:r>
        <w:rPr>
          <w:rFonts w:hint="eastAsia" w:ascii="宋体" w:hAnsi="宋体" w:eastAsia="宋体" w:cs="宋体"/>
          <w:b/>
          <w:bCs/>
          <w:color w:val="auto"/>
          <w:szCs w:val="21"/>
          <w:highlight w:val="none"/>
        </w:rPr>
        <w:t>投标人投标时提供的第三方检测机构出具的检验报告需体现委托方、生产厂家、送检样品的产品名称、生产批号或生产日期等。</w:t>
      </w:r>
    </w:p>
    <w:p w14:paraId="5FE20D3B">
      <w:pPr>
        <w:pStyle w:val="46"/>
        <w:spacing w:line="360" w:lineRule="auto"/>
        <w:ind w:firstLine="211" w:firstLineChars="100"/>
        <w:rPr>
          <w:rFonts w:hint="eastAsia" w:ascii="宋体" w:hAnsi="宋体" w:eastAsia="宋体" w:cs="宋体"/>
          <w:b/>
          <w:bCs/>
          <w:color w:val="auto"/>
          <w:szCs w:val="21"/>
          <w:highlight w:val="none"/>
          <w:lang w:val="en-US"/>
        </w:rPr>
      </w:pPr>
      <w:r>
        <w:rPr>
          <w:rFonts w:hint="eastAsia" w:ascii="宋体" w:hAnsi="宋体" w:eastAsia="宋体" w:cs="宋体"/>
          <w:b/>
          <w:bCs/>
          <w:color w:val="auto"/>
          <w:szCs w:val="21"/>
          <w:highlight w:val="none"/>
          <w:lang w:val="en-US"/>
        </w:rPr>
        <w:t>★2.</w:t>
      </w:r>
      <w:r>
        <w:rPr>
          <w:rFonts w:hint="default" w:ascii="宋体" w:hAnsi="宋体" w:eastAsia="宋体" w:cs="宋体"/>
          <w:b/>
          <w:bCs/>
          <w:color w:val="auto"/>
          <w:szCs w:val="21"/>
          <w:highlight w:val="none"/>
          <w:lang w:val="en-US"/>
        </w:rPr>
        <w:t>7</w:t>
      </w:r>
      <w:r>
        <w:rPr>
          <w:rFonts w:hint="eastAsia" w:ascii="宋体" w:hAnsi="宋体" w:eastAsia="宋体" w:cs="宋体"/>
          <w:b/>
          <w:bCs/>
          <w:color w:val="auto"/>
          <w:szCs w:val="21"/>
          <w:highlight w:val="none"/>
          <w:lang w:val="en-US"/>
        </w:rPr>
        <w:t>投标人所提供液态次氯酸</w:t>
      </w:r>
      <w:r>
        <w:rPr>
          <w:rFonts w:hint="eastAsia" w:ascii="宋体" w:hAnsi="宋体" w:eastAsia="宋体" w:cs="宋体"/>
          <w:b/>
          <w:bCs/>
          <w:color w:val="auto"/>
          <w:szCs w:val="21"/>
          <w:highlight w:val="none"/>
          <w:lang w:val="en-US" w:eastAsia="zh-CN"/>
        </w:rPr>
        <w:t>钠</w:t>
      </w:r>
      <w:r>
        <w:rPr>
          <w:rFonts w:hint="eastAsia" w:ascii="宋体" w:hAnsi="宋体" w:eastAsia="宋体" w:cs="宋体"/>
          <w:b/>
          <w:bCs/>
          <w:color w:val="auto"/>
          <w:szCs w:val="21"/>
          <w:highlight w:val="none"/>
          <w:lang w:val="en-US"/>
        </w:rPr>
        <w:t>产品若是供应给东莞市水务集团供水有限公司（含子公司、分公司）的必须为适用于饮用水处理的液态次氯酸</w:t>
      </w:r>
      <w:r>
        <w:rPr>
          <w:rFonts w:hint="eastAsia" w:ascii="宋体" w:hAnsi="宋体" w:eastAsia="宋体" w:cs="宋体"/>
          <w:b/>
          <w:bCs/>
          <w:color w:val="auto"/>
          <w:szCs w:val="21"/>
          <w:highlight w:val="none"/>
          <w:lang w:val="en-US" w:eastAsia="zh-CN"/>
        </w:rPr>
        <w:t>钠</w:t>
      </w:r>
      <w:r>
        <w:rPr>
          <w:rFonts w:hint="eastAsia" w:ascii="宋体" w:hAnsi="宋体" w:eastAsia="宋体" w:cs="宋体"/>
          <w:b/>
          <w:bCs/>
          <w:color w:val="auto"/>
          <w:szCs w:val="21"/>
          <w:highlight w:val="none"/>
          <w:lang w:val="en-US"/>
        </w:rPr>
        <w:t>，</w:t>
      </w:r>
      <w:r>
        <w:rPr>
          <w:rFonts w:hint="eastAsia" w:ascii="宋体" w:hAnsi="宋体" w:eastAsia="宋体" w:cs="宋体"/>
          <w:b/>
          <w:bCs/>
          <w:color w:val="auto"/>
          <w:szCs w:val="21"/>
          <w:highlight w:val="none"/>
        </w:rPr>
        <w:t>投标时</w:t>
      </w:r>
      <w:r>
        <w:rPr>
          <w:rFonts w:hint="eastAsia" w:ascii="宋体" w:hAnsi="宋体" w:eastAsia="宋体" w:cs="宋体"/>
          <w:b/>
          <w:bCs/>
          <w:color w:val="auto"/>
          <w:szCs w:val="21"/>
          <w:highlight w:val="none"/>
          <w:lang w:val="en-US"/>
        </w:rPr>
        <w:t>须提供所供产品制造商有效的涉及饮用水卫生安全产品卫生许可批件。（注：须提供所供产品制造商有效的涉及饮用水卫生安全产品卫生许可批件复印件加盖投标人公章）。</w:t>
      </w:r>
    </w:p>
    <w:p w14:paraId="09397A2A">
      <w:pPr>
        <w:numPr>
          <w:ilvl w:val="255"/>
          <w:numId w:val="0"/>
        </w:numPr>
        <w:spacing w:line="360" w:lineRule="auto"/>
        <w:rPr>
          <w:rFonts w:hint="eastAsia" w:ascii="宋体" w:hAnsi="宋体" w:eastAsia="宋体" w:cs="宋体"/>
          <w:b/>
          <w:color w:val="auto"/>
          <w:szCs w:val="21"/>
          <w:highlight w:val="none"/>
        </w:rPr>
      </w:pPr>
      <w:bookmarkStart w:id="381" w:name="_Toc7916"/>
      <w:bookmarkStart w:id="382" w:name="_Toc14997"/>
      <w:r>
        <w:rPr>
          <w:rFonts w:hint="eastAsia" w:ascii="宋体" w:hAnsi="宋体" w:eastAsia="宋体" w:cs="宋体"/>
          <w:b/>
          <w:color w:val="auto"/>
          <w:szCs w:val="21"/>
          <w:highlight w:val="none"/>
        </w:rPr>
        <w:t>三、交货要求</w:t>
      </w:r>
      <w:bookmarkEnd w:id="381"/>
      <w:bookmarkEnd w:id="382"/>
    </w:p>
    <w:p w14:paraId="62D75DFD">
      <w:pPr>
        <w:spacing w:line="360" w:lineRule="auto"/>
        <w:ind w:firstLine="420" w:firstLineChars="200"/>
        <w:rPr>
          <w:rFonts w:hint="eastAsia" w:ascii="宋体" w:hAnsi="宋体" w:eastAsia="宋体" w:cs="宋体"/>
          <w:color w:val="auto"/>
          <w:szCs w:val="21"/>
          <w:highlight w:val="none"/>
        </w:rPr>
      </w:pPr>
      <w:bookmarkStart w:id="383" w:name="_Toc21273"/>
      <w:bookmarkStart w:id="384" w:name="_Toc24196"/>
      <w:r>
        <w:rPr>
          <w:rFonts w:hint="eastAsia" w:ascii="宋体" w:hAnsi="宋体" w:eastAsia="宋体" w:cs="宋体"/>
          <w:color w:val="auto"/>
          <w:szCs w:val="21"/>
          <w:highlight w:val="none"/>
        </w:rPr>
        <w:t>3.1交货地点：招标人权属子公司（含招标人权属子公司的子公司、分公司）在东莞市范围内的运营项目。</w:t>
      </w:r>
      <w:bookmarkEnd w:id="383"/>
      <w:bookmarkEnd w:id="384"/>
    </w:p>
    <w:p w14:paraId="73D720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交货时间：一般情况下，日常供货（非加急供货）为接到供货通知24小时内，加急供货根据招标人权属子公司运营项目要求时间节点，其中供水公司要求12小时内，净水公司要求4小时内，具体交货时间以招标人权属子公司运营项目供货通知为准。招标人无需因加急供货而额外支付任何费用。节假日期间，需保障正常供货，不受交通及其他方面的影响。</w:t>
      </w:r>
    </w:p>
    <w:p w14:paraId="4BBA74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中标人自行负责将生产药剂液态次氯酸钠运送至招标人权属子公司（含招标人权属子公司的子公司、分公司）运营项目指定位置（生产药剂储存罐），未经招标人书面同意，中标人不得私自将本合同项下的货物运输义务委托第三方个人或企业。中标人承担相应的运输、装卸等费用，运输人员应配备足够防护器具。如在运输及装卸过程中，生产药剂发生泄漏，应由中标人负责清理收集，避免造成人员伤害或环境污染。</w:t>
      </w:r>
    </w:p>
    <w:p w14:paraId="796132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每次送货，中标人须提供电子地磅的称重单（含载货时的称重单和卸货后的称重单），相关费用由中标人承担。实际供货数量以招标人权属子公司运营项目和中标人双方确认的电子地磅的称重单为准。招标人权属子公司运营项目有电子地磅的，原则上在</w:t>
      </w:r>
      <w:bookmarkStart w:id="385" w:name="OLE_LINK39"/>
      <w:r>
        <w:rPr>
          <w:rFonts w:hint="eastAsia" w:ascii="宋体" w:hAnsi="宋体" w:eastAsia="宋体" w:cs="宋体"/>
          <w:color w:val="auto"/>
          <w:szCs w:val="21"/>
          <w:highlight w:val="none"/>
        </w:rPr>
        <w:t>招标人权属子公司运营项目</w:t>
      </w:r>
      <w:bookmarkEnd w:id="385"/>
      <w:r>
        <w:rPr>
          <w:rFonts w:hint="eastAsia" w:ascii="宋体" w:hAnsi="宋体" w:eastAsia="宋体" w:cs="宋体"/>
          <w:color w:val="auto"/>
          <w:szCs w:val="21"/>
          <w:highlight w:val="none"/>
        </w:rPr>
        <w:t>过磅；招标人权属子公司运营项目无电子地磅或电子地磅因检修等原因不可用的，在交货地点附近的电子地磅过磅。招标人电子地磅的称重服务不含税单价为1.51元/吨，称重服务相关条款由招标人或招标人权属子公司（含招标人权属子公司的子公司、分公司）与中标人签订称重服务合同另行约定。</w:t>
      </w:r>
    </w:p>
    <w:p w14:paraId="346E9F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3.5每次送货，中标人须随货提供生产厂家出具的具有</w:t>
      </w:r>
      <w:r>
        <w:rPr>
          <w:rFonts w:hint="eastAsia" w:ascii="宋体" w:hAnsi="宋体" w:eastAsia="宋体" w:cs="宋体"/>
          <w:b/>
          <w:bCs/>
          <w:color w:val="auto"/>
          <w:szCs w:val="21"/>
          <w:highlight w:val="none"/>
        </w:rPr>
        <w:t>生产厂家、出厂批号、有效氯、游离碱等主要信息</w:t>
      </w:r>
      <w:r>
        <w:rPr>
          <w:rFonts w:hint="eastAsia" w:ascii="宋体" w:hAnsi="宋体" w:eastAsia="宋体" w:cs="宋体"/>
          <w:color w:val="auto"/>
          <w:szCs w:val="21"/>
          <w:highlight w:val="none"/>
        </w:rPr>
        <w:t>的符合表1《液态次氯酸钠主要技术指标》要求的产品质量检验报告（如出厂检验报告、质量检验报告等）、供货单据等资料，中标人提供的检验报告只作为</w:t>
      </w:r>
      <w:bookmarkStart w:id="386" w:name="OLE_LINK41"/>
      <w:r>
        <w:rPr>
          <w:rFonts w:hint="eastAsia" w:ascii="宋体" w:hAnsi="宋体" w:eastAsia="宋体" w:cs="宋体"/>
          <w:color w:val="auto"/>
          <w:szCs w:val="21"/>
          <w:highlight w:val="none"/>
        </w:rPr>
        <w:t>招标人权属子公司（含招标人权属子公司的子公司、分公司）运营项目</w:t>
      </w:r>
      <w:bookmarkEnd w:id="386"/>
      <w:r>
        <w:rPr>
          <w:rFonts w:hint="eastAsia" w:ascii="宋体" w:hAnsi="宋体" w:eastAsia="宋体" w:cs="宋体"/>
          <w:color w:val="auto"/>
          <w:szCs w:val="21"/>
          <w:highlight w:val="none"/>
        </w:rPr>
        <w:t>参考。</w:t>
      </w:r>
    </w:p>
    <w:p w14:paraId="13347D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供货期间，在收到招标人权属子公司运营项目供货通知前，中标人无需为合同履行做准备工作，因此造成的损失招标人或招标人权属子公司（含招标人权属子公司的子公司、分公司）不负任何责任。招标人权属子公司供水公司运营项目和招标人权属子公司净水公司运营项目相关信息见附件，仅供投标人报价参考。</w:t>
      </w:r>
    </w:p>
    <w:p w14:paraId="6B5DA1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3.7关于生产药剂液态次氯酸钠的贮存装置、</w:t>
      </w:r>
      <w:bookmarkStart w:id="387" w:name="_Hlk111479904"/>
      <w:r>
        <w:rPr>
          <w:rFonts w:hint="eastAsia" w:ascii="宋体" w:hAnsi="宋体" w:eastAsia="宋体" w:cs="宋体"/>
          <w:color w:val="auto"/>
          <w:szCs w:val="21"/>
          <w:highlight w:val="none"/>
        </w:rPr>
        <w:t>贮存</w:t>
      </w:r>
      <w:bookmarkEnd w:id="387"/>
      <w:r>
        <w:rPr>
          <w:rFonts w:hint="eastAsia" w:ascii="宋体" w:hAnsi="宋体" w:eastAsia="宋体" w:cs="宋体"/>
          <w:color w:val="auto"/>
          <w:szCs w:val="21"/>
          <w:highlight w:val="none"/>
        </w:rPr>
        <w:t>条件等要求，中标人应以书面形式详细告知招标人权属子公司运营项目。</w:t>
      </w:r>
    </w:p>
    <w:p w14:paraId="24E925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生产药剂液态次氯酸钠的运送及输送方式应符合国家或行业规范标准。液态次氯酸钠采用聚乙烯塑料桶或专用耐酸耐腐蚀贮罐等密闭容器装运,运输过程防止药剂泄露并避免有毒物品的污染。其余包装及运输要求需符合《次氯酸钠》（GB19106—2013）中所列标准，且中标人或其委托的运输单位应当具备国家及行业规定的运输资质。供货期间，如有发布最新的行业标准或国家标准，包装及运输按发布的最新行业标准或国家标准执行。</w:t>
      </w:r>
    </w:p>
    <w:p w14:paraId="63EB39DB">
      <w:pPr>
        <w:numPr>
          <w:ilvl w:val="255"/>
          <w:numId w:val="0"/>
        </w:numPr>
        <w:spacing w:line="360" w:lineRule="auto"/>
        <w:rPr>
          <w:rFonts w:hint="eastAsia" w:ascii="宋体" w:hAnsi="宋体" w:eastAsia="宋体" w:cs="宋体"/>
          <w:b/>
          <w:color w:val="auto"/>
          <w:szCs w:val="21"/>
          <w:highlight w:val="none"/>
        </w:rPr>
      </w:pPr>
      <w:bookmarkStart w:id="388" w:name="_Toc16213"/>
      <w:bookmarkStart w:id="389" w:name="_Toc24688"/>
      <w:r>
        <w:rPr>
          <w:rFonts w:hint="eastAsia" w:ascii="宋体" w:hAnsi="宋体" w:eastAsia="宋体" w:cs="宋体"/>
          <w:b/>
          <w:color w:val="auto"/>
          <w:szCs w:val="21"/>
          <w:highlight w:val="none"/>
        </w:rPr>
        <w:t>四、验收要求</w:t>
      </w:r>
      <w:bookmarkEnd w:id="388"/>
      <w:bookmarkEnd w:id="389"/>
    </w:p>
    <w:p w14:paraId="7EE281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4.1验收分为货到交货地点的初步验收和货物检验合格后的最终验收。</w:t>
      </w:r>
    </w:p>
    <w:p w14:paraId="39CE6B82">
      <w:pPr>
        <w:spacing w:line="360" w:lineRule="auto"/>
        <w:ind w:firstLine="420" w:firstLineChars="200"/>
        <w:rPr>
          <w:rFonts w:hint="eastAsia" w:ascii="宋体" w:hAnsi="宋体" w:eastAsia="宋体" w:cs="宋体"/>
          <w:color w:val="auto"/>
          <w:szCs w:val="21"/>
          <w:highlight w:val="none"/>
        </w:rPr>
      </w:pPr>
      <w:bookmarkStart w:id="390" w:name="_Toc23730"/>
      <w:bookmarkStart w:id="391" w:name="_Toc26056"/>
      <w:r>
        <w:rPr>
          <w:rFonts w:hint="eastAsia" w:ascii="宋体" w:hAnsi="宋体" w:eastAsia="宋体" w:cs="宋体"/>
          <w:color w:val="auto"/>
          <w:szCs w:val="21"/>
          <w:highlight w:val="none"/>
        </w:rPr>
        <w:t>4.1.1初步验收：</w:t>
      </w:r>
      <w:bookmarkEnd w:id="390"/>
      <w:bookmarkEnd w:id="391"/>
    </w:p>
    <w:p w14:paraId="3E908E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运抵交货地点，招标人权属子公司（含招标人权属子公司的子公司、分公司）运营项目、中标人共同验货。招标人权属子公司（含招标人权属子公司的子公司、分公司）运营项目按照本项目合同及招标文件，对货物的数量、品种、随车产品出厂质量检验报告、供货单据等进行核对。</w:t>
      </w:r>
    </w:p>
    <w:p w14:paraId="255A4B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初步验收合格后，招标人权属子公司运营项目、中标人双方进行相关签收手续。</w:t>
      </w:r>
    </w:p>
    <w:p w14:paraId="6A7E0578">
      <w:pPr>
        <w:spacing w:line="360" w:lineRule="auto"/>
        <w:ind w:firstLine="420" w:firstLineChars="200"/>
        <w:rPr>
          <w:rFonts w:hint="eastAsia" w:ascii="宋体" w:hAnsi="宋体" w:eastAsia="宋体" w:cs="宋体"/>
          <w:color w:val="auto"/>
          <w:szCs w:val="21"/>
          <w:highlight w:val="none"/>
        </w:rPr>
      </w:pPr>
      <w:bookmarkStart w:id="392" w:name="_Toc24743"/>
      <w:bookmarkStart w:id="393" w:name="_Toc16461"/>
      <w:r>
        <w:rPr>
          <w:rFonts w:hint="eastAsia" w:ascii="宋体" w:hAnsi="宋体" w:eastAsia="宋体" w:cs="宋体"/>
          <w:color w:val="auto"/>
          <w:szCs w:val="21"/>
          <w:highlight w:val="none"/>
        </w:rPr>
        <w:t>4.1.2最终验收</w:t>
      </w:r>
      <w:bookmarkEnd w:id="392"/>
      <w:bookmarkEnd w:id="393"/>
    </w:p>
    <w:p w14:paraId="21EED0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4.1.2.1招标人权属子公司（含招标人权属子公司的子公司、分公司）运营项目对每次供货货物检验，其中有效氯（以Cl计）为每次供货货物的批检检验指标，其余指标为招标人或招标人权属子公司（含招标人权属子公司的子公司、分公司）根据需要抽检的按需检验指标，货物批检检验指标和按需检验指标由招标人或招标人权属子公司（含招标人权属子公司的子公司、分公司）根据招标人或招标人权属子公司（含招标人权属子公司的子公司、分公司）关于生产药剂的管理制度及要求适时调整。每次货到现场时可由双方共同取样，供货货物合格判定以招标人权属子公司（含招标人权属子公司的子公司、分公司）实验室检验结果为准。招标人或招标人权属子公司（含招标人权属子公司的子公司、分公司）根据需要可委托具有CMA认证资质的第三方检测机构检测，招标人或招标人权属子公司（含招标人权属子公司的子公司、分公司）委托的具有CMA认证资质的第三方检测机构的检验结果与招标人权属子公司实验室不一致的，该次的供货货物质量判定以招标人或招标人权属子公司（含招标人权属子公司的子公司、分公司）委托的具有CMA认证资质的第三方检测机构的检验结果为准（有效氯项目除外）。</w:t>
      </w:r>
    </w:p>
    <w:p w14:paraId="301C1B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4.1.2.2货物检验方法按《次氯酸钠》（GB19106-2013）中的检测方法进行。供货期间，如有发布最新的行业标准或国家标准，货物检验方法按发布的最新行业标准或国家标准执行。</w:t>
      </w:r>
    </w:p>
    <w:p w14:paraId="3E2781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4.1.2.3如供货货物符合表1《液态次氯酸钠主要技术指标》要求则验收合格。</w:t>
      </w:r>
    </w:p>
    <w:p w14:paraId="408E67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4.1.3货物按上述程序验收后，招标人</w:t>
      </w:r>
      <w:r>
        <w:rPr>
          <w:rFonts w:hint="eastAsia" w:ascii="宋体" w:hAnsi="宋体" w:eastAsia="宋体" w:cs="宋体"/>
          <w:color w:val="auto"/>
          <w:szCs w:val="21"/>
          <w:highlight w:val="none"/>
          <w:lang w:val="en-US" w:eastAsia="zh-CN"/>
        </w:rPr>
        <w:t>权属子公司</w:t>
      </w:r>
      <w:r>
        <w:rPr>
          <w:rFonts w:hint="eastAsia" w:ascii="宋体" w:hAnsi="宋体" w:eastAsia="宋体" w:cs="宋体"/>
          <w:color w:val="auto"/>
          <w:szCs w:val="21"/>
          <w:highlight w:val="none"/>
        </w:rPr>
        <w:t>（含招标人权属子公司的子公司、分公司）运营项目向中标人出具书面的验收报告，中标人需对验收报告盖章确认。验收报告作为对货物供货数量及主要技术指标验收的证明，不代表对货物使用效果的认可。</w:t>
      </w:r>
    </w:p>
    <w:p w14:paraId="4FCB76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4.1.4招标人</w:t>
      </w:r>
      <w:r>
        <w:rPr>
          <w:rFonts w:hint="eastAsia" w:ascii="宋体" w:hAnsi="宋体" w:eastAsia="宋体" w:cs="宋体"/>
          <w:color w:val="auto"/>
          <w:szCs w:val="21"/>
          <w:highlight w:val="none"/>
          <w:lang w:val="en-US" w:eastAsia="zh-CN"/>
        </w:rPr>
        <w:t>权属子公司</w:t>
      </w:r>
      <w:r>
        <w:rPr>
          <w:rFonts w:hint="eastAsia" w:ascii="宋体" w:hAnsi="宋体" w:eastAsia="宋体" w:cs="宋体"/>
          <w:color w:val="auto"/>
          <w:szCs w:val="21"/>
          <w:highlight w:val="none"/>
        </w:rPr>
        <w:t>运营项目根据本条规定对货物所做出的验收，仅作为起算付款及质保期之用，不视为双方对于货物质量的最终认可，中标人仍应在质保期内对产品质量承担保证责任。</w:t>
      </w:r>
    </w:p>
    <w:p w14:paraId="4D44CF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4.1.5货物在经最终验收合格前，其损耗、毁损、灭失等风险及责任由中标人承担，如因发生前述情形，导致中标人所提供的货物不能通过招标人权属子公司运营项目验收的，中标人应按招标人权属子公司(含招标人权属子公司的子公司、分公司）运营项目要求无条件予以退换货，给招标人权属子公司（含招标人权属子公司的子公司、分公司）造成损失的，中标人须承担全部的赔偿责任。</w:t>
      </w:r>
    </w:p>
    <w:p w14:paraId="56F63A8E">
      <w:pPr>
        <w:numPr>
          <w:ilvl w:val="255"/>
          <w:numId w:val="0"/>
        </w:numPr>
        <w:spacing w:line="360" w:lineRule="auto"/>
        <w:rPr>
          <w:rFonts w:hint="eastAsia" w:ascii="宋体" w:hAnsi="宋体" w:eastAsia="宋体" w:cs="宋体"/>
          <w:b/>
          <w:color w:val="auto"/>
          <w:szCs w:val="21"/>
          <w:highlight w:val="none"/>
        </w:rPr>
      </w:pPr>
      <w:bookmarkStart w:id="394" w:name="_Toc12550"/>
      <w:bookmarkStart w:id="395" w:name="_Toc22100"/>
      <w:bookmarkStart w:id="396" w:name="_Hlk142639147"/>
      <w:r>
        <w:rPr>
          <w:rFonts w:hint="eastAsia" w:ascii="宋体" w:hAnsi="宋体" w:eastAsia="宋体" w:cs="宋体"/>
          <w:b/>
          <w:color w:val="auto"/>
          <w:szCs w:val="21"/>
          <w:highlight w:val="none"/>
        </w:rPr>
        <w:t>五、</w:t>
      </w:r>
      <w:bookmarkStart w:id="397" w:name="OLE_LINK11"/>
      <w:r>
        <w:rPr>
          <w:rFonts w:hint="eastAsia" w:ascii="宋体" w:hAnsi="宋体" w:eastAsia="宋体" w:cs="宋体"/>
          <w:b/>
          <w:color w:val="auto"/>
          <w:szCs w:val="21"/>
          <w:highlight w:val="none"/>
        </w:rPr>
        <w:t>资料要求</w:t>
      </w:r>
      <w:bookmarkEnd w:id="394"/>
      <w:bookmarkEnd w:id="395"/>
      <w:bookmarkEnd w:id="397"/>
    </w:p>
    <w:p w14:paraId="08281DE9">
      <w:pPr>
        <w:spacing w:line="360" w:lineRule="auto"/>
        <w:ind w:firstLine="420" w:firstLineChars="200"/>
        <w:rPr>
          <w:rFonts w:hint="eastAsia" w:ascii="宋体" w:hAnsi="宋体" w:eastAsia="宋体" w:cs="宋体"/>
          <w:color w:val="auto"/>
          <w:szCs w:val="21"/>
          <w:highlight w:val="none"/>
        </w:rPr>
      </w:pPr>
      <w:bookmarkStart w:id="398" w:name="_Toc24104"/>
      <w:bookmarkStart w:id="399" w:name="_Toc28578"/>
      <w:r>
        <w:rPr>
          <w:rFonts w:hint="eastAsia" w:ascii="宋体" w:hAnsi="宋体" w:eastAsia="宋体" w:cs="宋体"/>
          <w:color w:val="auto"/>
          <w:szCs w:val="21"/>
          <w:highlight w:val="none"/>
        </w:rPr>
        <w:t>5.1中标人需向招标人权属子公司(含招标人权属子公司的子公司、分公司）运营项目提供但不限于下述技术资料：</w:t>
      </w:r>
      <w:bookmarkEnd w:id="398"/>
      <w:bookmarkEnd w:id="399"/>
    </w:p>
    <w:p w14:paraId="680C5F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5.1.1每次供货需提供：产品出厂质量检验报告、过磅单、供货随车单（经招标人权属子公司(含招标人权属子公司的子公司、分公司）验收确认的送货单）、对账单等；</w:t>
      </w:r>
    </w:p>
    <w:p w14:paraId="0AE9F5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5.1.2与货物使用相关的其他文件；</w:t>
      </w:r>
    </w:p>
    <w:p w14:paraId="687BA6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5.1.3招标人权属子公司(含招标人权属子公司的子公司、分公司）运营项目要求提供的其他技术资料。</w:t>
      </w:r>
    </w:p>
    <w:p w14:paraId="587736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中标人需将上述资料（若上述资料为复印件的，则须加盖中标人公章）在交货时交给招标人权属子公司(含招标人权属子公司的子公司、分公司）运营项目，有关资料的收集和整理由中标人负责，招标人权属子公司运营项目予以配合。</w:t>
      </w:r>
    </w:p>
    <w:p w14:paraId="5C6D86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5.3供货期内，中标人需每季度委托有资质的第三方检测机构对供货期间所供货物进行检测，并提供第三方检测机构出具的</w:t>
      </w:r>
      <w:bookmarkStart w:id="400" w:name="OLE_LINK29"/>
      <w:r>
        <w:rPr>
          <w:rFonts w:hint="eastAsia" w:ascii="宋体" w:hAnsi="宋体" w:eastAsia="宋体" w:cs="宋体"/>
          <w:color w:val="auto"/>
          <w:szCs w:val="21"/>
          <w:highlight w:val="none"/>
        </w:rPr>
        <w:t>符合表1《液态次氯酸钠主要技术指标》要求的</w:t>
      </w:r>
      <w:bookmarkEnd w:id="400"/>
      <w:r>
        <w:rPr>
          <w:rFonts w:hint="eastAsia" w:ascii="宋体" w:hAnsi="宋体" w:eastAsia="宋体" w:cs="宋体"/>
          <w:color w:val="auto"/>
          <w:szCs w:val="21"/>
          <w:highlight w:val="none"/>
        </w:rPr>
        <w:t>检验报告，检验报告上的标徽应包括但不限于CMA认证标徽，</w:t>
      </w:r>
      <w:r>
        <w:rPr>
          <w:rFonts w:hint="eastAsia" w:ascii="宋体" w:hAnsi="宋体" w:eastAsia="宋体" w:cs="宋体"/>
          <w:b/>
          <w:bCs/>
          <w:color w:val="auto"/>
          <w:szCs w:val="21"/>
          <w:highlight w:val="none"/>
        </w:rPr>
        <w:t>检验报告需体现委托方、生产厂家、送检样品的产品名称、生产批号或生产日期、表1《液态次氯酸钠主要技术指标》中各指标项目检测结果，检验报告使用的检测方法需符合《次氯酸钠》（GB19106—2013）</w:t>
      </w:r>
      <w:r>
        <w:rPr>
          <w:rFonts w:hint="eastAsia" w:ascii="宋体" w:hAnsi="宋体" w:eastAsia="宋体" w:cs="宋体"/>
          <w:color w:val="auto"/>
          <w:szCs w:val="21"/>
          <w:highlight w:val="none"/>
        </w:rPr>
        <w:t>，检验报告中样品送检时间需在供货期内。供货期间，如有发布最新的行业标准或国家标准，货物检验方法按发布的最新行业标准或国家标准执行。</w:t>
      </w:r>
    </w:p>
    <w:p w14:paraId="166AB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5.4中标人提交的技术资料在出现遗漏或发现错误时，应及时补充或更正后提交招标人权属子公司(含招标人权属子公司的子公司、分公司）运营项目。</w:t>
      </w:r>
    </w:p>
    <w:bookmarkEnd w:id="396"/>
    <w:p w14:paraId="3AD376F5">
      <w:pPr>
        <w:numPr>
          <w:ilvl w:val="255"/>
          <w:numId w:val="0"/>
        </w:numPr>
        <w:spacing w:line="360" w:lineRule="auto"/>
        <w:rPr>
          <w:rFonts w:hint="eastAsia" w:ascii="宋体" w:hAnsi="宋体" w:eastAsia="宋体" w:cs="宋体"/>
          <w:b/>
          <w:color w:val="auto"/>
          <w:szCs w:val="21"/>
          <w:highlight w:val="none"/>
        </w:rPr>
      </w:pPr>
      <w:bookmarkStart w:id="401" w:name="_Toc8972"/>
      <w:bookmarkStart w:id="402" w:name="_Toc27949"/>
      <w:r>
        <w:rPr>
          <w:rFonts w:hint="eastAsia" w:ascii="宋体" w:hAnsi="宋体" w:eastAsia="宋体" w:cs="宋体"/>
          <w:b/>
          <w:color w:val="auto"/>
          <w:szCs w:val="21"/>
          <w:highlight w:val="none"/>
        </w:rPr>
        <w:t>六、售后服务及要求</w:t>
      </w:r>
      <w:bookmarkEnd w:id="401"/>
      <w:bookmarkEnd w:id="402"/>
    </w:p>
    <w:p w14:paraId="7A36DE82">
      <w:pPr>
        <w:spacing w:line="360" w:lineRule="auto"/>
        <w:ind w:firstLine="420" w:firstLineChars="200"/>
        <w:rPr>
          <w:rFonts w:hint="eastAsia" w:ascii="宋体" w:hAnsi="宋体" w:eastAsia="宋体" w:cs="宋体"/>
          <w:color w:val="auto"/>
          <w:szCs w:val="21"/>
          <w:highlight w:val="none"/>
        </w:rPr>
      </w:pPr>
      <w:bookmarkStart w:id="403" w:name="_Hlk142639521"/>
      <w:r>
        <w:rPr>
          <w:rFonts w:hint="eastAsia" w:ascii="宋体" w:hAnsi="宋体" w:eastAsia="宋体" w:cs="宋体"/>
          <w:color w:val="auto"/>
          <w:szCs w:val="21"/>
          <w:highlight w:val="none"/>
        </w:rPr>
        <w:t>6.1中标人应具有相应的技术人员，具备供货及售前售后的服务能力。</w:t>
      </w:r>
    </w:p>
    <w:p w14:paraId="2C1198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6.2中标人在接到质量问题通知后 4小时内自费派工程师到达现场对问题进行处理。</w:t>
      </w:r>
    </w:p>
    <w:p w14:paraId="1619BD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6.3中标人应根据招标人权属子公司运营项目需要免费提供培训，相关费用已计入综合单价，招标人或招标人权属子公司（含招标人权属子公司的子公司、分公司）无需另行支付任何费用。</w:t>
      </w:r>
    </w:p>
    <w:p w14:paraId="28BC6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培训地点、规模及时间由招标人权属子公司运营项目指定，根据培训内容复杂程度，招标人权属子公司运营项目有权要求中标人提供完整的书面培训计划和方案，列明提供培训的技术人员名单及资质，以及培训完成后招标人权属子公司运营项目人员可达到的水平等。</w:t>
      </w:r>
    </w:p>
    <w:p w14:paraId="3B0F10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6.5在交货或合同履行过程中，若因所交货物（包括但不限于品种、型号、规格、质量）不符合招标人权属子公司运营项目要求、或货物使用过程中出现质量问题，导致中标人提供的生产药剂液态次氯酸钠不能通过招标人权属子公司运营项目验收的，招标人权属子公司运营项目可拒绝收货或要求中标人承担退换货责任。原则上中标人应该在不影响招标人权属子公司运营项目正常生产的情况下，自招标人权属子公司运营项目通知之时起4小时内无条件予以退换货，招标人不承担因验收造成的货物损耗及运输等一切费用且不对货物承担保管责任，因此产生的费用及风险由中标人承担。</w:t>
      </w:r>
    </w:p>
    <w:p w14:paraId="7BD0F2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6.6自招标人权属子公司运营项目通知货物检验不合格或货物使用过程中出现质量问题而要求中标人按照前述条款进行退换货之时起4小时之内中标人未将不合格货物运离招标人权属子公司(含招标人权属子公司的子公司、分公司）运营项目仓库，招标人权属子公司(含招标人权属子公司的子公司、分公司）运营项目可自行或委托第三方对不合格货物进行处置，中标人须承担招标人权属子公司(含招标人权属子公司的子公司、分公司）处置该次不合格货物所需的全部费用，以及给招标人或招标人权属子公司（含招标人权属子公司的子公司、分公司）造成的一切损失。</w:t>
      </w:r>
    </w:p>
    <w:p w14:paraId="0E61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6.7自招标人权属子公司(含招标人权属子公司的子公司、分公司）运营项目通知中标人货物检验不合格或货物使用过程中出现质量问题之时起，招标人权属子公司(含招标人权属子公司的子公司、分公司）运营项目有权要求中标人按照加急供货的规定，将等量的合格货物送交招标人权属子公司运营项目，否则按加急供货的违约规定进行处理</w:t>
      </w:r>
      <w:bookmarkEnd w:id="403"/>
      <w:r>
        <w:rPr>
          <w:rFonts w:hint="eastAsia" w:ascii="宋体" w:hAnsi="宋体" w:eastAsia="宋体" w:cs="宋体"/>
          <w:color w:val="auto"/>
          <w:szCs w:val="21"/>
          <w:highlight w:val="none"/>
        </w:rPr>
        <w:t>。</w:t>
      </w:r>
    </w:p>
    <w:p w14:paraId="10D068F2">
      <w:pPr>
        <w:numPr>
          <w:ilvl w:val="255"/>
          <w:numId w:val="0"/>
        </w:numPr>
        <w:spacing w:line="360" w:lineRule="auto"/>
        <w:rPr>
          <w:rFonts w:hint="eastAsia" w:ascii="宋体" w:hAnsi="宋体" w:eastAsia="宋体" w:cs="宋体"/>
          <w:b/>
          <w:color w:val="auto"/>
          <w:szCs w:val="21"/>
          <w:highlight w:val="none"/>
        </w:rPr>
      </w:pPr>
      <w:bookmarkStart w:id="404" w:name="_Toc11993"/>
      <w:bookmarkStart w:id="405" w:name="_Toc20724"/>
      <w:r>
        <w:rPr>
          <w:rFonts w:hint="eastAsia" w:ascii="宋体" w:hAnsi="宋体" w:eastAsia="宋体" w:cs="宋体"/>
          <w:b/>
          <w:color w:val="auto"/>
          <w:szCs w:val="21"/>
          <w:highlight w:val="none"/>
        </w:rPr>
        <w:t>七、货物的结算</w:t>
      </w:r>
      <w:bookmarkEnd w:id="404"/>
      <w:bookmarkEnd w:id="405"/>
    </w:p>
    <w:p w14:paraId="1E689CBF">
      <w:pPr>
        <w:pStyle w:val="1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双方一致同意，中标人按规定提供了履约担保后，招标人或招标人权属子公司（含招标人权属子公司的子公司、分公司）通过以下方式以人民币支付合同款项给中标人：</w:t>
      </w:r>
    </w:p>
    <w:p w14:paraId="519EC0BC">
      <w:pPr>
        <w:pStyle w:val="129"/>
        <w:spacing w:line="360" w:lineRule="auto"/>
        <w:rPr>
          <w:rFonts w:hint="eastAsia" w:ascii="宋体" w:hAnsi="宋体" w:eastAsia="宋体" w:cs="宋体"/>
          <w:color w:val="auto"/>
          <w:szCs w:val="21"/>
          <w:highlight w:val="none"/>
        </w:rPr>
      </w:pPr>
      <w:bookmarkStart w:id="406" w:name="_Hlk142640500"/>
      <w:r>
        <w:rPr>
          <w:rFonts w:hint="eastAsia" w:ascii="宋体" w:hAnsi="宋体" w:eastAsia="宋体" w:cs="宋体"/>
          <w:color w:val="auto"/>
          <w:szCs w:val="21"/>
          <w:highlight w:val="none"/>
        </w:rPr>
        <w:t>7.1合同的履约过程中，中标人根据本项目合同书约定需向招标人权属子公司（含招标人权属子公司的子公司、分公司）支付违约金、赔偿金或其他应付费用等款项的，中标人必须向招标人权属子公司（含招标人权属子公司的子公司、分公司）支付完相关款项后，招标人权属子公司（含招标人权属子公司的子公司、分公司）才根据合同书约定向中标人支付合同价和税额。若因中标人未能支付前述费用，影响项目实施的，招标人权属子公司（含招标人权属子公司的子公司、分公司）有权启用履约担保或直接从未付合同款项中直接扣除，且中标人必须按照扣除前述费用前的合同价（销售额）开具专用国家合法的正式发票，保证增值税税额符合法律规定。</w:t>
      </w:r>
    </w:p>
    <w:p w14:paraId="1A43C6E8">
      <w:pPr>
        <w:pStyle w:val="1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7.2供货货物的款项按招标人</w:t>
      </w:r>
      <w:bookmarkStart w:id="407" w:name="OLE_LINK19"/>
      <w:r>
        <w:rPr>
          <w:rFonts w:hint="eastAsia" w:ascii="宋体" w:hAnsi="宋体" w:eastAsia="宋体" w:cs="宋体"/>
          <w:color w:val="auto"/>
          <w:szCs w:val="21"/>
          <w:highlight w:val="none"/>
        </w:rPr>
        <w:t>权属子公司</w:t>
      </w:r>
      <w:bookmarkEnd w:id="407"/>
      <w:r>
        <w:rPr>
          <w:rFonts w:hint="eastAsia" w:ascii="宋体" w:hAnsi="宋体" w:eastAsia="宋体" w:cs="宋体"/>
          <w:color w:val="auto"/>
          <w:szCs w:val="21"/>
          <w:highlight w:val="none"/>
        </w:rPr>
        <w:t>（含招标人权属子公司的子公司、分公司）进行支付、结算。供货货物的款项每月按实结算。</w:t>
      </w:r>
    </w:p>
    <w:p w14:paraId="23621320">
      <w:pPr>
        <w:pStyle w:val="1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7.2.1若为中标人给招标人</w:t>
      </w:r>
      <w:bookmarkStart w:id="408" w:name="OLE_LINK27"/>
      <w:r>
        <w:rPr>
          <w:rFonts w:hint="eastAsia" w:ascii="宋体" w:hAnsi="宋体" w:eastAsia="宋体" w:cs="宋体"/>
          <w:color w:val="auto"/>
          <w:szCs w:val="21"/>
          <w:highlight w:val="none"/>
        </w:rPr>
        <w:t>权属子公司</w:t>
      </w:r>
      <w:bookmarkEnd w:id="408"/>
      <w:r>
        <w:rPr>
          <w:rFonts w:hint="eastAsia" w:ascii="宋体" w:hAnsi="宋体" w:eastAsia="宋体" w:cs="宋体"/>
          <w:color w:val="auto"/>
          <w:szCs w:val="21"/>
          <w:highlight w:val="none"/>
        </w:rPr>
        <w:t>供水公司供货货物的，</w:t>
      </w:r>
      <w:bookmarkStart w:id="409" w:name="OLE_LINK16"/>
      <w:bookmarkStart w:id="410" w:name="OLE_LINK23"/>
      <w:r>
        <w:rPr>
          <w:rFonts w:hint="eastAsia" w:ascii="宋体" w:hAnsi="宋体" w:eastAsia="宋体" w:cs="宋体"/>
          <w:color w:val="auto"/>
          <w:szCs w:val="21"/>
          <w:highlight w:val="none"/>
        </w:rPr>
        <w:t>招标人权属子公司供水公司运营项目</w:t>
      </w:r>
      <w:bookmarkEnd w:id="409"/>
      <w:r>
        <w:rPr>
          <w:rFonts w:hint="eastAsia" w:ascii="宋体" w:hAnsi="宋体" w:eastAsia="宋体" w:cs="宋体"/>
          <w:color w:val="auto"/>
          <w:szCs w:val="21"/>
          <w:highlight w:val="none"/>
        </w:rPr>
        <w:t>收到货物并最终验收合格后，</w:t>
      </w:r>
      <w:bookmarkEnd w:id="410"/>
      <w:r>
        <w:rPr>
          <w:rFonts w:hint="eastAsia" w:ascii="宋体" w:hAnsi="宋体" w:eastAsia="宋体" w:cs="宋体"/>
          <w:color w:val="auto"/>
          <w:szCs w:val="21"/>
          <w:highlight w:val="none"/>
        </w:rPr>
        <w:t>招标人权属子公司供水公司（含招标人权属子公司供水公司的权属分公司）办理支付该月实际供货量的款项。</w:t>
      </w:r>
    </w:p>
    <w:p w14:paraId="38E62700">
      <w:pPr>
        <w:pStyle w:val="1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7.2.2若为中标人给招标人权属子公司净水公司供货货物的，招标人权属子公司净水公司运营项目收到货物并最终验收合格后，招标人权属子公司净水公司运营项目办理支付该月实际供货量的款项。</w:t>
      </w:r>
    </w:p>
    <w:p w14:paraId="7DA1769B">
      <w:pPr>
        <w:pStyle w:val="1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7.2.3中标人向招标人权属子公司（含招标人权属子公司的子公司、分公司）提交请款报告、对账单和请款金额等额的合法、有效的正式发票，招标人权属子公司（含招标人权属子公司的子公司、分公司）在收到前述材料并确认无误后30个工作日内支付结算该月实际供货量的货款和该货款对应的税额给中标人。</w:t>
      </w:r>
    </w:p>
    <w:p w14:paraId="07E423DA">
      <w:pPr>
        <w:pStyle w:val="1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7.2.4支付方式：支付方式为银行转账或银行承兑汇票，汇票期限不超过三个月，每期款项支付方式由招标人权属子公司（含招标人权属子公司的子公司、分公司）决定。</w:t>
      </w:r>
    </w:p>
    <w:p w14:paraId="22A5546B">
      <w:pPr>
        <w:pStyle w:val="1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7.2.5中标人迟延提供发票或提供的请款报告、对账单、发票不符合要求的，招标人权属子公司（含招标人权属子公司的子公司、分公司）的付款时间可相应顺延，且招标人权属子公司（含招标人权属子公司的子公司、分公司）不因此承担任何责任。因支付产生的相关银行手续费用，根据有关银行规定执行，如不能明确的，由双方各承担50%。由于中标人提供的发票不符合税法规定，给招标人权属子公司（含招标人权属子公司的子公司、分公司）造成的损失由中标人承担全部的赔偿责任</w:t>
      </w:r>
      <w:bookmarkEnd w:id="406"/>
      <w:r>
        <w:rPr>
          <w:rFonts w:hint="eastAsia" w:ascii="宋体" w:hAnsi="宋体" w:eastAsia="宋体" w:cs="宋体"/>
          <w:color w:val="auto"/>
          <w:szCs w:val="21"/>
          <w:highlight w:val="none"/>
        </w:rPr>
        <w:t>。</w:t>
      </w:r>
    </w:p>
    <w:p w14:paraId="40D2E030">
      <w:pPr>
        <w:numPr>
          <w:ilvl w:val="255"/>
          <w:numId w:val="0"/>
        </w:numPr>
        <w:spacing w:line="360" w:lineRule="auto"/>
        <w:rPr>
          <w:rFonts w:hint="eastAsia" w:ascii="宋体" w:hAnsi="宋体" w:eastAsia="宋体" w:cs="宋体"/>
          <w:b/>
          <w:color w:val="auto"/>
          <w:szCs w:val="21"/>
          <w:highlight w:val="none"/>
        </w:rPr>
      </w:pPr>
      <w:bookmarkStart w:id="411" w:name="_Toc27955"/>
      <w:bookmarkStart w:id="412" w:name="_Toc14042"/>
      <w:r>
        <w:rPr>
          <w:rFonts w:hint="eastAsia" w:ascii="宋体" w:hAnsi="宋体" w:eastAsia="宋体" w:cs="宋体"/>
          <w:b/>
          <w:color w:val="auto"/>
          <w:szCs w:val="21"/>
          <w:highlight w:val="none"/>
        </w:rPr>
        <w:t>八、其它要求</w:t>
      </w:r>
      <w:bookmarkEnd w:id="411"/>
      <w:bookmarkEnd w:id="412"/>
    </w:p>
    <w:p w14:paraId="2D0915AD">
      <w:pPr>
        <w:pStyle w:val="129"/>
        <w:spacing w:line="360" w:lineRule="auto"/>
        <w:rPr>
          <w:rFonts w:hint="eastAsia" w:ascii="宋体" w:hAnsi="宋体" w:eastAsia="宋体" w:cs="宋体"/>
          <w:color w:val="auto"/>
          <w:szCs w:val="21"/>
          <w:highlight w:val="none"/>
        </w:rPr>
      </w:pPr>
      <w:bookmarkStart w:id="413" w:name="_Hlk142640606"/>
      <w:r>
        <w:rPr>
          <w:rFonts w:hint="eastAsia" w:ascii="宋体" w:hAnsi="宋体" w:eastAsia="宋体" w:cs="宋体"/>
          <w:color w:val="auto"/>
          <w:szCs w:val="21"/>
          <w:highlight w:val="none"/>
        </w:rPr>
        <w:t>8.1日常供货（非加急供货）时，中标人未在约定的时间内完成交货，或未在规定的时间内承担相应的更换、退货责任的，每逾期2小时，招标人权属子公司（含招标人权属子公司的子公司、分公司）有权要求中标人按该次货物含税</w:t>
      </w:r>
      <w:r>
        <w:rPr>
          <w:rFonts w:hint="eastAsia" w:ascii="宋体" w:hAnsi="宋体" w:eastAsia="宋体" w:cs="宋体"/>
          <w:color w:val="auto"/>
          <w:szCs w:val="21"/>
          <w:highlight w:val="none"/>
          <w:lang w:val="en-US" w:eastAsia="zh-CN"/>
        </w:rPr>
        <w:t>应付</w:t>
      </w:r>
      <w:r>
        <w:rPr>
          <w:rFonts w:hint="eastAsia" w:ascii="宋体" w:hAnsi="宋体" w:eastAsia="宋体" w:cs="宋体"/>
          <w:color w:val="auto"/>
          <w:szCs w:val="21"/>
          <w:highlight w:val="none"/>
        </w:rPr>
        <w:t>货款的</w:t>
      </w:r>
      <w:r>
        <w:rPr>
          <w:rFonts w:ascii="宋体" w:hAnsi="宋体" w:eastAsia="宋体" w:cs="宋体"/>
          <w:color w:val="auto"/>
          <w:szCs w:val="21"/>
          <w:highlight w:val="none"/>
        </w:rPr>
        <w:t>1</w:t>
      </w:r>
      <w:r>
        <w:rPr>
          <w:rFonts w:hint="eastAsia" w:ascii="宋体" w:hAnsi="宋体" w:eastAsia="宋体" w:cs="宋体"/>
          <w:color w:val="auto"/>
          <w:szCs w:val="21"/>
          <w:highlight w:val="none"/>
        </w:rPr>
        <w:t>%向招标人权属子公司（含招标人权属子公司的子公司、分公司）支付违约金。中标人逾期超过12小时的，招标人权属子公司（含招标人权属子公司的子公司、分公司）有权单方解除合同，并且没收中标人的部分或全部履约担保，中标人除支付前述逾期违约金外，招标人权属子公司（含招标人权属子公司的子公司、分公司）有权要求中标人额外按该次货物含税应付货款的20%向招标人权属子公司（含招标人权属子公司的子公司、分公司）支付违约金，违约金不足以赔偿招标人权属子公司（含招标人权属子公司的子公司、分公司）损失的，中标人需另行赔偿</w:t>
      </w:r>
      <w:bookmarkEnd w:id="413"/>
      <w:r>
        <w:rPr>
          <w:rFonts w:hint="eastAsia" w:ascii="宋体" w:hAnsi="宋体" w:eastAsia="宋体" w:cs="宋体"/>
          <w:color w:val="auto"/>
          <w:szCs w:val="21"/>
          <w:highlight w:val="none"/>
        </w:rPr>
        <w:t>。</w:t>
      </w:r>
    </w:p>
    <w:p w14:paraId="7D5274EE">
      <w:pPr>
        <w:pStyle w:val="129"/>
        <w:spacing w:line="360" w:lineRule="auto"/>
        <w:rPr>
          <w:rFonts w:hint="eastAsia" w:ascii="宋体" w:hAnsi="宋体" w:eastAsia="宋体" w:cs="宋体"/>
          <w:color w:val="auto"/>
          <w:szCs w:val="21"/>
          <w:highlight w:val="none"/>
        </w:rPr>
      </w:pPr>
      <w:bookmarkStart w:id="414" w:name="_Hlk142640612"/>
      <w:r>
        <w:rPr>
          <w:rFonts w:hint="eastAsia" w:ascii="宋体" w:hAnsi="宋体" w:eastAsia="宋体" w:cs="宋体"/>
          <w:color w:val="auto"/>
          <w:szCs w:val="21"/>
          <w:highlight w:val="none"/>
        </w:rPr>
        <w:t>8.2加急供货时，中标人未在约定的时间内完成交货的，或未在规定的时间内承担相应的更换、退货责任的，每逾期1小时，招标人权属子公司（含招标人权属子公司的子公司、分公司）有权要求中标人按该次货物含税</w:t>
      </w:r>
      <w:r>
        <w:rPr>
          <w:rFonts w:hint="eastAsia" w:ascii="宋体" w:hAnsi="宋体" w:eastAsia="宋体" w:cs="宋体"/>
          <w:color w:val="auto"/>
          <w:szCs w:val="21"/>
          <w:highlight w:val="none"/>
          <w:lang w:val="en-US" w:eastAsia="zh-CN"/>
        </w:rPr>
        <w:t>应付</w:t>
      </w:r>
      <w:r>
        <w:rPr>
          <w:rFonts w:hint="eastAsia" w:ascii="宋体" w:hAnsi="宋体" w:eastAsia="宋体" w:cs="宋体"/>
          <w:color w:val="auto"/>
          <w:szCs w:val="21"/>
          <w:highlight w:val="none"/>
        </w:rPr>
        <w:t>货款的10%向招招标人权属子公司（含招标人权属子公司的子公司、分公司）支付违约金，中标人逾期超过4小时的，标人权属子公司（含招标人权属子公司的子公司、分公司）有权单方解除合同，并且没收中标人的部分或全部履约担保，中标人除前述逾期违约金外，招标人权属子公司（含招标人权属子公司的子公司、分公司）有权要求中标人额外按该次货物含税应付货款的20%向招标人权属子公司（含招标人权属子公司的子公司、分公司）支付违约金，违约金不足以赔偿招标人权属子公司（含招标人权属子公司的子公司、分公司）损失的，中标人需另行赔偿</w:t>
      </w:r>
      <w:bookmarkEnd w:id="414"/>
      <w:r>
        <w:rPr>
          <w:rFonts w:hint="eastAsia" w:ascii="宋体" w:hAnsi="宋体" w:eastAsia="宋体" w:cs="宋体"/>
          <w:color w:val="auto"/>
          <w:szCs w:val="21"/>
          <w:highlight w:val="none"/>
        </w:rPr>
        <w:t>。</w:t>
      </w:r>
    </w:p>
    <w:p w14:paraId="797C8363">
      <w:pPr>
        <w:pStyle w:val="129"/>
        <w:spacing w:line="360" w:lineRule="auto"/>
        <w:rPr>
          <w:rFonts w:hint="eastAsia" w:ascii="宋体" w:hAnsi="宋体" w:eastAsia="宋体" w:cs="宋体"/>
          <w:color w:val="auto"/>
          <w:szCs w:val="21"/>
          <w:highlight w:val="none"/>
        </w:rPr>
      </w:pPr>
      <w:bookmarkStart w:id="415" w:name="_Hlk142640625"/>
      <w:bookmarkStart w:id="416" w:name="OLE_LINK6"/>
      <w:r>
        <w:rPr>
          <w:rFonts w:hint="eastAsia" w:ascii="宋体" w:hAnsi="宋体" w:eastAsia="宋体" w:cs="宋体"/>
          <w:color w:val="auto"/>
          <w:szCs w:val="21"/>
          <w:highlight w:val="none"/>
        </w:rPr>
        <w:t>8.3如因药剂问题对招招标人权属子公司（含招标人权属子公司的子公司、分公司）生产、成本造成影响，招标人权属子公司（含招标人权属子公司的子公司、分公司）有权要求中标人按该次货物含税应付货款的20%向招标人权属子公司（含招标人权属子公司的子公司、分公司）支付违约金。造成生产损失的，中标人必须承担一切损失。</w:t>
      </w:r>
    </w:p>
    <w:p w14:paraId="3F096C08">
      <w:pPr>
        <w:pStyle w:val="1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bookmarkEnd w:id="415"/>
      <w:bookmarkEnd w:id="416"/>
      <w:r>
        <w:rPr>
          <w:rFonts w:hint="eastAsia" w:ascii="宋体" w:hAnsi="宋体" w:eastAsia="宋体" w:cs="宋体"/>
          <w:color w:val="auto"/>
          <w:szCs w:val="21"/>
          <w:highlight w:val="none"/>
        </w:rPr>
        <w:t>4如中标人提供的药剂严重影响招标人权属子公司运营项目生产或造成招标人权属子公司运营项目出水水质指标超标的情况，招标人权属子公司（含招标人权属子公司的子公司、分公司）有权追究中标人由此造成的损失，并有权单方面中止或解除合同，取消其供货资格，没收全部履约担保。</w:t>
      </w:r>
    </w:p>
    <w:p w14:paraId="19DC451E">
      <w:pPr>
        <w:pStyle w:val="129"/>
        <w:spacing w:line="360" w:lineRule="auto"/>
        <w:rPr>
          <w:rFonts w:hint="eastAsia" w:ascii="宋体" w:hAnsi="宋体" w:eastAsia="宋体" w:cs="宋体"/>
          <w:color w:val="auto"/>
          <w:szCs w:val="21"/>
          <w:highlight w:val="none"/>
        </w:rPr>
      </w:pPr>
      <w:bookmarkStart w:id="417" w:name="_Hlk142640741"/>
      <w:r>
        <w:rPr>
          <w:rFonts w:hint="eastAsia" w:ascii="宋体" w:hAnsi="宋体" w:eastAsia="宋体" w:cs="宋体"/>
          <w:color w:val="auto"/>
          <w:szCs w:val="21"/>
          <w:highlight w:val="none"/>
        </w:rPr>
        <w:t>8.5若中标人对</w:t>
      </w:r>
      <w:bookmarkStart w:id="418" w:name="OLE_LINK31"/>
      <w:r>
        <w:rPr>
          <w:rFonts w:hint="eastAsia" w:ascii="宋体" w:hAnsi="宋体" w:eastAsia="宋体" w:cs="宋体"/>
          <w:color w:val="auto"/>
          <w:szCs w:val="21"/>
          <w:highlight w:val="none"/>
        </w:rPr>
        <w:t>招标人权属子公司运营项目</w:t>
      </w:r>
      <w:bookmarkEnd w:id="418"/>
      <w:r>
        <w:rPr>
          <w:rFonts w:hint="eastAsia" w:ascii="宋体" w:hAnsi="宋体" w:eastAsia="宋体" w:cs="宋体"/>
          <w:color w:val="auto"/>
          <w:szCs w:val="21"/>
          <w:highlight w:val="none"/>
        </w:rPr>
        <w:t>验收结果有异议，中标人应自招标人权属子公司运营项目书面告知中标人检验结果24小时内，书面要求通过中标人和招标人权属子公司（含招标人权属子公司的子公司、分公司）双方确认的具有检测产品CMA认证资质的第三方单位对留样货物进行检测，最终供货产品质量判定以招标人或招标人权属子公司（含招标人权属子公司的子公司、分公司）双方确认的具有检测产品CMA认证资质的第三方检测机构检验结果为准；因此产生的检测费、运输费等全部费用均由中标人承担</w:t>
      </w:r>
      <w:bookmarkEnd w:id="417"/>
      <w:r>
        <w:rPr>
          <w:rFonts w:hint="eastAsia" w:ascii="宋体" w:hAnsi="宋体" w:eastAsia="宋体" w:cs="宋体"/>
          <w:color w:val="auto"/>
          <w:szCs w:val="21"/>
          <w:highlight w:val="none"/>
        </w:rPr>
        <w:t>。</w:t>
      </w:r>
    </w:p>
    <w:p w14:paraId="11A6F1EB">
      <w:pPr>
        <w:pStyle w:val="1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8.6若检测结果认定为不合格情况累计出现3次（含）以上不合格的，招标人</w:t>
      </w:r>
      <w:bookmarkStart w:id="419" w:name="OLE_LINK32"/>
      <w:r>
        <w:rPr>
          <w:rFonts w:hint="eastAsia" w:ascii="宋体" w:hAnsi="宋体" w:eastAsia="宋体" w:cs="宋体"/>
          <w:color w:val="auto"/>
          <w:szCs w:val="21"/>
          <w:highlight w:val="none"/>
        </w:rPr>
        <w:t>权属子公司</w:t>
      </w:r>
      <w:bookmarkEnd w:id="419"/>
      <w:bookmarkStart w:id="420" w:name="OLE_LINK34"/>
      <w:r>
        <w:rPr>
          <w:rFonts w:hint="eastAsia" w:ascii="宋体" w:hAnsi="宋体" w:eastAsia="宋体" w:cs="宋体"/>
          <w:color w:val="auto"/>
          <w:szCs w:val="21"/>
          <w:highlight w:val="none"/>
        </w:rPr>
        <w:t>（含招标人权属子公司的子公司、分公司）</w:t>
      </w:r>
      <w:bookmarkEnd w:id="420"/>
      <w:r>
        <w:rPr>
          <w:rFonts w:hint="eastAsia" w:ascii="宋体" w:hAnsi="宋体" w:eastAsia="宋体" w:cs="宋体"/>
          <w:color w:val="auto"/>
          <w:szCs w:val="21"/>
          <w:highlight w:val="none"/>
        </w:rPr>
        <w:t>有权单方中止或解除合同，暂停或取消中标人的供货资格，并根据对生产造成影响的严重程度</w:t>
      </w:r>
      <w:r>
        <w:rPr>
          <w:rFonts w:hint="eastAsia" w:ascii="宋体" w:hAnsi="宋体" w:eastAsia="宋体" w:cs="宋体"/>
          <w:color w:val="auto"/>
          <w:szCs w:val="21"/>
          <w:highlight w:val="none"/>
          <w:lang w:bidi="ar"/>
        </w:rPr>
        <w:t>，没收中标人的部分或全部履约担保</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bidi="ar"/>
        </w:rPr>
        <w:t>暂停供货资格期间对</w:t>
      </w:r>
      <w:r>
        <w:rPr>
          <w:rFonts w:hint="eastAsia" w:ascii="宋体" w:hAnsi="宋体" w:eastAsia="宋体" w:cs="宋体"/>
          <w:color w:val="auto"/>
          <w:szCs w:val="21"/>
          <w:highlight w:val="none"/>
        </w:rPr>
        <w:t>招标人权属子公司（含招标人权属子公司的子公司、分公司）生产造成影响的，责任由中标人承担。</w:t>
      </w:r>
    </w:p>
    <w:p w14:paraId="72071E52">
      <w:pPr>
        <w:pStyle w:val="1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8.7对于货物最终验收不合格且招标人权属子公司运营项目已经开始使用或者使用完毕无法退换的，货款按照以下方式处理：①若招招标人权属子公司（含招标人权属子公司的子公司、分公司）已支付该次货款的，则中标人应向招标人权属子公司（含招标人权属子公司的子公司、分公司）退还已支付的该次货款；②若招标人权属子公司（含招标人权属子公司的子公司、分公司）未支付该次货款的，则招标人权属子公司（含招标人权属子公司的子公司、分公司）无需支付该次货款。</w:t>
      </w:r>
    </w:p>
    <w:p w14:paraId="73D9B45E">
      <w:pPr>
        <w:pStyle w:val="129"/>
        <w:spacing w:line="360" w:lineRule="auto"/>
        <w:rPr>
          <w:rFonts w:hint="eastAsia" w:ascii="宋体" w:hAnsi="宋体" w:eastAsia="宋体" w:cs="宋体"/>
          <w:color w:val="auto"/>
          <w:szCs w:val="21"/>
          <w:highlight w:val="none"/>
        </w:rPr>
      </w:pPr>
      <w:bookmarkStart w:id="421" w:name="_Hlk142640749"/>
      <w:r>
        <w:rPr>
          <w:rFonts w:hint="eastAsia" w:ascii="宋体" w:hAnsi="宋体" w:eastAsia="宋体" w:cs="宋体"/>
          <w:color w:val="auto"/>
          <w:szCs w:val="21"/>
          <w:highlight w:val="none"/>
        </w:rPr>
        <w:t>8.8中标人应根据招标人权属子公司（含权属子公司的子公司、分公司）运营项目工艺以及性质，配合招标人权属子公司运营项目进行小试、中试，提供符合技术指标的药剂，保证供货的药剂在招标人权属子公司（含权属子公司的子公司、分公司）运营项目良好的使用效果。</w:t>
      </w:r>
    </w:p>
    <w:p w14:paraId="29F6F00C">
      <w:pPr>
        <w:pStyle w:val="1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8.9授予合同前或合同履行中，招标人权属子公司（含招标人权属子公司的子公司、分公司）有权实地核查中标人在投标时提供的分支机构或服务机构的场地、生产/储存/运输设备设施及能力等材料的符合性，若发现虚假将取消中标资格，且招标人权属子公司（含招标人权属子公司的子公司、分公司）有权终止合同。因此给招标人权属子公司（含招标人权属子公司的子公司、分公司）造成损失的，全部由中标人承担</w:t>
      </w:r>
      <w:bookmarkEnd w:id="421"/>
      <w:r>
        <w:rPr>
          <w:rFonts w:hint="eastAsia" w:ascii="宋体" w:hAnsi="宋体" w:eastAsia="宋体" w:cs="宋体"/>
          <w:color w:val="auto"/>
          <w:szCs w:val="21"/>
          <w:highlight w:val="none"/>
        </w:rPr>
        <w:t>。</w:t>
      </w:r>
    </w:p>
    <w:p w14:paraId="56F2257C">
      <w:pPr>
        <w:pStyle w:val="129"/>
        <w:spacing w:line="360" w:lineRule="auto"/>
        <w:rPr>
          <w:rFonts w:hint="eastAsia" w:ascii="宋体" w:hAnsi="宋体" w:eastAsia="宋体" w:cs="宋体"/>
          <w:color w:val="auto"/>
          <w:szCs w:val="21"/>
          <w:highlight w:val="none"/>
        </w:rPr>
      </w:pPr>
      <w:bookmarkStart w:id="422" w:name="_Hlk142640756"/>
      <w:r>
        <w:rPr>
          <w:rFonts w:hint="eastAsia" w:ascii="宋体" w:hAnsi="宋体" w:eastAsia="宋体" w:cs="宋体"/>
          <w:color w:val="auto"/>
          <w:szCs w:val="21"/>
          <w:highlight w:val="none"/>
        </w:rPr>
        <w:t>8.10招标人权属子公司（含招标人权属子公司的子公司、分公司）在招标文件约定的供货期限和采购范围内，招标人权属子公司（含招标人权属子公司的子公司、分公司）有权根据项目实际情况及有关法律法规、政策的规定进行变更调整。在变更调整后，中标人应遵照执行</w:t>
      </w:r>
      <w:bookmarkEnd w:id="422"/>
      <w:r>
        <w:rPr>
          <w:rFonts w:hint="eastAsia" w:ascii="宋体" w:hAnsi="宋体" w:eastAsia="宋体" w:cs="宋体"/>
          <w:color w:val="auto"/>
          <w:szCs w:val="21"/>
          <w:highlight w:val="none"/>
        </w:rPr>
        <w:t>。</w:t>
      </w:r>
    </w:p>
    <w:p w14:paraId="3CDB46E0">
      <w:pPr>
        <w:pStyle w:val="129"/>
        <w:spacing w:line="360" w:lineRule="auto"/>
        <w:rPr>
          <w:rFonts w:hint="eastAsia" w:ascii="宋体" w:hAnsi="宋体" w:eastAsia="宋体" w:cs="宋体"/>
          <w:color w:val="auto"/>
          <w:szCs w:val="21"/>
          <w:highlight w:val="none"/>
        </w:rPr>
      </w:pPr>
      <w:bookmarkStart w:id="423" w:name="_Hlk142640763"/>
      <w:r>
        <w:rPr>
          <w:rFonts w:hint="eastAsia" w:ascii="宋体" w:hAnsi="宋体" w:eastAsia="宋体" w:cs="宋体"/>
          <w:color w:val="auto"/>
          <w:szCs w:val="21"/>
          <w:highlight w:val="none"/>
        </w:rPr>
        <w:t>8.11中标人应当为其工作人员投保足额的社会保险、商业保险及为货物的运输投保足额的商业保险，如在运输及装卸过程中，相关生产药剂发生泄漏而导致的一切人员伤亡或财产损失事故，因此产生的赔偿责任或相关法律责任均由中标人自行承担。凡由于货物包装不良、运输方式不当或非法运输造成的事故、损失、行政处罚和由此产生的其他全部费用均由中标人全部承担</w:t>
      </w:r>
      <w:bookmarkEnd w:id="423"/>
      <w:r>
        <w:rPr>
          <w:rFonts w:hint="eastAsia" w:ascii="宋体" w:hAnsi="宋体" w:eastAsia="宋体" w:cs="宋体"/>
          <w:color w:val="auto"/>
          <w:szCs w:val="21"/>
          <w:highlight w:val="none"/>
        </w:rPr>
        <w:t>。</w:t>
      </w:r>
    </w:p>
    <w:p w14:paraId="56FF2789">
      <w:pPr>
        <w:pStyle w:val="129"/>
        <w:spacing w:line="360" w:lineRule="auto"/>
        <w:rPr>
          <w:rFonts w:hint="eastAsia" w:ascii="宋体" w:hAnsi="宋体" w:eastAsia="宋体" w:cs="宋体"/>
          <w:color w:val="auto"/>
          <w:szCs w:val="21"/>
          <w:highlight w:val="none"/>
        </w:rPr>
      </w:pPr>
      <w:bookmarkStart w:id="424" w:name="_Hlk142640785"/>
      <w:r>
        <w:rPr>
          <w:rFonts w:hint="eastAsia" w:ascii="宋体" w:hAnsi="宋体" w:eastAsia="宋体" w:cs="宋体"/>
          <w:color w:val="auto"/>
          <w:szCs w:val="21"/>
          <w:highlight w:val="none"/>
        </w:rPr>
        <w:t xml:space="preserve">8.12中标人有义务接受招标人权属子公司（含招标人权属子公司的子公司、分公司）的监督、评价及考核，且同意招标人权属子公司（含招标人权属子公司的子公司、分公司）关于供货资格供应商的管理规则及要求。 </w:t>
      </w:r>
    </w:p>
    <w:p w14:paraId="76E551A9">
      <w:pPr>
        <w:pStyle w:val="1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8.13招标人权属子公司（含招标人权属子公司的子公司、分公司）每月在付款手续前对中标人的履约情况进行评价，填写《</w:t>
      </w:r>
      <w:bookmarkStart w:id="425" w:name="OLE_LINK15"/>
      <w:r>
        <w:rPr>
          <w:rFonts w:hint="eastAsia" w:ascii="宋体" w:hAnsi="宋体" w:eastAsia="宋体" w:cs="宋体"/>
          <w:color w:val="auto"/>
          <w:szCs w:val="21"/>
          <w:highlight w:val="none"/>
        </w:rPr>
        <w:t>供应商履约评价表</w:t>
      </w:r>
      <w:bookmarkEnd w:id="425"/>
      <w:r>
        <w:rPr>
          <w:rFonts w:hint="eastAsia" w:ascii="宋体" w:hAnsi="宋体" w:eastAsia="宋体" w:cs="宋体"/>
          <w:color w:val="auto"/>
          <w:szCs w:val="21"/>
          <w:highlight w:val="none"/>
        </w:rPr>
        <w:t>》（详见第四篇 合同条款格式 附件1）。考核评分满分为100分，考核评分分数在60分（含）至80分（不含）时，中标人应按该月货物</w:t>
      </w:r>
      <w:bookmarkStart w:id="426" w:name="OLE_LINK30"/>
      <w:r>
        <w:rPr>
          <w:rFonts w:hint="eastAsia" w:ascii="宋体" w:hAnsi="宋体" w:eastAsia="宋体" w:cs="宋体"/>
          <w:color w:val="auto"/>
          <w:szCs w:val="21"/>
          <w:highlight w:val="none"/>
        </w:rPr>
        <w:t>含税</w:t>
      </w:r>
      <w:bookmarkEnd w:id="426"/>
      <w:r>
        <w:rPr>
          <w:rFonts w:hint="eastAsia" w:ascii="宋体" w:hAnsi="宋体" w:eastAsia="宋体" w:cs="宋体"/>
          <w:color w:val="auto"/>
          <w:szCs w:val="21"/>
          <w:highlight w:val="none"/>
          <w:lang w:val="en-US" w:eastAsia="zh-CN"/>
        </w:rPr>
        <w:t>应付</w:t>
      </w:r>
      <w:r>
        <w:rPr>
          <w:rFonts w:hint="eastAsia" w:ascii="宋体" w:hAnsi="宋体" w:eastAsia="宋体" w:cs="宋体"/>
          <w:color w:val="auto"/>
          <w:szCs w:val="21"/>
          <w:highlight w:val="none"/>
        </w:rPr>
        <w:t>货款的20%向招标人权属子公司（含招标人权属子公司的子公司、分公司）支付违约金；考核评分分数低于60分时，中标人应按该月货物含税</w:t>
      </w:r>
      <w:r>
        <w:rPr>
          <w:rFonts w:hint="eastAsia" w:ascii="宋体" w:hAnsi="宋体" w:eastAsia="宋体" w:cs="宋体"/>
          <w:color w:val="auto"/>
          <w:szCs w:val="21"/>
          <w:highlight w:val="none"/>
          <w:lang w:val="en-US" w:eastAsia="zh-CN"/>
        </w:rPr>
        <w:t>应付</w:t>
      </w:r>
      <w:r>
        <w:rPr>
          <w:rFonts w:hint="eastAsia" w:ascii="宋体" w:hAnsi="宋体" w:eastAsia="宋体" w:cs="宋体"/>
          <w:color w:val="auto"/>
          <w:szCs w:val="21"/>
          <w:highlight w:val="none"/>
        </w:rPr>
        <w:t>货款的30%向招标人权属子公司（含招标人权属子公司的子公司、分公司）支付违约金。若供货期内累计出现3次（含）以上考核结论为不合格的，招标人权属子公司（含招标人权属子公司的子公司、分公司）有权单方解除合同，并没收中标人全部履约担保</w:t>
      </w:r>
      <w:bookmarkEnd w:id="424"/>
      <w:r>
        <w:rPr>
          <w:rFonts w:hint="eastAsia" w:ascii="宋体" w:hAnsi="宋体" w:eastAsia="宋体" w:cs="宋体"/>
          <w:color w:val="auto"/>
          <w:szCs w:val="21"/>
          <w:highlight w:val="none"/>
        </w:rPr>
        <w:t>。</w:t>
      </w:r>
    </w:p>
    <w:p w14:paraId="04E17187">
      <w:pPr>
        <w:pStyle w:val="129"/>
        <w:spacing w:line="360" w:lineRule="auto"/>
        <w:rPr>
          <w:rFonts w:hint="eastAsia" w:ascii="宋体" w:hAnsi="宋体" w:eastAsia="宋体" w:cs="宋体"/>
          <w:color w:val="auto"/>
          <w:szCs w:val="21"/>
          <w:highlight w:val="none"/>
        </w:rPr>
      </w:pPr>
    </w:p>
    <w:p w14:paraId="1BA202FC">
      <w:pPr>
        <w:pStyle w:val="1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附件：1、招标人权属子公司供水公司运营项目相关信息</w:t>
      </w:r>
    </w:p>
    <w:p w14:paraId="326113B8">
      <w:pPr>
        <w:pStyle w:val="129"/>
        <w:numPr>
          <w:ilvl w:val="0"/>
          <w:numId w:val="2"/>
        </w:numPr>
        <w:spacing w:line="360" w:lineRule="auto"/>
        <w:ind w:firstLine="1050" w:firstLineChars="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招标人权属子公司净水公司运营项目相关信息</w:t>
      </w:r>
    </w:p>
    <w:p w14:paraId="07E3C0E2">
      <w:pPr>
        <w:pageBreakBefore/>
        <w:snapToGrid w:val="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附件1、招标人</w:t>
      </w:r>
      <w:bookmarkStart w:id="427" w:name="OLE_LINK22"/>
      <w:r>
        <w:rPr>
          <w:rFonts w:hint="eastAsia" w:ascii="宋体" w:hAnsi="宋体" w:eastAsia="宋体" w:cs="宋体"/>
          <w:b/>
          <w:color w:val="auto"/>
          <w:szCs w:val="21"/>
          <w:highlight w:val="none"/>
          <w:lang w:val="zh-CN"/>
        </w:rPr>
        <w:t>权属子公司供水公司</w:t>
      </w:r>
      <w:r>
        <w:rPr>
          <w:rFonts w:hint="eastAsia" w:ascii="宋体" w:hAnsi="宋体" w:eastAsia="宋体" w:cs="宋体"/>
          <w:b/>
          <w:color w:val="auto"/>
          <w:szCs w:val="21"/>
          <w:highlight w:val="none"/>
        </w:rPr>
        <w:t>运营项目</w:t>
      </w:r>
      <w:bookmarkEnd w:id="427"/>
      <w:r>
        <w:rPr>
          <w:rFonts w:hint="eastAsia" w:ascii="宋体" w:hAnsi="宋体" w:eastAsia="宋体" w:cs="宋体"/>
          <w:b/>
          <w:color w:val="auto"/>
          <w:szCs w:val="21"/>
          <w:highlight w:val="none"/>
          <w:lang w:val="zh-CN"/>
        </w:rPr>
        <w:t>相关信息</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2747"/>
        <w:gridCol w:w="6468"/>
      </w:tblGrid>
      <w:tr w14:paraId="0111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3C2A93F9">
            <w:pPr>
              <w:widowControl/>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序号</w:t>
            </w:r>
          </w:p>
        </w:tc>
        <w:tc>
          <w:tcPr>
            <w:tcW w:w="2747" w:type="dxa"/>
            <w:vAlign w:val="center"/>
          </w:tcPr>
          <w:p w14:paraId="09C81A37">
            <w:pPr>
              <w:widowControl/>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项目名称</w:t>
            </w:r>
          </w:p>
        </w:tc>
        <w:tc>
          <w:tcPr>
            <w:tcW w:w="6468" w:type="dxa"/>
            <w:vAlign w:val="center"/>
          </w:tcPr>
          <w:p w14:paraId="7A40F935">
            <w:pPr>
              <w:widowControl/>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地址</w:t>
            </w:r>
          </w:p>
        </w:tc>
      </w:tr>
      <w:tr w14:paraId="72C0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7B83797E">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2747" w:type="dxa"/>
            <w:vAlign w:val="center"/>
          </w:tcPr>
          <w:p w14:paraId="50993B07">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市第二水厂</w:t>
            </w:r>
          </w:p>
        </w:tc>
        <w:tc>
          <w:tcPr>
            <w:tcW w:w="6468" w:type="dxa"/>
            <w:vAlign w:val="center"/>
          </w:tcPr>
          <w:p w14:paraId="341D7474">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东城街道周屋围街26号</w:t>
            </w:r>
          </w:p>
        </w:tc>
      </w:tr>
      <w:tr w14:paraId="7D5F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30E12509">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w:t>
            </w:r>
          </w:p>
        </w:tc>
        <w:tc>
          <w:tcPr>
            <w:tcW w:w="2747" w:type="dxa"/>
            <w:vAlign w:val="center"/>
          </w:tcPr>
          <w:p w14:paraId="6CE1C74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市第三水厂</w:t>
            </w:r>
          </w:p>
        </w:tc>
        <w:tc>
          <w:tcPr>
            <w:tcW w:w="6468" w:type="dxa"/>
            <w:vAlign w:val="center"/>
          </w:tcPr>
          <w:p w14:paraId="72C7AD3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东城街道东城中路东城段421号</w:t>
            </w:r>
          </w:p>
        </w:tc>
      </w:tr>
      <w:tr w14:paraId="4102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1E7224D3">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p>
        </w:tc>
        <w:tc>
          <w:tcPr>
            <w:tcW w:w="2747" w:type="dxa"/>
            <w:vAlign w:val="center"/>
          </w:tcPr>
          <w:p w14:paraId="7BA99401">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市第四水厂</w:t>
            </w:r>
          </w:p>
        </w:tc>
        <w:tc>
          <w:tcPr>
            <w:tcW w:w="6468" w:type="dxa"/>
            <w:vAlign w:val="center"/>
          </w:tcPr>
          <w:p w14:paraId="705C3AF9">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高埗镇高埗沿江南路150号</w:t>
            </w:r>
          </w:p>
        </w:tc>
      </w:tr>
      <w:tr w14:paraId="44C3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4F6462E0">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w:t>
            </w:r>
          </w:p>
        </w:tc>
        <w:tc>
          <w:tcPr>
            <w:tcW w:w="2747" w:type="dxa"/>
            <w:vAlign w:val="center"/>
          </w:tcPr>
          <w:p w14:paraId="12B75B89">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市第五水厂</w:t>
            </w:r>
          </w:p>
        </w:tc>
        <w:tc>
          <w:tcPr>
            <w:tcW w:w="6468" w:type="dxa"/>
            <w:vAlign w:val="center"/>
          </w:tcPr>
          <w:p w14:paraId="2A095268">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企石镇杨屋村新兴路33号</w:t>
            </w:r>
          </w:p>
        </w:tc>
      </w:tr>
      <w:tr w14:paraId="4D8A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79F91E33">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w:t>
            </w:r>
          </w:p>
        </w:tc>
        <w:tc>
          <w:tcPr>
            <w:tcW w:w="2747" w:type="dxa"/>
            <w:vAlign w:val="center"/>
          </w:tcPr>
          <w:p w14:paraId="2EA9ADD1">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市第六水厂</w:t>
            </w:r>
          </w:p>
        </w:tc>
        <w:tc>
          <w:tcPr>
            <w:tcW w:w="6468" w:type="dxa"/>
            <w:vAlign w:val="center"/>
          </w:tcPr>
          <w:p w14:paraId="5F52E84D">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东城街道莞龙路东城段21号</w:t>
            </w:r>
          </w:p>
        </w:tc>
      </w:tr>
      <w:tr w14:paraId="4FBB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44694B9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w:t>
            </w:r>
          </w:p>
        </w:tc>
        <w:tc>
          <w:tcPr>
            <w:tcW w:w="2747" w:type="dxa"/>
            <w:vAlign w:val="center"/>
          </w:tcPr>
          <w:p w14:paraId="5C85C646">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东城水厂</w:t>
            </w:r>
          </w:p>
        </w:tc>
        <w:tc>
          <w:tcPr>
            <w:tcW w:w="6468" w:type="dxa"/>
            <w:vAlign w:val="center"/>
          </w:tcPr>
          <w:p w14:paraId="07241A97">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东城街道下桥银岭街9号</w:t>
            </w:r>
          </w:p>
        </w:tc>
      </w:tr>
      <w:tr w14:paraId="42A1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152CC185">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w:t>
            </w:r>
          </w:p>
        </w:tc>
        <w:tc>
          <w:tcPr>
            <w:tcW w:w="2747" w:type="dxa"/>
            <w:vAlign w:val="center"/>
          </w:tcPr>
          <w:p w14:paraId="32A33C1B">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万江水厂</w:t>
            </w:r>
          </w:p>
        </w:tc>
        <w:tc>
          <w:tcPr>
            <w:tcW w:w="6468" w:type="dxa"/>
            <w:vAlign w:val="center"/>
          </w:tcPr>
          <w:p w14:paraId="3C1093B3">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万江街道万龙路191号</w:t>
            </w:r>
          </w:p>
        </w:tc>
      </w:tr>
      <w:tr w14:paraId="6244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6CFA3BB4">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w:t>
            </w:r>
          </w:p>
        </w:tc>
        <w:tc>
          <w:tcPr>
            <w:tcW w:w="2747" w:type="dxa"/>
            <w:vAlign w:val="center"/>
          </w:tcPr>
          <w:p w14:paraId="0B67CEEE">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高埗水厂</w:t>
            </w:r>
          </w:p>
        </w:tc>
        <w:tc>
          <w:tcPr>
            <w:tcW w:w="6468" w:type="dxa"/>
            <w:vAlign w:val="center"/>
          </w:tcPr>
          <w:p w14:paraId="5B1E0A8A">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高埗镇沿江南路48号</w:t>
            </w:r>
          </w:p>
        </w:tc>
      </w:tr>
      <w:tr w14:paraId="539B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1A5BE6FC">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w:t>
            </w:r>
          </w:p>
        </w:tc>
        <w:tc>
          <w:tcPr>
            <w:tcW w:w="2747" w:type="dxa"/>
            <w:vAlign w:val="center"/>
          </w:tcPr>
          <w:p w14:paraId="2FD5B509">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中堂水厂</w:t>
            </w:r>
          </w:p>
        </w:tc>
        <w:tc>
          <w:tcPr>
            <w:tcW w:w="6468" w:type="dxa"/>
            <w:vAlign w:val="center"/>
          </w:tcPr>
          <w:p w14:paraId="060479DD">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中堂镇中堂滨江大道3号</w:t>
            </w:r>
          </w:p>
        </w:tc>
      </w:tr>
      <w:tr w14:paraId="1148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41674ECE">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w:t>
            </w:r>
          </w:p>
        </w:tc>
        <w:tc>
          <w:tcPr>
            <w:tcW w:w="2747" w:type="dxa"/>
            <w:vAlign w:val="center"/>
          </w:tcPr>
          <w:p w14:paraId="68868A8F">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石碣水厂</w:t>
            </w:r>
          </w:p>
        </w:tc>
        <w:tc>
          <w:tcPr>
            <w:tcW w:w="6468" w:type="dxa"/>
            <w:vAlign w:val="center"/>
          </w:tcPr>
          <w:p w14:paraId="4F2B901B">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石碣镇石碣同德路2号</w:t>
            </w:r>
          </w:p>
        </w:tc>
      </w:tr>
      <w:tr w14:paraId="0AF9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56EC10C8">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w:t>
            </w:r>
          </w:p>
        </w:tc>
        <w:tc>
          <w:tcPr>
            <w:tcW w:w="2747" w:type="dxa"/>
            <w:vAlign w:val="center"/>
          </w:tcPr>
          <w:p w14:paraId="20038236">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茶山水厂</w:t>
            </w:r>
          </w:p>
        </w:tc>
        <w:tc>
          <w:tcPr>
            <w:tcW w:w="6468" w:type="dxa"/>
            <w:vAlign w:val="center"/>
          </w:tcPr>
          <w:p w14:paraId="78B21E0D">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茶山镇东江大道茶山段1号</w:t>
            </w:r>
          </w:p>
        </w:tc>
      </w:tr>
      <w:tr w14:paraId="55C1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2AFEF87D">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12</w:t>
            </w:r>
          </w:p>
        </w:tc>
        <w:tc>
          <w:tcPr>
            <w:tcW w:w="2747" w:type="dxa"/>
            <w:vAlign w:val="center"/>
          </w:tcPr>
          <w:p w14:paraId="2757D9DD">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石龙黄洲水厂</w:t>
            </w:r>
          </w:p>
        </w:tc>
        <w:tc>
          <w:tcPr>
            <w:tcW w:w="6468" w:type="dxa"/>
            <w:vAlign w:val="center"/>
          </w:tcPr>
          <w:p w14:paraId="5D2A2294">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石龙镇黄洲水源路6号</w:t>
            </w:r>
          </w:p>
        </w:tc>
      </w:tr>
      <w:tr w14:paraId="1CB6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19BDC86E">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w:t>
            </w:r>
          </w:p>
        </w:tc>
        <w:tc>
          <w:tcPr>
            <w:tcW w:w="2747" w:type="dxa"/>
            <w:vAlign w:val="center"/>
          </w:tcPr>
          <w:p w14:paraId="3879EB01">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石龙西湖水厂</w:t>
            </w:r>
          </w:p>
        </w:tc>
        <w:tc>
          <w:tcPr>
            <w:tcW w:w="6468" w:type="dxa"/>
            <w:vAlign w:val="center"/>
          </w:tcPr>
          <w:p w14:paraId="22C7395D">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石龙镇西湖东路111号</w:t>
            </w:r>
          </w:p>
        </w:tc>
      </w:tr>
      <w:tr w14:paraId="068B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4A290924">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14</w:t>
            </w:r>
          </w:p>
        </w:tc>
        <w:tc>
          <w:tcPr>
            <w:tcW w:w="2747" w:type="dxa"/>
            <w:vAlign w:val="center"/>
          </w:tcPr>
          <w:p w14:paraId="1592ED63">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石排水厂</w:t>
            </w:r>
          </w:p>
        </w:tc>
        <w:tc>
          <w:tcPr>
            <w:tcW w:w="6468" w:type="dxa"/>
            <w:vAlign w:val="center"/>
          </w:tcPr>
          <w:p w14:paraId="7F12C1A8">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石排镇东江大道石排段52号</w:t>
            </w:r>
          </w:p>
        </w:tc>
      </w:tr>
      <w:tr w14:paraId="64BA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74A7EF28">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w:t>
            </w:r>
          </w:p>
        </w:tc>
        <w:tc>
          <w:tcPr>
            <w:tcW w:w="2747" w:type="dxa"/>
            <w:vAlign w:val="center"/>
          </w:tcPr>
          <w:p w14:paraId="5FA0E661">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企石水厂</w:t>
            </w:r>
          </w:p>
        </w:tc>
        <w:tc>
          <w:tcPr>
            <w:tcW w:w="6468" w:type="dxa"/>
            <w:vAlign w:val="center"/>
          </w:tcPr>
          <w:p w14:paraId="36D2AA0C">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企石镇黄大仙路56号</w:t>
            </w:r>
          </w:p>
        </w:tc>
      </w:tr>
      <w:tr w14:paraId="3D11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0DF0FBFA">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16</w:t>
            </w:r>
          </w:p>
        </w:tc>
        <w:tc>
          <w:tcPr>
            <w:tcW w:w="2747" w:type="dxa"/>
            <w:vAlign w:val="center"/>
          </w:tcPr>
          <w:p w14:paraId="21F685E6">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横沥水厂</w:t>
            </w:r>
          </w:p>
        </w:tc>
        <w:tc>
          <w:tcPr>
            <w:tcW w:w="6468" w:type="dxa"/>
            <w:vAlign w:val="center"/>
          </w:tcPr>
          <w:p w14:paraId="78E1F78A">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东莞市横沥镇东环路260号</w:t>
            </w:r>
          </w:p>
        </w:tc>
      </w:tr>
      <w:tr w14:paraId="32B2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70796930">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w:t>
            </w:r>
          </w:p>
        </w:tc>
        <w:tc>
          <w:tcPr>
            <w:tcW w:w="2747" w:type="dxa"/>
            <w:vAlign w:val="center"/>
          </w:tcPr>
          <w:p w14:paraId="51B83181">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桥头第二水厂</w:t>
            </w:r>
          </w:p>
        </w:tc>
        <w:tc>
          <w:tcPr>
            <w:tcW w:w="6468" w:type="dxa"/>
            <w:vAlign w:val="center"/>
          </w:tcPr>
          <w:p w14:paraId="775EB129">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桥头镇迳联社区中兴路403号</w:t>
            </w:r>
          </w:p>
        </w:tc>
      </w:tr>
      <w:tr w14:paraId="3F53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659E627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18</w:t>
            </w:r>
          </w:p>
        </w:tc>
        <w:tc>
          <w:tcPr>
            <w:tcW w:w="2747" w:type="dxa"/>
            <w:vAlign w:val="center"/>
          </w:tcPr>
          <w:p w14:paraId="10A612EF">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桥头第三水厂</w:t>
            </w:r>
          </w:p>
        </w:tc>
        <w:tc>
          <w:tcPr>
            <w:tcW w:w="6468" w:type="dxa"/>
            <w:vAlign w:val="center"/>
          </w:tcPr>
          <w:p w14:paraId="666C3E77">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桥头镇东江村岭仔巷41号</w:t>
            </w:r>
          </w:p>
        </w:tc>
      </w:tr>
      <w:tr w14:paraId="0780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6153F003">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19</w:t>
            </w:r>
          </w:p>
        </w:tc>
        <w:tc>
          <w:tcPr>
            <w:tcW w:w="2747" w:type="dxa"/>
            <w:vAlign w:val="center"/>
          </w:tcPr>
          <w:p w14:paraId="0385DD77">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谢岗第二水厂</w:t>
            </w:r>
          </w:p>
        </w:tc>
        <w:tc>
          <w:tcPr>
            <w:tcW w:w="6468" w:type="dxa"/>
            <w:vAlign w:val="center"/>
          </w:tcPr>
          <w:p w14:paraId="67AC527E">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谢岗镇南面石鼓水库路22号</w:t>
            </w:r>
          </w:p>
        </w:tc>
      </w:tr>
      <w:tr w14:paraId="7E47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364D324E">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w:t>
            </w:r>
          </w:p>
        </w:tc>
        <w:tc>
          <w:tcPr>
            <w:tcW w:w="2747" w:type="dxa"/>
            <w:vAlign w:val="center"/>
          </w:tcPr>
          <w:p w14:paraId="55BDA97D">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谢岗第三水厂</w:t>
            </w:r>
          </w:p>
        </w:tc>
        <w:tc>
          <w:tcPr>
            <w:tcW w:w="6468" w:type="dxa"/>
            <w:vAlign w:val="center"/>
          </w:tcPr>
          <w:p w14:paraId="7C6DFA9C">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谢岗镇曹乐工业一路15号</w:t>
            </w:r>
          </w:p>
        </w:tc>
      </w:tr>
      <w:tr w14:paraId="18AC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3282FC25">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21</w:t>
            </w:r>
          </w:p>
        </w:tc>
        <w:tc>
          <w:tcPr>
            <w:tcW w:w="2747" w:type="dxa"/>
            <w:vAlign w:val="center"/>
          </w:tcPr>
          <w:p w14:paraId="56DD3DC8">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黄江水厂</w:t>
            </w:r>
          </w:p>
        </w:tc>
        <w:tc>
          <w:tcPr>
            <w:tcW w:w="6468" w:type="dxa"/>
            <w:vAlign w:val="center"/>
          </w:tcPr>
          <w:p w14:paraId="07F6438D">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黄江镇黄牛埔村强健街2号</w:t>
            </w:r>
          </w:p>
        </w:tc>
      </w:tr>
      <w:tr w14:paraId="7730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54F1FC0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w:t>
            </w:r>
          </w:p>
        </w:tc>
        <w:tc>
          <w:tcPr>
            <w:tcW w:w="2747" w:type="dxa"/>
            <w:vAlign w:val="center"/>
          </w:tcPr>
          <w:p w14:paraId="03B5354D">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樟木头簕竹排水厂</w:t>
            </w:r>
          </w:p>
        </w:tc>
        <w:tc>
          <w:tcPr>
            <w:tcW w:w="6468" w:type="dxa"/>
            <w:vAlign w:val="center"/>
          </w:tcPr>
          <w:p w14:paraId="39B1901D">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樟木头镇滨河路45号</w:t>
            </w:r>
          </w:p>
        </w:tc>
      </w:tr>
      <w:tr w14:paraId="5F9E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5E38E338">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23</w:t>
            </w:r>
          </w:p>
        </w:tc>
        <w:tc>
          <w:tcPr>
            <w:tcW w:w="2747" w:type="dxa"/>
            <w:vAlign w:val="center"/>
          </w:tcPr>
          <w:p w14:paraId="1BEC29C7">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凤岗第一水厂</w:t>
            </w:r>
          </w:p>
        </w:tc>
        <w:tc>
          <w:tcPr>
            <w:tcW w:w="6468" w:type="dxa"/>
            <w:vAlign w:val="center"/>
          </w:tcPr>
          <w:p w14:paraId="2CF03E5B">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凤岗镇花果二巷13号</w:t>
            </w:r>
          </w:p>
        </w:tc>
      </w:tr>
      <w:tr w14:paraId="2485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25CFBF31">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24</w:t>
            </w:r>
          </w:p>
        </w:tc>
        <w:tc>
          <w:tcPr>
            <w:tcW w:w="2747" w:type="dxa"/>
            <w:vAlign w:val="center"/>
          </w:tcPr>
          <w:p w14:paraId="14530D1E">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凤岗第二水厂</w:t>
            </w:r>
          </w:p>
        </w:tc>
        <w:tc>
          <w:tcPr>
            <w:tcW w:w="6468" w:type="dxa"/>
            <w:vAlign w:val="center"/>
          </w:tcPr>
          <w:p w14:paraId="6F9221FF">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凤岗镇沙岭抽水站路8号</w:t>
            </w:r>
          </w:p>
        </w:tc>
      </w:tr>
      <w:tr w14:paraId="72CF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2A606354">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25</w:t>
            </w:r>
          </w:p>
        </w:tc>
        <w:tc>
          <w:tcPr>
            <w:tcW w:w="2747" w:type="dxa"/>
            <w:vAlign w:val="center"/>
          </w:tcPr>
          <w:p w14:paraId="6839AB7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塘厦中心水厂</w:t>
            </w:r>
          </w:p>
        </w:tc>
        <w:tc>
          <w:tcPr>
            <w:tcW w:w="6468" w:type="dxa"/>
            <w:vAlign w:val="center"/>
          </w:tcPr>
          <w:p w14:paraId="142A195F">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塘厦镇东深一路8号</w:t>
            </w:r>
          </w:p>
        </w:tc>
      </w:tr>
      <w:tr w14:paraId="48FC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632B976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26</w:t>
            </w:r>
          </w:p>
        </w:tc>
        <w:tc>
          <w:tcPr>
            <w:tcW w:w="2747" w:type="dxa"/>
            <w:vAlign w:val="center"/>
          </w:tcPr>
          <w:p w14:paraId="1A6311F8">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塘厦凤凰水厂</w:t>
            </w:r>
          </w:p>
        </w:tc>
        <w:tc>
          <w:tcPr>
            <w:tcW w:w="6468" w:type="dxa"/>
            <w:vAlign w:val="center"/>
          </w:tcPr>
          <w:p w14:paraId="4CE0CB0C">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塘厦镇凤凰岗社区凤清路65号</w:t>
            </w:r>
          </w:p>
        </w:tc>
      </w:tr>
      <w:tr w14:paraId="2406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22058767">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27</w:t>
            </w:r>
          </w:p>
        </w:tc>
        <w:tc>
          <w:tcPr>
            <w:tcW w:w="2747" w:type="dxa"/>
            <w:vAlign w:val="center"/>
          </w:tcPr>
          <w:p w14:paraId="265E19FF">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塘厦虾公岩水厂</w:t>
            </w:r>
          </w:p>
        </w:tc>
        <w:tc>
          <w:tcPr>
            <w:tcW w:w="6468" w:type="dxa"/>
            <w:vAlign w:val="center"/>
          </w:tcPr>
          <w:p w14:paraId="00218E20">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塘厦镇大坪社区四黎南路170号-1</w:t>
            </w:r>
          </w:p>
        </w:tc>
      </w:tr>
      <w:tr w14:paraId="0A09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024D78CD">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28</w:t>
            </w:r>
          </w:p>
        </w:tc>
        <w:tc>
          <w:tcPr>
            <w:tcW w:w="2747" w:type="dxa"/>
            <w:vAlign w:val="center"/>
          </w:tcPr>
          <w:p w14:paraId="3216CCA5">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塘厦牛眠埔水厂</w:t>
            </w:r>
          </w:p>
        </w:tc>
        <w:tc>
          <w:tcPr>
            <w:tcW w:w="6468" w:type="dxa"/>
            <w:vAlign w:val="center"/>
          </w:tcPr>
          <w:p w14:paraId="3F0C6A49">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塘厦镇龙背岭社区牛眠埔新围路28号</w:t>
            </w:r>
          </w:p>
        </w:tc>
      </w:tr>
      <w:tr w14:paraId="372E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427511BA">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29</w:t>
            </w:r>
          </w:p>
        </w:tc>
        <w:tc>
          <w:tcPr>
            <w:tcW w:w="2747" w:type="dxa"/>
            <w:vAlign w:val="center"/>
          </w:tcPr>
          <w:p w14:paraId="54AE33A8">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大岭山金鸡咀水厂</w:t>
            </w:r>
          </w:p>
        </w:tc>
        <w:tc>
          <w:tcPr>
            <w:tcW w:w="6468" w:type="dxa"/>
            <w:vAlign w:val="center"/>
          </w:tcPr>
          <w:p w14:paraId="3F6FF5BB">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大岭山镇大片美村金鸡咀路47号</w:t>
            </w:r>
          </w:p>
        </w:tc>
      </w:tr>
      <w:tr w14:paraId="3C98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2386B76A">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30</w:t>
            </w:r>
          </w:p>
        </w:tc>
        <w:tc>
          <w:tcPr>
            <w:tcW w:w="2747" w:type="dxa"/>
            <w:vAlign w:val="center"/>
          </w:tcPr>
          <w:p w14:paraId="52B6E9DA">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大岭山长湖水厂</w:t>
            </w:r>
          </w:p>
        </w:tc>
        <w:tc>
          <w:tcPr>
            <w:tcW w:w="6468" w:type="dxa"/>
            <w:vAlign w:val="center"/>
          </w:tcPr>
          <w:p w14:paraId="003DAB1E">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大岭山镇水朗村大岭山大道592号</w:t>
            </w:r>
          </w:p>
        </w:tc>
      </w:tr>
      <w:tr w14:paraId="47EC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56717C8D">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31</w:t>
            </w:r>
          </w:p>
        </w:tc>
        <w:tc>
          <w:tcPr>
            <w:tcW w:w="2747" w:type="dxa"/>
            <w:vAlign w:val="center"/>
          </w:tcPr>
          <w:p w14:paraId="2F0C7B2C">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松山湖水厂</w:t>
            </w:r>
          </w:p>
        </w:tc>
        <w:tc>
          <w:tcPr>
            <w:tcW w:w="6468" w:type="dxa"/>
            <w:vAlign w:val="center"/>
          </w:tcPr>
          <w:p w14:paraId="6DF5E041">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松山湖环湖路与南山路交叉路西北320米</w:t>
            </w:r>
          </w:p>
        </w:tc>
      </w:tr>
      <w:tr w14:paraId="7714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63FE468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32</w:t>
            </w:r>
          </w:p>
        </w:tc>
        <w:tc>
          <w:tcPr>
            <w:tcW w:w="2747" w:type="dxa"/>
            <w:vAlign w:val="center"/>
          </w:tcPr>
          <w:p w14:paraId="001DDBF0">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芦花坑水厂</w:t>
            </w:r>
          </w:p>
        </w:tc>
        <w:tc>
          <w:tcPr>
            <w:tcW w:w="6468" w:type="dxa"/>
            <w:vAlign w:val="center"/>
          </w:tcPr>
          <w:p w14:paraId="5210F8B1">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虎门镇居岐路与吉安路交叉口东340米</w:t>
            </w:r>
          </w:p>
        </w:tc>
      </w:tr>
      <w:tr w14:paraId="34CD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1B2CDD0A">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33</w:t>
            </w:r>
          </w:p>
        </w:tc>
        <w:tc>
          <w:tcPr>
            <w:tcW w:w="2747" w:type="dxa"/>
            <w:vAlign w:val="center"/>
          </w:tcPr>
          <w:p w14:paraId="170D1C5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大朗松木山水厂</w:t>
            </w:r>
          </w:p>
        </w:tc>
        <w:tc>
          <w:tcPr>
            <w:tcW w:w="6468" w:type="dxa"/>
            <w:vAlign w:val="center"/>
          </w:tcPr>
          <w:p w14:paraId="3C8B23C0">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松山湖滨湖路6号</w:t>
            </w:r>
          </w:p>
        </w:tc>
      </w:tr>
      <w:tr w14:paraId="5BC3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64695520">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34</w:t>
            </w:r>
          </w:p>
        </w:tc>
        <w:tc>
          <w:tcPr>
            <w:tcW w:w="2747" w:type="dxa"/>
            <w:vAlign w:val="center"/>
          </w:tcPr>
          <w:p w14:paraId="55C7973D">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樟木头樟洋水厂</w:t>
            </w:r>
          </w:p>
        </w:tc>
        <w:tc>
          <w:tcPr>
            <w:tcW w:w="6468" w:type="dxa"/>
            <w:vAlign w:val="center"/>
          </w:tcPr>
          <w:p w14:paraId="49138B23">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樟木头镇锦多宝吉祥龙西南100米(宝山路东)</w:t>
            </w:r>
          </w:p>
        </w:tc>
      </w:tr>
    </w:tbl>
    <w:p w14:paraId="49DA65B1">
      <w:pPr>
        <w:pStyle w:val="129"/>
        <w:spacing w:line="360" w:lineRule="auto"/>
        <w:ind w:firstLine="0" w:firstLineChars="0"/>
        <w:rPr>
          <w:rFonts w:hint="eastAsia" w:ascii="宋体" w:hAnsi="宋体" w:eastAsia="宋体" w:cs="宋体"/>
          <w:color w:val="auto"/>
          <w:szCs w:val="21"/>
          <w:highlight w:val="none"/>
        </w:rPr>
        <w:sectPr>
          <w:footerReference r:id="rId3" w:type="default"/>
          <w:pgSz w:w="11906" w:h="16838"/>
          <w:pgMar w:top="1191" w:right="1043" w:bottom="1191" w:left="1043" w:header="851" w:footer="992" w:gutter="0"/>
          <w:cols w:space="720" w:num="1"/>
          <w:docGrid w:type="lines" w:linePitch="312" w:charSpace="0"/>
        </w:sectPr>
      </w:pPr>
    </w:p>
    <w:p w14:paraId="6113E781">
      <w:pPr>
        <w:pageBreakBefore/>
        <w:snapToGrid w:val="0"/>
        <w:spacing w:line="360" w:lineRule="auto"/>
        <w:rPr>
          <w:rFonts w:hint="eastAsia" w:ascii="宋体" w:hAnsi="宋体" w:eastAsia="宋体" w:cs="宋体"/>
          <w:b/>
          <w:color w:val="auto"/>
          <w:szCs w:val="21"/>
          <w:highlight w:val="none"/>
        </w:rPr>
      </w:pPr>
      <w:bookmarkStart w:id="428" w:name="_Toc1015"/>
      <w:bookmarkStart w:id="429" w:name="_Toc4994"/>
      <w:r>
        <w:rPr>
          <w:rFonts w:hint="eastAsia" w:ascii="宋体" w:hAnsi="宋体" w:eastAsia="宋体" w:cs="宋体"/>
          <w:b/>
          <w:color w:val="auto"/>
          <w:szCs w:val="21"/>
          <w:highlight w:val="none"/>
          <w:lang w:val="zh-CN"/>
        </w:rPr>
        <w:t>附件</w:t>
      </w: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招标人</w:t>
      </w:r>
      <w:bookmarkStart w:id="430" w:name="OLE_LINK42"/>
      <w:r>
        <w:rPr>
          <w:rFonts w:hint="eastAsia" w:ascii="宋体" w:hAnsi="宋体" w:eastAsia="宋体" w:cs="宋体"/>
          <w:b/>
          <w:color w:val="auto"/>
          <w:szCs w:val="21"/>
          <w:highlight w:val="none"/>
        </w:rPr>
        <w:t>权属子公司净水公司运营项目</w:t>
      </w:r>
      <w:bookmarkEnd w:id="430"/>
      <w:r>
        <w:rPr>
          <w:rFonts w:hint="eastAsia" w:ascii="宋体" w:hAnsi="宋体" w:eastAsia="宋体" w:cs="宋体"/>
          <w:b/>
          <w:color w:val="auto"/>
          <w:szCs w:val="21"/>
          <w:highlight w:val="none"/>
        </w:rPr>
        <w:t>相关信息</w:t>
      </w:r>
      <w:bookmarkEnd w:id="428"/>
      <w:bookmarkEnd w:id="429"/>
    </w:p>
    <w:tbl>
      <w:tblPr>
        <w:tblStyle w:val="37"/>
        <w:tblW w:w="5000" w:type="pct"/>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3232"/>
        <w:gridCol w:w="472"/>
        <w:gridCol w:w="6019"/>
      </w:tblGrid>
      <w:tr w14:paraId="0ECB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434E82EA">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1554" w:type="pct"/>
            <w:shd w:val="clear" w:color="auto" w:fill="FFFFFF"/>
            <w:vAlign w:val="center"/>
          </w:tcPr>
          <w:p w14:paraId="01AFDE2C">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项目名称</w:t>
            </w:r>
          </w:p>
        </w:tc>
        <w:tc>
          <w:tcPr>
            <w:tcW w:w="3119" w:type="pct"/>
            <w:gridSpan w:val="2"/>
            <w:shd w:val="clear" w:color="auto" w:fill="FFFFFF"/>
            <w:vAlign w:val="center"/>
          </w:tcPr>
          <w:p w14:paraId="1127AAB5">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项目地址</w:t>
            </w:r>
          </w:p>
        </w:tc>
      </w:tr>
      <w:tr w14:paraId="2501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986" w:type="pct"/>
            <w:gridSpan w:val="4"/>
            <w:shd w:val="clear" w:color="auto" w:fill="FFFFFF"/>
            <w:vAlign w:val="center"/>
          </w:tcPr>
          <w:p w14:paraId="37E2CB4C">
            <w:pPr>
              <w:widowControl/>
              <w:jc w:val="left"/>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一、污水处理厂项目</w:t>
            </w:r>
          </w:p>
        </w:tc>
      </w:tr>
      <w:tr w14:paraId="6745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6A6612F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554" w:type="pct"/>
            <w:shd w:val="clear" w:color="auto" w:fill="FFFFFF"/>
            <w:vAlign w:val="center"/>
          </w:tcPr>
          <w:p w14:paraId="04F2428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市区污水处理厂一二期</w:t>
            </w:r>
          </w:p>
        </w:tc>
        <w:tc>
          <w:tcPr>
            <w:tcW w:w="3119" w:type="pct"/>
            <w:gridSpan w:val="2"/>
            <w:shd w:val="clear" w:color="auto" w:fill="FFFFFF"/>
            <w:vAlign w:val="center"/>
          </w:tcPr>
          <w:p w14:paraId="2382705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东莞市南城街道滨河路100号</w:t>
            </w:r>
          </w:p>
        </w:tc>
      </w:tr>
      <w:tr w14:paraId="6214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7A622607">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554" w:type="pct"/>
            <w:shd w:val="clear" w:color="auto" w:fill="FFFFFF"/>
            <w:vAlign w:val="center"/>
          </w:tcPr>
          <w:p w14:paraId="6502CA4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市区厂污水处理厂三期</w:t>
            </w:r>
          </w:p>
        </w:tc>
        <w:tc>
          <w:tcPr>
            <w:tcW w:w="3119" w:type="pct"/>
            <w:gridSpan w:val="2"/>
            <w:shd w:val="clear" w:color="auto" w:fill="FFFFFF"/>
            <w:vAlign w:val="center"/>
          </w:tcPr>
          <w:p w14:paraId="223AFE1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东莞市南城街道滨河路100号</w:t>
            </w:r>
          </w:p>
        </w:tc>
      </w:tr>
      <w:tr w14:paraId="2EED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1DAE52B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554" w:type="pct"/>
            <w:shd w:val="clear" w:color="auto" w:fill="FFFFFF"/>
            <w:vAlign w:val="center"/>
          </w:tcPr>
          <w:p w14:paraId="1B75C27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石碣沙腰污水处理厂二期</w:t>
            </w:r>
          </w:p>
        </w:tc>
        <w:tc>
          <w:tcPr>
            <w:tcW w:w="3119" w:type="pct"/>
            <w:gridSpan w:val="2"/>
            <w:shd w:val="clear" w:color="auto" w:fill="FFFFFF"/>
            <w:vAlign w:val="center"/>
          </w:tcPr>
          <w:p w14:paraId="25318A4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东莞市石碣镇沙腰村沿江西路2号</w:t>
            </w:r>
          </w:p>
        </w:tc>
      </w:tr>
      <w:tr w14:paraId="229F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3A79149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554" w:type="pct"/>
            <w:shd w:val="clear" w:color="auto" w:fill="FFFFFF"/>
            <w:vAlign w:val="center"/>
          </w:tcPr>
          <w:p w14:paraId="512B277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万江污水处理厂二期</w:t>
            </w:r>
          </w:p>
        </w:tc>
        <w:tc>
          <w:tcPr>
            <w:tcW w:w="3119" w:type="pct"/>
            <w:gridSpan w:val="2"/>
            <w:shd w:val="clear" w:color="auto" w:fill="FFFFFF"/>
            <w:vAlign w:val="center"/>
          </w:tcPr>
          <w:p w14:paraId="45830DD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东莞市万江区流涌尾村大兴工业路3号</w:t>
            </w:r>
          </w:p>
        </w:tc>
      </w:tr>
      <w:tr w14:paraId="249F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0737B50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554" w:type="pct"/>
            <w:shd w:val="clear" w:color="auto" w:fill="FFFFFF"/>
            <w:vAlign w:val="center"/>
          </w:tcPr>
          <w:p w14:paraId="2677CF7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中堂污水处理厂二期</w:t>
            </w:r>
          </w:p>
        </w:tc>
        <w:tc>
          <w:tcPr>
            <w:tcW w:w="3119" w:type="pct"/>
            <w:gridSpan w:val="2"/>
            <w:shd w:val="clear" w:color="auto" w:fill="FFFFFF"/>
            <w:vAlign w:val="center"/>
          </w:tcPr>
          <w:p w14:paraId="0D1401B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中堂镇东向村滨河东路68号101室</w:t>
            </w:r>
          </w:p>
        </w:tc>
      </w:tr>
      <w:tr w14:paraId="1CB7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1C31BD4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554" w:type="pct"/>
            <w:shd w:val="clear" w:color="auto" w:fill="FFFFFF"/>
            <w:vAlign w:val="center"/>
          </w:tcPr>
          <w:p w14:paraId="34914A2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麻涌污水处理厂二期</w:t>
            </w:r>
          </w:p>
        </w:tc>
        <w:tc>
          <w:tcPr>
            <w:tcW w:w="3119" w:type="pct"/>
            <w:gridSpan w:val="2"/>
            <w:shd w:val="clear" w:color="auto" w:fill="FFFFFF"/>
            <w:vAlign w:val="center"/>
          </w:tcPr>
          <w:p w14:paraId="5611604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东莞市麻涌镇新沙公园南一路9号</w:t>
            </w:r>
          </w:p>
        </w:tc>
      </w:tr>
      <w:tr w14:paraId="1A36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7D23E0E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554" w:type="pct"/>
            <w:shd w:val="clear" w:color="auto" w:fill="FFFFFF"/>
            <w:vAlign w:val="center"/>
          </w:tcPr>
          <w:p w14:paraId="394F630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高埗污水处理厂二期</w:t>
            </w:r>
          </w:p>
        </w:tc>
        <w:tc>
          <w:tcPr>
            <w:tcW w:w="3119" w:type="pct"/>
            <w:gridSpan w:val="2"/>
            <w:shd w:val="clear" w:color="auto" w:fill="FFFFFF"/>
            <w:vAlign w:val="center"/>
          </w:tcPr>
          <w:p w14:paraId="60AC243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东莞市高埗镇高埗洲头路13号</w:t>
            </w:r>
          </w:p>
        </w:tc>
      </w:tr>
      <w:tr w14:paraId="30D7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2B66E51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554" w:type="pct"/>
            <w:shd w:val="clear" w:color="auto" w:fill="auto"/>
            <w:vAlign w:val="center"/>
          </w:tcPr>
          <w:p w14:paraId="59DFAA0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长安新区污水处理厂</w:t>
            </w:r>
          </w:p>
        </w:tc>
        <w:tc>
          <w:tcPr>
            <w:tcW w:w="3119" w:type="pct"/>
            <w:gridSpan w:val="2"/>
            <w:shd w:val="clear" w:color="auto" w:fill="auto"/>
            <w:vAlign w:val="center"/>
          </w:tcPr>
          <w:p w14:paraId="22E2579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东莞市长安镇乌沙社区兴发南路尽头</w:t>
            </w:r>
          </w:p>
        </w:tc>
      </w:tr>
      <w:tr w14:paraId="68A4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3BB3E07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554" w:type="pct"/>
            <w:shd w:val="clear" w:color="auto" w:fill="FFFFFF"/>
            <w:vAlign w:val="center"/>
          </w:tcPr>
          <w:p w14:paraId="1ED2A78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厚街沙塘污水处理厂二期</w:t>
            </w:r>
          </w:p>
        </w:tc>
        <w:tc>
          <w:tcPr>
            <w:tcW w:w="3119" w:type="pct"/>
            <w:gridSpan w:val="2"/>
            <w:shd w:val="clear" w:color="auto" w:fill="FFFFFF"/>
            <w:vAlign w:val="center"/>
          </w:tcPr>
          <w:p w14:paraId="7D90010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东莞市厚街镇沙塘村沙隆路39号</w:t>
            </w:r>
          </w:p>
        </w:tc>
      </w:tr>
      <w:tr w14:paraId="6540D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5663416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554" w:type="pct"/>
            <w:shd w:val="clear" w:color="auto" w:fill="FFFFFF"/>
            <w:vAlign w:val="center"/>
          </w:tcPr>
          <w:p w14:paraId="7900195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虎门宁洲污水处理厂二期</w:t>
            </w:r>
          </w:p>
        </w:tc>
        <w:tc>
          <w:tcPr>
            <w:tcW w:w="3119" w:type="pct"/>
            <w:gridSpan w:val="2"/>
            <w:shd w:val="clear" w:color="auto" w:fill="FFFFFF"/>
            <w:vAlign w:val="center"/>
          </w:tcPr>
          <w:p w14:paraId="44D22C7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虎门镇南栅社区民昌路第六工业区九巷5号</w:t>
            </w:r>
          </w:p>
        </w:tc>
      </w:tr>
      <w:tr w14:paraId="1F45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7923904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554" w:type="pct"/>
            <w:shd w:val="clear" w:color="auto" w:fill="FFFFFF"/>
            <w:vAlign w:val="center"/>
          </w:tcPr>
          <w:p w14:paraId="2211703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虎门宁洲污水处理厂三期</w:t>
            </w:r>
          </w:p>
        </w:tc>
        <w:tc>
          <w:tcPr>
            <w:tcW w:w="3119" w:type="pct"/>
            <w:gridSpan w:val="2"/>
            <w:shd w:val="clear" w:color="auto" w:fill="FFFFFF"/>
            <w:vAlign w:val="center"/>
          </w:tcPr>
          <w:p w14:paraId="39D9607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虎门镇南栅社区民昌路第六工业区九巷5号</w:t>
            </w:r>
          </w:p>
        </w:tc>
      </w:tr>
      <w:tr w14:paraId="6B4D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3EE975C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1554" w:type="pct"/>
            <w:shd w:val="clear" w:color="auto" w:fill="FFFFFF"/>
            <w:vAlign w:val="center"/>
          </w:tcPr>
          <w:p w14:paraId="0D27228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东城牛山污水处理厂二期</w:t>
            </w:r>
          </w:p>
        </w:tc>
        <w:tc>
          <w:tcPr>
            <w:tcW w:w="3119" w:type="pct"/>
            <w:gridSpan w:val="2"/>
            <w:shd w:val="clear" w:color="auto" w:fill="FFFFFF"/>
            <w:vAlign w:val="center"/>
          </w:tcPr>
          <w:p w14:paraId="140256F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东莞市东城街道象山路7号2栋101室</w:t>
            </w:r>
          </w:p>
        </w:tc>
      </w:tr>
      <w:tr w14:paraId="7E66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4800F1C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1554" w:type="pct"/>
            <w:shd w:val="clear" w:color="auto" w:fill="FFFFFF"/>
            <w:vAlign w:val="center"/>
          </w:tcPr>
          <w:p w14:paraId="1E65804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虎门港立沙岛污水处理厂</w:t>
            </w:r>
          </w:p>
        </w:tc>
        <w:tc>
          <w:tcPr>
            <w:tcW w:w="3119" w:type="pct"/>
            <w:gridSpan w:val="2"/>
            <w:shd w:val="clear" w:color="auto" w:fill="FFFFFF"/>
            <w:vAlign w:val="center"/>
          </w:tcPr>
          <w:p w14:paraId="74DE756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东莞市沙田镇大流村下涌</w:t>
            </w:r>
          </w:p>
        </w:tc>
      </w:tr>
      <w:tr w14:paraId="7691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0D658C8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14</w:t>
            </w:r>
          </w:p>
        </w:tc>
        <w:tc>
          <w:tcPr>
            <w:tcW w:w="1554" w:type="pct"/>
            <w:shd w:val="clear" w:color="auto" w:fill="FFFFFF"/>
            <w:vAlign w:val="center"/>
          </w:tcPr>
          <w:p w14:paraId="13F2C77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沙田福禄沙污水处理厂二期</w:t>
            </w:r>
          </w:p>
        </w:tc>
        <w:tc>
          <w:tcPr>
            <w:tcW w:w="3119" w:type="pct"/>
            <w:gridSpan w:val="2"/>
            <w:shd w:val="clear" w:color="auto" w:fill="FFFFFF"/>
            <w:vAlign w:val="center"/>
          </w:tcPr>
          <w:p w14:paraId="682C843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东莞市沙田镇洲仔路1号2栋101室</w:t>
            </w:r>
          </w:p>
        </w:tc>
      </w:tr>
      <w:tr w14:paraId="2148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16126CD7">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15</w:t>
            </w:r>
          </w:p>
        </w:tc>
        <w:tc>
          <w:tcPr>
            <w:tcW w:w="1554" w:type="pct"/>
            <w:shd w:val="clear" w:color="auto" w:fill="FFFFFF"/>
            <w:vAlign w:val="center"/>
          </w:tcPr>
          <w:p w14:paraId="2C1C0B3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大岭山连马污水处理厂二期</w:t>
            </w:r>
          </w:p>
        </w:tc>
        <w:tc>
          <w:tcPr>
            <w:tcW w:w="3119" w:type="pct"/>
            <w:gridSpan w:val="2"/>
            <w:shd w:val="clear" w:color="auto" w:fill="FFFFFF"/>
            <w:vAlign w:val="center"/>
          </w:tcPr>
          <w:p w14:paraId="19FB37A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东莞市大岭山镇连马路159号102室</w:t>
            </w:r>
          </w:p>
        </w:tc>
      </w:tr>
      <w:tr w14:paraId="3F7A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303A293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w:t>
            </w:r>
          </w:p>
        </w:tc>
        <w:tc>
          <w:tcPr>
            <w:tcW w:w="1554" w:type="pct"/>
            <w:shd w:val="clear" w:color="auto" w:fill="FFFFFF"/>
            <w:vAlign w:val="center"/>
          </w:tcPr>
          <w:p w14:paraId="09D3CFF7">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东城温塘污水处理厂</w:t>
            </w:r>
          </w:p>
        </w:tc>
        <w:tc>
          <w:tcPr>
            <w:tcW w:w="3119" w:type="pct"/>
            <w:gridSpan w:val="2"/>
            <w:shd w:val="clear" w:color="auto" w:fill="FFFFFF"/>
            <w:vAlign w:val="center"/>
          </w:tcPr>
          <w:p w14:paraId="248EAD5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东莞市东城街道创盈路东城段86号</w:t>
            </w:r>
          </w:p>
        </w:tc>
      </w:tr>
      <w:tr w14:paraId="4A13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4E658E0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17</w:t>
            </w:r>
          </w:p>
        </w:tc>
        <w:tc>
          <w:tcPr>
            <w:tcW w:w="1554" w:type="pct"/>
            <w:shd w:val="clear" w:color="auto" w:fill="FFFFFF"/>
            <w:vAlign w:val="center"/>
          </w:tcPr>
          <w:p w14:paraId="3262CFF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东城温塘污水处理厂二期</w:t>
            </w:r>
          </w:p>
        </w:tc>
        <w:tc>
          <w:tcPr>
            <w:tcW w:w="3119" w:type="pct"/>
            <w:gridSpan w:val="2"/>
            <w:shd w:val="clear" w:color="auto" w:fill="FFFFFF"/>
            <w:vAlign w:val="center"/>
          </w:tcPr>
          <w:p w14:paraId="26BBA70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东莞市东城街道创盈路东城段86号</w:t>
            </w:r>
          </w:p>
        </w:tc>
      </w:tr>
      <w:tr w14:paraId="496B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3530ABC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18</w:t>
            </w:r>
          </w:p>
        </w:tc>
        <w:tc>
          <w:tcPr>
            <w:tcW w:w="1554" w:type="pct"/>
            <w:shd w:val="clear" w:color="auto" w:fill="FFFFFF"/>
            <w:vAlign w:val="center"/>
          </w:tcPr>
          <w:p w14:paraId="6114D531">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黄江污水处理厂二期</w:t>
            </w:r>
          </w:p>
        </w:tc>
        <w:tc>
          <w:tcPr>
            <w:tcW w:w="3119" w:type="pct"/>
            <w:gridSpan w:val="2"/>
            <w:shd w:val="clear" w:color="auto" w:fill="FFFFFF"/>
            <w:vAlign w:val="center"/>
          </w:tcPr>
          <w:p w14:paraId="49E465B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东莞市黄江镇合路村创业一路一号</w:t>
            </w:r>
          </w:p>
        </w:tc>
      </w:tr>
      <w:tr w14:paraId="1C44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1F3583B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w:t>
            </w:r>
          </w:p>
        </w:tc>
        <w:tc>
          <w:tcPr>
            <w:tcW w:w="1554" w:type="pct"/>
            <w:shd w:val="clear" w:color="auto" w:fill="auto"/>
            <w:vAlign w:val="center"/>
          </w:tcPr>
          <w:p w14:paraId="1B21C3E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松山湖北部污水处理厂二期</w:t>
            </w:r>
          </w:p>
        </w:tc>
        <w:tc>
          <w:tcPr>
            <w:tcW w:w="3119" w:type="pct"/>
            <w:gridSpan w:val="2"/>
            <w:shd w:val="clear" w:color="auto" w:fill="auto"/>
            <w:vAlign w:val="center"/>
          </w:tcPr>
          <w:p w14:paraId="2BA9245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东莞市松山湖高新科技产业园区工业西三路3号</w:t>
            </w:r>
          </w:p>
        </w:tc>
      </w:tr>
      <w:tr w14:paraId="537A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7811AD47">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w:t>
            </w:r>
          </w:p>
        </w:tc>
        <w:tc>
          <w:tcPr>
            <w:tcW w:w="1554" w:type="pct"/>
            <w:shd w:val="clear" w:color="auto" w:fill="FFFFFF"/>
            <w:vAlign w:val="center"/>
          </w:tcPr>
          <w:p w14:paraId="5C43356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寮步竹园污水处理厂二期</w:t>
            </w:r>
          </w:p>
        </w:tc>
        <w:tc>
          <w:tcPr>
            <w:tcW w:w="3119" w:type="pct"/>
            <w:gridSpan w:val="2"/>
            <w:shd w:val="clear" w:color="auto" w:fill="FFFFFF"/>
            <w:vAlign w:val="center"/>
          </w:tcPr>
          <w:p w14:paraId="6316F1D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东莞市寮步镇竹园村横岭工业区18号</w:t>
            </w:r>
          </w:p>
        </w:tc>
      </w:tr>
      <w:tr w14:paraId="2ED3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101A74F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21</w:t>
            </w:r>
          </w:p>
        </w:tc>
        <w:tc>
          <w:tcPr>
            <w:tcW w:w="1554" w:type="pct"/>
            <w:shd w:val="clear" w:color="auto" w:fill="FFFFFF"/>
            <w:vAlign w:val="center"/>
          </w:tcPr>
          <w:p w14:paraId="021658A1">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寮步竹园污水处理厂三期</w:t>
            </w:r>
          </w:p>
        </w:tc>
        <w:tc>
          <w:tcPr>
            <w:tcW w:w="3119" w:type="pct"/>
            <w:gridSpan w:val="2"/>
            <w:shd w:val="clear" w:color="auto" w:fill="FFFFFF"/>
            <w:vAlign w:val="center"/>
          </w:tcPr>
          <w:p w14:paraId="12A79A0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东莞市寮步镇竹园村横岭工业区18号</w:t>
            </w:r>
          </w:p>
        </w:tc>
      </w:tr>
      <w:tr w14:paraId="30D8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626462C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22</w:t>
            </w:r>
          </w:p>
        </w:tc>
        <w:tc>
          <w:tcPr>
            <w:tcW w:w="1554" w:type="pct"/>
            <w:shd w:val="clear" w:color="auto" w:fill="FFFFFF"/>
            <w:vAlign w:val="center"/>
          </w:tcPr>
          <w:p w14:paraId="068BA6D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大朗松山湖南部污水处理厂二期</w:t>
            </w:r>
          </w:p>
        </w:tc>
        <w:tc>
          <w:tcPr>
            <w:tcW w:w="3119" w:type="pct"/>
            <w:gridSpan w:val="2"/>
            <w:shd w:val="clear" w:color="auto" w:fill="FFFFFF"/>
            <w:vAlign w:val="center"/>
          </w:tcPr>
          <w:p w14:paraId="68960F9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东莞市大朗镇沙步村杨沙路153号十三栋101室</w:t>
            </w:r>
          </w:p>
        </w:tc>
      </w:tr>
      <w:tr w14:paraId="6566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4A7065A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23</w:t>
            </w:r>
          </w:p>
        </w:tc>
        <w:tc>
          <w:tcPr>
            <w:tcW w:w="1554" w:type="pct"/>
            <w:shd w:val="clear" w:color="auto" w:fill="FFFFFF"/>
            <w:vAlign w:val="center"/>
          </w:tcPr>
          <w:p w14:paraId="3AA26AB1">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樟村水质净化厂</w:t>
            </w:r>
          </w:p>
        </w:tc>
        <w:tc>
          <w:tcPr>
            <w:tcW w:w="3119" w:type="pct"/>
            <w:gridSpan w:val="2"/>
            <w:shd w:val="clear" w:color="auto" w:fill="FFFFFF"/>
            <w:vAlign w:val="center"/>
          </w:tcPr>
          <w:p w14:paraId="0D825CC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东莞市东城区运河路5号</w:t>
            </w:r>
          </w:p>
        </w:tc>
      </w:tr>
      <w:tr w14:paraId="218D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286505F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24</w:t>
            </w:r>
          </w:p>
        </w:tc>
        <w:tc>
          <w:tcPr>
            <w:tcW w:w="1554" w:type="pct"/>
            <w:shd w:val="clear" w:color="auto" w:fill="FFFFFF"/>
            <w:vAlign w:val="center"/>
          </w:tcPr>
          <w:p w14:paraId="2FBEC4F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常平东污水处理厂二期</w:t>
            </w:r>
          </w:p>
        </w:tc>
        <w:tc>
          <w:tcPr>
            <w:tcW w:w="3119" w:type="pct"/>
            <w:gridSpan w:val="2"/>
            <w:shd w:val="clear" w:color="auto" w:fill="FFFFFF"/>
            <w:vAlign w:val="center"/>
          </w:tcPr>
          <w:p w14:paraId="5F2A08F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东莞市常平镇沙湖口村污水处理厂二期</w:t>
            </w:r>
          </w:p>
        </w:tc>
      </w:tr>
      <w:tr w14:paraId="1737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1D3AF09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25</w:t>
            </w:r>
          </w:p>
        </w:tc>
        <w:tc>
          <w:tcPr>
            <w:tcW w:w="1554" w:type="pct"/>
            <w:shd w:val="clear" w:color="auto" w:fill="FFFFFF"/>
            <w:vAlign w:val="center"/>
          </w:tcPr>
          <w:p w14:paraId="2C1D01D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常平西污水处理厂二期</w:t>
            </w:r>
          </w:p>
        </w:tc>
        <w:tc>
          <w:tcPr>
            <w:tcW w:w="3119" w:type="pct"/>
            <w:gridSpan w:val="2"/>
            <w:shd w:val="clear" w:color="auto" w:fill="FFFFFF"/>
            <w:vAlign w:val="center"/>
          </w:tcPr>
          <w:p w14:paraId="0115360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东莞市常平镇常平沿河东一路20号</w:t>
            </w:r>
          </w:p>
        </w:tc>
      </w:tr>
      <w:tr w14:paraId="3240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4D6CFBD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26</w:t>
            </w:r>
          </w:p>
        </w:tc>
        <w:tc>
          <w:tcPr>
            <w:tcW w:w="1554" w:type="pct"/>
            <w:shd w:val="clear" w:color="auto" w:fill="FFFFFF"/>
            <w:vAlign w:val="center"/>
          </w:tcPr>
          <w:p w14:paraId="2474E55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横沥东坑污水处理厂二期</w:t>
            </w:r>
          </w:p>
        </w:tc>
        <w:tc>
          <w:tcPr>
            <w:tcW w:w="3119" w:type="pct"/>
            <w:gridSpan w:val="2"/>
            <w:shd w:val="clear" w:color="auto" w:fill="FFFFFF"/>
            <w:vAlign w:val="center"/>
          </w:tcPr>
          <w:p w14:paraId="1F20F537">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东莞市横沥镇石涌恒富路1号1号楼101室</w:t>
            </w:r>
          </w:p>
        </w:tc>
      </w:tr>
      <w:tr w14:paraId="0673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06F05E9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27</w:t>
            </w:r>
          </w:p>
        </w:tc>
        <w:tc>
          <w:tcPr>
            <w:tcW w:w="1554" w:type="pct"/>
            <w:shd w:val="clear" w:color="auto" w:fill="FFFFFF"/>
            <w:vAlign w:val="center"/>
          </w:tcPr>
          <w:p w14:paraId="350C55B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黄江梅塘污水处理厂</w:t>
            </w:r>
          </w:p>
        </w:tc>
        <w:tc>
          <w:tcPr>
            <w:tcW w:w="3119" w:type="pct"/>
            <w:gridSpan w:val="2"/>
            <w:shd w:val="clear" w:color="auto" w:fill="FFFFFF"/>
            <w:vAlign w:val="center"/>
          </w:tcPr>
          <w:p w14:paraId="6F1603F1">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广东省东莞市黄江镇星光村附件</w:t>
            </w:r>
          </w:p>
        </w:tc>
      </w:tr>
      <w:tr w14:paraId="781D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6B43A69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28</w:t>
            </w:r>
          </w:p>
        </w:tc>
        <w:tc>
          <w:tcPr>
            <w:tcW w:w="1554" w:type="pct"/>
            <w:shd w:val="clear" w:color="auto" w:fill="FFFFFF"/>
            <w:vAlign w:val="center"/>
          </w:tcPr>
          <w:p w14:paraId="06E9A86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凤岗虾公潭污水处理厂</w:t>
            </w:r>
          </w:p>
        </w:tc>
        <w:tc>
          <w:tcPr>
            <w:tcW w:w="3119" w:type="pct"/>
            <w:gridSpan w:val="2"/>
            <w:shd w:val="clear" w:color="auto" w:fill="FFFFFF"/>
            <w:vAlign w:val="center"/>
          </w:tcPr>
          <w:p w14:paraId="05538A0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东莞市凤岗镇油甘埔村同兴路3号101</w:t>
            </w:r>
          </w:p>
        </w:tc>
      </w:tr>
      <w:tr w14:paraId="338D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43D8D32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29</w:t>
            </w:r>
          </w:p>
        </w:tc>
        <w:tc>
          <w:tcPr>
            <w:tcW w:w="1554" w:type="pct"/>
            <w:shd w:val="clear" w:color="auto" w:fill="FFFFFF"/>
            <w:vAlign w:val="center"/>
          </w:tcPr>
          <w:p w14:paraId="1DB10FC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桥头污水处理厂二期</w:t>
            </w:r>
          </w:p>
        </w:tc>
        <w:tc>
          <w:tcPr>
            <w:tcW w:w="3119" w:type="pct"/>
            <w:gridSpan w:val="2"/>
            <w:shd w:val="clear" w:color="auto" w:fill="FFFFFF"/>
            <w:vAlign w:val="center"/>
          </w:tcPr>
          <w:p w14:paraId="3B0F9F1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东莞市桥头镇东深路桥头段6号2号楼</w:t>
            </w:r>
          </w:p>
        </w:tc>
      </w:tr>
      <w:tr w14:paraId="64F3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5A0668B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30</w:t>
            </w:r>
          </w:p>
        </w:tc>
        <w:tc>
          <w:tcPr>
            <w:tcW w:w="1554" w:type="pct"/>
            <w:shd w:val="clear" w:color="auto" w:fill="FFFFFF"/>
            <w:vAlign w:val="center"/>
          </w:tcPr>
          <w:p w14:paraId="5FC912A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谢岗污水处理厂二期</w:t>
            </w:r>
          </w:p>
        </w:tc>
        <w:tc>
          <w:tcPr>
            <w:tcW w:w="3119" w:type="pct"/>
            <w:gridSpan w:val="2"/>
            <w:shd w:val="clear" w:color="auto" w:fill="FFFFFF"/>
            <w:vAlign w:val="center"/>
          </w:tcPr>
          <w:p w14:paraId="68E7805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东莞市谢岗镇禾尚岗路16号</w:t>
            </w:r>
          </w:p>
        </w:tc>
      </w:tr>
      <w:tr w14:paraId="7B3B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6508A17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31</w:t>
            </w:r>
          </w:p>
        </w:tc>
        <w:tc>
          <w:tcPr>
            <w:tcW w:w="1554" w:type="pct"/>
            <w:shd w:val="clear" w:color="auto" w:fill="FFFFFF"/>
            <w:vAlign w:val="center"/>
          </w:tcPr>
          <w:p w14:paraId="062532D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凤岗竹塘污水处理厂二期</w:t>
            </w:r>
          </w:p>
        </w:tc>
        <w:tc>
          <w:tcPr>
            <w:tcW w:w="3119" w:type="pct"/>
            <w:gridSpan w:val="2"/>
            <w:shd w:val="clear" w:color="auto" w:fill="FFFFFF"/>
            <w:vAlign w:val="center"/>
          </w:tcPr>
          <w:p w14:paraId="3827181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凤岗镇竹塘村浸校塘组</w:t>
            </w:r>
          </w:p>
        </w:tc>
      </w:tr>
      <w:tr w14:paraId="4653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265DB1F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1781" w:type="pct"/>
            <w:gridSpan w:val="2"/>
            <w:shd w:val="clear" w:color="auto" w:fill="FFFFFF"/>
            <w:vAlign w:val="center"/>
          </w:tcPr>
          <w:p w14:paraId="63F071C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塘厦林村污水处理厂二期</w:t>
            </w:r>
          </w:p>
        </w:tc>
        <w:tc>
          <w:tcPr>
            <w:tcW w:w="2892" w:type="pct"/>
            <w:shd w:val="clear" w:color="auto" w:fill="FFFFFF"/>
            <w:vAlign w:val="center"/>
          </w:tcPr>
          <w:p w14:paraId="020DAE9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塘厦镇林村村委会鸡爪桥猪仔沥</w:t>
            </w:r>
          </w:p>
        </w:tc>
      </w:tr>
      <w:tr w14:paraId="16A6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5401D7F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33</w:t>
            </w:r>
          </w:p>
        </w:tc>
        <w:tc>
          <w:tcPr>
            <w:tcW w:w="1781" w:type="pct"/>
            <w:gridSpan w:val="2"/>
            <w:shd w:val="clear" w:color="auto" w:fill="FFFFFF"/>
            <w:vAlign w:val="center"/>
          </w:tcPr>
          <w:p w14:paraId="7205E71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樟木头污水处理厂三期</w:t>
            </w:r>
          </w:p>
        </w:tc>
        <w:tc>
          <w:tcPr>
            <w:tcW w:w="2892" w:type="pct"/>
            <w:shd w:val="clear" w:color="auto" w:fill="FFFFFF"/>
            <w:vAlign w:val="center"/>
          </w:tcPr>
          <w:p w14:paraId="52E5153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樟木头镇柏地社区柏峰路169号</w:t>
            </w:r>
          </w:p>
        </w:tc>
      </w:tr>
      <w:tr w14:paraId="6BAB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5AE14D5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34</w:t>
            </w:r>
          </w:p>
        </w:tc>
        <w:tc>
          <w:tcPr>
            <w:tcW w:w="1781" w:type="pct"/>
            <w:gridSpan w:val="2"/>
            <w:shd w:val="clear" w:color="auto" w:fill="FFFFFF"/>
            <w:vAlign w:val="center"/>
          </w:tcPr>
          <w:p w14:paraId="78BB8E9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樟木头裕丰</w:t>
            </w:r>
          </w:p>
        </w:tc>
        <w:tc>
          <w:tcPr>
            <w:tcW w:w="2892" w:type="pct"/>
            <w:shd w:val="clear" w:color="auto" w:fill="FFFFFF"/>
            <w:vAlign w:val="center"/>
          </w:tcPr>
          <w:p w14:paraId="4B464E0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东莞市樟木头镇裕丰社区莞樟东路西侧</w:t>
            </w:r>
          </w:p>
        </w:tc>
      </w:tr>
      <w:tr w14:paraId="3C92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6A3E736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35</w:t>
            </w:r>
          </w:p>
        </w:tc>
        <w:tc>
          <w:tcPr>
            <w:tcW w:w="1781" w:type="pct"/>
            <w:gridSpan w:val="2"/>
            <w:shd w:val="clear" w:color="auto" w:fill="FFFFFF"/>
            <w:vAlign w:val="center"/>
          </w:tcPr>
          <w:p w14:paraId="37151A1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塘厦白泥湖水质净化厂改造工程</w:t>
            </w:r>
          </w:p>
        </w:tc>
        <w:tc>
          <w:tcPr>
            <w:tcW w:w="2892" w:type="pct"/>
            <w:shd w:val="clear" w:color="auto" w:fill="FFFFFF"/>
            <w:vAlign w:val="center"/>
          </w:tcPr>
          <w:p w14:paraId="6DC16AE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东莞市塘厦镇塘厦南一横路21号</w:t>
            </w:r>
          </w:p>
        </w:tc>
      </w:tr>
      <w:tr w14:paraId="3D50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63CB0BF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36</w:t>
            </w:r>
          </w:p>
        </w:tc>
        <w:tc>
          <w:tcPr>
            <w:tcW w:w="1781" w:type="pct"/>
            <w:gridSpan w:val="2"/>
            <w:shd w:val="clear" w:color="auto" w:fill="FFFFFF"/>
            <w:vAlign w:val="center"/>
          </w:tcPr>
          <w:p w14:paraId="25C7291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竹塘污水处理厂三期</w:t>
            </w:r>
          </w:p>
        </w:tc>
        <w:tc>
          <w:tcPr>
            <w:tcW w:w="2892" w:type="pct"/>
            <w:shd w:val="clear" w:color="auto" w:fill="FFFFFF"/>
            <w:vAlign w:val="center"/>
          </w:tcPr>
          <w:p w14:paraId="087F1CF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凤岗镇竹塘村浸校塘组</w:t>
            </w:r>
          </w:p>
        </w:tc>
      </w:tr>
      <w:tr w14:paraId="182B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23FB0A3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37</w:t>
            </w:r>
          </w:p>
        </w:tc>
        <w:tc>
          <w:tcPr>
            <w:tcW w:w="1781" w:type="pct"/>
            <w:gridSpan w:val="2"/>
            <w:shd w:val="clear" w:color="auto" w:fill="FFFFFF"/>
            <w:vAlign w:val="center"/>
          </w:tcPr>
          <w:p w14:paraId="299A438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清溪厦坭污水处理厂二期</w:t>
            </w:r>
          </w:p>
        </w:tc>
        <w:tc>
          <w:tcPr>
            <w:tcW w:w="2892" w:type="pct"/>
            <w:shd w:val="clear" w:color="auto" w:fill="FFFFFF"/>
            <w:vAlign w:val="center"/>
          </w:tcPr>
          <w:p w14:paraId="0CC65CE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东莞市清溪镇江背路33号</w:t>
            </w:r>
          </w:p>
        </w:tc>
      </w:tr>
      <w:tr w14:paraId="5624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1B20969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38</w:t>
            </w:r>
          </w:p>
        </w:tc>
        <w:tc>
          <w:tcPr>
            <w:tcW w:w="1781" w:type="pct"/>
            <w:gridSpan w:val="2"/>
            <w:shd w:val="clear" w:color="auto" w:fill="FFFFFF"/>
            <w:vAlign w:val="center"/>
          </w:tcPr>
          <w:p w14:paraId="18B5525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塘厦大坪污水处理厂一期</w:t>
            </w:r>
          </w:p>
        </w:tc>
        <w:tc>
          <w:tcPr>
            <w:tcW w:w="2892" w:type="pct"/>
            <w:shd w:val="clear" w:color="auto" w:fill="FFFFFF"/>
            <w:vAlign w:val="center"/>
          </w:tcPr>
          <w:p w14:paraId="1EB169F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w:t>
            </w:r>
          </w:p>
        </w:tc>
      </w:tr>
      <w:tr w14:paraId="3272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986" w:type="pct"/>
            <w:gridSpan w:val="4"/>
            <w:shd w:val="clear" w:color="auto" w:fill="FFFFFF"/>
            <w:vAlign w:val="center"/>
          </w:tcPr>
          <w:p w14:paraId="546F4597">
            <w:pPr>
              <w:widowControl/>
              <w:jc w:val="left"/>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二、提标项目</w:t>
            </w:r>
          </w:p>
        </w:tc>
      </w:tr>
      <w:tr w14:paraId="0DB8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6F9E3FA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781" w:type="pct"/>
            <w:gridSpan w:val="2"/>
            <w:shd w:val="clear" w:color="auto" w:fill="FFFFFF"/>
            <w:vAlign w:val="center"/>
          </w:tcPr>
          <w:p w14:paraId="6DFCCAD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石碣沙腰污水处理厂二期提标</w:t>
            </w:r>
          </w:p>
        </w:tc>
        <w:tc>
          <w:tcPr>
            <w:tcW w:w="2892" w:type="pct"/>
            <w:shd w:val="clear" w:color="auto" w:fill="FFFFFF"/>
            <w:vAlign w:val="center"/>
          </w:tcPr>
          <w:p w14:paraId="316C626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东莞市石碣镇沙腰村沿江西路2号</w:t>
            </w:r>
          </w:p>
        </w:tc>
      </w:tr>
      <w:tr w14:paraId="243A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3137A22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781" w:type="pct"/>
            <w:gridSpan w:val="2"/>
            <w:shd w:val="clear" w:color="auto" w:fill="FFFFFF"/>
            <w:vAlign w:val="center"/>
          </w:tcPr>
          <w:p w14:paraId="37209C6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望洪污水处理厂一期提标工程</w:t>
            </w:r>
          </w:p>
        </w:tc>
        <w:tc>
          <w:tcPr>
            <w:tcW w:w="2892" w:type="pct"/>
            <w:shd w:val="clear" w:color="auto" w:fill="FFFFFF"/>
            <w:vAlign w:val="center"/>
          </w:tcPr>
          <w:p w14:paraId="1E68B43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东莞市望牛墩镇朱平沙村</w:t>
            </w:r>
          </w:p>
        </w:tc>
      </w:tr>
      <w:tr w14:paraId="0EFB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13E0772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781" w:type="pct"/>
            <w:gridSpan w:val="2"/>
            <w:shd w:val="clear" w:color="auto" w:fill="FFFFFF"/>
            <w:vAlign w:val="center"/>
          </w:tcPr>
          <w:p w14:paraId="060C928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麻涌污水处理厂一期提标工程</w:t>
            </w:r>
          </w:p>
        </w:tc>
        <w:tc>
          <w:tcPr>
            <w:tcW w:w="2892" w:type="pct"/>
            <w:shd w:val="clear" w:color="auto" w:fill="FFFFFF"/>
            <w:vAlign w:val="center"/>
          </w:tcPr>
          <w:p w14:paraId="6931446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东莞市麻涌镇新沙公园南一路9号</w:t>
            </w:r>
          </w:p>
        </w:tc>
      </w:tr>
      <w:tr w14:paraId="7709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3DE0CE1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781" w:type="pct"/>
            <w:gridSpan w:val="2"/>
            <w:shd w:val="clear" w:color="auto" w:fill="FFFFFF"/>
            <w:vAlign w:val="center"/>
          </w:tcPr>
          <w:p w14:paraId="76412F1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石碣沙腰污水处理厂一期提标工程</w:t>
            </w:r>
          </w:p>
        </w:tc>
        <w:tc>
          <w:tcPr>
            <w:tcW w:w="2892" w:type="pct"/>
            <w:shd w:val="clear" w:color="auto" w:fill="FFFFFF"/>
            <w:vAlign w:val="center"/>
          </w:tcPr>
          <w:p w14:paraId="671F220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东莞市石碣镇沙腰村沿江西路2号</w:t>
            </w:r>
          </w:p>
        </w:tc>
      </w:tr>
      <w:tr w14:paraId="7AC40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1BEA2F5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781" w:type="pct"/>
            <w:gridSpan w:val="2"/>
            <w:shd w:val="clear" w:color="auto" w:fill="FFFFFF"/>
            <w:vAlign w:val="center"/>
          </w:tcPr>
          <w:p w14:paraId="4F0781A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市区污水处理厂提标工程</w:t>
            </w:r>
          </w:p>
        </w:tc>
        <w:tc>
          <w:tcPr>
            <w:tcW w:w="2892" w:type="pct"/>
            <w:shd w:val="clear" w:color="auto" w:fill="FFFFFF"/>
            <w:vAlign w:val="center"/>
          </w:tcPr>
          <w:p w14:paraId="592E7F1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东莞市南城街道滨河路100号</w:t>
            </w:r>
          </w:p>
        </w:tc>
      </w:tr>
      <w:tr w14:paraId="4A72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7D501731">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781" w:type="pct"/>
            <w:gridSpan w:val="2"/>
            <w:shd w:val="clear" w:color="auto" w:fill="FFFFFF"/>
            <w:vAlign w:val="center"/>
          </w:tcPr>
          <w:p w14:paraId="33EAABA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虎门海岛污水处理厂一期提标工程</w:t>
            </w:r>
          </w:p>
        </w:tc>
        <w:tc>
          <w:tcPr>
            <w:tcW w:w="2892" w:type="pct"/>
            <w:shd w:val="clear" w:color="auto" w:fill="FFFFFF"/>
            <w:vAlign w:val="center"/>
          </w:tcPr>
          <w:p w14:paraId="1C1A348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东莞市虎门镇威远岛武山沙五围</w:t>
            </w:r>
          </w:p>
        </w:tc>
      </w:tr>
      <w:tr w14:paraId="1F84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769966A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781" w:type="pct"/>
            <w:gridSpan w:val="2"/>
            <w:shd w:val="clear" w:color="auto" w:fill="FFFFFF"/>
            <w:vAlign w:val="center"/>
          </w:tcPr>
          <w:p w14:paraId="04EDD32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虎门宁洲污水处理厂一期提标工程</w:t>
            </w:r>
          </w:p>
        </w:tc>
        <w:tc>
          <w:tcPr>
            <w:tcW w:w="2892" w:type="pct"/>
            <w:shd w:val="clear" w:color="auto" w:fill="FFFFFF"/>
            <w:vAlign w:val="center"/>
          </w:tcPr>
          <w:p w14:paraId="744E01C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东莞市虎门镇南栅第六工业区民昌路十巷5号</w:t>
            </w:r>
          </w:p>
        </w:tc>
      </w:tr>
      <w:tr w14:paraId="7DEC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2EA163A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781" w:type="pct"/>
            <w:gridSpan w:val="2"/>
            <w:shd w:val="clear" w:color="auto" w:fill="FFFFFF"/>
            <w:vAlign w:val="center"/>
          </w:tcPr>
          <w:p w14:paraId="3664A57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长安锦厦三洲水质净化厂提标工程</w:t>
            </w:r>
          </w:p>
        </w:tc>
        <w:tc>
          <w:tcPr>
            <w:tcW w:w="2892" w:type="pct"/>
            <w:shd w:val="clear" w:color="auto" w:fill="FFFFFF"/>
            <w:vAlign w:val="center"/>
          </w:tcPr>
          <w:p w14:paraId="7AF4B65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东莞市长安镇锦厦三洲路2号</w:t>
            </w:r>
          </w:p>
        </w:tc>
      </w:tr>
      <w:tr w14:paraId="3B0A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410EAED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781" w:type="pct"/>
            <w:gridSpan w:val="2"/>
            <w:shd w:val="clear" w:color="auto" w:fill="FFFFFF"/>
            <w:vAlign w:val="center"/>
          </w:tcPr>
          <w:p w14:paraId="22FEBE3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东城牛山污水处理厂一期提标工程</w:t>
            </w:r>
          </w:p>
        </w:tc>
        <w:tc>
          <w:tcPr>
            <w:tcW w:w="2892" w:type="pct"/>
            <w:shd w:val="clear" w:color="auto" w:fill="FFFFFF"/>
            <w:vAlign w:val="center"/>
          </w:tcPr>
          <w:p w14:paraId="4C43FAD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东莞市东城牛山老围村工业区象山路1号</w:t>
            </w:r>
          </w:p>
        </w:tc>
      </w:tr>
      <w:tr w14:paraId="2E43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341FB75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781" w:type="pct"/>
            <w:gridSpan w:val="2"/>
            <w:shd w:val="clear" w:color="auto" w:fill="FFFFFF"/>
            <w:vAlign w:val="center"/>
          </w:tcPr>
          <w:p w14:paraId="725F863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黄江污水处理厂一期提标工程</w:t>
            </w:r>
          </w:p>
        </w:tc>
        <w:tc>
          <w:tcPr>
            <w:tcW w:w="2892" w:type="pct"/>
            <w:shd w:val="clear" w:color="auto" w:fill="FFFFFF"/>
            <w:vAlign w:val="center"/>
          </w:tcPr>
          <w:p w14:paraId="264A221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东莞市黄江镇合路创业一路1号</w:t>
            </w:r>
          </w:p>
        </w:tc>
      </w:tr>
      <w:tr w14:paraId="519B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34AD01E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781" w:type="pct"/>
            <w:gridSpan w:val="2"/>
            <w:shd w:val="clear" w:color="auto" w:fill="FFFFFF"/>
            <w:vAlign w:val="center"/>
          </w:tcPr>
          <w:p w14:paraId="10C4C67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大朗松山湖南部污水处理厂一期提标工程</w:t>
            </w:r>
          </w:p>
        </w:tc>
        <w:tc>
          <w:tcPr>
            <w:tcW w:w="2892" w:type="pct"/>
            <w:shd w:val="clear" w:color="auto" w:fill="FFFFFF"/>
            <w:vAlign w:val="center"/>
          </w:tcPr>
          <w:p w14:paraId="1D645D7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东莞市大朗镇沙步村杨沙路153号</w:t>
            </w:r>
          </w:p>
        </w:tc>
      </w:tr>
      <w:tr w14:paraId="77CC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32D7591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1781" w:type="pct"/>
            <w:gridSpan w:val="2"/>
            <w:shd w:val="clear" w:color="auto" w:fill="FFFFFF"/>
            <w:vAlign w:val="center"/>
          </w:tcPr>
          <w:p w14:paraId="237CD99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凤岗竹塘污水处理厂一期提标</w:t>
            </w:r>
          </w:p>
        </w:tc>
        <w:tc>
          <w:tcPr>
            <w:tcW w:w="2892" w:type="pct"/>
            <w:shd w:val="clear" w:color="auto" w:fill="FFFFFF"/>
            <w:vAlign w:val="center"/>
          </w:tcPr>
          <w:p w14:paraId="52151647">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东莞市凤岗镇竹塘村浸校塘组</w:t>
            </w:r>
          </w:p>
        </w:tc>
      </w:tr>
      <w:tr w14:paraId="4BF7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617999E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1781" w:type="pct"/>
            <w:gridSpan w:val="2"/>
            <w:shd w:val="clear" w:color="auto" w:fill="FFFFFF"/>
            <w:vAlign w:val="center"/>
          </w:tcPr>
          <w:p w14:paraId="3CF2BDD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凤岗虾公潭污水处理厂提标工程</w:t>
            </w:r>
          </w:p>
        </w:tc>
        <w:tc>
          <w:tcPr>
            <w:tcW w:w="2892" w:type="pct"/>
            <w:shd w:val="clear" w:color="auto" w:fill="FFFFFF"/>
            <w:vAlign w:val="center"/>
          </w:tcPr>
          <w:p w14:paraId="17FD48D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东莞市凤岗镇油甘埔村同兴路3号101</w:t>
            </w:r>
          </w:p>
        </w:tc>
      </w:tr>
      <w:tr w14:paraId="3AD8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67BF114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14</w:t>
            </w:r>
          </w:p>
        </w:tc>
        <w:tc>
          <w:tcPr>
            <w:tcW w:w="1781" w:type="pct"/>
            <w:gridSpan w:val="2"/>
            <w:shd w:val="clear" w:color="auto" w:fill="FFFFFF"/>
            <w:vAlign w:val="center"/>
          </w:tcPr>
          <w:p w14:paraId="7AD7D79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谢岗污水处理厂一期提标工程</w:t>
            </w:r>
          </w:p>
        </w:tc>
        <w:tc>
          <w:tcPr>
            <w:tcW w:w="2892" w:type="pct"/>
            <w:shd w:val="clear" w:color="auto" w:fill="FFFFFF"/>
            <w:vAlign w:val="center"/>
          </w:tcPr>
          <w:p w14:paraId="7C029F7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东莞市谢岗镇禾尚岗路16号</w:t>
            </w:r>
          </w:p>
        </w:tc>
      </w:tr>
      <w:tr w14:paraId="3CFE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76D9C19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15</w:t>
            </w:r>
          </w:p>
        </w:tc>
        <w:tc>
          <w:tcPr>
            <w:tcW w:w="1781" w:type="pct"/>
            <w:gridSpan w:val="2"/>
            <w:shd w:val="clear" w:color="auto" w:fill="FFFFFF"/>
            <w:vAlign w:val="center"/>
          </w:tcPr>
          <w:p w14:paraId="4A18D4B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塘厦林村一期提标</w:t>
            </w:r>
          </w:p>
        </w:tc>
        <w:tc>
          <w:tcPr>
            <w:tcW w:w="2892" w:type="pct"/>
            <w:shd w:val="clear" w:color="auto" w:fill="FFFFFF"/>
            <w:vAlign w:val="center"/>
          </w:tcPr>
          <w:p w14:paraId="00918B07">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塘厦镇林村村委会鸡爪桥猪仔沥</w:t>
            </w:r>
          </w:p>
        </w:tc>
      </w:tr>
      <w:tr w14:paraId="7088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6F70E1D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w:t>
            </w:r>
          </w:p>
        </w:tc>
        <w:tc>
          <w:tcPr>
            <w:tcW w:w="1781" w:type="pct"/>
            <w:gridSpan w:val="2"/>
            <w:shd w:val="clear" w:color="auto" w:fill="FFFFFF"/>
            <w:vAlign w:val="center"/>
          </w:tcPr>
          <w:p w14:paraId="1716A8A1">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桥头污水处理厂一期提标工程</w:t>
            </w:r>
          </w:p>
        </w:tc>
        <w:tc>
          <w:tcPr>
            <w:tcW w:w="2892" w:type="pct"/>
            <w:shd w:val="clear" w:color="auto" w:fill="FFFFFF"/>
            <w:vAlign w:val="center"/>
          </w:tcPr>
          <w:p w14:paraId="3E8C4D7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东莞市桥头镇东深路8号</w:t>
            </w:r>
          </w:p>
        </w:tc>
      </w:tr>
      <w:tr w14:paraId="2F03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71EB3BE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17</w:t>
            </w:r>
          </w:p>
        </w:tc>
        <w:tc>
          <w:tcPr>
            <w:tcW w:w="1781" w:type="pct"/>
            <w:gridSpan w:val="2"/>
            <w:shd w:val="clear" w:color="auto" w:fill="FFFFFF"/>
            <w:vAlign w:val="center"/>
          </w:tcPr>
          <w:p w14:paraId="0FD40A31">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樟木头污水处理厂一二期提标工程</w:t>
            </w:r>
          </w:p>
        </w:tc>
        <w:tc>
          <w:tcPr>
            <w:tcW w:w="2892" w:type="pct"/>
            <w:shd w:val="clear" w:color="auto" w:fill="FFFFFF"/>
            <w:vAlign w:val="center"/>
          </w:tcPr>
          <w:p w14:paraId="28AF79B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东莞市樟木头镇柏地旗岭村柏峰路169号</w:t>
            </w:r>
          </w:p>
        </w:tc>
      </w:tr>
      <w:tr w14:paraId="15F7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209A3B2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18</w:t>
            </w:r>
          </w:p>
        </w:tc>
        <w:tc>
          <w:tcPr>
            <w:tcW w:w="1781" w:type="pct"/>
            <w:gridSpan w:val="2"/>
            <w:shd w:val="clear" w:color="auto" w:fill="FFFFFF"/>
            <w:vAlign w:val="center"/>
          </w:tcPr>
          <w:p w14:paraId="6C6191B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清溪厦坭污水处理厂一期提标工程</w:t>
            </w:r>
          </w:p>
        </w:tc>
        <w:tc>
          <w:tcPr>
            <w:tcW w:w="2892" w:type="pct"/>
            <w:shd w:val="clear" w:color="auto" w:fill="FFFFFF"/>
            <w:vAlign w:val="center"/>
          </w:tcPr>
          <w:p w14:paraId="7A5E0F6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东莞市清溪镇厦坭村江背路75号</w:t>
            </w:r>
          </w:p>
        </w:tc>
      </w:tr>
      <w:tr w14:paraId="702C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221CF1E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w:t>
            </w:r>
          </w:p>
        </w:tc>
        <w:tc>
          <w:tcPr>
            <w:tcW w:w="1781" w:type="pct"/>
            <w:gridSpan w:val="2"/>
            <w:shd w:val="clear" w:color="auto" w:fill="FFFFFF"/>
            <w:vAlign w:val="center"/>
          </w:tcPr>
          <w:p w14:paraId="68A1A181">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塘厦石桥头污水处理厂提标工程</w:t>
            </w:r>
          </w:p>
        </w:tc>
        <w:tc>
          <w:tcPr>
            <w:tcW w:w="2892" w:type="pct"/>
            <w:shd w:val="clear" w:color="auto" w:fill="FFFFFF"/>
            <w:vAlign w:val="center"/>
          </w:tcPr>
          <w:p w14:paraId="555F03E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东莞市塘厦镇凤凰岗村环市南路132号</w:t>
            </w:r>
          </w:p>
        </w:tc>
      </w:tr>
      <w:tr w14:paraId="34B9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1" w:type="pct"/>
            <w:shd w:val="clear" w:color="auto" w:fill="FFFFFF"/>
            <w:vAlign w:val="center"/>
          </w:tcPr>
          <w:p w14:paraId="1E44A2C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w:t>
            </w:r>
          </w:p>
        </w:tc>
        <w:tc>
          <w:tcPr>
            <w:tcW w:w="1781" w:type="pct"/>
            <w:gridSpan w:val="2"/>
            <w:shd w:val="clear" w:color="auto" w:fill="FFFFFF"/>
            <w:vAlign w:val="center"/>
          </w:tcPr>
          <w:p w14:paraId="15D437C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凤岗雁田污水处理厂提标工程</w:t>
            </w:r>
          </w:p>
        </w:tc>
        <w:tc>
          <w:tcPr>
            <w:tcW w:w="2892" w:type="pct"/>
            <w:shd w:val="clear" w:color="auto" w:fill="FFFFFF"/>
            <w:vAlign w:val="center"/>
          </w:tcPr>
          <w:p w14:paraId="55F0E04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东莞市凤岗雁田污水处理厂（凤深大道310号）</w:t>
            </w:r>
          </w:p>
        </w:tc>
      </w:tr>
    </w:tbl>
    <w:p w14:paraId="319C7AC1">
      <w:pPr>
        <w:spacing w:line="360" w:lineRule="auto"/>
        <w:rPr>
          <w:rFonts w:hint="eastAsia" w:ascii="宋体" w:hAnsi="宋体" w:eastAsia="宋体" w:cs="Times New Roman"/>
          <w:b/>
          <w:color w:val="auto"/>
          <w:szCs w:val="21"/>
          <w:highlight w:val="none"/>
          <w:lang w:val="zh-CN"/>
        </w:rPr>
      </w:pPr>
      <w:r>
        <w:rPr>
          <w:rFonts w:hint="eastAsia" w:ascii="宋体" w:hAnsi="宋体" w:eastAsia="宋体" w:cs="宋体"/>
          <w:b/>
          <w:bCs/>
          <w:color w:val="auto"/>
          <w:szCs w:val="21"/>
          <w:highlight w:val="none"/>
        </w:rPr>
        <w:t>备注：</w:t>
      </w:r>
      <w:r>
        <w:rPr>
          <w:rFonts w:hint="eastAsia" w:ascii="宋体" w:hAnsi="宋体" w:eastAsia="宋体" w:cs="宋体"/>
          <w:b/>
          <w:color w:val="auto"/>
          <w:szCs w:val="21"/>
          <w:highlight w:val="none"/>
        </w:rPr>
        <w:t>以上污水厂为暂定，</w:t>
      </w:r>
      <w:r>
        <w:rPr>
          <w:rFonts w:hint="eastAsia" w:ascii="宋体" w:hAnsi="宋体" w:eastAsia="宋体" w:cs="宋体"/>
          <w:b/>
          <w:bCs/>
          <w:color w:val="auto"/>
          <w:szCs w:val="21"/>
          <w:highlight w:val="none"/>
        </w:rPr>
        <w:t>具体情况以实际为准，如有疑问可实地考察。</w:t>
      </w:r>
    </w:p>
    <w:p w14:paraId="76E93140">
      <w:pPr>
        <w:spacing w:line="360" w:lineRule="auto"/>
        <w:rPr>
          <w:rFonts w:hint="eastAsia" w:ascii="宋体" w:hAnsi="宋体" w:eastAsia="宋体" w:cs="Times New Roman"/>
          <w:color w:val="auto"/>
          <w:szCs w:val="21"/>
          <w:highlight w:val="none"/>
        </w:rPr>
      </w:pPr>
    </w:p>
    <w:p w14:paraId="6E58327F">
      <w:pPr>
        <w:rPr>
          <w:rFonts w:hint="eastAsia" w:ascii="宋体" w:hAnsi="宋体" w:eastAsia="宋体" w:cs="Times New Roman"/>
          <w:b/>
          <w:color w:val="auto"/>
          <w:szCs w:val="21"/>
          <w:highlight w:val="none"/>
        </w:rPr>
      </w:pPr>
    </w:p>
    <w:p w14:paraId="030FBA9D">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431" w:name="_Toc11281_WPSOffice_Level1"/>
      <w:bookmarkStart w:id="432" w:name="_Toc450662892"/>
      <w:bookmarkStart w:id="433" w:name="_Toc19477"/>
      <w:bookmarkStart w:id="434" w:name="_Toc142508359"/>
      <w:bookmarkStart w:id="435" w:name="_Toc17532"/>
      <w:bookmarkStart w:id="436" w:name="_Toc486167707"/>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31"/>
      <w:bookmarkEnd w:id="432"/>
      <w:bookmarkEnd w:id="433"/>
      <w:bookmarkEnd w:id="434"/>
      <w:bookmarkEnd w:id="435"/>
      <w:bookmarkEnd w:id="436"/>
    </w:p>
    <w:p w14:paraId="15BAFD55">
      <w:pPr>
        <w:autoSpaceDE w:val="0"/>
        <w:autoSpaceDN w:val="0"/>
        <w:adjustRightInd w:val="0"/>
        <w:snapToGrid w:val="0"/>
        <w:spacing w:line="360" w:lineRule="auto"/>
        <w:jc w:val="center"/>
        <w:rPr>
          <w:rFonts w:hint="eastAsia" w:ascii="宋体" w:hAnsi="宋体" w:eastAsia="宋体" w:cs="Times New Roman"/>
          <w:color w:val="auto"/>
          <w:kern w:val="0"/>
          <w:sz w:val="24"/>
          <w:szCs w:val="24"/>
          <w:highlight w:val="none"/>
        </w:rPr>
      </w:pPr>
    </w:p>
    <w:p w14:paraId="24E35ADE">
      <w:pPr>
        <w:autoSpaceDE w:val="0"/>
        <w:autoSpaceDN w:val="0"/>
        <w:adjustRightInd w:val="0"/>
        <w:snapToGrid w:val="0"/>
        <w:spacing w:line="360" w:lineRule="auto"/>
        <w:jc w:val="center"/>
        <w:rPr>
          <w:rFonts w:hint="eastAsia" w:ascii="宋体" w:hAnsi="宋体" w:eastAsia="宋体" w:cs="Times New Roman"/>
          <w:color w:val="auto"/>
          <w:kern w:val="0"/>
          <w:sz w:val="24"/>
          <w:szCs w:val="24"/>
          <w:highlight w:val="none"/>
        </w:rPr>
      </w:pPr>
    </w:p>
    <w:p w14:paraId="772E1E75">
      <w:pPr>
        <w:autoSpaceDE w:val="0"/>
        <w:autoSpaceDN w:val="0"/>
        <w:adjustRightInd w:val="0"/>
        <w:snapToGrid w:val="0"/>
        <w:spacing w:line="360" w:lineRule="auto"/>
        <w:jc w:val="center"/>
        <w:rPr>
          <w:rFonts w:hint="eastAsia" w:ascii="宋体" w:hAnsi="宋体" w:eastAsia="宋体" w:cs="Times New Roman"/>
          <w:color w:val="auto"/>
          <w:kern w:val="0"/>
          <w:sz w:val="24"/>
          <w:szCs w:val="24"/>
          <w:highlight w:val="none"/>
        </w:rPr>
      </w:pPr>
    </w:p>
    <w:p w14:paraId="6015411E">
      <w:pPr>
        <w:autoSpaceDE w:val="0"/>
        <w:autoSpaceDN w:val="0"/>
        <w:adjustRightInd w:val="0"/>
        <w:spacing w:line="360" w:lineRule="auto"/>
        <w:jc w:val="center"/>
        <w:rPr>
          <w:rFonts w:hint="eastAsia" w:ascii="宋体" w:hAnsi="宋体" w:eastAsia="宋体" w:cs="Times New Roman"/>
          <w:b/>
          <w:color w:val="auto"/>
          <w:kern w:val="0"/>
          <w:sz w:val="52"/>
          <w:szCs w:val="96"/>
          <w:highlight w:val="none"/>
        </w:rPr>
      </w:pPr>
      <w:r>
        <w:rPr>
          <w:rFonts w:hint="eastAsia" w:ascii="宋体" w:hAnsi="宋体" w:eastAsia="宋体" w:cs="Times New Roman"/>
          <w:b/>
          <w:color w:val="auto"/>
          <w:kern w:val="0"/>
          <w:sz w:val="52"/>
          <w:szCs w:val="96"/>
          <w:highlight w:val="none"/>
        </w:rPr>
        <w:t>东莞市水务集团有限公司2025年度液态次氯酸钠采购项目</w:t>
      </w:r>
    </w:p>
    <w:p w14:paraId="00565162">
      <w:pPr>
        <w:autoSpaceDE w:val="0"/>
        <w:autoSpaceDN w:val="0"/>
        <w:adjustRightInd w:val="0"/>
        <w:spacing w:line="360" w:lineRule="auto"/>
        <w:jc w:val="center"/>
        <w:rPr>
          <w:rFonts w:hint="eastAsia" w:ascii="宋体" w:hAnsi="宋体" w:eastAsia="宋体" w:cs="Times New Roman"/>
          <w:bCs/>
          <w:color w:val="auto"/>
          <w:kern w:val="0"/>
          <w:sz w:val="52"/>
          <w:szCs w:val="52"/>
          <w:highlight w:val="none"/>
        </w:rPr>
      </w:pPr>
    </w:p>
    <w:p w14:paraId="11940D8E">
      <w:pPr>
        <w:autoSpaceDE w:val="0"/>
        <w:autoSpaceDN w:val="0"/>
        <w:adjustRightInd w:val="0"/>
        <w:spacing w:before="840" w:beforeLines="350" w:after="360" w:afterLines="150" w:line="360" w:lineRule="auto"/>
        <w:jc w:val="center"/>
        <w:rPr>
          <w:rFonts w:hint="eastAsia"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07B1BB51">
      <w:pPr>
        <w:autoSpaceDE w:val="0"/>
        <w:autoSpaceDN w:val="0"/>
        <w:adjustRightInd w:val="0"/>
        <w:spacing w:line="360" w:lineRule="auto"/>
        <w:jc w:val="left"/>
        <w:rPr>
          <w:rFonts w:hint="eastAsia" w:ascii="宋体" w:hAnsi="宋体" w:eastAsia="宋体" w:cs="宋体"/>
          <w:color w:val="auto"/>
          <w:kern w:val="0"/>
          <w:sz w:val="48"/>
          <w:szCs w:val="48"/>
          <w:highlight w:val="none"/>
        </w:rPr>
      </w:pPr>
    </w:p>
    <w:p w14:paraId="620FCF55">
      <w:pPr>
        <w:autoSpaceDE w:val="0"/>
        <w:autoSpaceDN w:val="0"/>
        <w:adjustRightInd w:val="0"/>
        <w:spacing w:line="360" w:lineRule="auto"/>
        <w:jc w:val="left"/>
        <w:rPr>
          <w:rFonts w:hint="eastAsia" w:ascii="宋体" w:hAnsi="宋体" w:eastAsia="宋体" w:cs="宋体"/>
          <w:color w:val="auto"/>
          <w:kern w:val="0"/>
          <w:sz w:val="48"/>
          <w:szCs w:val="48"/>
          <w:highlight w:val="none"/>
        </w:rPr>
      </w:pPr>
    </w:p>
    <w:p w14:paraId="13307E4E">
      <w:pPr>
        <w:autoSpaceDE w:val="0"/>
        <w:autoSpaceDN w:val="0"/>
        <w:adjustRightInd w:val="0"/>
        <w:spacing w:line="360" w:lineRule="auto"/>
        <w:ind w:firstLine="2528" w:firstLineChars="787"/>
        <w:jc w:val="left"/>
        <w:rPr>
          <w:rFonts w:hint="eastAsia" w:ascii="宋体" w:hAnsi="宋体" w:eastAsia="宋体" w:cs="宋体"/>
          <w:b/>
          <w:bCs/>
          <w:color w:val="auto"/>
          <w:kern w:val="0"/>
          <w:sz w:val="32"/>
          <w:szCs w:val="32"/>
          <w:highlight w:val="none"/>
          <w:u w:val="single"/>
        </w:rPr>
      </w:pPr>
      <w:r>
        <w:rPr>
          <w:rFonts w:hint="eastAsia" w:ascii="宋体" w:hAnsi="宋体" w:eastAsia="宋体" w:cs="宋体"/>
          <w:b/>
          <w:bCs/>
          <w:color w:val="auto"/>
          <w:kern w:val="0"/>
          <w:sz w:val="32"/>
          <w:szCs w:val="32"/>
          <w:highlight w:val="none"/>
        </w:rPr>
        <w:t>合同编号：</w:t>
      </w:r>
      <w:r>
        <w:rPr>
          <w:rFonts w:hint="eastAsia" w:ascii="宋体" w:hAnsi="宋体" w:eastAsia="宋体" w:cs="宋体"/>
          <w:b/>
          <w:bCs/>
          <w:color w:val="auto"/>
          <w:kern w:val="0"/>
          <w:sz w:val="32"/>
          <w:szCs w:val="32"/>
          <w:highlight w:val="none"/>
          <w:u w:val="single"/>
        </w:rPr>
        <w:t xml:space="preserve">                       </w:t>
      </w:r>
    </w:p>
    <w:p w14:paraId="535B8AE2">
      <w:pPr>
        <w:autoSpaceDE w:val="0"/>
        <w:autoSpaceDN w:val="0"/>
        <w:adjustRightInd w:val="0"/>
        <w:spacing w:line="360" w:lineRule="auto"/>
        <w:ind w:firstLine="2528" w:firstLineChars="787"/>
        <w:jc w:val="left"/>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甲    方：</w:t>
      </w:r>
      <w:r>
        <w:rPr>
          <w:rFonts w:hint="eastAsia" w:ascii="宋体" w:hAnsi="宋体" w:eastAsia="宋体" w:cs="宋体"/>
          <w:b/>
          <w:bCs/>
          <w:color w:val="auto"/>
          <w:kern w:val="0"/>
          <w:sz w:val="32"/>
          <w:szCs w:val="32"/>
          <w:highlight w:val="none"/>
          <w:u w:val="single"/>
        </w:rPr>
        <w:t xml:space="preserve">                       </w:t>
      </w:r>
    </w:p>
    <w:p w14:paraId="194A7368">
      <w:pPr>
        <w:autoSpaceDE w:val="0"/>
        <w:autoSpaceDN w:val="0"/>
        <w:adjustRightInd w:val="0"/>
        <w:spacing w:line="360" w:lineRule="auto"/>
        <w:ind w:firstLine="2528" w:firstLineChars="787"/>
        <w:jc w:val="left"/>
        <w:rPr>
          <w:rFonts w:hint="eastAsia" w:ascii="宋体" w:hAnsi="宋体" w:eastAsia="宋体" w:cs="宋体"/>
          <w:b/>
          <w:bCs/>
          <w:color w:val="auto"/>
          <w:kern w:val="0"/>
          <w:sz w:val="32"/>
          <w:szCs w:val="32"/>
          <w:highlight w:val="none"/>
          <w:u w:val="single"/>
        </w:rPr>
      </w:pPr>
      <w:r>
        <w:rPr>
          <w:rFonts w:hint="eastAsia" w:ascii="宋体" w:hAnsi="宋体" w:eastAsia="宋体" w:cs="宋体"/>
          <w:b/>
          <w:bCs/>
          <w:color w:val="auto"/>
          <w:kern w:val="0"/>
          <w:sz w:val="32"/>
          <w:szCs w:val="32"/>
          <w:highlight w:val="none"/>
        </w:rPr>
        <w:t>乙    方：</w:t>
      </w:r>
      <w:r>
        <w:rPr>
          <w:rFonts w:hint="eastAsia" w:ascii="宋体" w:hAnsi="宋体" w:eastAsia="宋体" w:cs="宋体"/>
          <w:b/>
          <w:bCs/>
          <w:color w:val="auto"/>
          <w:kern w:val="0"/>
          <w:sz w:val="32"/>
          <w:szCs w:val="32"/>
          <w:highlight w:val="none"/>
          <w:u w:val="single"/>
        </w:rPr>
        <w:t xml:space="preserve">                       </w:t>
      </w:r>
    </w:p>
    <w:p w14:paraId="7CCB2227">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3C9AC12A">
      <w:pPr>
        <w:autoSpaceDE w:val="0"/>
        <w:autoSpaceDN w:val="0"/>
        <w:adjustRightInd w:val="0"/>
        <w:spacing w:line="360" w:lineRule="auto"/>
        <w:ind w:firstLine="0" w:firstLineChars="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42EE1040">
      <w:pPr>
        <w:autoSpaceDE w:val="0"/>
        <w:autoSpaceDN w:val="0"/>
        <w:adjustRightInd w:val="0"/>
        <w:jc w:val="left"/>
        <w:rPr>
          <w:rFonts w:hint="eastAsia" w:ascii="宋体" w:hAnsi="宋体" w:eastAsia="宋体" w:cs="宋体"/>
          <w:b/>
          <w:bCs/>
          <w:color w:val="auto"/>
          <w:kern w:val="0"/>
          <w:sz w:val="28"/>
          <w:szCs w:val="28"/>
          <w:highlight w:val="none"/>
        </w:rPr>
      </w:pPr>
    </w:p>
    <w:p w14:paraId="62AEAA3F">
      <w:pPr>
        <w:autoSpaceDE w:val="0"/>
        <w:autoSpaceDN w:val="0"/>
        <w:adjustRightInd w:val="0"/>
        <w:jc w:val="left"/>
        <w:rPr>
          <w:rFonts w:hint="eastAsia" w:ascii="宋体" w:hAnsi="宋体" w:eastAsia="宋体" w:cs="宋体"/>
          <w:b/>
          <w:bCs/>
          <w:color w:val="auto"/>
          <w:kern w:val="0"/>
          <w:sz w:val="28"/>
          <w:szCs w:val="28"/>
          <w:highlight w:val="none"/>
        </w:rPr>
      </w:pPr>
    </w:p>
    <w:p w14:paraId="09334816">
      <w:pPr>
        <w:pageBreakBefore/>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甲方： </w:t>
      </w:r>
      <w:r>
        <w:rPr>
          <w:rFonts w:hint="eastAsia" w:ascii="宋体" w:hAnsi="宋体" w:eastAsia="宋体" w:cs="宋体"/>
          <w:color w:val="auto"/>
          <w:kern w:val="0"/>
          <w:szCs w:val="21"/>
          <w:highlight w:val="none"/>
          <w:u w:val="single"/>
        </w:rPr>
        <w:t xml:space="preserve">                          </w:t>
      </w:r>
    </w:p>
    <w:p w14:paraId="3FD62B49">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w:t>
      </w:r>
      <w:r>
        <w:rPr>
          <w:rFonts w:hint="eastAsia" w:ascii="宋体" w:hAnsi="宋体" w:eastAsia="宋体" w:cs="宋体"/>
          <w:color w:val="auto"/>
          <w:kern w:val="0"/>
          <w:szCs w:val="21"/>
          <w:highlight w:val="none"/>
          <w:u w:val="single"/>
        </w:rPr>
        <w:t xml:space="preserve">                           </w:t>
      </w:r>
    </w:p>
    <w:p w14:paraId="61144F2B">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根据《中华人民共和国民法典》及</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日通知的 </w:t>
      </w:r>
      <w:r>
        <w:rPr>
          <w:rFonts w:hint="eastAsia" w:ascii="宋体" w:hAnsi="宋体" w:eastAsia="宋体" w:cs="宋体"/>
          <w:color w:val="auto"/>
          <w:kern w:val="0"/>
          <w:szCs w:val="21"/>
          <w:highlight w:val="none"/>
          <w:u w:val="single"/>
        </w:rPr>
        <w:t xml:space="preserve">东莞市水务集团有限公司2025年液态次氯酸钠采购项目 </w:t>
      </w:r>
      <w:r>
        <w:rPr>
          <w:rFonts w:hint="eastAsia" w:ascii="宋体" w:hAnsi="宋体" w:eastAsia="宋体" w:cs="宋体"/>
          <w:color w:val="auto"/>
          <w:kern w:val="0"/>
          <w:szCs w:val="21"/>
          <w:highlight w:val="none"/>
        </w:rPr>
        <w:t>中标结果（招标编号：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）和招标文件的要求，经双方协商一致，签订本合同。</w:t>
      </w:r>
    </w:p>
    <w:p w14:paraId="1315BC91">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bookmarkStart w:id="437" w:name="_Toc4173"/>
      <w:bookmarkStart w:id="438" w:name="_Toc22409"/>
      <w:r>
        <w:rPr>
          <w:rFonts w:hint="eastAsia" w:ascii="宋体" w:hAnsi="宋体" w:eastAsia="宋体" w:cs="宋体"/>
          <w:b/>
          <w:color w:val="auto"/>
          <w:kern w:val="0"/>
          <w:szCs w:val="21"/>
          <w:highlight w:val="none"/>
        </w:rPr>
        <w:t>第一条 合同项目</w:t>
      </w:r>
      <w:bookmarkEnd w:id="437"/>
      <w:bookmarkEnd w:id="438"/>
    </w:p>
    <w:p w14:paraId="01683111">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1、合同货物清单：</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838"/>
        <w:gridCol w:w="836"/>
        <w:gridCol w:w="807"/>
        <w:gridCol w:w="1342"/>
        <w:gridCol w:w="1369"/>
        <w:gridCol w:w="1933"/>
        <w:gridCol w:w="1934"/>
      </w:tblGrid>
      <w:tr w14:paraId="0181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0" w:type="pct"/>
            <w:vMerge w:val="restart"/>
            <w:tcBorders>
              <w:top w:val="single" w:color="auto" w:sz="4" w:space="0"/>
              <w:left w:val="single" w:color="auto" w:sz="4" w:space="0"/>
              <w:right w:val="single" w:color="auto" w:sz="4" w:space="0"/>
            </w:tcBorders>
            <w:vAlign w:val="center"/>
          </w:tcPr>
          <w:p w14:paraId="5C4AAA68">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货物名称</w:t>
            </w:r>
          </w:p>
        </w:tc>
        <w:tc>
          <w:tcPr>
            <w:tcW w:w="404" w:type="pct"/>
            <w:vMerge w:val="restart"/>
            <w:tcBorders>
              <w:top w:val="single" w:color="auto" w:sz="4" w:space="0"/>
              <w:left w:val="single" w:color="auto" w:sz="4" w:space="0"/>
              <w:right w:val="single" w:color="auto" w:sz="4" w:space="0"/>
            </w:tcBorders>
            <w:vAlign w:val="center"/>
          </w:tcPr>
          <w:p w14:paraId="589BCF24">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品牌</w:t>
            </w:r>
          </w:p>
        </w:tc>
        <w:tc>
          <w:tcPr>
            <w:tcW w:w="403" w:type="pct"/>
            <w:vMerge w:val="restart"/>
            <w:tcBorders>
              <w:top w:val="single" w:color="auto" w:sz="4" w:space="0"/>
              <w:left w:val="single" w:color="auto" w:sz="4" w:space="0"/>
              <w:right w:val="single" w:color="auto" w:sz="4" w:space="0"/>
            </w:tcBorders>
            <w:vAlign w:val="center"/>
          </w:tcPr>
          <w:p w14:paraId="401A33A6">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产地</w:t>
            </w:r>
          </w:p>
        </w:tc>
        <w:tc>
          <w:tcPr>
            <w:tcW w:w="389" w:type="pct"/>
            <w:vMerge w:val="restart"/>
            <w:tcBorders>
              <w:top w:val="single" w:color="auto" w:sz="4" w:space="0"/>
              <w:left w:val="single" w:color="auto" w:sz="4" w:space="0"/>
              <w:right w:val="single" w:color="auto" w:sz="4" w:space="0"/>
            </w:tcBorders>
            <w:vAlign w:val="center"/>
          </w:tcPr>
          <w:p w14:paraId="27942E12">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c>
          <w:tcPr>
            <w:tcW w:w="1307" w:type="pct"/>
            <w:gridSpan w:val="2"/>
            <w:tcBorders>
              <w:top w:val="single" w:color="auto" w:sz="4" w:space="0"/>
              <w:left w:val="single" w:color="auto" w:sz="4" w:space="0"/>
              <w:bottom w:val="single" w:color="auto" w:sz="4" w:space="0"/>
              <w:right w:val="single" w:color="auto" w:sz="4" w:space="0"/>
            </w:tcBorders>
            <w:vAlign w:val="center"/>
          </w:tcPr>
          <w:p w14:paraId="455BA674">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暂定数量（吨）</w:t>
            </w:r>
          </w:p>
        </w:tc>
        <w:tc>
          <w:tcPr>
            <w:tcW w:w="932" w:type="pct"/>
            <w:vMerge w:val="restart"/>
            <w:tcBorders>
              <w:top w:val="single" w:color="auto" w:sz="4" w:space="0"/>
              <w:left w:val="single" w:color="auto" w:sz="4" w:space="0"/>
              <w:right w:val="single" w:color="auto" w:sz="4" w:space="0"/>
            </w:tcBorders>
            <w:vAlign w:val="center"/>
          </w:tcPr>
          <w:p w14:paraId="304DFEDA">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综合单价</w:t>
            </w:r>
          </w:p>
          <w:p w14:paraId="32307D19">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（元/吨）</w:t>
            </w:r>
          </w:p>
          <w:p w14:paraId="50B5E473">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（不含销项税）</w:t>
            </w:r>
          </w:p>
        </w:tc>
        <w:tc>
          <w:tcPr>
            <w:tcW w:w="932" w:type="pct"/>
            <w:vMerge w:val="restart"/>
            <w:tcBorders>
              <w:top w:val="single" w:color="auto" w:sz="4" w:space="0"/>
              <w:left w:val="single" w:color="auto" w:sz="4" w:space="0"/>
              <w:right w:val="single" w:color="auto" w:sz="4" w:space="0"/>
            </w:tcBorders>
            <w:vAlign w:val="center"/>
          </w:tcPr>
          <w:p w14:paraId="16DB9B3E">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所涉及公司或其权属子公司</w:t>
            </w:r>
          </w:p>
        </w:tc>
      </w:tr>
      <w:tr w14:paraId="3F6C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0" w:type="pct"/>
            <w:vMerge w:val="continue"/>
            <w:tcBorders>
              <w:left w:val="single" w:color="auto" w:sz="4" w:space="0"/>
              <w:bottom w:val="single" w:color="auto" w:sz="4" w:space="0"/>
              <w:right w:val="single" w:color="auto" w:sz="4" w:space="0"/>
            </w:tcBorders>
            <w:vAlign w:val="center"/>
          </w:tcPr>
          <w:p w14:paraId="61E365A8">
            <w:pPr>
              <w:snapToGrid w:val="0"/>
              <w:jc w:val="center"/>
              <w:rPr>
                <w:rFonts w:hint="eastAsia" w:ascii="宋体" w:hAnsi="宋体" w:eastAsia="宋体" w:cs="宋体"/>
                <w:b/>
                <w:color w:val="auto"/>
                <w:szCs w:val="21"/>
                <w:highlight w:val="none"/>
              </w:rPr>
            </w:pPr>
          </w:p>
        </w:tc>
        <w:tc>
          <w:tcPr>
            <w:tcW w:w="404" w:type="pct"/>
            <w:vMerge w:val="continue"/>
            <w:tcBorders>
              <w:left w:val="single" w:color="auto" w:sz="4" w:space="0"/>
              <w:bottom w:val="single" w:color="auto" w:sz="4" w:space="0"/>
              <w:right w:val="single" w:color="auto" w:sz="4" w:space="0"/>
            </w:tcBorders>
            <w:vAlign w:val="center"/>
          </w:tcPr>
          <w:p w14:paraId="5D25D7E2">
            <w:pPr>
              <w:snapToGrid w:val="0"/>
              <w:jc w:val="center"/>
              <w:rPr>
                <w:rFonts w:hint="eastAsia" w:ascii="宋体" w:hAnsi="宋体" w:eastAsia="宋体" w:cs="宋体"/>
                <w:b/>
                <w:color w:val="auto"/>
                <w:szCs w:val="21"/>
                <w:highlight w:val="none"/>
              </w:rPr>
            </w:pPr>
          </w:p>
        </w:tc>
        <w:tc>
          <w:tcPr>
            <w:tcW w:w="403" w:type="pct"/>
            <w:vMerge w:val="continue"/>
            <w:tcBorders>
              <w:left w:val="single" w:color="auto" w:sz="4" w:space="0"/>
              <w:bottom w:val="single" w:color="auto" w:sz="4" w:space="0"/>
              <w:right w:val="single" w:color="auto" w:sz="4" w:space="0"/>
            </w:tcBorders>
            <w:vAlign w:val="center"/>
          </w:tcPr>
          <w:p w14:paraId="00DB9437">
            <w:pPr>
              <w:snapToGrid w:val="0"/>
              <w:jc w:val="center"/>
              <w:rPr>
                <w:rFonts w:hint="eastAsia" w:ascii="宋体" w:hAnsi="宋体" w:eastAsia="宋体" w:cs="宋体"/>
                <w:b/>
                <w:color w:val="auto"/>
                <w:szCs w:val="21"/>
                <w:highlight w:val="none"/>
              </w:rPr>
            </w:pPr>
          </w:p>
        </w:tc>
        <w:tc>
          <w:tcPr>
            <w:tcW w:w="389" w:type="pct"/>
            <w:vMerge w:val="continue"/>
            <w:tcBorders>
              <w:left w:val="single" w:color="auto" w:sz="4" w:space="0"/>
              <w:bottom w:val="single" w:color="auto" w:sz="4" w:space="0"/>
              <w:right w:val="single" w:color="auto" w:sz="4" w:space="0"/>
            </w:tcBorders>
            <w:vAlign w:val="center"/>
          </w:tcPr>
          <w:p w14:paraId="04071C20">
            <w:pPr>
              <w:snapToGrid w:val="0"/>
              <w:jc w:val="center"/>
              <w:rPr>
                <w:rFonts w:hint="eastAsia" w:ascii="宋体" w:hAnsi="宋体" w:eastAsia="宋体" w:cs="宋体"/>
                <w:b/>
                <w:color w:val="auto"/>
                <w:szCs w:val="21"/>
                <w:highlight w:val="none"/>
              </w:rPr>
            </w:pPr>
          </w:p>
        </w:tc>
        <w:tc>
          <w:tcPr>
            <w:tcW w:w="647" w:type="pct"/>
            <w:tcBorders>
              <w:top w:val="single" w:color="auto" w:sz="4" w:space="0"/>
              <w:left w:val="single" w:color="auto" w:sz="4" w:space="0"/>
              <w:bottom w:val="single" w:color="auto" w:sz="4" w:space="0"/>
              <w:right w:val="single" w:color="auto" w:sz="4" w:space="0"/>
            </w:tcBorders>
            <w:vAlign w:val="center"/>
          </w:tcPr>
          <w:p w14:paraId="7A768BB5">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合计</w:t>
            </w:r>
          </w:p>
        </w:tc>
        <w:tc>
          <w:tcPr>
            <w:tcW w:w="660" w:type="pct"/>
            <w:tcBorders>
              <w:top w:val="single" w:color="auto" w:sz="4" w:space="0"/>
              <w:left w:val="single" w:color="auto" w:sz="4" w:space="0"/>
              <w:bottom w:val="single" w:color="auto" w:sz="4" w:space="0"/>
              <w:right w:val="single" w:color="auto" w:sz="4" w:space="0"/>
            </w:tcBorders>
            <w:vAlign w:val="center"/>
          </w:tcPr>
          <w:p w14:paraId="51B0358E">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小计</w:t>
            </w:r>
          </w:p>
        </w:tc>
        <w:tc>
          <w:tcPr>
            <w:tcW w:w="932" w:type="pct"/>
            <w:vMerge w:val="continue"/>
            <w:tcBorders>
              <w:left w:val="single" w:color="auto" w:sz="4" w:space="0"/>
              <w:bottom w:val="single" w:color="auto" w:sz="4" w:space="0"/>
              <w:right w:val="single" w:color="auto" w:sz="4" w:space="0"/>
            </w:tcBorders>
            <w:vAlign w:val="center"/>
          </w:tcPr>
          <w:p w14:paraId="2691A3B9">
            <w:pPr>
              <w:snapToGrid w:val="0"/>
              <w:jc w:val="center"/>
              <w:rPr>
                <w:rFonts w:hint="eastAsia" w:ascii="宋体" w:hAnsi="宋体" w:eastAsia="宋体" w:cs="宋体"/>
                <w:b/>
                <w:color w:val="auto"/>
                <w:szCs w:val="21"/>
                <w:highlight w:val="none"/>
                <w:u w:val="words"/>
              </w:rPr>
            </w:pPr>
          </w:p>
        </w:tc>
        <w:tc>
          <w:tcPr>
            <w:tcW w:w="932" w:type="pct"/>
            <w:vMerge w:val="continue"/>
            <w:tcBorders>
              <w:left w:val="single" w:color="auto" w:sz="4" w:space="0"/>
              <w:bottom w:val="single" w:color="auto" w:sz="4" w:space="0"/>
              <w:right w:val="single" w:color="auto" w:sz="4" w:space="0"/>
            </w:tcBorders>
            <w:vAlign w:val="center"/>
          </w:tcPr>
          <w:p w14:paraId="78CDDFDF">
            <w:pPr>
              <w:snapToGrid w:val="0"/>
              <w:jc w:val="center"/>
              <w:rPr>
                <w:rFonts w:hint="eastAsia" w:ascii="宋体" w:hAnsi="宋体" w:eastAsia="宋体" w:cs="宋体"/>
                <w:b/>
                <w:color w:val="auto"/>
                <w:szCs w:val="21"/>
                <w:highlight w:val="none"/>
                <w:u w:val="words"/>
              </w:rPr>
            </w:pPr>
          </w:p>
        </w:tc>
      </w:tr>
      <w:tr w14:paraId="0926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0" w:type="pct"/>
            <w:vMerge w:val="restart"/>
            <w:tcBorders>
              <w:top w:val="single" w:color="auto" w:sz="4" w:space="0"/>
              <w:left w:val="single" w:color="auto" w:sz="4" w:space="0"/>
              <w:right w:val="single" w:color="auto" w:sz="4" w:space="0"/>
            </w:tcBorders>
            <w:vAlign w:val="center"/>
          </w:tcPr>
          <w:p w14:paraId="6D1F4F70">
            <w:pPr>
              <w:snapToGrid w:val="0"/>
              <w:jc w:val="center"/>
              <w:rPr>
                <w:rFonts w:hint="eastAsia" w:ascii="宋体" w:hAnsi="宋体" w:eastAsia="宋体" w:cs="宋体"/>
                <w:color w:val="auto"/>
                <w:szCs w:val="21"/>
                <w:highlight w:val="none"/>
                <w:u w:val="words"/>
              </w:rPr>
            </w:pPr>
            <w:r>
              <w:rPr>
                <w:rFonts w:hint="eastAsia" w:ascii="宋体" w:hAnsi="宋体" w:eastAsia="宋体" w:cs="宋体"/>
                <w:color w:val="auto"/>
                <w:szCs w:val="21"/>
                <w:highlight w:val="none"/>
              </w:rPr>
              <w:t>液态次氯酸钠</w:t>
            </w:r>
          </w:p>
        </w:tc>
        <w:tc>
          <w:tcPr>
            <w:tcW w:w="404" w:type="pct"/>
            <w:tcBorders>
              <w:top w:val="single" w:color="auto" w:sz="4" w:space="0"/>
              <w:left w:val="single" w:color="auto" w:sz="4" w:space="0"/>
              <w:bottom w:val="single" w:color="auto" w:sz="4" w:space="0"/>
              <w:right w:val="single" w:color="auto" w:sz="4" w:space="0"/>
            </w:tcBorders>
            <w:vAlign w:val="center"/>
          </w:tcPr>
          <w:p w14:paraId="5BAD02B1">
            <w:pPr>
              <w:snapToGrid w:val="0"/>
              <w:jc w:val="center"/>
              <w:rPr>
                <w:rFonts w:hint="eastAsia" w:ascii="宋体" w:hAnsi="宋体" w:eastAsia="宋体" w:cs="宋体"/>
                <w:color w:val="auto"/>
                <w:szCs w:val="21"/>
                <w:highlight w:val="none"/>
                <w:u w:val="words"/>
              </w:rPr>
            </w:pPr>
          </w:p>
        </w:tc>
        <w:tc>
          <w:tcPr>
            <w:tcW w:w="403" w:type="pct"/>
            <w:tcBorders>
              <w:top w:val="single" w:color="auto" w:sz="4" w:space="0"/>
              <w:left w:val="single" w:color="auto" w:sz="4" w:space="0"/>
              <w:bottom w:val="single" w:color="auto" w:sz="4" w:space="0"/>
              <w:right w:val="single" w:color="auto" w:sz="4" w:space="0"/>
            </w:tcBorders>
            <w:vAlign w:val="center"/>
          </w:tcPr>
          <w:p w14:paraId="28D255A0">
            <w:pPr>
              <w:snapToGrid w:val="0"/>
              <w:jc w:val="center"/>
              <w:rPr>
                <w:rFonts w:hint="eastAsia" w:ascii="宋体" w:hAnsi="宋体" w:eastAsia="宋体" w:cs="宋体"/>
                <w:color w:val="auto"/>
                <w:szCs w:val="21"/>
                <w:highlight w:val="none"/>
                <w:u w:val="words"/>
              </w:rPr>
            </w:pPr>
          </w:p>
        </w:tc>
        <w:tc>
          <w:tcPr>
            <w:tcW w:w="389" w:type="pct"/>
            <w:tcBorders>
              <w:top w:val="single" w:color="auto" w:sz="4" w:space="0"/>
              <w:left w:val="single" w:color="auto" w:sz="4" w:space="0"/>
              <w:bottom w:val="single" w:color="auto" w:sz="4" w:space="0"/>
              <w:right w:val="single" w:color="auto" w:sz="4" w:space="0"/>
            </w:tcBorders>
            <w:vAlign w:val="center"/>
          </w:tcPr>
          <w:p w14:paraId="28745599">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吨</w:t>
            </w:r>
          </w:p>
        </w:tc>
        <w:tc>
          <w:tcPr>
            <w:tcW w:w="647" w:type="pct"/>
            <w:vMerge w:val="restart"/>
            <w:tcBorders>
              <w:top w:val="single" w:color="auto" w:sz="4" w:space="0"/>
              <w:left w:val="single" w:color="auto" w:sz="4" w:space="0"/>
              <w:right w:val="single" w:color="auto" w:sz="4" w:space="0"/>
            </w:tcBorders>
            <w:vAlign w:val="center"/>
          </w:tcPr>
          <w:p w14:paraId="27D41AA0">
            <w:pPr>
              <w:snapToGrid w:val="0"/>
              <w:jc w:val="center"/>
              <w:rPr>
                <w:rFonts w:hint="eastAsia" w:ascii="宋体" w:hAnsi="宋体" w:eastAsia="宋体" w:cs="宋体"/>
                <w:color w:val="auto"/>
                <w:szCs w:val="21"/>
                <w:highlight w:val="none"/>
                <w:u w:val="words"/>
              </w:rPr>
            </w:pPr>
            <w:r>
              <w:rPr>
                <w:rFonts w:hint="eastAsia" w:ascii="宋体" w:hAnsi="宋体" w:eastAsia="宋体" w:cs="宋体"/>
                <w:color w:val="auto"/>
                <w:szCs w:val="21"/>
                <w:highlight w:val="none"/>
              </w:rPr>
              <w:t>38500</w:t>
            </w:r>
          </w:p>
        </w:tc>
        <w:tc>
          <w:tcPr>
            <w:tcW w:w="660" w:type="pct"/>
            <w:tcBorders>
              <w:top w:val="single" w:color="auto" w:sz="4" w:space="0"/>
              <w:left w:val="single" w:color="auto" w:sz="4" w:space="0"/>
              <w:bottom w:val="single" w:color="auto" w:sz="4" w:space="0"/>
              <w:right w:val="single" w:color="auto" w:sz="4" w:space="0"/>
            </w:tcBorders>
            <w:vAlign w:val="center"/>
          </w:tcPr>
          <w:p w14:paraId="367BF9A8">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33650</w:t>
            </w:r>
          </w:p>
        </w:tc>
        <w:tc>
          <w:tcPr>
            <w:tcW w:w="932" w:type="pct"/>
            <w:tcBorders>
              <w:top w:val="single" w:color="auto" w:sz="4" w:space="0"/>
              <w:left w:val="single" w:color="auto" w:sz="4" w:space="0"/>
              <w:bottom w:val="single" w:color="auto" w:sz="4" w:space="0"/>
              <w:right w:val="single" w:color="auto" w:sz="4" w:space="0"/>
            </w:tcBorders>
            <w:vAlign w:val="center"/>
          </w:tcPr>
          <w:p w14:paraId="2A920902">
            <w:pPr>
              <w:snapToGrid w:val="0"/>
              <w:jc w:val="center"/>
              <w:rPr>
                <w:rFonts w:hint="eastAsia" w:ascii="宋体" w:hAnsi="宋体" w:eastAsia="宋体" w:cs="宋体"/>
                <w:color w:val="auto"/>
                <w:szCs w:val="21"/>
                <w:highlight w:val="none"/>
                <w:u w:val="words"/>
              </w:rPr>
            </w:pPr>
          </w:p>
        </w:tc>
        <w:tc>
          <w:tcPr>
            <w:tcW w:w="932" w:type="pct"/>
            <w:tcBorders>
              <w:top w:val="single" w:color="auto" w:sz="4" w:space="0"/>
              <w:left w:val="single" w:color="auto" w:sz="4" w:space="0"/>
              <w:bottom w:val="single" w:color="auto" w:sz="4" w:space="0"/>
              <w:right w:val="single" w:color="auto" w:sz="4" w:space="0"/>
            </w:tcBorders>
            <w:vAlign w:val="center"/>
          </w:tcPr>
          <w:p w14:paraId="26FEAE44">
            <w:pPr>
              <w:snapToGrid w:val="0"/>
              <w:jc w:val="center"/>
              <w:rPr>
                <w:rFonts w:hint="eastAsia" w:ascii="宋体" w:hAnsi="宋体" w:eastAsia="宋体" w:cs="宋体"/>
                <w:color w:val="auto"/>
                <w:szCs w:val="21"/>
                <w:highlight w:val="none"/>
                <w:u w:val="words"/>
              </w:rPr>
            </w:pPr>
            <w:r>
              <w:rPr>
                <w:rFonts w:hint="eastAsia" w:ascii="宋体" w:hAnsi="宋体" w:eastAsia="宋体" w:cs="宋体"/>
                <w:color w:val="auto"/>
                <w:szCs w:val="21"/>
                <w:highlight w:val="none"/>
              </w:rPr>
              <w:t>供水公司</w:t>
            </w:r>
          </w:p>
        </w:tc>
      </w:tr>
      <w:tr w14:paraId="4481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0" w:type="pct"/>
            <w:vMerge w:val="continue"/>
            <w:tcBorders>
              <w:left w:val="single" w:color="auto" w:sz="4" w:space="0"/>
              <w:right w:val="single" w:color="auto" w:sz="4" w:space="0"/>
            </w:tcBorders>
            <w:vAlign w:val="center"/>
          </w:tcPr>
          <w:p w14:paraId="125BC849">
            <w:pPr>
              <w:snapToGrid w:val="0"/>
              <w:jc w:val="center"/>
              <w:rPr>
                <w:rFonts w:hint="eastAsia" w:ascii="宋体" w:hAnsi="宋体" w:eastAsia="宋体" w:cs="宋体"/>
                <w:color w:val="auto"/>
                <w:szCs w:val="21"/>
                <w:highlight w:val="none"/>
              </w:rPr>
            </w:pPr>
          </w:p>
        </w:tc>
        <w:tc>
          <w:tcPr>
            <w:tcW w:w="404" w:type="pct"/>
            <w:tcBorders>
              <w:top w:val="single" w:color="auto" w:sz="4" w:space="0"/>
              <w:left w:val="single" w:color="auto" w:sz="4" w:space="0"/>
              <w:right w:val="single" w:color="auto" w:sz="4" w:space="0"/>
            </w:tcBorders>
            <w:vAlign w:val="center"/>
          </w:tcPr>
          <w:p w14:paraId="1CAE45A8">
            <w:pPr>
              <w:snapToGrid w:val="0"/>
              <w:jc w:val="center"/>
              <w:rPr>
                <w:rFonts w:hint="eastAsia" w:ascii="宋体" w:hAnsi="宋体" w:eastAsia="宋体" w:cs="宋体"/>
                <w:color w:val="auto"/>
                <w:szCs w:val="21"/>
                <w:highlight w:val="none"/>
                <w:u w:val="words"/>
              </w:rPr>
            </w:pPr>
          </w:p>
        </w:tc>
        <w:tc>
          <w:tcPr>
            <w:tcW w:w="403" w:type="pct"/>
            <w:tcBorders>
              <w:top w:val="single" w:color="auto" w:sz="4" w:space="0"/>
              <w:left w:val="single" w:color="auto" w:sz="4" w:space="0"/>
              <w:right w:val="single" w:color="auto" w:sz="4" w:space="0"/>
            </w:tcBorders>
            <w:vAlign w:val="center"/>
          </w:tcPr>
          <w:p w14:paraId="141531DE">
            <w:pPr>
              <w:snapToGrid w:val="0"/>
              <w:jc w:val="center"/>
              <w:rPr>
                <w:rFonts w:hint="eastAsia" w:ascii="宋体" w:hAnsi="宋体" w:eastAsia="宋体" w:cs="宋体"/>
                <w:color w:val="auto"/>
                <w:szCs w:val="21"/>
                <w:highlight w:val="none"/>
                <w:u w:val="words"/>
              </w:rPr>
            </w:pPr>
          </w:p>
        </w:tc>
        <w:tc>
          <w:tcPr>
            <w:tcW w:w="389" w:type="pct"/>
            <w:tcBorders>
              <w:top w:val="single" w:color="auto" w:sz="4" w:space="0"/>
              <w:left w:val="single" w:color="auto" w:sz="4" w:space="0"/>
              <w:right w:val="single" w:color="auto" w:sz="4" w:space="0"/>
            </w:tcBorders>
            <w:vAlign w:val="center"/>
          </w:tcPr>
          <w:p w14:paraId="3E33AA8B">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吨</w:t>
            </w:r>
          </w:p>
        </w:tc>
        <w:tc>
          <w:tcPr>
            <w:tcW w:w="647" w:type="pct"/>
            <w:vMerge w:val="continue"/>
            <w:tcBorders>
              <w:left w:val="single" w:color="auto" w:sz="4" w:space="0"/>
              <w:right w:val="single" w:color="auto" w:sz="4" w:space="0"/>
            </w:tcBorders>
            <w:vAlign w:val="center"/>
          </w:tcPr>
          <w:p w14:paraId="2F669C26">
            <w:pPr>
              <w:snapToGrid w:val="0"/>
              <w:jc w:val="center"/>
              <w:rPr>
                <w:rFonts w:hint="eastAsia" w:ascii="宋体" w:hAnsi="宋体" w:eastAsia="宋体" w:cs="宋体"/>
                <w:color w:val="auto"/>
                <w:szCs w:val="21"/>
                <w:highlight w:val="none"/>
              </w:rPr>
            </w:pPr>
          </w:p>
        </w:tc>
        <w:tc>
          <w:tcPr>
            <w:tcW w:w="660" w:type="pct"/>
            <w:tcBorders>
              <w:top w:val="single" w:color="auto" w:sz="4" w:space="0"/>
              <w:left w:val="single" w:color="auto" w:sz="4" w:space="0"/>
              <w:bottom w:val="single" w:color="auto" w:sz="4" w:space="0"/>
              <w:right w:val="single" w:color="auto" w:sz="4" w:space="0"/>
            </w:tcBorders>
            <w:vAlign w:val="center"/>
          </w:tcPr>
          <w:p w14:paraId="6A1EBBB5">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4850</w:t>
            </w:r>
          </w:p>
        </w:tc>
        <w:tc>
          <w:tcPr>
            <w:tcW w:w="932" w:type="pct"/>
            <w:tcBorders>
              <w:top w:val="single" w:color="auto" w:sz="4" w:space="0"/>
              <w:left w:val="single" w:color="auto" w:sz="4" w:space="0"/>
              <w:bottom w:val="single" w:color="auto" w:sz="4" w:space="0"/>
              <w:right w:val="single" w:color="auto" w:sz="4" w:space="0"/>
            </w:tcBorders>
            <w:vAlign w:val="center"/>
          </w:tcPr>
          <w:p w14:paraId="54D19034">
            <w:pPr>
              <w:snapToGrid w:val="0"/>
              <w:jc w:val="center"/>
              <w:rPr>
                <w:rFonts w:hint="eastAsia" w:ascii="宋体" w:hAnsi="宋体" w:eastAsia="宋体" w:cs="宋体"/>
                <w:color w:val="auto"/>
                <w:szCs w:val="21"/>
                <w:highlight w:val="none"/>
                <w:u w:val="words"/>
              </w:rPr>
            </w:pPr>
          </w:p>
        </w:tc>
        <w:tc>
          <w:tcPr>
            <w:tcW w:w="932" w:type="pct"/>
            <w:tcBorders>
              <w:top w:val="single" w:color="auto" w:sz="4" w:space="0"/>
              <w:left w:val="single" w:color="auto" w:sz="4" w:space="0"/>
              <w:bottom w:val="single" w:color="auto" w:sz="4" w:space="0"/>
              <w:right w:val="single" w:color="auto" w:sz="4" w:space="0"/>
            </w:tcBorders>
            <w:vAlign w:val="center"/>
          </w:tcPr>
          <w:p w14:paraId="0BBF7093">
            <w:pPr>
              <w:snapToGrid w:val="0"/>
              <w:jc w:val="center"/>
              <w:rPr>
                <w:rFonts w:hint="eastAsia" w:ascii="宋体" w:hAnsi="宋体" w:eastAsia="宋体" w:cs="宋体"/>
                <w:color w:val="auto"/>
                <w:szCs w:val="21"/>
                <w:highlight w:val="none"/>
                <w:u w:val="words"/>
              </w:rPr>
            </w:pPr>
            <w:r>
              <w:rPr>
                <w:rFonts w:hint="eastAsia" w:ascii="宋体" w:hAnsi="宋体" w:eastAsia="宋体" w:cs="宋体"/>
                <w:color w:val="auto"/>
                <w:szCs w:val="21"/>
                <w:highlight w:val="none"/>
              </w:rPr>
              <w:t>净水公司</w:t>
            </w:r>
          </w:p>
        </w:tc>
      </w:tr>
    </w:tbl>
    <w:p w14:paraId="46F84A87">
      <w:pPr>
        <w:autoSpaceDE w:val="0"/>
        <w:autoSpaceDN w:val="0"/>
        <w:adjustRightInd w:val="0"/>
        <w:snapToGrid w:val="0"/>
        <w:spacing w:before="120" w:beforeLines="50"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备注：上述暂定数量仅为便于计算合同暂定总价价使用，不作为甲方最终采购数量的保证。</w:t>
      </w:r>
      <w:r>
        <w:rPr>
          <w:rFonts w:hint="eastAsia" w:ascii="宋体" w:hAnsi="宋体" w:eastAsia="宋体" w:cs="宋体"/>
          <w:b/>
          <w:color w:val="auto"/>
          <w:kern w:val="0"/>
          <w:szCs w:val="21"/>
          <w:highlight w:val="none"/>
        </w:rPr>
        <w:t>实际根据项目工艺及性质，结合小试、中试实际试用后的情况选用，</w:t>
      </w:r>
      <w:r>
        <w:rPr>
          <w:rFonts w:hint="eastAsia" w:ascii="宋体" w:hAnsi="宋体" w:eastAsia="宋体" w:cs="宋体"/>
          <w:bCs/>
          <w:color w:val="auto"/>
          <w:kern w:val="0"/>
          <w:szCs w:val="21"/>
          <w:highlight w:val="none"/>
        </w:rPr>
        <w:t>甲方的实际需求数量以各运营项目的供货通知为准，在供货期内乙方不得因甲方实际采购数量的减少或增加而要求提供任何形式的补偿或赔偿，或要求甲方按暂定数量采购相应货物。</w:t>
      </w:r>
    </w:p>
    <w:p w14:paraId="15A0D845">
      <w:pPr>
        <w:autoSpaceDE w:val="0"/>
        <w:autoSpaceDN w:val="0"/>
        <w:adjustRightInd w:val="0"/>
        <w:snapToGrid w:val="0"/>
        <w:spacing w:line="360" w:lineRule="auto"/>
        <w:ind w:firstLine="420" w:firstLineChars="20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rPr>
        <w:t>合同履约过程中，如本项目因新增合同主体需要额外供货，</w:t>
      </w:r>
      <w:r>
        <w:rPr>
          <w:rFonts w:hint="eastAsia" w:ascii="宋体" w:hAnsi="宋体" w:eastAsia="宋体" w:cs="宋体"/>
          <w:bCs/>
          <w:color w:val="auto"/>
          <w:kern w:val="0"/>
          <w:szCs w:val="21"/>
          <w:highlight w:val="none"/>
        </w:rPr>
        <w:t>甲方</w:t>
      </w:r>
      <w:r>
        <w:rPr>
          <w:rFonts w:hint="eastAsia" w:ascii="宋体" w:hAnsi="宋体" w:eastAsia="宋体" w:cs="宋体"/>
          <w:color w:val="auto"/>
          <w:szCs w:val="21"/>
          <w:highlight w:val="none"/>
        </w:rPr>
        <w:t>含</w:t>
      </w:r>
      <w:r>
        <w:rPr>
          <w:rFonts w:hint="eastAsia" w:ascii="宋体" w:hAnsi="宋体" w:eastAsia="宋体" w:cs="宋体"/>
          <w:bCs/>
          <w:color w:val="auto"/>
          <w:kern w:val="0"/>
          <w:szCs w:val="21"/>
          <w:highlight w:val="none"/>
        </w:rPr>
        <w:t>甲方</w:t>
      </w:r>
      <w:r>
        <w:rPr>
          <w:rFonts w:hint="eastAsia" w:ascii="宋体" w:hAnsi="宋体" w:eastAsia="宋体" w:cs="宋体"/>
          <w:color w:val="auto"/>
          <w:szCs w:val="21"/>
          <w:highlight w:val="none"/>
        </w:rPr>
        <w:t>权属子公司、分公司）有权依据不含税中标综合单价与</w:t>
      </w:r>
      <w:r>
        <w:rPr>
          <w:rFonts w:hint="eastAsia" w:ascii="宋体" w:hAnsi="宋体" w:eastAsia="宋体" w:cs="宋体"/>
          <w:bCs/>
          <w:color w:val="auto"/>
          <w:kern w:val="0"/>
          <w:szCs w:val="21"/>
          <w:highlight w:val="none"/>
        </w:rPr>
        <w:t>乙方</w:t>
      </w:r>
      <w:r>
        <w:rPr>
          <w:rFonts w:hint="eastAsia" w:ascii="宋体" w:hAnsi="宋体" w:eastAsia="宋体" w:cs="宋体"/>
          <w:color w:val="auto"/>
          <w:szCs w:val="21"/>
          <w:highlight w:val="none"/>
        </w:rPr>
        <w:t>协商并签订补充协议，并确保其作为原合同的有效补充。</w:t>
      </w:r>
      <w:r>
        <w:rPr>
          <w:rFonts w:hint="eastAsia" w:ascii="宋体" w:hAnsi="宋体" w:eastAsia="宋体" w:cs="宋体"/>
          <w:bCs/>
          <w:color w:val="auto"/>
          <w:kern w:val="0"/>
          <w:szCs w:val="21"/>
          <w:highlight w:val="none"/>
        </w:rPr>
        <w:t>乙方</w:t>
      </w:r>
      <w:r>
        <w:rPr>
          <w:rFonts w:hint="eastAsia" w:ascii="宋体" w:hAnsi="宋体" w:eastAsia="宋体" w:cs="宋体"/>
          <w:color w:val="auto"/>
          <w:szCs w:val="21"/>
          <w:highlight w:val="none"/>
        </w:rPr>
        <w:t>应充分理解并接受本项目在合同履约期间可能新增合同主体的可能性，并承诺在接到</w:t>
      </w:r>
      <w:r>
        <w:rPr>
          <w:rFonts w:hint="eastAsia" w:ascii="宋体" w:hAnsi="宋体" w:eastAsia="宋体" w:cs="宋体"/>
          <w:bCs/>
          <w:color w:val="auto"/>
          <w:kern w:val="0"/>
          <w:szCs w:val="21"/>
          <w:highlight w:val="none"/>
        </w:rPr>
        <w:t>甲方</w:t>
      </w:r>
      <w:r>
        <w:rPr>
          <w:rFonts w:hint="eastAsia" w:ascii="宋体" w:hAnsi="宋体" w:eastAsia="宋体" w:cs="宋体"/>
          <w:color w:val="auto"/>
          <w:szCs w:val="21"/>
          <w:highlight w:val="none"/>
        </w:rPr>
        <w:t>（含</w:t>
      </w:r>
      <w:r>
        <w:rPr>
          <w:rFonts w:hint="eastAsia" w:ascii="宋体" w:hAnsi="宋体" w:eastAsia="宋体" w:cs="宋体"/>
          <w:bCs/>
          <w:color w:val="auto"/>
          <w:kern w:val="0"/>
          <w:szCs w:val="21"/>
          <w:highlight w:val="none"/>
        </w:rPr>
        <w:t>甲方</w:t>
      </w:r>
      <w:r>
        <w:rPr>
          <w:rFonts w:hint="eastAsia" w:ascii="宋体" w:hAnsi="宋体" w:eastAsia="宋体" w:cs="宋体"/>
          <w:color w:val="auto"/>
          <w:szCs w:val="21"/>
          <w:highlight w:val="none"/>
        </w:rPr>
        <w:t>权属子公司、分公司）关于新增合同主体的供货通知及签订补充协议的要求时，积极配合并履行相应的供货义务，确保供货的及时性和质量等符合原合同的要求。</w:t>
      </w:r>
    </w:p>
    <w:p w14:paraId="3477A345">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、本合同的供货期</w:t>
      </w:r>
    </w:p>
    <w:p w14:paraId="61A70883">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r>
        <w:rPr>
          <w:rFonts w:hint="eastAsia" w:ascii="宋体" w:hAnsi="宋体" w:eastAsia="宋体" w:cs="宋体"/>
          <w:color w:val="auto"/>
          <w:kern w:val="0"/>
          <w:szCs w:val="21"/>
          <w:highlight w:val="none"/>
        </w:rPr>
        <w:t>供货期：合同签订之日起一年内，即</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日至</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日，具体供货起始日期以甲方书面通知为准。乙方收到甲方通知后必须无条件按照本合同约定开始供货。</w:t>
      </w:r>
    </w:p>
    <w:p w14:paraId="7ED2B034">
      <w:pPr>
        <w:autoSpaceDE w:val="0"/>
        <w:autoSpaceDN w:val="0"/>
        <w:adjustRightInd w:val="0"/>
        <w:snapToGrid w:val="0"/>
        <w:spacing w:line="360" w:lineRule="auto"/>
        <w:ind w:left="2"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lang w:eastAsia="zh-Hans"/>
        </w:rPr>
        <w:t>本合同项下</w:t>
      </w:r>
      <w:r>
        <w:rPr>
          <w:rFonts w:hint="eastAsia" w:ascii="宋体" w:hAnsi="宋体" w:eastAsia="宋体" w:cs="宋体"/>
          <w:color w:val="auto"/>
          <w:kern w:val="0"/>
          <w:szCs w:val="21"/>
          <w:highlight w:val="none"/>
          <w:lang w:val="zh-CN"/>
        </w:rPr>
        <w:t>供货期限届满</w:t>
      </w:r>
      <w:r>
        <w:rPr>
          <w:rFonts w:hint="eastAsia" w:ascii="宋体" w:hAnsi="宋体" w:eastAsia="宋体" w:cs="宋体"/>
          <w:color w:val="auto"/>
          <w:kern w:val="0"/>
          <w:szCs w:val="21"/>
          <w:highlight w:val="none"/>
        </w:rPr>
        <w:t>前</w:t>
      </w:r>
      <w:r>
        <w:rPr>
          <w:rFonts w:hint="eastAsia" w:ascii="宋体" w:hAnsi="宋体" w:eastAsia="宋体" w:cs="宋体"/>
          <w:color w:val="auto"/>
          <w:kern w:val="0"/>
          <w:szCs w:val="21"/>
          <w:highlight w:val="none"/>
          <w:lang w:val="zh-CN"/>
        </w:rPr>
        <w:t>，甲方根据实际生产需要，</w:t>
      </w:r>
      <w:r>
        <w:rPr>
          <w:rFonts w:hint="eastAsia" w:ascii="宋体" w:hAnsi="宋体" w:eastAsia="宋体" w:cs="宋体"/>
          <w:color w:val="auto"/>
          <w:szCs w:val="21"/>
          <w:highlight w:val="none"/>
        </w:rPr>
        <w:t>经双方协商同意后</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可以</w:t>
      </w:r>
      <w:r>
        <w:rPr>
          <w:rFonts w:hint="eastAsia" w:ascii="宋体" w:hAnsi="宋体" w:eastAsia="宋体" w:cs="宋体"/>
          <w:color w:val="auto"/>
          <w:kern w:val="0"/>
          <w:szCs w:val="21"/>
          <w:highlight w:val="none"/>
          <w:lang w:val="zh-CN"/>
        </w:rPr>
        <w:t>在保持综合单价不变的情况下，与乙方签订补充协议延长供货期，乙方应予以配合，延长供货期</w:t>
      </w:r>
      <w:r>
        <w:rPr>
          <w:rFonts w:hint="eastAsia" w:ascii="宋体" w:hAnsi="宋体" w:eastAsia="宋体" w:cs="宋体"/>
          <w:color w:val="auto"/>
          <w:kern w:val="0"/>
          <w:szCs w:val="21"/>
          <w:highlight w:val="none"/>
        </w:rPr>
        <w:t>一般不超过三个月</w:t>
      </w:r>
      <w:r>
        <w:rPr>
          <w:rFonts w:hint="eastAsia" w:ascii="宋体" w:hAnsi="宋体" w:eastAsia="宋体" w:cs="宋体"/>
          <w:color w:val="auto"/>
          <w:kern w:val="0"/>
          <w:szCs w:val="21"/>
          <w:highlight w:val="none"/>
          <w:lang w:val="zh-CN"/>
        </w:rPr>
        <w:t>。</w:t>
      </w:r>
    </w:p>
    <w:p w14:paraId="16A7003A">
      <w:pPr>
        <w:autoSpaceDE w:val="0"/>
        <w:autoSpaceDN w:val="0"/>
        <w:adjustRightInd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合同履行中，甲方在本合同约定的供货期和采购范围内，有权根据项目实际情况及有关法律法规、政策的规定对合同的相应条款进行变更调整。在变更调整后，乙方应遵照执行。如有违反，甲方有权按本合同暂定含税总合同价的【1%】要求乙方承担违约金。</w:t>
      </w:r>
    </w:p>
    <w:p w14:paraId="1D536B40">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4、乙方应承担完成合同义务的全部费用，包括但不限于：</w:t>
      </w:r>
    </w:p>
    <w:p w14:paraId="524B3D3F">
      <w:pPr>
        <w:autoSpaceDE w:val="0"/>
        <w:autoSpaceDN w:val="0"/>
        <w:adjustRightInd w:val="0"/>
        <w:snapToGrid w:val="0"/>
        <w:spacing w:line="360" w:lineRule="auto"/>
        <w:ind w:left="2" w:firstLine="564" w:firstLineChars="269"/>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（1）合同范围内所有货物的研究、采购、制造、检验、配合试验（含小试、中试）、包装、储存、运输（退换货运输）、称重、装卸、安全、保险、培训、验收的费用；</w:t>
      </w:r>
    </w:p>
    <w:p w14:paraId="491F7A4C">
      <w:pPr>
        <w:autoSpaceDE w:val="0"/>
        <w:autoSpaceDN w:val="0"/>
        <w:adjustRightInd w:val="0"/>
        <w:snapToGrid w:val="0"/>
        <w:spacing w:line="360" w:lineRule="auto"/>
        <w:ind w:left="2" w:firstLine="564" w:firstLineChars="269"/>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应急供货费用、为满足项目调试需求导致的小批量、多频次分散供货的成本以及货物运输、货物验收合格前发生的安全事故所产生的一切费用；</w:t>
      </w:r>
    </w:p>
    <w:p w14:paraId="07EC6520">
      <w:pPr>
        <w:autoSpaceDE w:val="0"/>
        <w:autoSpaceDN w:val="0"/>
        <w:adjustRightInd w:val="0"/>
        <w:snapToGrid w:val="0"/>
        <w:spacing w:line="360" w:lineRule="auto"/>
        <w:ind w:left="2" w:firstLine="564" w:firstLineChars="269"/>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zh-CN"/>
        </w:rPr>
        <w:t>）货物及其工艺所有制造方、甲方应支付的对专有技术、商标权、专利权和版权、设计或其他知识产权而需要向其他方支付的版税；</w:t>
      </w:r>
    </w:p>
    <w:p w14:paraId="32698DEF">
      <w:pPr>
        <w:autoSpaceDE w:val="0"/>
        <w:autoSpaceDN w:val="0"/>
        <w:adjustRightInd w:val="0"/>
        <w:snapToGrid w:val="0"/>
        <w:spacing w:line="360" w:lineRule="auto"/>
        <w:ind w:left="2" w:firstLine="564" w:firstLineChars="269"/>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（4）日常技术指导，免费的质保服务，包括但不限于免费现场质量问题处理或更换无效产品</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按甲方要求小试、中试，并以甲方确认的最优化的产品成分配比供货</w:t>
      </w:r>
      <w:r>
        <w:rPr>
          <w:rFonts w:hint="eastAsia" w:ascii="宋体" w:hAnsi="宋体" w:eastAsia="宋体" w:cs="宋体"/>
          <w:color w:val="auto"/>
          <w:kern w:val="0"/>
          <w:szCs w:val="21"/>
          <w:highlight w:val="none"/>
          <w:lang w:val="zh-CN"/>
        </w:rPr>
        <w:t>；</w:t>
      </w:r>
    </w:p>
    <w:p w14:paraId="33752747">
      <w:pPr>
        <w:autoSpaceDE w:val="0"/>
        <w:autoSpaceDN w:val="0"/>
        <w:adjustRightInd w:val="0"/>
        <w:snapToGrid w:val="0"/>
        <w:spacing w:line="360" w:lineRule="auto"/>
        <w:ind w:left="1018" w:leftChars="235"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（5）合理利润、</w:t>
      </w:r>
      <w:r>
        <w:rPr>
          <w:rFonts w:hint="eastAsia" w:ascii="宋体" w:hAnsi="宋体" w:eastAsia="宋体" w:cs="宋体"/>
          <w:color w:val="auto"/>
          <w:szCs w:val="21"/>
          <w:highlight w:val="none"/>
          <w:lang w:val="zh-CN"/>
        </w:rPr>
        <w:t>乙方销项税额以外的税费</w:t>
      </w:r>
      <w:r>
        <w:rPr>
          <w:rFonts w:hint="eastAsia" w:ascii="宋体" w:hAnsi="宋体" w:eastAsia="宋体" w:cs="宋体"/>
          <w:color w:val="auto"/>
          <w:kern w:val="0"/>
          <w:szCs w:val="21"/>
          <w:highlight w:val="none"/>
        </w:rPr>
        <w:t>等；</w:t>
      </w:r>
    </w:p>
    <w:p w14:paraId="29E3E1C3">
      <w:pPr>
        <w:autoSpaceDE w:val="0"/>
        <w:autoSpaceDN w:val="0"/>
        <w:adjustRightInd w:val="0"/>
        <w:snapToGrid w:val="0"/>
        <w:spacing w:line="360" w:lineRule="auto"/>
        <w:ind w:left="1018" w:leftChars="235"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val="zh-CN"/>
        </w:rPr>
        <w:t>（6）法律法规、商业公认、招标文件规定由乙方承担的其他直接及间接费用</w:t>
      </w:r>
      <w:r>
        <w:rPr>
          <w:rFonts w:hint="eastAsia" w:ascii="宋体" w:hAnsi="宋体" w:eastAsia="宋体" w:cs="宋体"/>
          <w:color w:val="auto"/>
          <w:szCs w:val="21"/>
          <w:highlight w:val="none"/>
          <w:lang w:val="zh-CN"/>
        </w:rPr>
        <w:t>。</w:t>
      </w:r>
    </w:p>
    <w:p w14:paraId="2C42AA34">
      <w:pPr>
        <w:spacing w:line="360" w:lineRule="auto"/>
        <w:ind w:left="124" w:leftChars="59" w:firstLine="422" w:firstLineChars="20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eastAsia="zh-Hans"/>
        </w:rPr>
        <w:t>货物</w:t>
      </w:r>
      <w:r>
        <w:rPr>
          <w:rFonts w:hint="eastAsia" w:ascii="宋体" w:hAnsi="宋体" w:eastAsia="宋体" w:cs="宋体"/>
          <w:bCs/>
          <w:color w:val="auto"/>
          <w:szCs w:val="21"/>
          <w:highlight w:val="none"/>
          <w:lang w:val="zh-CN"/>
        </w:rPr>
        <w:t>的供货按照甲方各运营项目的实际供货需求，将会存在不同项目、不同时间、不同批次供货的情况（</w:t>
      </w:r>
      <w:r>
        <w:rPr>
          <w:rFonts w:hint="eastAsia" w:ascii="宋体" w:hAnsi="宋体" w:eastAsia="宋体" w:cs="宋体"/>
          <w:color w:val="auto"/>
          <w:szCs w:val="21"/>
          <w:highlight w:val="none"/>
        </w:rPr>
        <w:t>单批次配送量存在</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吨至10吨不等的情况，具体以运营项目储存量和使用量决定</w:t>
      </w:r>
      <w:r>
        <w:rPr>
          <w:rFonts w:hint="eastAsia" w:ascii="宋体" w:hAnsi="宋体" w:eastAsia="宋体" w:cs="宋体"/>
          <w:bCs/>
          <w:color w:val="auto"/>
          <w:szCs w:val="21"/>
          <w:highlight w:val="none"/>
          <w:lang w:val="zh-CN"/>
        </w:rPr>
        <w:t>），乙方应充分考虑上述因素可能导致的增加成本，并且该成本已包含在上述全部费用内。</w:t>
      </w:r>
    </w:p>
    <w:p w14:paraId="3E61AC6F">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p>
    <w:p w14:paraId="29FE22A2">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bookmarkStart w:id="439" w:name="_Toc32070"/>
      <w:bookmarkStart w:id="440" w:name="_Toc8263"/>
      <w:r>
        <w:rPr>
          <w:rFonts w:hint="eastAsia" w:ascii="宋体" w:hAnsi="宋体" w:eastAsia="宋体" w:cs="宋体"/>
          <w:b/>
          <w:color w:val="auto"/>
          <w:kern w:val="0"/>
          <w:szCs w:val="21"/>
          <w:highlight w:val="none"/>
        </w:rPr>
        <w:t>第二条 合同价款及销项税价</w:t>
      </w:r>
      <w:bookmarkEnd w:id="439"/>
      <w:bookmarkEnd w:id="440"/>
    </w:p>
    <w:p w14:paraId="335B3220">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1、本合同综合单价（即销售额，不含乙方销项税额）为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元/吨（大写人民币每吨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在本合同履行过程中，综合单</w:t>
      </w:r>
      <w:r>
        <w:rPr>
          <w:rFonts w:hint="eastAsia" w:ascii="宋体" w:hAnsi="宋体" w:eastAsia="宋体" w:cs="宋体"/>
          <w:color w:val="auto"/>
          <w:kern w:val="0"/>
          <w:szCs w:val="21"/>
          <w:highlight w:val="none"/>
        </w:rPr>
        <w:t>价（即销售额，不含乙方销项税额）</w:t>
      </w:r>
      <w:r>
        <w:rPr>
          <w:rFonts w:hint="eastAsia" w:ascii="宋体" w:hAnsi="宋体" w:eastAsia="宋体" w:cs="宋体"/>
          <w:color w:val="auto"/>
          <w:kern w:val="0"/>
          <w:szCs w:val="21"/>
          <w:highlight w:val="none"/>
          <w:lang w:val="zh-CN"/>
        </w:rPr>
        <w:t>固定不变，不因材料、成分比例调整、劳务成本、运输成本、货物的行业标准或国家标准的变动等其他任何理由予以变更。</w:t>
      </w:r>
      <w:r>
        <w:rPr>
          <w:rFonts w:hint="eastAsia" w:ascii="宋体" w:hAnsi="宋体" w:eastAsia="宋体" w:cs="宋体"/>
          <w:color w:val="auto"/>
          <w:kern w:val="0"/>
          <w:szCs w:val="21"/>
          <w:highlight w:val="none"/>
        </w:rPr>
        <w:t>未经甲方书面确认，乙方无权增加任何费用。若出现合同约定的销售折扣情形，甲、乙双方协商一致后降低综合单价。</w:t>
      </w:r>
    </w:p>
    <w:p w14:paraId="1DD91E62">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综合单价为液态次氯酸钠的全费用包干价，包括但不限于液态次氯酸钠的研究、采购、制造、检验、包装、储存、运输、称重、装卸、安全、保险、培训、验收，以及合理利润、税费（含货款的增值税正式发票的税金）等。</w:t>
      </w:r>
    </w:p>
    <w:p w14:paraId="1CAAE028">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3、依法计得并根据本合同约定确定的销项税额由甲方承担。根据</w:t>
      </w:r>
      <w:r>
        <w:rPr>
          <w:rFonts w:hint="eastAsia" w:ascii="宋体" w:hAnsi="宋体" w:eastAsia="宋体" w:cs="宋体"/>
          <w:color w:val="auto"/>
          <w:szCs w:val="21"/>
          <w:highlight w:val="none"/>
          <w:lang w:val="zh-CN"/>
        </w:rPr>
        <w:t>《中华人民共和国增值税暂行条例》（国务院令第691号修订版）</w:t>
      </w:r>
      <w:r>
        <w:rPr>
          <w:rFonts w:hint="eastAsia" w:ascii="宋体" w:hAnsi="宋体" w:eastAsia="宋体" w:cs="宋体"/>
          <w:color w:val="auto"/>
          <w:szCs w:val="21"/>
          <w:highlight w:val="none"/>
        </w:rPr>
        <w:t>及当前税务部门的相关规定，本合同项目的增值税税率为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，对应的销项税额为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元/吨（大写人民币每吨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在本合同履行过程中，</w:t>
      </w:r>
      <w:r>
        <w:rPr>
          <w:rFonts w:hint="eastAsia" w:ascii="宋体" w:hAnsi="宋体" w:eastAsia="宋体" w:cs="宋体"/>
          <w:color w:val="auto"/>
          <w:szCs w:val="21"/>
          <w:highlight w:val="none"/>
        </w:rPr>
        <w:t>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w:t>
      </w:r>
      <w:r>
        <w:rPr>
          <w:rFonts w:hint="eastAsia" w:ascii="宋体" w:hAnsi="宋体" w:eastAsia="宋体" w:cs="宋体"/>
          <w:color w:val="auto"/>
          <w:kern w:val="0"/>
          <w:szCs w:val="21"/>
          <w:highlight w:val="none"/>
        </w:rPr>
        <w:t>承担。</w:t>
      </w:r>
    </w:p>
    <w:p w14:paraId="569B2866">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因乙方未按法定税率计算税额或未根据本合同约定出具对应税额的增值税正式发票等乙方原因导致甲方多支付税额的，乙方必须退还甲方，给甲方造成损失的，乙方须向甲方赔偿相应损失。</w:t>
      </w:r>
    </w:p>
    <w:p w14:paraId="32E1B071">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4、合同综合单价价税合计为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元/吨（大写人民币每吨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），合同履行期间根据本条第2项规定调整销项税额的，综合单价价税合计对应调整。</w:t>
      </w:r>
    </w:p>
    <w:p w14:paraId="2FCF6E05">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5、采购合同项下暂定采购数量对应的暂定总合同价税合计为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（大写人民币</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30C64B2">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6、在供货期内，按月度结算，月度周期结束后，双方综合单价乘以实际供货数量，结合《供应商履约评价表》得分加上实际增值税税额进行结算。</w:t>
      </w:r>
    </w:p>
    <w:p w14:paraId="2A444666">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p>
    <w:p w14:paraId="1C0C207B">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bookmarkStart w:id="441" w:name="_Toc14105"/>
      <w:bookmarkStart w:id="442" w:name="_Toc10862"/>
      <w:r>
        <w:rPr>
          <w:rFonts w:hint="eastAsia" w:ascii="宋体" w:hAnsi="宋体" w:eastAsia="宋体" w:cs="宋体"/>
          <w:b/>
          <w:color w:val="auto"/>
          <w:kern w:val="0"/>
          <w:szCs w:val="21"/>
          <w:highlight w:val="none"/>
        </w:rPr>
        <w:t>第三条 合同组成</w:t>
      </w:r>
      <w:bookmarkEnd w:id="441"/>
      <w:bookmarkEnd w:id="442"/>
    </w:p>
    <w:p w14:paraId="5DFA8E8A">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本合同正文约定为准。</w:t>
      </w:r>
    </w:p>
    <w:p w14:paraId="0EF5EF08">
      <w:pPr>
        <w:autoSpaceDE w:val="0"/>
        <w:autoSpaceDN w:val="0"/>
        <w:adjustRightInd w:val="0"/>
        <w:snapToGrid w:val="0"/>
        <w:spacing w:line="360" w:lineRule="auto"/>
        <w:ind w:firstLine="422" w:firstLineChars="200"/>
        <w:jc w:val="left"/>
        <w:rPr>
          <w:rFonts w:hint="eastAsia" w:ascii="宋体" w:hAnsi="宋体" w:eastAsia="宋体" w:cs="宋体"/>
          <w:b/>
          <w:color w:val="auto"/>
          <w:kern w:val="0"/>
          <w:szCs w:val="21"/>
          <w:highlight w:val="none"/>
        </w:rPr>
      </w:pPr>
    </w:p>
    <w:p w14:paraId="769609F8">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bookmarkStart w:id="443" w:name="_Toc31212"/>
      <w:bookmarkStart w:id="444" w:name="_Toc4974"/>
      <w:r>
        <w:rPr>
          <w:rFonts w:hint="eastAsia" w:ascii="宋体" w:hAnsi="宋体" w:eastAsia="宋体" w:cs="宋体"/>
          <w:b/>
          <w:color w:val="auto"/>
          <w:kern w:val="0"/>
          <w:szCs w:val="21"/>
          <w:highlight w:val="none"/>
        </w:rPr>
        <w:t>第四条 技术要求及质量要求</w:t>
      </w:r>
      <w:bookmarkEnd w:id="443"/>
      <w:bookmarkEnd w:id="444"/>
    </w:p>
    <w:p w14:paraId="0015BF3C">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保证所提供货物均为采用合格材料和工艺制成的全新的未使用过的，并完全符合甲方招标文件要求及乙方投标文件承诺的质量、规格标准；同时乙方所提供货物，必须符合国家有关法律法规和环保、主管部门要求及甲方的技术要求，不存在侵犯第三人知识产权或其他权益的情况。</w:t>
      </w:r>
    </w:p>
    <w:p w14:paraId="03210101">
      <w:pPr>
        <w:pStyle w:val="6"/>
        <w:spacing w:line="360" w:lineRule="auto"/>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2、液态次氯酸钠产品外观为浅黄色透明液体，无沉淀，无悬浮异物。</w:t>
      </w:r>
    </w:p>
    <w:p w14:paraId="3A080335">
      <w:pPr>
        <w:pStyle w:val="6"/>
        <w:spacing w:line="360" w:lineRule="auto"/>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3、液态次氯酸钠必须符合《次氯酸钠》（GB 19106—2013）A型Ⅱ类产品质量及检测标准，另外供应东莞市水务集团供水有限公司（含子公司、分公司）的液态次氯酸必须为适用于饮用水处理的液态次氯酸钠，须提供所供产品制造商有效的涉及饮用水卫生安全产品卫生许可批件（即：须提供所供产品制造商有效的涉及饮用水卫生安全产品卫生许可批件复印件加盖投标人公章）。主要技术指标如下表：</w:t>
      </w:r>
    </w:p>
    <w:p w14:paraId="13854283">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液态次氯酸钠主要技术指标</w:t>
      </w:r>
    </w:p>
    <w:tbl>
      <w:tblPr>
        <w:tblStyle w:val="37"/>
        <w:tblW w:w="8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5"/>
        <w:gridCol w:w="3604"/>
      </w:tblGrid>
      <w:tr w14:paraId="29CC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635" w:type="dxa"/>
            <w:vAlign w:val="center"/>
          </w:tcPr>
          <w:p w14:paraId="5848B142">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指标项目</w:t>
            </w:r>
          </w:p>
        </w:tc>
        <w:tc>
          <w:tcPr>
            <w:tcW w:w="3604" w:type="dxa"/>
            <w:vAlign w:val="center"/>
          </w:tcPr>
          <w:p w14:paraId="742AC35D">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w:t>
            </w:r>
          </w:p>
        </w:tc>
      </w:tr>
      <w:tr w14:paraId="54FD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635" w:type="dxa"/>
            <w:vAlign w:val="center"/>
          </w:tcPr>
          <w:p w14:paraId="314DDB4D">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有效氯（以Cl计）  ω/% </w:t>
            </w:r>
          </w:p>
        </w:tc>
        <w:tc>
          <w:tcPr>
            <w:tcW w:w="3604" w:type="dxa"/>
            <w:vAlign w:val="center"/>
          </w:tcPr>
          <w:p w14:paraId="5C6E096E">
            <w:pPr>
              <w:spacing w:line="360" w:lineRule="auto"/>
              <w:ind w:firstLine="42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≥10.0</w:t>
            </w:r>
          </w:p>
        </w:tc>
      </w:tr>
      <w:tr w14:paraId="19E6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635" w:type="dxa"/>
            <w:vAlign w:val="center"/>
          </w:tcPr>
          <w:p w14:paraId="03AF453B">
            <w:pPr>
              <w:spacing w:line="360" w:lineRule="auto"/>
              <w:ind w:firstLine="1476" w:firstLineChars="7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游离碱（以NaOH计）ω/%  </w:t>
            </w:r>
          </w:p>
        </w:tc>
        <w:tc>
          <w:tcPr>
            <w:tcW w:w="3604" w:type="dxa"/>
            <w:vAlign w:val="center"/>
          </w:tcPr>
          <w:p w14:paraId="518366DC">
            <w:pPr>
              <w:spacing w:line="360" w:lineRule="auto"/>
              <w:ind w:firstLine="42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0.1~1.0</w:t>
            </w:r>
          </w:p>
        </w:tc>
      </w:tr>
      <w:tr w14:paraId="76BE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635" w:type="dxa"/>
            <w:vAlign w:val="center"/>
          </w:tcPr>
          <w:p w14:paraId="5018B11A">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铁（Fe）           ω/% </w:t>
            </w:r>
          </w:p>
        </w:tc>
        <w:tc>
          <w:tcPr>
            <w:tcW w:w="3604" w:type="dxa"/>
            <w:vAlign w:val="center"/>
          </w:tcPr>
          <w:p w14:paraId="1B3170F4">
            <w:pPr>
              <w:spacing w:line="360" w:lineRule="auto"/>
              <w:ind w:firstLine="42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≤0.005</w:t>
            </w:r>
          </w:p>
        </w:tc>
      </w:tr>
      <w:tr w14:paraId="57AA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635" w:type="dxa"/>
            <w:vAlign w:val="center"/>
          </w:tcPr>
          <w:p w14:paraId="4F7FFC1E">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重金属（以Pb计）  ω/% </w:t>
            </w:r>
          </w:p>
        </w:tc>
        <w:tc>
          <w:tcPr>
            <w:tcW w:w="3604" w:type="dxa"/>
            <w:vAlign w:val="center"/>
          </w:tcPr>
          <w:p w14:paraId="5A0D9B62">
            <w:pPr>
              <w:spacing w:line="360" w:lineRule="auto"/>
              <w:ind w:firstLine="42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≤0.001</w:t>
            </w:r>
          </w:p>
        </w:tc>
      </w:tr>
      <w:tr w14:paraId="4874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635" w:type="dxa"/>
            <w:vAlign w:val="center"/>
          </w:tcPr>
          <w:p w14:paraId="46D88742">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砷（As）           ω/% </w:t>
            </w:r>
          </w:p>
        </w:tc>
        <w:tc>
          <w:tcPr>
            <w:tcW w:w="3604" w:type="dxa"/>
            <w:vAlign w:val="center"/>
          </w:tcPr>
          <w:p w14:paraId="3AC02EB0">
            <w:pPr>
              <w:spacing w:line="360" w:lineRule="auto"/>
              <w:ind w:firstLine="42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≤0.0001</w:t>
            </w:r>
          </w:p>
        </w:tc>
      </w:tr>
    </w:tbl>
    <w:p w14:paraId="7E112C32">
      <w:pPr>
        <w:pStyle w:val="6"/>
        <w:ind w:firstLine="420" w:firstLineChars="200"/>
        <w:rPr>
          <w:rFonts w:hint="eastAsia" w:hAnsi="宋体" w:cs="宋体"/>
          <w:color w:val="auto"/>
          <w:kern w:val="2"/>
          <w:sz w:val="21"/>
          <w:szCs w:val="21"/>
          <w:highlight w:val="none"/>
        </w:rPr>
      </w:pPr>
    </w:p>
    <w:p w14:paraId="121E3447">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货物必须符合中华人民共和国国家及行业有关标准。若供货期内有发布最新的行业标准或国家标准，乙方提供的货物质量应符合供货期内发布的最新行业标准或国家标准。</w:t>
      </w:r>
      <w:r>
        <w:rPr>
          <w:rFonts w:hint="eastAsia" w:ascii="宋体" w:hAnsi="宋体" w:eastAsia="宋体" w:cs="宋体"/>
          <w:color w:val="auto"/>
          <w:kern w:val="0"/>
          <w:szCs w:val="21"/>
          <w:highlight w:val="none"/>
        </w:rPr>
        <w:t>甲方有权根据项目实际情况及有关行业标准或国家标准对合同的主要技术指标进行变更调整，乙方应无条件接受。</w:t>
      </w:r>
    </w:p>
    <w:p w14:paraId="5DFFEA94">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乙方有义务配合甲方运营项目进行药剂的小试、中试，以确定货物的适用性选型，或者货物的最优化成分配比，并在适用性的前提下按最优化的成分配比进行供货，以实现低药耗、高效率的运营目标，同时合同综合单价固定不变。如果乙方提供的货物无法满足单个项目低耗、高效的要求，或者乙方提供的货物无法达到甲方另行选择的货物的投加综合效益，甲方有权另行选择供应商。</w:t>
      </w:r>
    </w:p>
    <w:p w14:paraId="7CB30DFE">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、乙方配合甲方运营项目进行小试、中试，提供小试、中试生产药剂，做好货物的成分配比等服务，乙方完成本项义务的相关费用已包含在已供货的货物的综合单价内，甲方无需另行支付其他费用。</w:t>
      </w:r>
    </w:p>
    <w:p w14:paraId="096A980C">
      <w:pPr>
        <w:spacing w:line="360" w:lineRule="auto"/>
        <w:ind w:firstLine="422" w:firstLineChars="200"/>
        <w:jc w:val="left"/>
        <w:rPr>
          <w:rFonts w:hint="eastAsia" w:ascii="宋体" w:hAnsi="宋体" w:eastAsia="宋体" w:cs="宋体"/>
          <w:b/>
          <w:color w:val="auto"/>
          <w:kern w:val="0"/>
          <w:szCs w:val="21"/>
          <w:highlight w:val="none"/>
        </w:rPr>
      </w:pPr>
    </w:p>
    <w:p w14:paraId="33A58BF2">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bookmarkStart w:id="445" w:name="_Toc63"/>
      <w:bookmarkStart w:id="446" w:name="_Toc11517"/>
      <w:r>
        <w:rPr>
          <w:rFonts w:hint="eastAsia" w:ascii="宋体" w:hAnsi="宋体" w:eastAsia="宋体" w:cs="宋体"/>
          <w:b/>
          <w:color w:val="auto"/>
          <w:kern w:val="0"/>
          <w:szCs w:val="21"/>
          <w:highlight w:val="none"/>
        </w:rPr>
        <w:t xml:space="preserve">第五条 </w:t>
      </w:r>
      <w:r>
        <w:rPr>
          <w:rFonts w:hint="eastAsia" w:ascii="宋体" w:hAnsi="宋体" w:eastAsia="宋体" w:cs="宋体"/>
          <w:b/>
          <w:bCs/>
          <w:color w:val="auto"/>
          <w:kern w:val="0"/>
          <w:szCs w:val="21"/>
          <w:highlight w:val="none"/>
        </w:rPr>
        <w:t>包装及运输要求</w:t>
      </w:r>
      <w:bookmarkEnd w:id="445"/>
      <w:bookmarkEnd w:id="446"/>
    </w:p>
    <w:p w14:paraId="3AC60744">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1、乙方应自行负责将货物运送至由甲方确定的各运营项目。</w:t>
      </w:r>
    </w:p>
    <w:p w14:paraId="2B47950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zCs w:val="21"/>
          <w:highlight w:val="none"/>
        </w:rPr>
        <w:t>液态次氯酸钠</w:t>
      </w:r>
      <w:r>
        <w:rPr>
          <w:rFonts w:hint="eastAsia" w:ascii="宋体" w:hAnsi="宋体" w:eastAsia="宋体" w:cs="宋体"/>
          <w:color w:val="auto"/>
          <w:kern w:val="0"/>
          <w:szCs w:val="21"/>
          <w:highlight w:val="none"/>
        </w:rPr>
        <w:t>应采用聚乙烯塑料桶或专用耐酸耐腐蚀贮罐车</w:t>
      </w:r>
      <w:r>
        <w:rPr>
          <w:rFonts w:hint="eastAsia" w:ascii="宋体" w:hAnsi="宋体" w:eastAsia="宋体" w:cs="宋体"/>
          <w:color w:val="auto"/>
          <w:szCs w:val="21"/>
          <w:highlight w:val="none"/>
        </w:rPr>
        <w:t>密闭</w:t>
      </w:r>
      <w:r>
        <w:rPr>
          <w:rFonts w:hint="eastAsia" w:ascii="宋体" w:hAnsi="宋体" w:eastAsia="宋体" w:cs="宋体"/>
          <w:color w:val="auto"/>
          <w:kern w:val="0"/>
          <w:szCs w:val="21"/>
          <w:highlight w:val="none"/>
        </w:rPr>
        <w:t>装运，运输过程应防止药剂泄漏并避免有毒物品的污染（储罐车应</w:t>
      </w:r>
      <w:r>
        <w:rPr>
          <w:rFonts w:hint="eastAsia" w:ascii="宋体" w:hAnsi="宋体" w:eastAsia="宋体" w:cs="宋体"/>
          <w:color w:val="auto"/>
          <w:szCs w:val="21"/>
          <w:highlight w:val="none"/>
        </w:rPr>
        <w:t>定期清洗，清洗专用槽车槽罐内部每月不少于一次</w:t>
      </w:r>
      <w:r>
        <w:rPr>
          <w:rFonts w:hint="eastAsia" w:ascii="宋体" w:hAnsi="宋体" w:eastAsia="宋体" w:cs="宋体"/>
          <w:color w:val="auto"/>
          <w:kern w:val="0"/>
          <w:szCs w:val="21"/>
          <w:highlight w:val="none"/>
        </w:rPr>
        <w:t>）。</w:t>
      </w:r>
      <w:r>
        <w:rPr>
          <w:rFonts w:hint="eastAsia" w:ascii="宋体" w:hAnsi="宋体" w:eastAsia="宋体" w:cs="宋体"/>
          <w:b/>
          <w:bCs/>
          <w:color w:val="auto"/>
          <w:szCs w:val="21"/>
          <w:highlight w:val="none"/>
        </w:rPr>
        <w:t>液态次氯酸钠</w:t>
      </w:r>
      <w:r>
        <w:rPr>
          <w:rFonts w:hint="eastAsia" w:ascii="宋体" w:hAnsi="宋体" w:eastAsia="宋体" w:cs="宋体"/>
          <w:b/>
          <w:bCs/>
          <w:color w:val="auto"/>
          <w:kern w:val="0"/>
          <w:szCs w:val="21"/>
          <w:highlight w:val="none"/>
        </w:rPr>
        <w:t>包装及运输要求需符合《次氯酸钠》（GB19106-2013）A型Ⅱ类产品中所列标准</w:t>
      </w:r>
      <w:r>
        <w:rPr>
          <w:rFonts w:hint="eastAsia" w:ascii="宋体" w:hAnsi="宋体" w:eastAsia="宋体" w:cs="宋体"/>
          <w:color w:val="auto"/>
          <w:kern w:val="0"/>
          <w:szCs w:val="21"/>
          <w:highlight w:val="none"/>
        </w:rPr>
        <w:t>。供货期间，如有发布最新的国家标准，包装及运输按发布的最新国家标准执行。</w:t>
      </w:r>
    </w:p>
    <w:p w14:paraId="5332985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乙方或其委托的运输单位的运输人员应配备足够防护器具。如在运输及装卸过程中，货物发生泄漏，应由乙方负责清理收集，避免造成人员伤害或环境污染。凡由于货物包装不良、运输方式不当或非法运输造成的事故、损失、行政处罚和由此产生的其他全部费用均由乙方全部承担。</w:t>
      </w:r>
    </w:p>
    <w:p w14:paraId="3783C717">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p>
    <w:p w14:paraId="3DF2ECA2">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bookmarkStart w:id="447" w:name="_Toc18387"/>
      <w:r>
        <w:rPr>
          <w:rFonts w:hint="eastAsia" w:ascii="宋体" w:hAnsi="宋体" w:eastAsia="宋体" w:cs="宋体"/>
          <w:b/>
          <w:color w:val="auto"/>
          <w:kern w:val="0"/>
          <w:szCs w:val="21"/>
          <w:highlight w:val="none"/>
        </w:rPr>
        <w:t>第六条 货物的交付</w:t>
      </w:r>
      <w:bookmarkEnd w:id="447"/>
    </w:p>
    <w:p w14:paraId="78C01BED">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1、交货地点：甲方所属的在东莞市范围内的运营项目。</w:t>
      </w:r>
    </w:p>
    <w:p w14:paraId="582B8F57">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2、交货时间：合同签订后，乙方按甲方通知进行供货；乙方接到甲方的供货通知之时起必须在24小时内将货物送达交货地点。一般情况下，如甲方要求加急供货，乙方应在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小时内将货物送达甲方指定地点；特殊情况下，根据甲方要求时间节点要求将货物送达甲方指定地点且甲方无需因加急供货而额外支付任何费用。节假日期间，需保障正常供货，不受交通及其他方面的影响。</w:t>
      </w:r>
    </w:p>
    <w:p w14:paraId="1803EDA8">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3、乙方自行负责将货物运送至甲方指定位置，产品的运输装卸过程必须符合本合同第五条条款要求及国家或行业规范标准，并承担相应的运输、装卸等费用。</w:t>
      </w:r>
    </w:p>
    <w:p w14:paraId="5CF17A13">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每次送货，乙方需提供交货地点附近的电子地磅的称重单（含载货时的称重单和卸货后的称重单），相关费用由乙方承担。实际供货数量以甲方运营项目和乙方双方确认的电子地磅的称重单为准。甲方运营项目有电子地磅的，原则上在甲方运营项目过磅；甲方运营项目无电子地磅或电子地磅因检修等原因不可用的，在交货地点附近的电子地磅过磅。甲方及甲方关联公司电子地磅的称重服务不含税单价为1.51元/吨，称重服务相关条款由甲方或甲方关联公司与乙方签订称重服务合同另行约定。</w:t>
      </w:r>
    </w:p>
    <w:p w14:paraId="239E9B02">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每次送货，乙方须随货提供生产厂家出具的产品出厂质量检验报告（如产品合格证书、产品质量说明书、出厂检验报告等，产品出厂质量检验报告中应包括但不限于生产厂家名称、批号或生产日期、《次氯酸钠》（GB19106-2013）规定的出厂检验项目</w:t>
      </w:r>
      <w:r>
        <w:rPr>
          <w:rFonts w:hint="eastAsia" w:ascii="宋体" w:hAnsi="宋体" w:eastAsia="宋体" w:cs="宋体"/>
          <w:bCs/>
          <w:color w:val="auto"/>
          <w:szCs w:val="21"/>
          <w:highlight w:val="none"/>
        </w:rPr>
        <w:t>有效氯</w:t>
      </w:r>
      <w:r>
        <w:rPr>
          <w:rFonts w:hint="eastAsia" w:ascii="宋体" w:hAnsi="宋体" w:eastAsia="宋体" w:cs="宋体"/>
          <w:color w:val="auto"/>
          <w:kern w:val="0"/>
          <w:szCs w:val="21"/>
          <w:highlight w:val="none"/>
        </w:rPr>
        <w:t>、</w:t>
      </w:r>
      <w:r>
        <w:rPr>
          <w:rFonts w:hint="eastAsia" w:ascii="宋体" w:hAnsi="宋体" w:eastAsia="宋体" w:cs="宋体"/>
          <w:bCs/>
          <w:color w:val="auto"/>
          <w:szCs w:val="21"/>
          <w:highlight w:val="none"/>
        </w:rPr>
        <w:t>游离碱等</w:t>
      </w:r>
      <w:r>
        <w:rPr>
          <w:rFonts w:hint="eastAsia" w:ascii="宋体" w:hAnsi="宋体" w:eastAsia="宋体" w:cs="宋体"/>
          <w:color w:val="auto"/>
          <w:kern w:val="0"/>
          <w:szCs w:val="21"/>
          <w:highlight w:val="none"/>
        </w:rPr>
        <w:t>）、供货单据等资料，乙方提供的产品出厂质量检验报告只作为甲方运营项目参考。</w:t>
      </w:r>
    </w:p>
    <w:p w14:paraId="12D410BE">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供货期间，未收到甲方正式通知前，乙方无需为合同履行做准备工作。否则当甲方根据项目实际情况及有关法律法规、政策的规定对采购范围进行变更调整、或改变供货频率、或改变供货数量等，造成乙方已生产的产品过剩、过质保期无效等，甲方无需承担任何责任和费用。</w:t>
      </w:r>
    </w:p>
    <w:p w14:paraId="402EC815">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7、对货物的贮存装置、贮存条件等要求，乙方应详细告知甲方。</w:t>
      </w:r>
    </w:p>
    <w:p w14:paraId="23719136">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8、乙方提供的次氯酸钠如不能通过甲方验收的，乙方应该按照甲方要求无条件予以退换货，并承担相应责任和费用。</w:t>
      </w:r>
    </w:p>
    <w:p w14:paraId="3B6BF8F2">
      <w:pPr>
        <w:autoSpaceDE w:val="0"/>
        <w:autoSpaceDN w:val="0"/>
        <w:adjustRightInd w:val="0"/>
        <w:spacing w:line="360" w:lineRule="auto"/>
        <w:jc w:val="left"/>
        <w:rPr>
          <w:rFonts w:hint="eastAsia" w:ascii="宋体" w:hAnsi="宋体" w:eastAsia="宋体" w:cs="宋体"/>
          <w:bCs/>
          <w:color w:val="auto"/>
          <w:kern w:val="0"/>
          <w:szCs w:val="21"/>
          <w:highlight w:val="none"/>
        </w:rPr>
      </w:pPr>
    </w:p>
    <w:p w14:paraId="44C9B456">
      <w:pPr>
        <w:autoSpaceDE w:val="0"/>
        <w:autoSpaceDN w:val="0"/>
        <w:adjustRightInd w:val="0"/>
        <w:snapToGrid w:val="0"/>
        <w:spacing w:line="360" w:lineRule="auto"/>
        <w:ind w:firstLine="422" w:firstLineChars="200"/>
        <w:jc w:val="left"/>
        <w:outlineLvl w:val="0"/>
        <w:rPr>
          <w:rFonts w:hint="eastAsia" w:ascii="宋体" w:hAnsi="宋体" w:eastAsia="宋体" w:cs="宋体"/>
          <w:b/>
          <w:color w:val="auto"/>
          <w:kern w:val="0"/>
          <w:szCs w:val="21"/>
          <w:highlight w:val="none"/>
        </w:rPr>
      </w:pPr>
      <w:bookmarkStart w:id="448" w:name="_Toc19637"/>
      <w:bookmarkStart w:id="449" w:name="_Toc12557"/>
      <w:r>
        <w:rPr>
          <w:rFonts w:hint="eastAsia" w:ascii="宋体" w:hAnsi="宋体" w:eastAsia="宋体" w:cs="宋体"/>
          <w:b/>
          <w:color w:val="auto"/>
          <w:kern w:val="0"/>
          <w:szCs w:val="21"/>
          <w:highlight w:val="none"/>
        </w:rPr>
        <w:t>第七条 储存</w:t>
      </w:r>
      <w:bookmarkEnd w:id="448"/>
      <w:bookmarkEnd w:id="449"/>
    </w:p>
    <w:p w14:paraId="3FEBC07F">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1、乙方应协助和指导甲方进行货物的储存，对甲方的储存方式、方法、储存数量、仓库的安全设施设备、安全生产规章制度等是否符合国家标准或者国家有关规定提出合理的建议，并进行技术指导。</w:t>
      </w:r>
    </w:p>
    <w:p w14:paraId="192EDA5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2、对次氯酸钠的贮存装置、贮存条件等要求，乙方应详细告知甲方。</w:t>
      </w:r>
    </w:p>
    <w:p w14:paraId="183EFBE1">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p>
    <w:p w14:paraId="4940EF15">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bookmarkStart w:id="450" w:name="_Toc23072"/>
      <w:bookmarkStart w:id="451" w:name="_Toc24138"/>
      <w:r>
        <w:rPr>
          <w:rFonts w:hint="eastAsia" w:ascii="宋体" w:hAnsi="宋体" w:eastAsia="宋体" w:cs="宋体"/>
          <w:b/>
          <w:color w:val="auto"/>
          <w:kern w:val="0"/>
          <w:szCs w:val="21"/>
          <w:highlight w:val="none"/>
        </w:rPr>
        <w:t>第八条 验收</w:t>
      </w:r>
      <w:bookmarkEnd w:id="450"/>
      <w:bookmarkEnd w:id="451"/>
    </w:p>
    <w:p w14:paraId="7A238A98">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1、验收分为货到交货地点的初步验收和货物检验合格后的最终验收。</w:t>
      </w:r>
    </w:p>
    <w:p w14:paraId="64F97FBA">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（1）初步验收：</w:t>
      </w:r>
    </w:p>
    <w:p w14:paraId="7C6518A6">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货物运抵交货地点，甲方运营项目、乙方共同验货。甲方运营项目按照合同及招标文件，对货物的数量、品种、随车产品出厂质量检验报告、供货单据等进行核对。</w:t>
      </w:r>
    </w:p>
    <w:p w14:paraId="7D257ADC">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初步验收合格后，甲方运营项目、乙方双方进行相关签收手续。</w:t>
      </w:r>
    </w:p>
    <w:p w14:paraId="717F66E7">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（2）最终验收</w:t>
      </w:r>
    </w:p>
    <w:p w14:paraId="0F88D750">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1）每次货到现场时可由双方共同取样，由甲方实验室检验，其中有效氯</w:t>
      </w:r>
      <w:r>
        <w:rPr>
          <w:rFonts w:hint="eastAsia" w:ascii="宋体" w:hAnsi="宋体" w:eastAsia="宋体" w:cs="宋体"/>
          <w:color w:val="auto"/>
          <w:szCs w:val="21"/>
          <w:highlight w:val="none"/>
        </w:rPr>
        <w:t>（以Cl计）</w:t>
      </w:r>
      <w:r>
        <w:rPr>
          <w:rFonts w:hint="eastAsia" w:ascii="宋体" w:hAnsi="宋体" w:eastAsia="宋体" w:cs="宋体"/>
          <w:color w:val="auto"/>
          <w:kern w:val="0"/>
          <w:szCs w:val="21"/>
          <w:highlight w:val="none"/>
        </w:rPr>
        <w:t>为每次供货货物的批检检验指标，其余指标按需检验。供货货物合格判定以甲方实验室检验结果为准。甲方根据需要可委托具有CMA认证资质的第三方检测机</w:t>
      </w:r>
      <w:r>
        <w:rPr>
          <w:rFonts w:hint="eastAsia" w:ascii="Times New Roman" w:hAnsi="Times New Roman" w:eastAsia="宋体" w:cs="Times New Roman"/>
          <w:color w:val="auto"/>
          <w:kern w:val="0"/>
          <w:szCs w:val="21"/>
          <w:highlight w:val="none"/>
        </w:rPr>
        <w:t>构检测，</w:t>
      </w:r>
      <w:r>
        <w:rPr>
          <w:rFonts w:hint="eastAsia" w:ascii="Times New Roman" w:hAnsi="Times New Roman" w:cs="Times New Roman"/>
          <w:color w:val="auto"/>
          <w:kern w:val="0"/>
          <w:szCs w:val="21"/>
          <w:highlight w:val="none"/>
        </w:rPr>
        <w:t>甲方</w:t>
      </w:r>
      <w:r>
        <w:rPr>
          <w:rFonts w:hint="eastAsia" w:ascii="Times New Roman" w:hAnsi="Times New Roman" w:eastAsia="宋体" w:cs="Times New Roman"/>
          <w:color w:val="auto"/>
          <w:kern w:val="0"/>
          <w:szCs w:val="21"/>
          <w:highlight w:val="none"/>
        </w:rPr>
        <w:t>委托的具有CMA认证资质的第三方检测机构的检验结果与</w:t>
      </w:r>
      <w:r>
        <w:rPr>
          <w:rFonts w:hint="eastAsia" w:ascii="Times New Roman" w:hAnsi="Times New Roman" w:cs="Times New Roman"/>
          <w:color w:val="auto"/>
          <w:kern w:val="0"/>
          <w:szCs w:val="21"/>
          <w:highlight w:val="none"/>
        </w:rPr>
        <w:t>甲方</w:t>
      </w:r>
      <w:r>
        <w:rPr>
          <w:rFonts w:hint="eastAsia" w:ascii="Times New Roman" w:hAnsi="Times New Roman" w:eastAsia="宋体" w:cs="Times New Roman"/>
          <w:color w:val="auto"/>
          <w:kern w:val="0"/>
          <w:szCs w:val="21"/>
          <w:highlight w:val="none"/>
        </w:rPr>
        <w:t>公司实验室不一致的，该次的供货货物质量判定以</w:t>
      </w:r>
      <w:r>
        <w:rPr>
          <w:rFonts w:hint="eastAsia" w:ascii="Times New Roman" w:hAnsi="Times New Roman" w:cs="Times New Roman"/>
          <w:color w:val="auto"/>
          <w:kern w:val="0"/>
          <w:szCs w:val="21"/>
          <w:highlight w:val="none"/>
        </w:rPr>
        <w:t>甲方</w:t>
      </w:r>
      <w:r>
        <w:rPr>
          <w:rFonts w:hint="eastAsia" w:ascii="Times New Roman" w:hAnsi="Times New Roman" w:eastAsia="宋体" w:cs="Times New Roman"/>
          <w:color w:val="auto"/>
          <w:kern w:val="0"/>
          <w:szCs w:val="21"/>
          <w:highlight w:val="none"/>
        </w:rPr>
        <w:t>委托的具有CMA认证资质的第三方检测机构的检验结果为准（有效氯项目除外）</w:t>
      </w:r>
      <w:r>
        <w:rPr>
          <w:rFonts w:hint="eastAsia" w:ascii="宋体" w:hAnsi="宋体" w:eastAsia="宋体" w:cs="宋体"/>
          <w:color w:val="auto"/>
          <w:kern w:val="0"/>
          <w:szCs w:val="21"/>
          <w:highlight w:val="none"/>
        </w:rPr>
        <w:t>。</w:t>
      </w:r>
    </w:p>
    <w:p w14:paraId="33E1A50E">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2）货物检验方法按《次氯酸钠》（GB19106-2013）中的检测方法进行。供货期间，如有发布最新的行业标准或国家标准，货物检验方法按发布的最新行业标准或国家标准执行。</w:t>
      </w:r>
    </w:p>
    <w:p w14:paraId="452A0470">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3）如供货货物符合表《液态次氯酸钠主要技术指标》要求则验收合格。</w:t>
      </w:r>
    </w:p>
    <w:p w14:paraId="5788008D">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4）货物按上述程序验收后，甲方运营项目向乙方出具书面的验收报告，乙方需对验收报告盖章确认。验收报告作为对货物供货数量及主要技术指标验收的证明，不代表对货物使用效果的认可。</w:t>
      </w:r>
    </w:p>
    <w:p w14:paraId="3BF1801C">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若发现检验不合格，或因货物问题影响生产效果，乙方应按甲方要求对该批次供货量进行无条件退换，并承担该批货退换的费用，且保证不影响甲方正常生产的前提下及时按甲方的供货需求以加急供货的方式补充供货，</w:t>
      </w:r>
      <w:r>
        <w:rPr>
          <w:rFonts w:hint="eastAsia" w:ascii="宋体" w:hAnsi="宋体" w:eastAsia="宋体" w:cs="宋体"/>
          <w:color w:val="auto"/>
          <w:szCs w:val="21"/>
          <w:highlight w:val="none"/>
        </w:rPr>
        <w:t>否则按加急供货的违约规定进行处理</w:t>
      </w:r>
      <w:r>
        <w:rPr>
          <w:rFonts w:hint="eastAsia" w:ascii="宋体" w:hAnsi="宋体" w:eastAsia="宋体" w:cs="宋体"/>
          <w:color w:val="auto"/>
          <w:kern w:val="0"/>
          <w:szCs w:val="21"/>
          <w:highlight w:val="none"/>
        </w:rPr>
        <w:t>。</w:t>
      </w:r>
    </w:p>
    <w:p w14:paraId="76557CB0">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3、若乙方对甲方的检测结果有异议，在保证甲方正常生产的前提下，自</w:t>
      </w:r>
      <w:r>
        <w:rPr>
          <w:rFonts w:hint="eastAsia" w:ascii="宋体" w:hAnsi="宋体" w:eastAsia="宋体" w:cs="宋体"/>
          <w:color w:val="auto"/>
          <w:kern w:val="0"/>
          <w:szCs w:val="21"/>
          <w:highlight w:val="none"/>
          <w:lang w:eastAsia="zh"/>
        </w:rPr>
        <w:t>甲方书面告知乙方检验结果24小时内，乙方书面要求</w:t>
      </w:r>
      <w:r>
        <w:rPr>
          <w:rFonts w:hint="eastAsia" w:ascii="宋体" w:hAnsi="宋体" w:eastAsia="宋体" w:cs="宋体"/>
          <w:color w:val="auto"/>
          <w:kern w:val="0"/>
          <w:szCs w:val="21"/>
          <w:highlight w:val="none"/>
        </w:rPr>
        <w:t>由甲、乙双方确认的具有CMA认证资质的第三方检测机构对乙方提出异议的双方共同所取样品进行质量鉴定，以该检测机构检验结果为准</w:t>
      </w:r>
      <w:r>
        <w:rPr>
          <w:rFonts w:hint="eastAsia" w:ascii="宋体" w:hAnsi="宋体" w:eastAsia="宋体" w:cs="宋体"/>
          <w:color w:val="auto"/>
          <w:kern w:val="0"/>
          <w:szCs w:val="21"/>
          <w:highlight w:val="none"/>
          <w:lang w:eastAsia="zh-CN"/>
        </w:rPr>
        <w:t>（有效氯项目除外）</w:t>
      </w:r>
      <w:r>
        <w:rPr>
          <w:rFonts w:hint="eastAsia" w:ascii="宋体" w:hAnsi="宋体" w:eastAsia="宋体" w:cs="宋体"/>
          <w:color w:val="auto"/>
          <w:kern w:val="0"/>
          <w:szCs w:val="21"/>
          <w:highlight w:val="none"/>
        </w:rPr>
        <w:t>。由此产生的检测费、运输费等全部费用均由</w:t>
      </w:r>
      <w:r>
        <w:rPr>
          <w:rFonts w:hint="eastAsia" w:ascii="宋体" w:hAnsi="宋体" w:eastAsia="宋体" w:cs="宋体"/>
          <w:color w:val="auto"/>
          <w:kern w:val="0"/>
          <w:szCs w:val="21"/>
          <w:highlight w:val="none"/>
          <w:lang w:eastAsia="zh"/>
        </w:rPr>
        <w:t>乙方</w:t>
      </w:r>
      <w:r>
        <w:rPr>
          <w:rFonts w:hint="eastAsia" w:ascii="宋体" w:hAnsi="宋体" w:eastAsia="宋体" w:cs="宋体"/>
          <w:color w:val="auto"/>
          <w:kern w:val="0"/>
          <w:szCs w:val="21"/>
          <w:highlight w:val="none"/>
        </w:rPr>
        <w:t>承担。</w:t>
      </w:r>
    </w:p>
    <w:p w14:paraId="2ABCB29C">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甲方在进行任何一次检验时发现货物不符合相关要求的，可拒绝收货或要求乙方承担退、换货责任，乙方应将该批货物自行装卸及运回，甲方不承担因验收造成的货物损耗费用且不对货物承担保管责任，因此产生的费用及风险由乙方承担。</w:t>
      </w:r>
    </w:p>
    <w:p w14:paraId="14140D3B">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zh-CN"/>
        </w:rPr>
        <w:t>甲方根据本条规定所做出的验收后，不视为对全部所供货物的质量确认。在使用过程中，货物出现质量问题的，乙方应按合同的约定承担相应的责任。</w:t>
      </w:r>
    </w:p>
    <w:p w14:paraId="319EA00C">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6、本合同货物</w:t>
      </w:r>
      <w:r>
        <w:rPr>
          <w:rFonts w:hint="eastAsia" w:ascii="宋体" w:hAnsi="宋体" w:eastAsia="宋体" w:cs="宋体"/>
          <w:color w:val="auto"/>
          <w:kern w:val="0"/>
          <w:szCs w:val="21"/>
          <w:highlight w:val="none"/>
          <w:lang w:val="zh-CN"/>
        </w:rPr>
        <w:t>在经验收合格并</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zh-CN"/>
        </w:rPr>
        <w:t>甲方指定</w:t>
      </w:r>
      <w:r>
        <w:rPr>
          <w:rFonts w:hint="eastAsia" w:ascii="宋体" w:hAnsi="宋体" w:eastAsia="宋体" w:cs="宋体"/>
          <w:color w:val="auto"/>
          <w:kern w:val="0"/>
          <w:szCs w:val="21"/>
          <w:highlight w:val="none"/>
        </w:rPr>
        <w:t>地点完成交付</w:t>
      </w:r>
      <w:r>
        <w:rPr>
          <w:rFonts w:hint="eastAsia" w:ascii="宋体" w:hAnsi="宋体" w:eastAsia="宋体" w:cs="宋体"/>
          <w:color w:val="auto"/>
          <w:kern w:val="0"/>
          <w:szCs w:val="21"/>
          <w:highlight w:val="none"/>
          <w:lang w:val="zh-CN"/>
        </w:rPr>
        <w:t>前，其损耗、毁损、灭失等风险及责任由乙方承担，如因发生前述情形，导致乙方所提供的货物不能通过甲方验收的，乙方应按甲方要求无条件予以退换货</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给甲方造成损失的乙方须承担全部的赔偿责任。</w:t>
      </w:r>
    </w:p>
    <w:p w14:paraId="19B52921">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p>
    <w:p w14:paraId="602233A6">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第九条 技术资料</w:t>
      </w:r>
    </w:p>
    <w:p w14:paraId="00715110">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1、乙方需向甲方提供但不限于下述技术资料：</w:t>
      </w:r>
    </w:p>
    <w:p w14:paraId="31CC1789">
      <w:pPr>
        <w:autoSpaceDE w:val="0"/>
        <w:autoSpaceDN w:val="0"/>
        <w:adjustRightInd w:val="0"/>
        <w:snapToGrid w:val="0"/>
        <w:spacing w:line="360" w:lineRule="auto"/>
        <w:ind w:firstLine="707" w:firstLineChars="3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（1）每次供货需提供：产品出厂质量检验报告、过磅单、供货随车单（经甲方验收确认的送货单）、对账单等。</w:t>
      </w:r>
    </w:p>
    <w:p w14:paraId="28AF7692">
      <w:pPr>
        <w:autoSpaceDE w:val="0"/>
        <w:autoSpaceDN w:val="0"/>
        <w:adjustRightInd w:val="0"/>
        <w:snapToGrid w:val="0"/>
        <w:spacing w:line="360" w:lineRule="auto"/>
        <w:ind w:firstLine="707" w:firstLineChars="3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（2）与货物使用相关的其他文件；</w:t>
      </w:r>
    </w:p>
    <w:p w14:paraId="0CEA4D3A">
      <w:pPr>
        <w:autoSpaceDE w:val="0"/>
        <w:autoSpaceDN w:val="0"/>
        <w:adjustRightInd w:val="0"/>
        <w:snapToGrid w:val="0"/>
        <w:spacing w:line="360" w:lineRule="auto"/>
        <w:ind w:firstLine="707" w:firstLineChars="3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（3）甲方要求提供的其他技术资料等。</w:t>
      </w:r>
    </w:p>
    <w:p w14:paraId="7D76A26F">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2、乙方需将上述资料以及其他甲方在使用货物过程中所需的技术资料（若上述资料为复印件的，则须加盖乙方公章）在交货时交给甲方，有关资料的收集和整理由乙方负责，甲方予以配合。</w:t>
      </w:r>
    </w:p>
    <w:p w14:paraId="53E34DF7">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3、合同期内，</w:t>
      </w:r>
      <w:r>
        <w:rPr>
          <w:rFonts w:hint="eastAsia" w:ascii="宋体" w:hAnsi="宋体" w:eastAsia="宋体" w:cs="宋体"/>
          <w:color w:val="auto"/>
          <w:kern w:val="0"/>
          <w:szCs w:val="21"/>
          <w:highlight w:val="none"/>
          <w:lang w:val="zh-CN"/>
        </w:rPr>
        <w:t>乙方</w:t>
      </w:r>
      <w:r>
        <w:rPr>
          <w:rFonts w:hint="eastAsia" w:ascii="宋体" w:hAnsi="宋体" w:eastAsia="宋体" w:cs="宋体"/>
          <w:color w:val="auto"/>
          <w:kern w:val="0"/>
          <w:szCs w:val="21"/>
          <w:highlight w:val="none"/>
        </w:rPr>
        <w:t>需每季度委托具有CMA认证资质的第三方检测机构对供货期间所供货物进行检测，并提供第三方检测机构出具的与所供货物对应的符合表《液态次氯酸钠主要技术指标》要求的检验报告，检验报告上的标徽应包括但不限于CMA认证标徽。检验报告需体现委托方、生产厂家、送检样品的产品名称、生产批号或生产日期、与所供货物对应各指标项目检测结果，检验报告中样品送检时间需在供货期内。供货期间，如有发布最新的行业标准或国家标准，货物检验方法按发布的最新行业标准或国家标准执行。</w:t>
      </w:r>
    </w:p>
    <w:p w14:paraId="4F30C433">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bookmarkStart w:id="452" w:name="_Toc4312"/>
      <w:bookmarkStart w:id="453" w:name="_Toc6513"/>
    </w:p>
    <w:p w14:paraId="76B03526">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第十条 权利保证</w:t>
      </w:r>
      <w:bookmarkEnd w:id="452"/>
      <w:bookmarkEnd w:id="453"/>
    </w:p>
    <w:p w14:paraId="51CADB48">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包括但不限于诉讼费、律师费、公证费、执行费、差旅费等）。</w:t>
      </w:r>
    </w:p>
    <w:p w14:paraId="5F78836B">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p>
    <w:p w14:paraId="565B8F88">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bookmarkStart w:id="454" w:name="_Toc30267"/>
      <w:bookmarkStart w:id="455" w:name="_Toc25366"/>
      <w:r>
        <w:rPr>
          <w:rFonts w:hint="eastAsia" w:ascii="宋体" w:hAnsi="宋体" w:eastAsia="宋体" w:cs="宋体"/>
          <w:b/>
          <w:color w:val="auto"/>
          <w:kern w:val="0"/>
          <w:szCs w:val="21"/>
          <w:highlight w:val="none"/>
        </w:rPr>
        <w:t>第十一条 质量保证及售后服务</w:t>
      </w:r>
      <w:bookmarkEnd w:id="454"/>
      <w:bookmarkEnd w:id="455"/>
    </w:p>
    <w:p w14:paraId="28AFDB08">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1、乙方应以书面形式提供货物的质量保障承诺，该承诺不应低于本合同约定的标准。</w:t>
      </w:r>
    </w:p>
    <w:p w14:paraId="12D400F7">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2、乙方应具有相应的技术人员，具备供货及售前售后的服务能力，在接到质量问题通知后4小时内到达现场对问题进行处理，且不得另行收取任何费用。</w:t>
      </w:r>
    </w:p>
    <w:p w14:paraId="7ACAC46A">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3、乙方为甲方试验人员、操作人员以及仓储管理人员等免费提供培训，相关费用已计入综合单价，甲方无需另行支付任何费用。</w:t>
      </w:r>
    </w:p>
    <w:p w14:paraId="60A49D41">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4、培训地点、规模及时间由甲方指定，乙方应提前15个日历天提供完整的培训计划和方案，列明提供培训的技术人员名单及资质，以及培训完成后甲方人员可达到的水平等，培训所需全部费用均由乙方支付。</w:t>
      </w:r>
    </w:p>
    <w:p w14:paraId="7D5D33BB">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5、乙方未按上述要求提供售后服务的，甲方有权要求其他第三方提供相关服务，因此产生的费用全部由乙方承担。</w:t>
      </w:r>
    </w:p>
    <w:p w14:paraId="1234EA67">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6、乙方在合同签订前，需提供反映报价产品性能参数的、由CMA认证资质第三方检测机构于2024年1月1日后出具的检验报告，报告需有CMA章。</w:t>
      </w:r>
    </w:p>
    <w:p w14:paraId="4FF8D3DB">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7、乙方需提供生产工艺流程图。并对主要生产原材料的名称、成分、等级加以说明。</w:t>
      </w:r>
    </w:p>
    <w:p w14:paraId="5381ADC9">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p>
    <w:p w14:paraId="3EFE618D">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bookmarkStart w:id="456" w:name="_Toc30240"/>
      <w:bookmarkStart w:id="457" w:name="_Toc2510"/>
      <w:r>
        <w:rPr>
          <w:rFonts w:hint="eastAsia" w:ascii="宋体" w:hAnsi="宋体" w:eastAsia="宋体" w:cs="宋体"/>
          <w:b/>
          <w:color w:val="auto"/>
          <w:kern w:val="0"/>
          <w:szCs w:val="21"/>
          <w:highlight w:val="none"/>
        </w:rPr>
        <w:t>第十二条 履约担保</w:t>
      </w:r>
      <w:bookmarkEnd w:id="456"/>
      <w:bookmarkEnd w:id="457"/>
    </w:p>
    <w:p w14:paraId="2BC0D421">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1、乙方应当根据招标文件的规定在签订本合同前向甲方提供履约担保，履约担保形式及金额由乙方从以下方式中任选一种：</w:t>
      </w:r>
    </w:p>
    <w:p w14:paraId="3D68CE1B">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履约保证金（银行转账形式）金额为人民币      。</w:t>
      </w:r>
    </w:p>
    <w:p w14:paraId="0ECDC2E5">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u w:val="single"/>
          <w:lang w:val="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银行不可撤销履约保函金额为</w:t>
      </w:r>
      <w:r>
        <w:rPr>
          <w:rFonts w:hint="eastAsia" w:ascii="宋体" w:hAnsi="宋体" w:eastAsia="宋体" w:cs="宋体"/>
          <w:color w:val="auto"/>
          <w:kern w:val="0"/>
          <w:szCs w:val="21"/>
          <w:highlight w:val="none"/>
          <w:u w:val="single"/>
          <w:lang w:val="zh-CN"/>
        </w:rPr>
        <w:t>人民币      。</w:t>
      </w:r>
    </w:p>
    <w:p w14:paraId="3EBBF4D1">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u w:val="single"/>
          <w:lang w:val="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履约保证保险金额为</w:t>
      </w:r>
      <w:r>
        <w:rPr>
          <w:rFonts w:hint="eastAsia" w:ascii="宋体" w:hAnsi="宋体" w:eastAsia="宋体" w:cs="宋体"/>
          <w:color w:val="auto"/>
          <w:kern w:val="0"/>
          <w:szCs w:val="21"/>
          <w:highlight w:val="none"/>
          <w:u w:val="single"/>
          <w:lang w:val="zh-CN"/>
        </w:rPr>
        <w:t>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lang w:val="zh-CN"/>
        </w:rPr>
        <w:t>。</w:t>
      </w:r>
    </w:p>
    <w:p w14:paraId="38D9B142">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担保公司履约担保书金额为人民币      。</w:t>
      </w:r>
    </w:p>
    <w:p w14:paraId="3034ECA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2、履约担保用于补偿甲方因乙方不能完全履行其合同义务而蒙受的损失，如发生下列任一情况时，甲方除有权依合同追究乙方违约责任外，还有权提取履约担保并进行相应处理：</w:t>
      </w:r>
    </w:p>
    <w:p w14:paraId="71232E61">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乙方将本合同项下乙方的权利义务全部转让给第三方，或未经甲方书面同意，乙方将本合同部分权利义务分包给第三方，甲方有权没收其履约担保</w:t>
      </w:r>
      <w:r>
        <w:rPr>
          <w:rFonts w:hint="eastAsia" w:ascii="宋体" w:hAnsi="宋体" w:eastAsia="宋体" w:cs="宋体"/>
          <w:color w:val="auto"/>
          <w:kern w:val="0"/>
          <w:szCs w:val="21"/>
          <w:highlight w:val="none"/>
          <w:lang w:val="zh-CN"/>
        </w:rPr>
        <w:t>。</w:t>
      </w:r>
    </w:p>
    <w:p w14:paraId="4CA3BDFF">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（2）在合同履行期间，乙方怠于履行合同义务，经甲方通知或要求承担违约金后仍拒不改正，甲方有权没收或适当扣除其履约担保。</w:t>
      </w:r>
    </w:p>
    <w:p w14:paraId="5A95838F">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乙方货物、服务质量问题造成损害、侵权损失（包括但不限于甲方（含其人员）经济损失、乙方所雇人员及第三人人身财产损失等）、乙方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684B3315">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在合同履行期间</w:t>
      </w:r>
      <w:r>
        <w:rPr>
          <w:rFonts w:hint="eastAsia" w:ascii="宋体" w:hAnsi="宋体" w:eastAsia="宋体" w:cs="宋体"/>
          <w:color w:val="auto"/>
          <w:kern w:val="0"/>
          <w:szCs w:val="21"/>
          <w:highlight w:val="none"/>
        </w:rPr>
        <w:t>，乙方违约产生的违约金、赔偿、罚款或其他应付费用等项，甲方有权直接从未付货款中扣除或使用履约担保予以支付。</w:t>
      </w:r>
    </w:p>
    <w:p w14:paraId="7BEFC565">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（5）合同期内，乙方不能及时完成合同某项义务的，甲方有权使用履约担保用于处理该项工作。</w:t>
      </w:r>
    </w:p>
    <w:p w14:paraId="4B78B3BB">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（6）其他根据本合同约定或法律规定，甲方可使用履约担保的情形。</w:t>
      </w:r>
    </w:p>
    <w:p w14:paraId="526852DD">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3、在乙方完成本合同下全部义务，且在合同期限届满并完成全部供货及相关服务义务后二十八（28）日内，甲方将履约担保余额无息退还乙方。</w:t>
      </w:r>
    </w:p>
    <w:p w14:paraId="0C3D7A77">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4、如乙方提供银行不可撤销履约保函（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或担保公司履约担保书）作为履约担保的，银行不可撤销履约保函（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或担保公司履约担保书）应从合同签订之日起至合同期限届满并完成全部供货及相关服务义务后二十八（28）日内保持有效。如银行不可撤销履约保函（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或担保公司履约担保书）在规定有效期届满而货物尚未全部最终验收合格的，乙方必须在银行不可撤销履约保函（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或担保公司履约担保书）到期15日前无条件办理办妥符合甲方要求的延期手续或重新提供银行不可撤销履约保函（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或担保公司履约担保书）；否则视为乙方违约，甲方有权在银行不可撤销履约保函（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或担保公司履约担保书）到期前向出具履约担保的机构提取履约担保。在银行不可撤销履约保函（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或担保公司履约担保书）到期后乙方未按甲方要求重新提供的，甲方有权要求乙方以履约担保金额为限承担违约金。</w:t>
      </w:r>
    </w:p>
    <w:p w14:paraId="71F22F41">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p>
    <w:p w14:paraId="0DF51E4F">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p>
    <w:p w14:paraId="5F131342">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bookmarkStart w:id="458" w:name="_Toc27617"/>
      <w:bookmarkStart w:id="459" w:name="_Toc16439"/>
      <w:r>
        <w:rPr>
          <w:rFonts w:hint="eastAsia" w:ascii="宋体" w:hAnsi="宋体" w:eastAsia="宋体" w:cs="宋体"/>
          <w:b/>
          <w:color w:val="auto"/>
          <w:kern w:val="0"/>
          <w:szCs w:val="21"/>
          <w:highlight w:val="none"/>
        </w:rPr>
        <w:t>第十三条 付款方式</w:t>
      </w:r>
      <w:bookmarkEnd w:id="458"/>
      <w:bookmarkEnd w:id="459"/>
    </w:p>
    <w:p w14:paraId="6E53631A">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双方一致同意，在乙方按合同约定提供履约担保后，甲方通过以下方式以人民币支付合同款项给乙方：</w:t>
      </w:r>
    </w:p>
    <w:p w14:paraId="281CC14A">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履约过程中，乙方根据本合同约定需向甲方支付违约金、赔偿金、或其他应付费用等款项的，甲方有权要求乙方向甲方支付完前述款项后，甲方才根据本合同向乙方支付合同价和税额，由此造成付款迟延的，甲方不承担任何违约责任；同时，甲方有权使用履约担保或直接从未付合同款项、</w:t>
      </w:r>
      <w:r>
        <w:rPr>
          <w:rFonts w:hint="eastAsia" w:ascii="宋体" w:hAnsi="宋体" w:eastAsia="宋体" w:cs="宋体"/>
          <w:color w:val="auto"/>
          <w:kern w:val="0"/>
          <w:szCs w:val="21"/>
          <w:highlight w:val="none"/>
          <w:lang w:eastAsia="zh-Hans"/>
        </w:rPr>
        <w:t>履约</w:t>
      </w:r>
      <w:r>
        <w:rPr>
          <w:rFonts w:hint="eastAsia" w:ascii="宋体" w:hAnsi="宋体" w:eastAsia="宋体" w:cs="宋体"/>
          <w:color w:val="auto"/>
          <w:kern w:val="0"/>
          <w:szCs w:val="21"/>
          <w:highlight w:val="none"/>
        </w:rPr>
        <w:t>担保中直接扣除，且乙方必须按照扣除前述费用前的合同价（销售额）开具合法、有效的</w:t>
      </w:r>
      <w:r>
        <w:rPr>
          <w:rFonts w:hint="eastAsia" w:ascii="宋体" w:hAnsi="宋体" w:eastAsia="宋体" w:cs="宋体"/>
          <w:color w:val="auto"/>
          <w:kern w:val="0"/>
          <w:szCs w:val="21"/>
          <w:highlight w:val="none"/>
          <w:lang w:eastAsia="zh"/>
        </w:rPr>
        <w:t>增值税</w:t>
      </w:r>
      <w:r>
        <w:rPr>
          <w:rFonts w:hint="eastAsia" w:ascii="宋体" w:hAnsi="宋体" w:eastAsia="宋体" w:cs="宋体"/>
          <w:color w:val="auto"/>
          <w:kern w:val="0"/>
          <w:szCs w:val="21"/>
          <w:highlight w:val="none"/>
        </w:rPr>
        <w:t>正式发票，保证增值税税额符合法律规定。</w:t>
      </w:r>
    </w:p>
    <w:p w14:paraId="164A37A5">
      <w:pPr>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开票类型：</w:t>
      </w:r>
    </w:p>
    <w:p w14:paraId="069FD6ED">
      <w:pPr>
        <w:snapToGrid w:val="0"/>
        <w:spacing w:line="360" w:lineRule="auto"/>
        <w:ind w:firstLine="1470" w:firstLineChars="7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□增值税普通发票                             </w:t>
      </w:r>
      <w:r>
        <w:rPr>
          <w:rFonts w:hint="eastAsia" w:ascii="宋体" w:hAnsi="宋体" w:eastAsia="宋体" w:cs="宋体"/>
          <w:color w:val="auto"/>
          <w:kern w:val="0"/>
          <w:szCs w:val="21"/>
          <w:highlight w:val="none"/>
        </w:rPr>
        <w:sym w:font="Wingdings 2" w:char="00A3"/>
      </w:r>
      <w:r>
        <w:rPr>
          <w:rFonts w:hint="eastAsia" w:ascii="宋体" w:hAnsi="宋体" w:eastAsia="宋体" w:cs="宋体"/>
          <w:color w:val="auto"/>
          <w:kern w:val="0"/>
          <w:szCs w:val="21"/>
          <w:highlight w:val="none"/>
        </w:rPr>
        <w:t>增值税专用发票</w:t>
      </w:r>
    </w:p>
    <w:p w14:paraId="6043F903">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2、甲方每月在付款手续前对</w:t>
      </w:r>
      <w:r>
        <w:rPr>
          <w:rFonts w:hint="eastAsia" w:ascii="宋体" w:hAnsi="宋体" w:eastAsia="宋体" w:cs="宋体"/>
          <w:color w:val="auto"/>
          <w:szCs w:val="21"/>
          <w:highlight w:val="none"/>
        </w:rPr>
        <w:t>乙方</w:t>
      </w:r>
      <w:r>
        <w:rPr>
          <w:rFonts w:hint="eastAsia" w:ascii="宋体" w:hAnsi="宋体" w:eastAsia="宋体" w:cs="宋体"/>
          <w:color w:val="auto"/>
          <w:kern w:val="0"/>
          <w:szCs w:val="21"/>
          <w:highlight w:val="none"/>
        </w:rPr>
        <w:t>的履约情况进行评价，填写《供应商履约评价表》（附件1）。考核评分满分为100分，考核评分分数在60分（含）至80分（不含）时，</w:t>
      </w:r>
      <w:r>
        <w:rPr>
          <w:rFonts w:hint="eastAsia" w:ascii="宋体" w:hAnsi="宋体" w:eastAsia="宋体" w:cs="宋体"/>
          <w:color w:val="auto"/>
          <w:szCs w:val="21"/>
          <w:highlight w:val="none"/>
        </w:rPr>
        <w:t>乙方</w:t>
      </w:r>
      <w:r>
        <w:rPr>
          <w:rFonts w:hint="eastAsia" w:ascii="宋体" w:hAnsi="宋体" w:eastAsia="宋体" w:cs="宋体"/>
          <w:color w:val="auto"/>
          <w:kern w:val="0"/>
          <w:szCs w:val="21"/>
          <w:highlight w:val="none"/>
        </w:rPr>
        <w:t>应按该月货物含税</w:t>
      </w:r>
      <w:r>
        <w:rPr>
          <w:rFonts w:hint="eastAsia" w:ascii="宋体" w:hAnsi="宋体" w:eastAsia="宋体" w:cs="宋体"/>
          <w:color w:val="auto"/>
          <w:kern w:val="0"/>
          <w:szCs w:val="21"/>
          <w:highlight w:val="none"/>
          <w:lang w:val="en-US" w:eastAsia="zh-CN"/>
        </w:rPr>
        <w:t>应付</w:t>
      </w:r>
      <w:r>
        <w:rPr>
          <w:rFonts w:hint="eastAsia" w:ascii="宋体" w:hAnsi="宋体" w:eastAsia="宋体" w:cs="宋体"/>
          <w:color w:val="auto"/>
          <w:kern w:val="0"/>
          <w:szCs w:val="21"/>
          <w:highlight w:val="none"/>
        </w:rPr>
        <w:t>货款的20%向甲方支付违约金；考核评分分数低于60分时，</w:t>
      </w:r>
      <w:r>
        <w:rPr>
          <w:rFonts w:hint="eastAsia" w:ascii="宋体" w:hAnsi="宋体" w:eastAsia="宋体" w:cs="宋体"/>
          <w:color w:val="auto"/>
          <w:szCs w:val="21"/>
          <w:highlight w:val="none"/>
        </w:rPr>
        <w:t>乙方</w:t>
      </w:r>
      <w:r>
        <w:rPr>
          <w:rFonts w:hint="eastAsia" w:ascii="宋体" w:hAnsi="宋体" w:eastAsia="宋体" w:cs="宋体"/>
          <w:color w:val="auto"/>
          <w:kern w:val="0"/>
          <w:szCs w:val="21"/>
          <w:highlight w:val="none"/>
        </w:rPr>
        <w:t>应按该月货物含税</w:t>
      </w:r>
      <w:r>
        <w:rPr>
          <w:rFonts w:hint="eastAsia" w:ascii="宋体" w:hAnsi="宋体" w:eastAsia="宋体" w:cs="宋体"/>
          <w:color w:val="auto"/>
          <w:kern w:val="0"/>
          <w:szCs w:val="21"/>
          <w:highlight w:val="none"/>
          <w:lang w:val="en-US" w:eastAsia="zh-CN"/>
        </w:rPr>
        <w:t>应付</w:t>
      </w:r>
      <w:r>
        <w:rPr>
          <w:rFonts w:hint="eastAsia" w:ascii="宋体" w:hAnsi="宋体" w:eastAsia="宋体" w:cs="宋体"/>
          <w:color w:val="auto"/>
          <w:kern w:val="0"/>
          <w:szCs w:val="21"/>
          <w:highlight w:val="none"/>
        </w:rPr>
        <w:t>货款的30%向招标人甲方支付违约金。若供货期内累计出现3次（含）以上考核结论为不合格的，甲方有权单方解除合同，并没收</w:t>
      </w:r>
      <w:r>
        <w:rPr>
          <w:rFonts w:hint="eastAsia" w:ascii="宋体" w:hAnsi="宋体" w:eastAsia="宋体" w:cs="宋体"/>
          <w:color w:val="auto"/>
          <w:szCs w:val="21"/>
          <w:highlight w:val="none"/>
        </w:rPr>
        <w:t>乙方</w:t>
      </w:r>
      <w:r>
        <w:rPr>
          <w:rFonts w:hint="eastAsia" w:ascii="宋体" w:hAnsi="宋体" w:eastAsia="宋体" w:cs="宋体"/>
          <w:color w:val="auto"/>
          <w:kern w:val="0"/>
          <w:szCs w:val="21"/>
          <w:highlight w:val="none"/>
        </w:rPr>
        <w:t>全部履约担保。</w:t>
      </w:r>
    </w:p>
    <w:p w14:paraId="39FE6F6B">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3、供货款项按运营项目进行支付、结算。货款按月支付，实际供货量按电子地磅的称重单计算的次氯酸钠净重为准，</w:t>
      </w:r>
    </w:p>
    <w:p w14:paraId="39E02739">
      <w:pPr>
        <w:numPr>
          <w:ilvl w:val="0"/>
          <w:numId w:val="3"/>
        </w:num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乙方供应的货物全部经甲方验收合格且乙方无违反本合同约定的行为，则按照实际供货量及本合同约定的综合单价结算；如部分货物验收不合格或乙方存在其他违约行为的，则根据实际经甲方验收合格的供货量以及本合同约定的综合单价并扣除相应违约金后进行结算。</w:t>
      </w:r>
    </w:p>
    <w:p w14:paraId="3A5759DC">
      <w:pPr>
        <w:numPr>
          <w:ilvl w:val="0"/>
          <w:numId w:val="3"/>
        </w:num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双方完成结算后，乙方应向甲方提交请款报告、对账单和请款金额等额的合法、有效的增值税正式发票，甲方在收到前述材料并确认无误后30个工作日内，向乙方支付上月实际经验收合格的供货量的货款及对应的税额。</w:t>
      </w:r>
    </w:p>
    <w:p w14:paraId="76731681">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ascii="宋体" w:hAnsi="宋体" w:eastAsia="宋体" w:cs="宋体"/>
          <w:color w:val="auto"/>
          <w:kern w:val="0"/>
          <w:szCs w:val="21"/>
          <w:highlight w:val="none"/>
        </w:rPr>
        <w:t>甲方通过银行转账或银行承兑汇票方式支付相应款项至乙方银行账户中，汇票期限不超过三个月，每期款项支付方式由甲方决定</w:t>
      </w:r>
      <w:r>
        <w:rPr>
          <w:rFonts w:hint="eastAsia" w:ascii="宋体" w:hAnsi="宋体" w:eastAsia="宋体" w:cs="宋体"/>
          <w:color w:val="auto"/>
          <w:kern w:val="0"/>
          <w:szCs w:val="21"/>
          <w:highlight w:val="none"/>
        </w:rPr>
        <w:t>。</w:t>
      </w:r>
    </w:p>
    <w:p w14:paraId="0A109EDB">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乙方迟延提供请款资料、发票或提供的请款资料、发票不符合要求的，甲方的付款时间可相应顺延，且甲方不因此承担任何责任。因支付产生的相关银行手续费用，根据有关银行规定执行，如不能明确的，由乙方承担。由于乙方提供的发票不符合税法规定，给甲方造成的损失由乙方承担全部的赔偿责任。</w:t>
      </w:r>
    </w:p>
    <w:p w14:paraId="787F4AF9">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每月在付款手续前对乙方的履约情况进行评价，填写《供应商履约评价表》，对于评审结论为不合格的，甲方有权暂停支付乙方上月款项，待按甲方要求完成整改后支付；若出现第二次评审结论为不合格的，甲方有权取消乙方的供货资格并单方解除合同、没收履约担保。</w:t>
      </w:r>
    </w:p>
    <w:p w14:paraId="147E1342">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甲方按本合同约定单方解除合同的，乙方应在收到甲方单方解除合同书面通知之日起30日内与甲方共同确认已完成经甲方验收合格的供货量及对应的金额，前述期限届满后，未经甲乙双方共同确认的供货量不得再要求结算。</w:t>
      </w:r>
    </w:p>
    <w:p w14:paraId="67D76770">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8、乙方账户信息：</w:t>
      </w:r>
    </w:p>
    <w:p w14:paraId="0F0D4D4E">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开户银行：                             </w:t>
      </w:r>
    </w:p>
    <w:p w14:paraId="422012D9">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银行账户：                            </w:t>
      </w:r>
    </w:p>
    <w:p w14:paraId="0C5F15A5">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银行账号：                            </w:t>
      </w:r>
    </w:p>
    <w:p w14:paraId="51616D0A">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户名：                                </w:t>
      </w:r>
    </w:p>
    <w:p w14:paraId="6AEA0594">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乙方变更账户信息的，应至少提前【3】日书面通知甲方予以确认，因乙方怠于通知而造成损失的，由乙方自行承担责任。</w:t>
      </w:r>
    </w:p>
    <w:p w14:paraId="2968A13C">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p>
    <w:p w14:paraId="709C2944">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bookmarkStart w:id="460" w:name="_Toc32230"/>
      <w:bookmarkStart w:id="461" w:name="_Toc8800"/>
      <w:r>
        <w:rPr>
          <w:rFonts w:hint="eastAsia" w:ascii="宋体" w:hAnsi="宋体" w:eastAsia="宋体" w:cs="宋体"/>
          <w:b/>
          <w:color w:val="auto"/>
          <w:kern w:val="0"/>
          <w:szCs w:val="21"/>
          <w:highlight w:val="none"/>
        </w:rPr>
        <w:t>第十四条 不可抗力</w:t>
      </w:r>
      <w:bookmarkEnd w:id="460"/>
      <w:bookmarkEnd w:id="461"/>
    </w:p>
    <w:p w14:paraId="75F399C5">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书面证明材料。如果不可抗力事件发生后，乙方不能按甲方每批次的最迟交货期交货的，则甲方有权单方解除本合同并不承担任何责任。</w:t>
      </w:r>
    </w:p>
    <w:p w14:paraId="73D6A605">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098CCDFA">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bookmarkStart w:id="462" w:name="_Toc217"/>
      <w:bookmarkStart w:id="463" w:name="_Toc27573"/>
      <w:r>
        <w:rPr>
          <w:rFonts w:hint="eastAsia" w:ascii="宋体" w:hAnsi="宋体" w:eastAsia="宋体" w:cs="宋体"/>
          <w:b/>
          <w:color w:val="auto"/>
          <w:kern w:val="0"/>
          <w:szCs w:val="21"/>
          <w:highlight w:val="none"/>
        </w:rPr>
        <w:t>第十五条 违约责任</w:t>
      </w:r>
      <w:bookmarkEnd w:id="462"/>
      <w:bookmarkEnd w:id="463"/>
    </w:p>
    <w:p w14:paraId="2C63E9A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1、日常供货（非加急供货）乙方未在约定的时间内完成交货的（包括但不限于不按时间、不按质量、不按地点交货），或未在规定的时间内承担相应的更换、退货责任的，每逾期2个小时，</w:t>
      </w:r>
      <w:r>
        <w:rPr>
          <w:rFonts w:hint="eastAsia" w:ascii="宋体" w:hAnsi="宋体" w:eastAsia="宋体" w:cs="宋体"/>
          <w:color w:val="auto"/>
          <w:szCs w:val="21"/>
          <w:highlight w:val="none"/>
        </w:rPr>
        <w:t>甲方有权要求乙方</w:t>
      </w:r>
      <w:r>
        <w:rPr>
          <w:rFonts w:hint="eastAsia" w:ascii="宋体" w:hAnsi="宋体" w:eastAsia="宋体" w:cs="宋体"/>
          <w:color w:val="auto"/>
          <w:kern w:val="0"/>
          <w:szCs w:val="21"/>
          <w:highlight w:val="none"/>
        </w:rPr>
        <w:t>按该次货物含税</w:t>
      </w:r>
      <w:r>
        <w:rPr>
          <w:rFonts w:hint="eastAsia" w:ascii="宋体" w:hAnsi="宋体" w:eastAsia="宋体" w:cs="宋体"/>
          <w:color w:val="auto"/>
          <w:kern w:val="0"/>
          <w:szCs w:val="21"/>
          <w:highlight w:val="none"/>
          <w:lang w:val="en-US" w:eastAsia="zh-CN"/>
        </w:rPr>
        <w:t>应付</w:t>
      </w:r>
      <w:r>
        <w:rPr>
          <w:rFonts w:hint="eastAsia" w:ascii="宋体" w:hAnsi="宋体" w:eastAsia="宋体" w:cs="宋体"/>
          <w:color w:val="auto"/>
          <w:kern w:val="0"/>
          <w:szCs w:val="21"/>
          <w:highlight w:val="none"/>
        </w:rPr>
        <w:t>货款的1%向甲方支付违约金。乙方逾期超过</w:t>
      </w:r>
      <w:r>
        <w:rPr>
          <w:rFonts w:hint="eastAsia" w:ascii="宋体" w:hAnsi="宋体" w:eastAsia="宋体" w:cs="宋体"/>
          <w:color w:val="auto"/>
          <w:kern w:val="0"/>
          <w:szCs w:val="21"/>
          <w:highlight w:val="none"/>
          <w:u w:val="single"/>
        </w:rPr>
        <w:t xml:space="preserve"> 12 </w:t>
      </w:r>
      <w:r>
        <w:rPr>
          <w:rFonts w:hint="eastAsia" w:ascii="宋体" w:hAnsi="宋体" w:eastAsia="宋体" w:cs="宋体"/>
          <w:color w:val="auto"/>
          <w:kern w:val="0"/>
          <w:szCs w:val="21"/>
          <w:highlight w:val="none"/>
        </w:rPr>
        <w:t>小时的，甲方有权单方解除本合同，并没收部分或全部履约担保，乙方除前述逾期违约金外，还有权要求乙方额外按该次货物含税应付货款的20%向甲方支付违约金，违约金不足以弥补甲方损失的，乙方还应予以补足。</w:t>
      </w:r>
    </w:p>
    <w:p w14:paraId="442D5D95">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2、加急供货时，乙方未在约定的时间内完成交货的（包括但不限于不按时间、不按质量、不按地点交货），或未在规定的时间内承担相应的更换、退货责任的，每逾期1个小时，</w:t>
      </w:r>
      <w:r>
        <w:rPr>
          <w:rFonts w:hint="eastAsia" w:ascii="宋体" w:hAnsi="宋体" w:eastAsia="宋体" w:cs="宋体"/>
          <w:color w:val="auto"/>
          <w:szCs w:val="21"/>
          <w:highlight w:val="none"/>
        </w:rPr>
        <w:t>甲方有权要求乙方</w:t>
      </w:r>
      <w:r>
        <w:rPr>
          <w:rFonts w:hint="eastAsia" w:ascii="宋体" w:hAnsi="宋体" w:eastAsia="宋体" w:cs="宋体"/>
          <w:color w:val="auto"/>
          <w:kern w:val="0"/>
          <w:szCs w:val="21"/>
          <w:highlight w:val="none"/>
        </w:rPr>
        <w:t>按该次货物含税</w:t>
      </w:r>
      <w:r>
        <w:rPr>
          <w:rFonts w:hint="eastAsia" w:ascii="宋体" w:hAnsi="宋体" w:eastAsia="宋体" w:cs="宋体"/>
          <w:color w:val="auto"/>
          <w:kern w:val="0"/>
          <w:szCs w:val="21"/>
          <w:highlight w:val="none"/>
          <w:lang w:val="en-US" w:eastAsia="zh-CN"/>
        </w:rPr>
        <w:t>应付</w:t>
      </w:r>
      <w:r>
        <w:rPr>
          <w:rFonts w:hint="eastAsia" w:ascii="宋体" w:hAnsi="宋体" w:eastAsia="宋体" w:cs="宋体"/>
          <w:color w:val="auto"/>
          <w:kern w:val="0"/>
          <w:szCs w:val="21"/>
          <w:highlight w:val="none"/>
        </w:rPr>
        <w:t>货款的10%向甲方支付违约金，乙方逾期超过 4 小时的，甲方有权单方解除本合同，并没收部分或全部履约担保，</w:t>
      </w:r>
      <w:r>
        <w:rPr>
          <w:rFonts w:hint="eastAsia" w:ascii="宋体" w:hAnsi="宋体" w:eastAsia="宋体" w:cs="宋体"/>
          <w:color w:val="auto"/>
          <w:kern w:val="0"/>
          <w:szCs w:val="21"/>
          <w:highlight w:val="none"/>
          <w:lang w:eastAsia="zh-Hans"/>
        </w:rPr>
        <w:t>乙</w:t>
      </w:r>
      <w:r>
        <w:rPr>
          <w:rFonts w:hint="eastAsia" w:ascii="宋体" w:hAnsi="宋体" w:eastAsia="宋体" w:cs="宋体"/>
          <w:color w:val="auto"/>
          <w:kern w:val="0"/>
          <w:szCs w:val="21"/>
          <w:highlight w:val="none"/>
        </w:rPr>
        <w:t>方除前述逾期违约金外，还有权要求乙方额外按该次货物含税应付货款的20%支付违约金，违约金不足以弥补甲方损失的，乙方还应予以补足。</w:t>
      </w:r>
    </w:p>
    <w:p w14:paraId="40DCBBFB">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若甲方对乙方货物抽检过程中发现检验不合格，或货物使用过程中因乙方货物不合格影响生产效果，除按第八条第2项执行外，甲方有权要求乙方承担该次货物含税应付货款20%的违约金。造成生产损失的，乙方必须承担一切损失。</w:t>
      </w:r>
    </w:p>
    <w:p w14:paraId="4E5A16E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lang w:bidi="ar"/>
        </w:rPr>
        <w:t>如乙方提供的药剂严重影响甲方运营项目生产或造成甲方运营项目出水水质指标超标的情况，甲方有权追究乙方由此造成的损失，并有权单方面中止或解除合同，取消其供货资格，没收全部履约担保。</w:t>
      </w:r>
    </w:p>
    <w:p w14:paraId="7D08735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5、合同期内，乙方所交货物经最终检验认定出现3次及以上（含本数）的不合格情况时，甲方将有权单方中止或解除合同，</w:t>
      </w:r>
      <w:r>
        <w:rPr>
          <w:rFonts w:hint="eastAsia" w:ascii="宋体" w:hAnsi="宋体" w:eastAsia="宋体" w:cs="宋体"/>
          <w:color w:val="auto"/>
          <w:szCs w:val="21"/>
          <w:highlight w:val="none"/>
          <w:lang w:bidi="ar"/>
        </w:rPr>
        <w:t>暂停或取消乙方的供货资格，并根据对甲方生产造成影响的严重程度</w:t>
      </w:r>
      <w:bookmarkStart w:id="464" w:name="_Hlk190369360"/>
      <w:r>
        <w:rPr>
          <w:rFonts w:hint="eastAsia" w:ascii="宋体" w:hAnsi="宋体" w:eastAsia="宋体" w:cs="宋体"/>
          <w:color w:val="auto"/>
          <w:szCs w:val="21"/>
          <w:highlight w:val="none"/>
          <w:lang w:bidi="ar"/>
        </w:rPr>
        <w:t>，没收乙方的部分或全部履约担保</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bidi="ar"/>
        </w:rPr>
        <w:t>暂停供货资格期间对</w:t>
      </w:r>
      <w:r>
        <w:rPr>
          <w:rFonts w:hint="eastAsia" w:ascii="宋体" w:hAnsi="宋体" w:eastAsia="宋体" w:cs="宋体"/>
          <w:color w:val="auto"/>
          <w:szCs w:val="21"/>
          <w:highlight w:val="none"/>
        </w:rPr>
        <w:t>甲方生产造成影响的，责任由乙方承担。</w:t>
      </w:r>
    </w:p>
    <w:bookmarkEnd w:id="464"/>
    <w:p w14:paraId="3915ED63">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6、无论是否在质保期内，因货物质量问题发生安全事故或引起其他损失、造成不良后果的，乙方应承担全部</w:t>
      </w:r>
      <w:r>
        <w:rPr>
          <w:rFonts w:hint="eastAsia" w:ascii="宋体" w:hAnsi="宋体" w:eastAsia="宋体" w:cs="宋体"/>
          <w:color w:val="auto"/>
          <w:kern w:val="0"/>
          <w:szCs w:val="21"/>
          <w:highlight w:val="none"/>
          <w:lang w:eastAsia="zh-Hans"/>
        </w:rPr>
        <w:t>法律</w:t>
      </w:r>
      <w:r>
        <w:rPr>
          <w:rFonts w:hint="eastAsia" w:ascii="宋体" w:hAnsi="宋体" w:eastAsia="宋体" w:cs="宋体"/>
          <w:color w:val="auto"/>
          <w:kern w:val="0"/>
          <w:szCs w:val="21"/>
          <w:highlight w:val="none"/>
        </w:rPr>
        <w:t>责任</w:t>
      </w:r>
      <w:r>
        <w:rPr>
          <w:rFonts w:hint="eastAsia" w:ascii="宋体" w:hAnsi="宋体" w:eastAsia="宋体" w:cs="宋体"/>
          <w:color w:val="auto"/>
          <w:kern w:val="0"/>
          <w:szCs w:val="21"/>
          <w:highlight w:val="none"/>
          <w:lang w:eastAsia="zh-Hans"/>
        </w:rPr>
        <w:t>及经济</w:t>
      </w:r>
      <w:r>
        <w:rPr>
          <w:rFonts w:hint="eastAsia" w:ascii="宋体" w:hAnsi="宋体" w:eastAsia="宋体" w:cs="宋体"/>
          <w:color w:val="auto"/>
          <w:kern w:val="0"/>
          <w:szCs w:val="21"/>
          <w:highlight w:val="none"/>
        </w:rPr>
        <w:t>损失赔偿。</w:t>
      </w:r>
    </w:p>
    <w:p w14:paraId="5A7133C4">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r>
        <w:rPr>
          <w:rFonts w:hint="eastAsia" w:ascii="宋体" w:hAnsi="宋体" w:eastAsia="宋体" w:cs="宋体"/>
          <w:color w:val="auto"/>
          <w:szCs w:val="21"/>
          <w:highlight w:val="none"/>
        </w:rPr>
        <w:t>授予合同前或</w:t>
      </w:r>
      <w:r>
        <w:rPr>
          <w:rFonts w:hint="eastAsia" w:ascii="宋体" w:hAnsi="宋体" w:eastAsia="宋体" w:cs="宋体"/>
          <w:color w:val="auto"/>
          <w:kern w:val="0"/>
          <w:szCs w:val="21"/>
          <w:highlight w:val="none"/>
        </w:rPr>
        <w:t>合同履行中，甲方有权实地核查乙方在投标时提供的分支机构或服务机构的场地、生产/储存/运输设备设施及能力等材料的符合性，若发现材料与实际不符，甲方有权终止合同。因此给甲方造成损失的，全部由乙方承担。</w:t>
      </w:r>
    </w:p>
    <w:p w14:paraId="22A3E536">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乙方自甲方通知货物不合格之时起，甲方有权要求乙方按照本合同约定的加急供货方式，将等量的合格货物送交甲方，否则按本条下加急供货的违约约定进行处理。如乙方到货后验收不合格导致退货的，乙方应向甲方支付退货管理费，费用按退货批次药剂金额（不含乙方销项税）的5%收取，该条款与其他违约责任条款不冲突，乙方仍需按本合同约定承担相应的违约责任。</w:t>
      </w:r>
    </w:p>
    <w:p w14:paraId="4AAFF4C6">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9、乙方应确保所交货物不侵犯第三方任何权益，否则，由此引起的一切责任及损失都由乙方承担，造成甲方损失的，乙方还需予以足额赔偿。</w:t>
      </w:r>
    </w:p>
    <w:p w14:paraId="001687DC">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支付履约担保等额的违约金，且乙方须承担由此给甲方造成的一切损失。乙方及其工作人员的保密义务不因本合同的终止而终止，直至相关保密信息被合法公开时止。</w:t>
      </w:r>
    </w:p>
    <w:p w14:paraId="68CEDC32">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11、乙方有义务接受甲方及使用方的监督、评价及考核，且同意甲方关于供货资格供应商的管理规则及要求。</w:t>
      </w:r>
    </w:p>
    <w:p w14:paraId="4E894FAE">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支付履约担保等额的违约金，违约金不够赔偿甲方损失的，乙方需另行补足赔偿，且甲方有权单方解除合同。</w:t>
      </w:r>
    </w:p>
    <w:p w14:paraId="25F44A62">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从合同生效之日起，若因乙方所提供的产品导致甲方生产运行出现异常或故障，妨碍项目正常生产运行，乙方应根据甲方通知于4小时内到指定地点提供技术服务，自费派工程师到达现场，并在甲方要求的限期内排除故障，确保不影响甲方项目的生产运营，且乙方须承担由此给甲方造成的一切损失。</w:t>
      </w:r>
    </w:p>
    <w:p w14:paraId="4ABF2ED1">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对于货物最终验收不合格且甲方已经开始使用或者使用完毕无法退换的，货款按照以下方式处理：①若甲方已支付该次货款的，则乙方应向甲方退还已支付的该次货款；②若甲方未支付该次货款的，则甲方无需支付该次货款。</w:t>
      </w:r>
    </w:p>
    <w:p w14:paraId="14803EF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在合同的履行期间，乙方应当保持相应资质的有效性，并符合国家的相关规定。若乙方在合同期内有关资质不符合本合同要求及国家规定的，甲方有权委托第三方进行供货，并由乙方承担履约担保等额的违约金。同时，造成甲方的经济损失（包括但不限于重新采购的差价、委托第三方的费用），由乙方承担全部赔偿责任。</w:t>
      </w:r>
    </w:p>
    <w:p w14:paraId="77AD1DC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在本合同履行过程中，乙方不得消极怠工或拒不履行合同义务（包括但不限于按合同要求交货、换货、培训、技术支持、售后等），否则将视为乙方违约，甲方除可按本合同约定追究乙方违约责任外，甲方仍有权就违约事宜提出</w:t>
      </w:r>
      <w:r>
        <w:rPr>
          <w:rFonts w:hint="eastAsia" w:ascii="宋体" w:hAnsi="宋体" w:eastAsia="宋体" w:cs="宋体"/>
          <w:color w:val="auto"/>
          <w:kern w:val="0"/>
          <w:szCs w:val="21"/>
          <w:highlight w:val="none"/>
          <w:lang w:eastAsia="zh-Hans"/>
        </w:rPr>
        <w:t>整</w:t>
      </w:r>
      <w:r>
        <w:rPr>
          <w:rFonts w:hint="eastAsia" w:ascii="宋体" w:hAnsi="宋体" w:eastAsia="宋体" w:cs="宋体"/>
          <w:color w:val="auto"/>
          <w:kern w:val="0"/>
          <w:szCs w:val="21"/>
          <w:highlight w:val="none"/>
        </w:rPr>
        <w:t>改，如乙方在甲方限期内仍未完成整改或整改后仍不合格的，甲方有权单方解除合同，</w:t>
      </w:r>
      <w:r>
        <w:rPr>
          <w:rFonts w:hint="eastAsia" w:ascii="宋体" w:hAnsi="宋体" w:eastAsia="宋体" w:cs="宋体"/>
          <w:color w:val="auto"/>
          <w:szCs w:val="21"/>
          <w:highlight w:val="none"/>
        </w:rPr>
        <w:t>没收乙方的部分或全部履约担保</w:t>
      </w:r>
      <w:r>
        <w:rPr>
          <w:rFonts w:hint="eastAsia" w:ascii="宋体" w:hAnsi="宋体" w:eastAsia="宋体" w:cs="宋体"/>
          <w:color w:val="auto"/>
          <w:kern w:val="0"/>
          <w:szCs w:val="21"/>
          <w:highlight w:val="none"/>
        </w:rPr>
        <w:t>，并有权依法委托有资质的第三方继续履行本合同义务，由此造成的一切损失（包括但不限于再行采购的费用、委托第三人继续履行时超出本合同费用部分等）由乙方全部承担。</w:t>
      </w:r>
      <w:r>
        <w:rPr>
          <w:rFonts w:hint="eastAsia" w:ascii="宋体" w:hAnsi="宋体" w:eastAsia="宋体" w:cs="宋体"/>
          <w:bCs/>
          <w:color w:val="auto"/>
          <w:kern w:val="0"/>
          <w:szCs w:val="21"/>
          <w:highlight w:val="none"/>
        </w:rPr>
        <w:t>因乙方怠于履行合同义务等故意</w:t>
      </w:r>
      <w:r>
        <w:rPr>
          <w:rFonts w:hint="eastAsia" w:ascii="宋体" w:hAnsi="宋体" w:eastAsia="宋体" w:cs="宋体"/>
          <w:bCs/>
          <w:color w:val="auto"/>
          <w:kern w:val="0"/>
          <w:szCs w:val="21"/>
          <w:highlight w:val="none"/>
          <w:lang w:eastAsia="zh-Hans"/>
        </w:rPr>
        <w:t>或过失</w:t>
      </w:r>
      <w:r>
        <w:rPr>
          <w:rFonts w:hint="eastAsia" w:ascii="宋体" w:hAnsi="宋体" w:eastAsia="宋体" w:cs="宋体"/>
          <w:bCs/>
          <w:color w:val="auto"/>
          <w:kern w:val="0"/>
          <w:szCs w:val="21"/>
          <w:highlight w:val="none"/>
        </w:rPr>
        <w:t>行为导致甲方损失而合同未约定违约金的或违约金无法计算的，按暂定总合同价税合计金额5%支付违约金。</w:t>
      </w:r>
    </w:p>
    <w:p w14:paraId="109F2BE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17、乙方车辆在甲方运营项目行驶时，必须严格遵守厂区道路限行，限速和限重要求，如因乙方未遵守前述要求，对厂区/甲方（含其人员）、乙方人员、第三方造成损失的，乙方须承担</w:t>
      </w:r>
      <w:r>
        <w:rPr>
          <w:rFonts w:hint="eastAsia" w:ascii="宋体" w:hAnsi="宋体" w:eastAsia="宋体" w:cs="宋体"/>
          <w:color w:val="auto"/>
          <w:kern w:val="0"/>
          <w:szCs w:val="21"/>
          <w:highlight w:val="none"/>
          <w:lang w:eastAsia="zh-Hans"/>
        </w:rPr>
        <w:t>全部法律责任和经济损失</w:t>
      </w:r>
      <w:r>
        <w:rPr>
          <w:rFonts w:hint="eastAsia" w:ascii="宋体" w:hAnsi="宋体" w:eastAsia="宋体" w:cs="宋体"/>
          <w:color w:val="auto"/>
          <w:kern w:val="0"/>
          <w:szCs w:val="21"/>
          <w:highlight w:val="none"/>
        </w:rPr>
        <w:t>赔偿。</w:t>
      </w:r>
    </w:p>
    <w:p w14:paraId="05CC900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18、乙方人员在甲方运营项目的安全由乙方自行负责。在进行卸货等工作时，必须严格遵守相关劳动安全规定，并按要求佩戴相关安全劳动防护用具。乙方须做好安全防护措施，合同履行过程中出现的安全事故</w:t>
      </w:r>
      <w:r>
        <w:rPr>
          <w:rFonts w:hint="eastAsia" w:ascii="宋体" w:hAnsi="宋体" w:eastAsia="宋体" w:cs="宋体"/>
          <w:color w:val="auto"/>
          <w:kern w:val="0"/>
          <w:szCs w:val="21"/>
          <w:highlight w:val="none"/>
          <w:lang w:eastAsia="zh-Hans"/>
        </w:rPr>
        <w:t>引发的法律和经济责任应</w:t>
      </w:r>
      <w:r>
        <w:rPr>
          <w:rFonts w:hint="eastAsia" w:ascii="宋体" w:hAnsi="宋体" w:eastAsia="宋体" w:cs="宋体"/>
          <w:color w:val="auto"/>
          <w:kern w:val="0"/>
          <w:szCs w:val="21"/>
          <w:highlight w:val="none"/>
        </w:rPr>
        <w:t>由乙方自行承担。乙方人员在甲方场所必须遵守甲方的一切规章制度和安全条例，服从甲方的监督。乙方在提供本合同项下所有服务的过程中，如因违反甲方相关规章制度、安全条例，或因不服从甲方监督而发生安全事故的，其</w:t>
      </w:r>
      <w:r>
        <w:rPr>
          <w:rFonts w:hint="eastAsia" w:ascii="宋体" w:hAnsi="宋体" w:eastAsia="宋体" w:cs="宋体"/>
          <w:color w:val="auto"/>
          <w:kern w:val="0"/>
          <w:szCs w:val="21"/>
          <w:highlight w:val="none"/>
          <w:lang w:eastAsia="zh-Hans"/>
        </w:rPr>
        <w:t>法律和经济</w:t>
      </w:r>
      <w:r>
        <w:rPr>
          <w:rFonts w:hint="eastAsia" w:ascii="宋体" w:hAnsi="宋体" w:eastAsia="宋体" w:cs="宋体"/>
          <w:color w:val="auto"/>
          <w:kern w:val="0"/>
          <w:szCs w:val="21"/>
          <w:highlight w:val="none"/>
        </w:rPr>
        <w:t>结果与责任均由乙方负责，甲方无须承担任何</w:t>
      </w:r>
      <w:r>
        <w:rPr>
          <w:rFonts w:hint="eastAsia" w:ascii="宋体" w:hAnsi="宋体" w:eastAsia="宋体" w:cs="宋体"/>
          <w:color w:val="auto"/>
          <w:kern w:val="0"/>
          <w:szCs w:val="21"/>
          <w:highlight w:val="none"/>
          <w:lang w:eastAsia="zh-Hans"/>
        </w:rPr>
        <w:t>法律和经济</w:t>
      </w:r>
      <w:r>
        <w:rPr>
          <w:rFonts w:hint="eastAsia" w:ascii="宋体" w:hAnsi="宋体" w:eastAsia="宋体" w:cs="宋体"/>
          <w:color w:val="auto"/>
          <w:kern w:val="0"/>
          <w:szCs w:val="21"/>
          <w:highlight w:val="none"/>
        </w:rPr>
        <w:t>结果与责任。</w:t>
      </w:r>
    </w:p>
    <w:p w14:paraId="7E74386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19、合同履约期间，因乙方违约而支付违约金的，甲方有权在应付未付货款中扣除。乙方违约导致甲方损失的，乙方应支付违约金并承担赔偿责任。违约金数额不</w:t>
      </w:r>
      <w:r>
        <w:rPr>
          <w:rFonts w:hint="eastAsia" w:ascii="宋体" w:hAnsi="宋体" w:eastAsia="宋体" w:cs="宋体"/>
          <w:color w:val="auto"/>
          <w:kern w:val="0"/>
          <w:szCs w:val="21"/>
          <w:highlight w:val="none"/>
          <w:lang w:eastAsia="zh-Hans"/>
        </w:rPr>
        <w:t>足</w:t>
      </w:r>
      <w:r>
        <w:rPr>
          <w:rFonts w:hint="eastAsia" w:ascii="宋体" w:hAnsi="宋体" w:eastAsia="宋体" w:cs="宋体"/>
          <w:color w:val="auto"/>
          <w:kern w:val="0"/>
          <w:szCs w:val="21"/>
          <w:highlight w:val="none"/>
        </w:rPr>
        <w:t>以赔偿甲方所有损失的，乙方还需另行支付补足赔偿。</w:t>
      </w:r>
    </w:p>
    <w:p w14:paraId="01AFE6F9">
      <w:pPr>
        <w:autoSpaceDE w:val="0"/>
        <w:autoSpaceDN w:val="0"/>
        <w:adjustRightInd w:val="0"/>
        <w:jc w:val="left"/>
        <w:rPr>
          <w:rFonts w:hint="eastAsia" w:ascii="宋体" w:hAnsi="宋体" w:eastAsia="宋体" w:cs="宋体"/>
          <w:color w:val="auto"/>
          <w:kern w:val="0"/>
          <w:szCs w:val="21"/>
          <w:highlight w:val="none"/>
        </w:rPr>
      </w:pPr>
    </w:p>
    <w:p w14:paraId="40CF64F4">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bookmarkStart w:id="465" w:name="_Toc19951"/>
      <w:bookmarkStart w:id="466" w:name="_Toc12103"/>
      <w:r>
        <w:rPr>
          <w:rFonts w:hint="eastAsia" w:ascii="宋体" w:hAnsi="宋体" w:eastAsia="宋体" w:cs="宋体"/>
          <w:b/>
          <w:color w:val="auto"/>
          <w:kern w:val="0"/>
          <w:szCs w:val="21"/>
          <w:highlight w:val="none"/>
        </w:rPr>
        <w:t>第十六条 争议解决</w:t>
      </w:r>
      <w:bookmarkEnd w:id="465"/>
      <w:bookmarkEnd w:id="466"/>
    </w:p>
    <w:p w14:paraId="35D373EB">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双方在履约中发生争执和分歧，双方应通过友好协商解决，如不能通过友好协商解决的，任何一方均可向甲方住所地有管辖权的人民法院提起诉讼解决。</w:t>
      </w:r>
    </w:p>
    <w:p w14:paraId="17640170">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p>
    <w:p w14:paraId="5A30C7B9">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bookmarkStart w:id="467" w:name="_Toc17889"/>
      <w:bookmarkStart w:id="468" w:name="_Toc1405"/>
      <w:r>
        <w:rPr>
          <w:rFonts w:hint="eastAsia" w:ascii="宋体" w:hAnsi="宋体" w:eastAsia="宋体" w:cs="宋体"/>
          <w:b/>
          <w:color w:val="auto"/>
          <w:kern w:val="0"/>
          <w:szCs w:val="21"/>
          <w:highlight w:val="none"/>
        </w:rPr>
        <w:t>第十七条 其他</w:t>
      </w:r>
      <w:bookmarkEnd w:id="467"/>
      <w:bookmarkEnd w:id="468"/>
    </w:p>
    <w:p w14:paraId="52583258">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乙方必须清楚理解：本合同不具排他性，甲方对本合同范围内的具体项目享有自主选择的权利。本合同仅作为乙方在本合同期限内取得向甲方供应液态次氯酸钠的供货资格，但并不代表乙方必然取得具体运营项目供货的权利。甲方根据乙方资质条件、履约能力和实际履约情况、</w:t>
      </w:r>
      <w:r>
        <w:rPr>
          <w:rFonts w:hint="eastAsia" w:ascii="宋体" w:hAnsi="宋体" w:eastAsia="宋体" w:cs="宋体"/>
          <w:color w:val="auto"/>
          <w:szCs w:val="21"/>
          <w:highlight w:val="none"/>
        </w:rPr>
        <w:t>项目实际需求</w:t>
      </w:r>
      <w:r>
        <w:rPr>
          <w:rFonts w:hint="eastAsia" w:ascii="宋体" w:hAnsi="宋体" w:eastAsia="宋体" w:cs="宋体"/>
          <w:bCs/>
          <w:color w:val="auto"/>
          <w:kern w:val="0"/>
          <w:szCs w:val="21"/>
          <w:highlight w:val="none"/>
        </w:rPr>
        <w:t>仍有权另行采购其他第三方进行本合同范围内的货物供货服务。</w:t>
      </w:r>
    </w:p>
    <w:p w14:paraId="79E60C13">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w:t>
      </w:r>
      <w:r>
        <w:rPr>
          <w:rFonts w:hint="eastAsia" w:ascii="宋体" w:hAnsi="宋体" w:eastAsia="宋体" w:cs="宋体"/>
          <w:bCs/>
          <w:color w:val="auto"/>
          <w:szCs w:val="21"/>
          <w:highlight w:val="none"/>
          <w:lang w:val="zh-CN"/>
        </w:rPr>
        <w:t>乙方因违约被甲方</w:t>
      </w:r>
      <w:r>
        <w:rPr>
          <w:rFonts w:hint="eastAsia" w:ascii="宋体" w:hAnsi="宋体" w:eastAsia="宋体" w:cs="宋体"/>
          <w:bCs/>
          <w:color w:val="auto"/>
          <w:szCs w:val="21"/>
          <w:highlight w:val="none"/>
        </w:rPr>
        <w:t>或其子公司</w:t>
      </w:r>
      <w:r>
        <w:rPr>
          <w:rFonts w:hint="eastAsia" w:ascii="宋体" w:hAnsi="宋体" w:eastAsia="宋体" w:cs="宋体"/>
          <w:bCs/>
          <w:color w:val="auto"/>
          <w:szCs w:val="21"/>
          <w:highlight w:val="none"/>
          <w:lang w:val="zh-CN"/>
        </w:rPr>
        <w:t>解除本合同的，甲方有权将乙方纳入东莞市水务集团有限公司（含其全资子公司、控股公司、由其管理的参股公司）招标、采购、征集供应商或合作方采购的‘黑名单’中，禁止其在</w:t>
      </w: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zh-CN"/>
        </w:rPr>
        <w:t>年内参与东莞市水务集团有限公司（含其全资子公司、控股公司、由其管理的参股公司）的同类生产药剂相关采购</w:t>
      </w:r>
      <w:r>
        <w:rPr>
          <w:rFonts w:hint="eastAsia" w:ascii="宋体" w:hAnsi="宋体" w:eastAsia="宋体" w:cs="宋体"/>
          <w:bCs/>
          <w:color w:val="auto"/>
          <w:szCs w:val="21"/>
          <w:highlight w:val="none"/>
        </w:rPr>
        <w:t>项目</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rPr>
        <w:t>供应商征集等活动</w:t>
      </w:r>
      <w:r>
        <w:rPr>
          <w:rFonts w:hint="eastAsia" w:ascii="宋体" w:hAnsi="宋体" w:eastAsia="宋体" w:cs="宋体"/>
          <w:bCs/>
          <w:color w:val="auto"/>
          <w:szCs w:val="21"/>
          <w:highlight w:val="none"/>
          <w:lang w:val="zh-CN"/>
        </w:rPr>
        <w:t>。</w:t>
      </w:r>
    </w:p>
    <w:p w14:paraId="46DAE2CE">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3、基于乙方的专业特长，甲方代表（合同签字者）对关于产品质量指标的确认、变更等，仅是程序性行为，并非就是对乙方产品质量责任的免除，乙方仍要对所供的产品承担全部责任。</w:t>
      </w:r>
    </w:p>
    <w:p w14:paraId="13F46E2B">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4、合同履约过程中，若发现同一种货物或服务存在有选择性的报价或不是固定的报价的，或存在多种理解方式的情况发生时，按最有利甲方的方式解释。</w:t>
      </w:r>
    </w:p>
    <w:p w14:paraId="203FD070">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5、本合同及相关招投标文件、中标通知书等作为本合同附件均为合同的有效组成部分，与本合同同具法律效力。如附件内容与本合同有冲突的，以本合同为准。</w:t>
      </w:r>
    </w:p>
    <w:p w14:paraId="3795AA0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6、本合同壹式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份，甲方执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份，乙方执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份，招标代理机构执</w:t>
      </w:r>
      <w:r>
        <w:rPr>
          <w:rFonts w:hint="eastAsia" w:ascii="宋体" w:hAnsi="宋体" w:eastAsia="宋体" w:cs="宋体"/>
          <w:color w:val="auto"/>
          <w:kern w:val="0"/>
          <w:szCs w:val="21"/>
          <w:highlight w:val="none"/>
          <w:u w:val="single"/>
        </w:rPr>
        <w:t xml:space="preserve"> 壹 </w:t>
      </w:r>
      <w:r>
        <w:rPr>
          <w:rFonts w:hint="eastAsia" w:ascii="宋体" w:hAnsi="宋体" w:eastAsia="宋体" w:cs="宋体"/>
          <w:color w:val="auto"/>
          <w:kern w:val="0"/>
          <w:szCs w:val="21"/>
          <w:highlight w:val="none"/>
        </w:rPr>
        <w:t>份，均具有同等法律效力，本合同自双方法定代表人或授权代表签字并盖章之日起生效至合同项下全部义务履行完毕时终止。</w:t>
      </w:r>
    </w:p>
    <w:p w14:paraId="434FBA8F">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7、本</w:t>
      </w:r>
      <w:r>
        <w:rPr>
          <w:rFonts w:hint="eastAsia" w:ascii="宋体" w:hAnsi="宋体" w:eastAsia="宋体" w:cs="宋体"/>
          <w:bCs/>
          <w:color w:val="auto"/>
          <w:kern w:val="0"/>
          <w:szCs w:val="21"/>
          <w:highlight w:val="none"/>
        </w:rPr>
        <w:t>合同</w:t>
      </w:r>
      <w:r>
        <w:rPr>
          <w:rFonts w:hint="eastAsia" w:ascii="宋体" w:hAnsi="宋体" w:eastAsia="宋体" w:cs="宋体"/>
          <w:color w:val="auto"/>
          <w:kern w:val="0"/>
          <w:szCs w:val="21"/>
          <w:highlight w:val="none"/>
        </w:rPr>
        <w:t>未尽事宜，由双方协商处理。</w:t>
      </w:r>
    </w:p>
    <w:p w14:paraId="0DBEA9AE">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r>
        <w:rPr>
          <w:rFonts w:hint="eastAsia" w:ascii="宋体" w:hAnsi="宋体" w:eastAsia="宋体" w:cs="宋体"/>
          <w:bCs/>
          <w:color w:val="auto"/>
          <w:kern w:val="0"/>
          <w:szCs w:val="21"/>
          <w:highlight w:val="none"/>
        </w:rPr>
        <w:t>合同</w:t>
      </w:r>
      <w:r>
        <w:rPr>
          <w:rFonts w:hint="eastAsia" w:ascii="宋体" w:hAnsi="宋体" w:eastAsia="宋体" w:cs="宋体"/>
          <w:color w:val="auto"/>
          <w:kern w:val="0"/>
          <w:szCs w:val="21"/>
          <w:highlight w:val="none"/>
        </w:rPr>
        <w:t>附件：1、供应商履约评价表； 2、廉洁协议书</w:t>
      </w:r>
      <w:r>
        <w:rPr>
          <w:rFonts w:hint="eastAsia" w:ascii="宋体" w:hAnsi="宋体" w:eastAsia="宋体" w:cs="宋体"/>
          <w:color w:val="auto"/>
          <w:szCs w:val="21"/>
          <w:highlight w:val="none"/>
        </w:rPr>
        <w:t>；3、补充协议；4、中标通知书；5、用户需求书</w:t>
      </w:r>
      <w:r>
        <w:rPr>
          <w:rFonts w:hint="eastAsia" w:ascii="宋体" w:hAnsi="宋体" w:eastAsia="宋体" w:cs="宋体"/>
          <w:color w:val="auto"/>
          <w:kern w:val="0"/>
          <w:szCs w:val="21"/>
          <w:highlight w:val="none"/>
        </w:rPr>
        <w:t>。</w:t>
      </w:r>
    </w:p>
    <w:p w14:paraId="14D235B2">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p>
    <w:p w14:paraId="190DFB29">
      <w:pPr>
        <w:autoSpaceDE w:val="0"/>
        <w:autoSpaceDN w:val="0"/>
        <w:adjustRightInd w:val="0"/>
        <w:spacing w:line="360" w:lineRule="auto"/>
        <w:jc w:val="left"/>
        <w:rPr>
          <w:rFonts w:hint="eastAsia" w:ascii="宋体" w:hAnsi="宋体" w:eastAsia="宋体" w:cs="宋体"/>
          <w:bCs/>
          <w:color w:val="auto"/>
          <w:kern w:val="0"/>
          <w:szCs w:val="21"/>
          <w:highlight w:val="none"/>
        </w:rPr>
      </w:pPr>
    </w:p>
    <w:p w14:paraId="5F494D8C">
      <w:pPr>
        <w:autoSpaceDE w:val="0"/>
        <w:autoSpaceDN w:val="0"/>
        <w:adjustRightInd w:val="0"/>
        <w:jc w:val="left"/>
        <w:rPr>
          <w:rFonts w:hint="eastAsia" w:ascii="宋体" w:hAnsi="宋体" w:eastAsia="宋体" w:cs="宋体"/>
          <w:color w:val="auto"/>
          <w:kern w:val="0"/>
          <w:szCs w:val="21"/>
          <w:highlight w:val="none"/>
        </w:rPr>
      </w:pPr>
    </w:p>
    <w:p w14:paraId="59F7AD6A">
      <w:pPr>
        <w:autoSpaceDE w:val="0"/>
        <w:autoSpaceDN w:val="0"/>
        <w:adjustRightInd w:val="0"/>
        <w:spacing w:line="360" w:lineRule="auto"/>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（本页为《东莞市水务集团有限公司2025年液态次氯酸钠采购项目合同》签署页）</w:t>
      </w:r>
    </w:p>
    <w:p w14:paraId="05DC8E56">
      <w:pPr>
        <w:pStyle w:val="2"/>
        <w:rPr>
          <w:rFonts w:hint="eastAsia" w:hAnsi="宋体" w:cs="宋体"/>
          <w:color w:val="auto"/>
          <w:sz w:val="21"/>
          <w:szCs w:val="21"/>
          <w:highlight w:val="none"/>
        </w:rPr>
      </w:pPr>
    </w:p>
    <w:tbl>
      <w:tblPr>
        <w:tblStyle w:val="37"/>
        <w:tblW w:w="9142" w:type="dxa"/>
        <w:jc w:val="center"/>
        <w:tblLayout w:type="fixed"/>
        <w:tblCellMar>
          <w:top w:w="0" w:type="dxa"/>
          <w:left w:w="108" w:type="dxa"/>
          <w:bottom w:w="0" w:type="dxa"/>
          <w:right w:w="108" w:type="dxa"/>
        </w:tblCellMar>
      </w:tblPr>
      <w:tblGrid>
        <w:gridCol w:w="4383"/>
        <w:gridCol w:w="4759"/>
      </w:tblGrid>
      <w:tr w14:paraId="145FD22B">
        <w:tblPrEx>
          <w:tblCellMar>
            <w:top w:w="0" w:type="dxa"/>
            <w:left w:w="108" w:type="dxa"/>
            <w:bottom w:w="0" w:type="dxa"/>
            <w:right w:w="108" w:type="dxa"/>
          </w:tblCellMar>
        </w:tblPrEx>
        <w:trPr>
          <w:jc w:val="center"/>
        </w:trPr>
        <w:tc>
          <w:tcPr>
            <w:tcW w:w="4383" w:type="dxa"/>
          </w:tcPr>
          <w:p w14:paraId="59A5F42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甲方（盖章）：</w:t>
            </w:r>
          </w:p>
          <w:p w14:paraId="0909812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p>
        </w:tc>
        <w:tc>
          <w:tcPr>
            <w:tcW w:w="4759" w:type="dxa"/>
          </w:tcPr>
          <w:p w14:paraId="23320F2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乙方（盖章）：</w:t>
            </w:r>
          </w:p>
          <w:p w14:paraId="08650AE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p>
        </w:tc>
      </w:tr>
      <w:tr w14:paraId="1978FE18">
        <w:tblPrEx>
          <w:tblCellMar>
            <w:top w:w="0" w:type="dxa"/>
            <w:left w:w="108" w:type="dxa"/>
            <w:bottom w:w="0" w:type="dxa"/>
            <w:right w:w="108" w:type="dxa"/>
          </w:tblCellMar>
        </w:tblPrEx>
        <w:trPr>
          <w:jc w:val="center"/>
        </w:trPr>
        <w:tc>
          <w:tcPr>
            <w:tcW w:w="4383" w:type="dxa"/>
          </w:tcPr>
          <w:p w14:paraId="520A6B7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759" w:type="dxa"/>
          </w:tcPr>
          <w:p w14:paraId="0FDBEEC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5DAD6522">
        <w:tblPrEx>
          <w:tblCellMar>
            <w:top w:w="0" w:type="dxa"/>
            <w:left w:w="108" w:type="dxa"/>
            <w:bottom w:w="0" w:type="dxa"/>
            <w:right w:w="108" w:type="dxa"/>
          </w:tblCellMar>
        </w:tblPrEx>
        <w:trPr>
          <w:trHeight w:val="1074" w:hRule="atLeast"/>
          <w:jc w:val="center"/>
        </w:trPr>
        <w:tc>
          <w:tcPr>
            <w:tcW w:w="4383" w:type="dxa"/>
          </w:tcPr>
          <w:p w14:paraId="494FE60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p w14:paraId="13FFA67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p>
        </w:tc>
        <w:tc>
          <w:tcPr>
            <w:tcW w:w="4759" w:type="dxa"/>
          </w:tcPr>
          <w:p w14:paraId="76F7DD5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p w14:paraId="16311F4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p>
        </w:tc>
      </w:tr>
      <w:tr w14:paraId="65C6F142">
        <w:tblPrEx>
          <w:tblCellMar>
            <w:top w:w="0" w:type="dxa"/>
            <w:left w:w="108" w:type="dxa"/>
            <w:bottom w:w="0" w:type="dxa"/>
            <w:right w:w="108" w:type="dxa"/>
          </w:tblCellMar>
        </w:tblPrEx>
        <w:trPr>
          <w:jc w:val="center"/>
        </w:trPr>
        <w:tc>
          <w:tcPr>
            <w:tcW w:w="4383" w:type="dxa"/>
          </w:tcPr>
          <w:p w14:paraId="4A029B9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759" w:type="dxa"/>
          </w:tcPr>
          <w:p w14:paraId="6D0870A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3C1A2443">
        <w:tblPrEx>
          <w:tblCellMar>
            <w:top w:w="0" w:type="dxa"/>
            <w:left w:w="108" w:type="dxa"/>
            <w:bottom w:w="0" w:type="dxa"/>
            <w:right w:w="108" w:type="dxa"/>
          </w:tblCellMar>
        </w:tblPrEx>
        <w:trPr>
          <w:jc w:val="center"/>
        </w:trPr>
        <w:tc>
          <w:tcPr>
            <w:tcW w:w="4383" w:type="dxa"/>
          </w:tcPr>
          <w:p w14:paraId="1919DCC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759" w:type="dxa"/>
          </w:tcPr>
          <w:p w14:paraId="3D285DD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5A94A50D">
        <w:tblPrEx>
          <w:tblCellMar>
            <w:top w:w="0" w:type="dxa"/>
            <w:left w:w="108" w:type="dxa"/>
            <w:bottom w:w="0" w:type="dxa"/>
            <w:right w:w="108" w:type="dxa"/>
          </w:tblCellMar>
        </w:tblPrEx>
        <w:trPr>
          <w:jc w:val="center"/>
        </w:trPr>
        <w:tc>
          <w:tcPr>
            <w:tcW w:w="4383" w:type="dxa"/>
          </w:tcPr>
          <w:p w14:paraId="6F057395">
            <w:pPr>
              <w:widowControl/>
              <w:snapToGrid w:val="0"/>
              <w:jc w:val="left"/>
              <w:rPr>
                <w:rFonts w:hint="eastAsia" w:ascii="宋体" w:hAnsi="宋体" w:eastAsia="宋体" w:cs="宋体"/>
                <w:color w:val="auto"/>
                <w:szCs w:val="21"/>
                <w:highlight w:val="none"/>
              </w:rPr>
            </w:pPr>
          </w:p>
          <w:p w14:paraId="40D8C2E2">
            <w:pPr>
              <w:widowControl/>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p>
        </w:tc>
        <w:tc>
          <w:tcPr>
            <w:tcW w:w="4759" w:type="dxa"/>
          </w:tcPr>
          <w:p w14:paraId="77F03E88">
            <w:pPr>
              <w:spacing w:line="360" w:lineRule="auto"/>
              <w:rPr>
                <w:rFonts w:hint="eastAsia" w:ascii="宋体" w:hAnsi="宋体" w:eastAsia="宋体" w:cs="宋体"/>
                <w:color w:val="auto"/>
                <w:szCs w:val="21"/>
                <w:highlight w:val="none"/>
              </w:rPr>
            </w:pPr>
          </w:p>
        </w:tc>
      </w:tr>
    </w:tbl>
    <w:p w14:paraId="47499888">
      <w:pPr>
        <w:autoSpaceDE w:val="0"/>
        <w:autoSpaceDN w:val="0"/>
        <w:adjustRightInd w:val="0"/>
        <w:jc w:val="left"/>
        <w:rPr>
          <w:rFonts w:hint="eastAsia" w:ascii="宋体" w:hAnsi="宋体" w:eastAsia="宋体" w:cs="宋体"/>
          <w:color w:val="auto"/>
          <w:kern w:val="0"/>
          <w:szCs w:val="21"/>
          <w:highlight w:val="none"/>
        </w:rPr>
      </w:pPr>
    </w:p>
    <w:p w14:paraId="7DD184CD">
      <w:pPr>
        <w:rPr>
          <w:rFonts w:hint="eastAsia" w:ascii="宋体" w:hAnsi="宋体" w:eastAsia="宋体" w:cs="宋体"/>
          <w:color w:val="auto"/>
          <w:szCs w:val="21"/>
          <w:highlight w:val="none"/>
        </w:rPr>
      </w:pPr>
    </w:p>
    <w:p w14:paraId="4158A56D">
      <w:pPr>
        <w:autoSpaceDE w:val="0"/>
        <w:autoSpaceDN w:val="0"/>
        <w:adjustRightInd w:val="0"/>
        <w:spacing w:line="360" w:lineRule="auto"/>
        <w:jc w:val="left"/>
        <w:rPr>
          <w:rFonts w:hint="eastAsia" w:ascii="宋体" w:hAnsi="宋体" w:eastAsia="宋体" w:cs="宋体"/>
          <w:color w:val="auto"/>
          <w:kern w:val="0"/>
          <w:szCs w:val="21"/>
          <w:highlight w:val="none"/>
        </w:rPr>
      </w:pPr>
    </w:p>
    <w:p w14:paraId="450A69FD">
      <w:pPr>
        <w:pageBreakBefore/>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附件1：供应商履约评价表</w:t>
      </w:r>
    </w:p>
    <w:p w14:paraId="102C40B6">
      <w:pPr>
        <w:autoSpaceDE w:val="0"/>
        <w:autoSpaceDN w:val="0"/>
        <w:adjustRightInd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供应商履约评价表</w:t>
      </w:r>
    </w:p>
    <w:tbl>
      <w:tblPr>
        <w:tblStyle w:val="37"/>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096"/>
        <w:gridCol w:w="2208"/>
        <w:gridCol w:w="1482"/>
        <w:gridCol w:w="789"/>
        <w:gridCol w:w="1287"/>
        <w:gridCol w:w="973"/>
        <w:gridCol w:w="640"/>
        <w:gridCol w:w="1081"/>
        <w:gridCol w:w="6"/>
      </w:tblGrid>
      <w:tr w14:paraId="1996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12" w:hRule="atLeast"/>
          <w:jc w:val="center"/>
        </w:trPr>
        <w:tc>
          <w:tcPr>
            <w:tcW w:w="1521" w:type="dxa"/>
            <w:gridSpan w:val="2"/>
            <w:vAlign w:val="center"/>
          </w:tcPr>
          <w:p w14:paraId="40E8D733">
            <w:pPr>
              <w:widowControl/>
              <w:snapToGrid w:val="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合同名称</w:t>
            </w:r>
          </w:p>
        </w:tc>
        <w:tc>
          <w:tcPr>
            <w:tcW w:w="8460" w:type="dxa"/>
            <w:gridSpan w:val="7"/>
            <w:vAlign w:val="center"/>
          </w:tcPr>
          <w:p w14:paraId="1E1D0D67">
            <w:pPr>
              <w:widowControl/>
              <w:snapToGrid w:val="0"/>
              <w:jc w:val="left"/>
              <w:rPr>
                <w:rFonts w:hint="eastAsia" w:ascii="宋体" w:hAnsi="宋体" w:eastAsia="宋体" w:cs="宋体"/>
                <w:color w:val="auto"/>
                <w:szCs w:val="21"/>
                <w:highlight w:val="none"/>
              </w:rPr>
            </w:pPr>
          </w:p>
        </w:tc>
      </w:tr>
      <w:tr w14:paraId="5580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15" w:hRule="atLeast"/>
          <w:jc w:val="center"/>
        </w:trPr>
        <w:tc>
          <w:tcPr>
            <w:tcW w:w="1521" w:type="dxa"/>
            <w:gridSpan w:val="2"/>
            <w:vAlign w:val="center"/>
          </w:tcPr>
          <w:p w14:paraId="61A43A74">
            <w:pPr>
              <w:widowControl/>
              <w:snapToGrid w:val="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合同编号</w:t>
            </w:r>
          </w:p>
        </w:tc>
        <w:tc>
          <w:tcPr>
            <w:tcW w:w="8460" w:type="dxa"/>
            <w:gridSpan w:val="7"/>
            <w:vAlign w:val="center"/>
          </w:tcPr>
          <w:p w14:paraId="0B0DB526">
            <w:pPr>
              <w:widowControl/>
              <w:snapToGrid w:val="0"/>
              <w:jc w:val="left"/>
              <w:rPr>
                <w:rFonts w:hint="eastAsia" w:ascii="宋体" w:hAnsi="宋体" w:eastAsia="宋体" w:cs="宋体"/>
                <w:color w:val="auto"/>
                <w:szCs w:val="21"/>
                <w:highlight w:val="none"/>
              </w:rPr>
            </w:pPr>
          </w:p>
        </w:tc>
      </w:tr>
      <w:tr w14:paraId="0B92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1521" w:type="dxa"/>
            <w:gridSpan w:val="2"/>
            <w:vAlign w:val="center"/>
          </w:tcPr>
          <w:p w14:paraId="3ECAAA2A">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甲方（买方）名称</w:t>
            </w:r>
          </w:p>
        </w:tc>
        <w:tc>
          <w:tcPr>
            <w:tcW w:w="8460" w:type="dxa"/>
            <w:gridSpan w:val="7"/>
            <w:vAlign w:val="center"/>
          </w:tcPr>
          <w:p w14:paraId="581678D0">
            <w:pPr>
              <w:widowControl/>
              <w:snapToGrid w:val="0"/>
              <w:jc w:val="left"/>
              <w:rPr>
                <w:rFonts w:hint="eastAsia" w:ascii="宋体" w:hAnsi="宋体" w:eastAsia="宋体" w:cs="宋体"/>
                <w:color w:val="auto"/>
                <w:szCs w:val="21"/>
                <w:highlight w:val="none"/>
              </w:rPr>
            </w:pPr>
          </w:p>
        </w:tc>
      </w:tr>
      <w:tr w14:paraId="432F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16" w:hRule="atLeast"/>
          <w:jc w:val="center"/>
        </w:trPr>
        <w:tc>
          <w:tcPr>
            <w:tcW w:w="1521" w:type="dxa"/>
            <w:gridSpan w:val="2"/>
            <w:vAlign w:val="center"/>
          </w:tcPr>
          <w:p w14:paraId="7E510085">
            <w:pPr>
              <w:widowControl/>
              <w:snapToGrid w:val="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供应商</w:t>
            </w:r>
            <w:r>
              <w:rPr>
                <w:rFonts w:hint="eastAsia" w:ascii="宋体" w:hAnsi="宋体" w:eastAsia="宋体" w:cs="宋体"/>
                <w:color w:val="auto"/>
                <w:szCs w:val="21"/>
                <w:highlight w:val="none"/>
              </w:rPr>
              <w:t>名称</w:t>
            </w:r>
          </w:p>
        </w:tc>
        <w:tc>
          <w:tcPr>
            <w:tcW w:w="8460" w:type="dxa"/>
            <w:gridSpan w:val="7"/>
            <w:vAlign w:val="center"/>
          </w:tcPr>
          <w:p w14:paraId="7F2C763D">
            <w:pPr>
              <w:widowControl/>
              <w:snapToGrid w:val="0"/>
              <w:jc w:val="left"/>
              <w:rPr>
                <w:rFonts w:hint="eastAsia" w:ascii="宋体" w:hAnsi="宋体" w:eastAsia="宋体" w:cs="宋体"/>
                <w:color w:val="auto"/>
                <w:szCs w:val="21"/>
                <w:highlight w:val="none"/>
              </w:rPr>
            </w:pPr>
          </w:p>
        </w:tc>
      </w:tr>
      <w:tr w14:paraId="5E4F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52" w:hRule="atLeast"/>
          <w:jc w:val="center"/>
        </w:trPr>
        <w:tc>
          <w:tcPr>
            <w:tcW w:w="1521" w:type="dxa"/>
            <w:gridSpan w:val="2"/>
            <w:vAlign w:val="center"/>
          </w:tcPr>
          <w:p w14:paraId="378BD88C">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供应货物名称</w:t>
            </w:r>
          </w:p>
        </w:tc>
        <w:tc>
          <w:tcPr>
            <w:tcW w:w="8460" w:type="dxa"/>
            <w:gridSpan w:val="7"/>
            <w:vAlign w:val="center"/>
          </w:tcPr>
          <w:p w14:paraId="748926DE">
            <w:pPr>
              <w:widowControl/>
              <w:snapToGrid w:val="0"/>
              <w:jc w:val="left"/>
              <w:rPr>
                <w:rFonts w:hint="eastAsia" w:ascii="宋体" w:hAnsi="宋体" w:eastAsia="宋体" w:cs="宋体"/>
                <w:bCs/>
                <w:color w:val="auto"/>
                <w:szCs w:val="21"/>
                <w:highlight w:val="none"/>
              </w:rPr>
            </w:pPr>
          </w:p>
        </w:tc>
      </w:tr>
      <w:tr w14:paraId="4212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0B506645">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096" w:type="dxa"/>
            <w:vAlign w:val="center"/>
          </w:tcPr>
          <w:p w14:paraId="11FD0101">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履约评价项目</w:t>
            </w:r>
          </w:p>
        </w:tc>
        <w:tc>
          <w:tcPr>
            <w:tcW w:w="3690" w:type="dxa"/>
            <w:gridSpan w:val="2"/>
            <w:vAlign w:val="center"/>
          </w:tcPr>
          <w:p w14:paraId="51F6CE4E">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评价标准</w:t>
            </w:r>
          </w:p>
        </w:tc>
        <w:tc>
          <w:tcPr>
            <w:tcW w:w="2076" w:type="dxa"/>
            <w:gridSpan w:val="2"/>
            <w:vAlign w:val="center"/>
          </w:tcPr>
          <w:p w14:paraId="119BFA96">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评分说明</w:t>
            </w:r>
          </w:p>
        </w:tc>
        <w:tc>
          <w:tcPr>
            <w:tcW w:w="973" w:type="dxa"/>
            <w:vAlign w:val="center"/>
          </w:tcPr>
          <w:p w14:paraId="7BF3C14F">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分值</w:t>
            </w:r>
          </w:p>
        </w:tc>
        <w:tc>
          <w:tcPr>
            <w:tcW w:w="640" w:type="dxa"/>
            <w:vAlign w:val="center"/>
          </w:tcPr>
          <w:p w14:paraId="47584CB7">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实得分</w:t>
            </w:r>
          </w:p>
        </w:tc>
        <w:tc>
          <w:tcPr>
            <w:tcW w:w="1081" w:type="dxa"/>
            <w:vAlign w:val="center"/>
          </w:tcPr>
          <w:p w14:paraId="030E2077">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备注</w:t>
            </w:r>
          </w:p>
          <w:p w14:paraId="20678269">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（该项分值80%的分数）</w:t>
            </w:r>
          </w:p>
        </w:tc>
      </w:tr>
      <w:tr w14:paraId="54D7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72AD4184">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096" w:type="dxa"/>
            <w:vAlign w:val="center"/>
          </w:tcPr>
          <w:p w14:paraId="09059CC4">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质量</w:t>
            </w:r>
          </w:p>
        </w:tc>
        <w:tc>
          <w:tcPr>
            <w:tcW w:w="3690" w:type="dxa"/>
            <w:gridSpan w:val="2"/>
            <w:vAlign w:val="center"/>
          </w:tcPr>
          <w:p w14:paraId="7ABE8DC7">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（1）货物未出现全部拒收或换货等质量问题；</w:t>
            </w:r>
          </w:p>
          <w:p w14:paraId="76461220">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（2）有效成分含量符合合同规定，货物其他指标符合合同规定；</w:t>
            </w:r>
          </w:p>
          <w:p w14:paraId="638D54CC">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（3）每批次货物质量稳定，投加效果良好，未出现由于每批次货物质量参差不齐或在同一投加量下产生不同效果，而对运营项目的生产运营造成实质性影响或损失等情况。</w:t>
            </w:r>
          </w:p>
        </w:tc>
        <w:tc>
          <w:tcPr>
            <w:tcW w:w="2076" w:type="dxa"/>
            <w:gridSpan w:val="2"/>
            <w:vAlign w:val="center"/>
          </w:tcPr>
          <w:p w14:paraId="32E97B9B">
            <w:pPr>
              <w:widowControl/>
              <w:snapToGrid w:val="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达到标准的得满分，每月每次有一项未达到标准的扣2分。单次货物最多扣4分。</w:t>
            </w:r>
          </w:p>
        </w:tc>
        <w:tc>
          <w:tcPr>
            <w:tcW w:w="973" w:type="dxa"/>
            <w:vAlign w:val="center"/>
          </w:tcPr>
          <w:p w14:paraId="78200655">
            <w:pPr>
              <w:widowControl/>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40" w:type="dxa"/>
            <w:vAlign w:val="center"/>
          </w:tcPr>
          <w:p w14:paraId="3933B7B7">
            <w:pPr>
              <w:widowControl/>
              <w:snapToGrid w:val="0"/>
              <w:jc w:val="center"/>
              <w:rPr>
                <w:rFonts w:hint="eastAsia" w:ascii="宋体" w:hAnsi="宋体" w:eastAsia="宋体" w:cs="宋体"/>
                <w:bCs/>
                <w:color w:val="auto"/>
                <w:szCs w:val="21"/>
                <w:highlight w:val="none"/>
              </w:rPr>
            </w:pPr>
          </w:p>
        </w:tc>
        <w:tc>
          <w:tcPr>
            <w:tcW w:w="1081" w:type="dxa"/>
            <w:vAlign w:val="center"/>
          </w:tcPr>
          <w:p w14:paraId="6B5E4881">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w:t>
            </w:r>
          </w:p>
        </w:tc>
      </w:tr>
      <w:tr w14:paraId="6C84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287A81B6">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1096" w:type="dxa"/>
            <w:vAlign w:val="center"/>
          </w:tcPr>
          <w:p w14:paraId="6C35B756">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包装运输</w:t>
            </w:r>
          </w:p>
        </w:tc>
        <w:tc>
          <w:tcPr>
            <w:tcW w:w="3690" w:type="dxa"/>
            <w:gridSpan w:val="2"/>
            <w:vAlign w:val="center"/>
          </w:tcPr>
          <w:p w14:paraId="7CCD2D11">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货物的包装、运输符合合同规定及行业标准；未出现由于包装、运输方式不当造成以下不良后果：</w:t>
            </w:r>
          </w:p>
          <w:p w14:paraId="62468853">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（1）影响货物输送或储存质量；</w:t>
            </w:r>
          </w:p>
          <w:p w14:paraId="641A8B45">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（2）货物质量下降；</w:t>
            </w:r>
          </w:p>
          <w:p w14:paraId="6A03A0C8">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（3）货物泄漏导致供货量不足；</w:t>
            </w:r>
          </w:p>
          <w:p w14:paraId="68D91C0B">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（4）造成环境污染。</w:t>
            </w:r>
          </w:p>
        </w:tc>
        <w:tc>
          <w:tcPr>
            <w:tcW w:w="2076" w:type="dxa"/>
            <w:gridSpan w:val="2"/>
            <w:vAlign w:val="center"/>
          </w:tcPr>
          <w:p w14:paraId="677023E9">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达到标准的得满分，每月每次有一项未达到标准的扣1分。单次货物最多扣4分。</w:t>
            </w:r>
          </w:p>
        </w:tc>
        <w:tc>
          <w:tcPr>
            <w:tcW w:w="973" w:type="dxa"/>
            <w:vAlign w:val="center"/>
          </w:tcPr>
          <w:p w14:paraId="2C39F329">
            <w:pPr>
              <w:widowControl/>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640" w:type="dxa"/>
            <w:vAlign w:val="center"/>
          </w:tcPr>
          <w:p w14:paraId="0D00D014">
            <w:pPr>
              <w:widowControl/>
              <w:snapToGrid w:val="0"/>
              <w:jc w:val="center"/>
              <w:rPr>
                <w:rFonts w:hint="eastAsia" w:ascii="宋体" w:hAnsi="宋体" w:eastAsia="宋体" w:cs="宋体"/>
                <w:bCs/>
                <w:color w:val="auto"/>
                <w:szCs w:val="21"/>
                <w:highlight w:val="none"/>
              </w:rPr>
            </w:pPr>
          </w:p>
        </w:tc>
        <w:tc>
          <w:tcPr>
            <w:tcW w:w="1081" w:type="dxa"/>
            <w:vAlign w:val="center"/>
          </w:tcPr>
          <w:p w14:paraId="3F7FE617">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w:t>
            </w:r>
          </w:p>
        </w:tc>
      </w:tr>
      <w:tr w14:paraId="5512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23D661E4">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1096" w:type="dxa"/>
            <w:vAlign w:val="center"/>
          </w:tcPr>
          <w:p w14:paraId="13248F85">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货物交付</w:t>
            </w:r>
          </w:p>
        </w:tc>
        <w:tc>
          <w:tcPr>
            <w:tcW w:w="3690" w:type="dxa"/>
            <w:gridSpan w:val="2"/>
            <w:vAlign w:val="center"/>
          </w:tcPr>
          <w:p w14:paraId="00425FC9">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（1）按合同约定时间供货（包括加急供货）；</w:t>
            </w:r>
          </w:p>
          <w:p w14:paraId="7BE7AD2E">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（2）每批次供货配合提供电子地磅称重单；</w:t>
            </w:r>
          </w:p>
          <w:p w14:paraId="1F1BFDE9">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（3）交付人员专业性强，工作效率高，熟悉交付操作流程；</w:t>
            </w:r>
          </w:p>
          <w:p w14:paraId="59DD8AEC">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（4）运输车辆按厂区指示行驶及停放、卸货方式恰当；</w:t>
            </w:r>
          </w:p>
          <w:p w14:paraId="3B61F43B">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（5）每批次实际供货数量与甲方（买方）所发出供货通知要求的供货数量一致。</w:t>
            </w:r>
          </w:p>
        </w:tc>
        <w:tc>
          <w:tcPr>
            <w:tcW w:w="2076" w:type="dxa"/>
            <w:gridSpan w:val="2"/>
            <w:vAlign w:val="center"/>
          </w:tcPr>
          <w:p w14:paraId="4D4CD621">
            <w:pPr>
              <w:widowControl/>
              <w:snapToGrid w:val="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达到标准的得满分，每月每次有一项未达到标准的扣1分。单次货物最多扣4分。</w:t>
            </w:r>
          </w:p>
        </w:tc>
        <w:tc>
          <w:tcPr>
            <w:tcW w:w="973" w:type="dxa"/>
            <w:vAlign w:val="center"/>
          </w:tcPr>
          <w:p w14:paraId="2AE72301">
            <w:pPr>
              <w:widowControl/>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40" w:type="dxa"/>
            <w:vAlign w:val="center"/>
          </w:tcPr>
          <w:p w14:paraId="04B61A90">
            <w:pPr>
              <w:widowControl/>
              <w:snapToGrid w:val="0"/>
              <w:jc w:val="center"/>
              <w:rPr>
                <w:rFonts w:hint="eastAsia" w:ascii="宋体" w:hAnsi="宋体" w:eastAsia="宋体" w:cs="宋体"/>
                <w:bCs/>
                <w:color w:val="auto"/>
                <w:szCs w:val="21"/>
                <w:highlight w:val="none"/>
              </w:rPr>
            </w:pPr>
          </w:p>
        </w:tc>
        <w:tc>
          <w:tcPr>
            <w:tcW w:w="1081" w:type="dxa"/>
            <w:vAlign w:val="center"/>
          </w:tcPr>
          <w:p w14:paraId="43BF17E2">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w:t>
            </w:r>
          </w:p>
        </w:tc>
      </w:tr>
      <w:tr w14:paraId="0C94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4F4E275A">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1096" w:type="dxa"/>
            <w:vAlign w:val="center"/>
          </w:tcPr>
          <w:p w14:paraId="22649159">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验收</w:t>
            </w:r>
          </w:p>
        </w:tc>
        <w:tc>
          <w:tcPr>
            <w:tcW w:w="3690" w:type="dxa"/>
            <w:gridSpan w:val="2"/>
            <w:vAlign w:val="center"/>
          </w:tcPr>
          <w:p w14:paraId="7A7C8253">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（1）及时提供货物的各项技术资料；</w:t>
            </w:r>
          </w:p>
          <w:p w14:paraId="07274AE0">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（2）高效处理退换货工作、态度良好；（3）未出现因对检测结果存在异议而影响供货的情况；</w:t>
            </w:r>
          </w:p>
          <w:p w14:paraId="64448325">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（4）未出现因货物检验不合格，或因货物不合格影响厂区生产效果的情况。</w:t>
            </w:r>
          </w:p>
        </w:tc>
        <w:tc>
          <w:tcPr>
            <w:tcW w:w="2076" w:type="dxa"/>
            <w:gridSpan w:val="2"/>
            <w:vAlign w:val="center"/>
          </w:tcPr>
          <w:p w14:paraId="2E5F9B15">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达到标准的得满分，每月每次有一项未达到标准的扣2分。单次货物最多扣4分。</w:t>
            </w:r>
          </w:p>
        </w:tc>
        <w:tc>
          <w:tcPr>
            <w:tcW w:w="973" w:type="dxa"/>
            <w:vAlign w:val="center"/>
          </w:tcPr>
          <w:p w14:paraId="61651764">
            <w:pPr>
              <w:widowControl/>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40" w:type="dxa"/>
            <w:vAlign w:val="center"/>
          </w:tcPr>
          <w:p w14:paraId="432C2445">
            <w:pPr>
              <w:widowControl/>
              <w:snapToGrid w:val="0"/>
              <w:jc w:val="center"/>
              <w:rPr>
                <w:rFonts w:hint="eastAsia" w:ascii="宋体" w:hAnsi="宋体" w:eastAsia="宋体" w:cs="宋体"/>
                <w:bCs/>
                <w:color w:val="auto"/>
                <w:szCs w:val="21"/>
                <w:highlight w:val="none"/>
              </w:rPr>
            </w:pPr>
          </w:p>
        </w:tc>
        <w:tc>
          <w:tcPr>
            <w:tcW w:w="1081" w:type="dxa"/>
            <w:vAlign w:val="center"/>
          </w:tcPr>
          <w:p w14:paraId="1C918939">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w:t>
            </w:r>
          </w:p>
        </w:tc>
      </w:tr>
      <w:tr w14:paraId="4115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37D561C8">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1096" w:type="dxa"/>
            <w:vAlign w:val="center"/>
          </w:tcPr>
          <w:p w14:paraId="26848CD1">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安全</w:t>
            </w:r>
          </w:p>
        </w:tc>
        <w:tc>
          <w:tcPr>
            <w:tcW w:w="3690" w:type="dxa"/>
            <w:gridSpan w:val="2"/>
            <w:vAlign w:val="center"/>
          </w:tcPr>
          <w:p w14:paraId="5F9428B0">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（1）运输服务商资质、运输人员、运输车辆符合合同规定及行业标准；</w:t>
            </w:r>
          </w:p>
          <w:p w14:paraId="19E3A0E0">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（2）未出现超载或非法运输等情况；</w:t>
            </w:r>
          </w:p>
          <w:p w14:paraId="0492B310">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（3）未出现由于运输服务商资质不符、超载或非法运输造成第三方或厂区事故、损失的情况。</w:t>
            </w:r>
          </w:p>
        </w:tc>
        <w:tc>
          <w:tcPr>
            <w:tcW w:w="2076" w:type="dxa"/>
            <w:gridSpan w:val="2"/>
            <w:vAlign w:val="center"/>
          </w:tcPr>
          <w:p w14:paraId="45946F84">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达到标准的得满分，每月每次有一项未达到标准的扣1分。单次货物最多扣3分。</w:t>
            </w:r>
          </w:p>
        </w:tc>
        <w:tc>
          <w:tcPr>
            <w:tcW w:w="973" w:type="dxa"/>
            <w:vAlign w:val="center"/>
          </w:tcPr>
          <w:p w14:paraId="5284CCE0">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w:t>
            </w:r>
          </w:p>
        </w:tc>
        <w:tc>
          <w:tcPr>
            <w:tcW w:w="640" w:type="dxa"/>
            <w:vAlign w:val="center"/>
          </w:tcPr>
          <w:p w14:paraId="167C1AB7">
            <w:pPr>
              <w:widowControl/>
              <w:snapToGrid w:val="0"/>
              <w:jc w:val="center"/>
              <w:rPr>
                <w:rFonts w:hint="eastAsia" w:ascii="宋体" w:hAnsi="宋体" w:eastAsia="宋体" w:cs="宋体"/>
                <w:bCs/>
                <w:color w:val="auto"/>
                <w:szCs w:val="21"/>
                <w:highlight w:val="none"/>
              </w:rPr>
            </w:pPr>
          </w:p>
        </w:tc>
        <w:tc>
          <w:tcPr>
            <w:tcW w:w="1081" w:type="dxa"/>
            <w:vAlign w:val="center"/>
          </w:tcPr>
          <w:p w14:paraId="38207DCB">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w:t>
            </w:r>
          </w:p>
        </w:tc>
      </w:tr>
      <w:tr w14:paraId="3153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21ABD347">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p>
        </w:tc>
        <w:tc>
          <w:tcPr>
            <w:tcW w:w="1096" w:type="dxa"/>
            <w:vAlign w:val="center"/>
          </w:tcPr>
          <w:p w14:paraId="4D3E7B9F">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售后服务</w:t>
            </w:r>
          </w:p>
        </w:tc>
        <w:tc>
          <w:tcPr>
            <w:tcW w:w="3690" w:type="dxa"/>
            <w:gridSpan w:val="2"/>
            <w:vAlign w:val="center"/>
          </w:tcPr>
          <w:p w14:paraId="0612286D">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（1）人员：</w:t>
            </w:r>
          </w:p>
          <w:p w14:paraId="0052DA0C">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①管理、技术及服务人员均符合投标文件的承诺，服务队伍稳定，人员充足、专业性强，充分配合甲方（买方）供货需求；</w:t>
            </w:r>
          </w:p>
          <w:p w14:paraId="33B41799">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②对接人员与甲方（买方）沟通良好、理解到位、执行力强，能及时发现、解决问题，并未雨绸缪地因应各厂区实际情况提供合理化的供配货建议；</w:t>
            </w:r>
          </w:p>
          <w:p w14:paraId="6B5E7B34">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③未出现推诿，借故不肯签署合同规定的文件或者敷衍了事、置之不理等情况。</w:t>
            </w:r>
          </w:p>
          <w:p w14:paraId="36CB11BA">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（2）配合：</w:t>
            </w:r>
          </w:p>
          <w:p w14:paraId="0DE4B1BE">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①售后服务流程完善，跟踪到位，响应速度快；</w:t>
            </w:r>
          </w:p>
          <w:p w14:paraId="49692B5D">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②就货物储存保质方式、方法提出合理化建议并能提供专业技术指导；</w:t>
            </w:r>
          </w:p>
          <w:p w14:paraId="582FB287">
            <w:pPr>
              <w:widowControl/>
              <w:snapToGrid w:val="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③积极配合甲方（买方）进行试验、积极协助甲方（买方）</w:t>
            </w:r>
            <w:r>
              <w:rPr>
                <w:rFonts w:hint="eastAsia" w:ascii="宋体" w:hAnsi="宋体" w:eastAsia="宋体" w:cs="宋体"/>
                <w:color w:val="auto"/>
                <w:szCs w:val="21"/>
                <w:highlight w:val="none"/>
              </w:rPr>
              <w:t>接受政府管理部门的检查工作及提供各类资质证明材料；</w:t>
            </w:r>
          </w:p>
          <w:p w14:paraId="355E41EF">
            <w:pPr>
              <w:widowControl/>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④能根据甲方（买方）要求提供专业培训。</w:t>
            </w:r>
          </w:p>
        </w:tc>
        <w:tc>
          <w:tcPr>
            <w:tcW w:w="2076" w:type="dxa"/>
            <w:gridSpan w:val="2"/>
            <w:vAlign w:val="center"/>
          </w:tcPr>
          <w:p w14:paraId="7D583CF6">
            <w:pPr>
              <w:widowControl/>
              <w:snapToGrid w:val="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达到标准的得满分，每月每次有一项未达到标准的扣2分。</w:t>
            </w:r>
          </w:p>
        </w:tc>
        <w:tc>
          <w:tcPr>
            <w:tcW w:w="973" w:type="dxa"/>
            <w:vAlign w:val="center"/>
          </w:tcPr>
          <w:p w14:paraId="54D43CA9">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w:t>
            </w:r>
          </w:p>
        </w:tc>
        <w:tc>
          <w:tcPr>
            <w:tcW w:w="640" w:type="dxa"/>
            <w:vAlign w:val="center"/>
          </w:tcPr>
          <w:p w14:paraId="09922CA2">
            <w:pPr>
              <w:widowControl/>
              <w:snapToGrid w:val="0"/>
              <w:jc w:val="center"/>
              <w:rPr>
                <w:rFonts w:hint="eastAsia" w:ascii="宋体" w:hAnsi="宋体" w:eastAsia="宋体" w:cs="宋体"/>
                <w:bCs/>
                <w:color w:val="auto"/>
                <w:szCs w:val="21"/>
                <w:highlight w:val="none"/>
              </w:rPr>
            </w:pPr>
          </w:p>
        </w:tc>
        <w:tc>
          <w:tcPr>
            <w:tcW w:w="1081" w:type="dxa"/>
            <w:vAlign w:val="center"/>
          </w:tcPr>
          <w:p w14:paraId="6EAF9B14">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w:t>
            </w:r>
          </w:p>
        </w:tc>
      </w:tr>
      <w:tr w14:paraId="505D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jc w:val="center"/>
        </w:trPr>
        <w:tc>
          <w:tcPr>
            <w:tcW w:w="7287" w:type="dxa"/>
            <w:gridSpan w:val="6"/>
            <w:vAlign w:val="center"/>
          </w:tcPr>
          <w:p w14:paraId="56728AA1">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973" w:type="dxa"/>
            <w:vAlign w:val="center"/>
          </w:tcPr>
          <w:p w14:paraId="6C494DF0">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100</w:t>
            </w:r>
          </w:p>
        </w:tc>
        <w:tc>
          <w:tcPr>
            <w:tcW w:w="640" w:type="dxa"/>
            <w:vAlign w:val="center"/>
          </w:tcPr>
          <w:p w14:paraId="3C2B7FB5">
            <w:pPr>
              <w:widowControl/>
              <w:snapToGrid w:val="0"/>
              <w:jc w:val="center"/>
              <w:rPr>
                <w:rFonts w:hint="eastAsia" w:ascii="宋体" w:hAnsi="宋体" w:eastAsia="宋体" w:cs="宋体"/>
                <w:bCs/>
                <w:color w:val="auto"/>
                <w:szCs w:val="21"/>
                <w:highlight w:val="none"/>
              </w:rPr>
            </w:pPr>
          </w:p>
        </w:tc>
        <w:tc>
          <w:tcPr>
            <w:tcW w:w="1081" w:type="dxa"/>
            <w:vAlign w:val="center"/>
          </w:tcPr>
          <w:p w14:paraId="2798FE40">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80</w:t>
            </w:r>
          </w:p>
        </w:tc>
      </w:tr>
      <w:tr w14:paraId="79E2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jc w:val="center"/>
        </w:trPr>
        <w:tc>
          <w:tcPr>
            <w:tcW w:w="3729" w:type="dxa"/>
            <w:gridSpan w:val="3"/>
            <w:vAlign w:val="center"/>
          </w:tcPr>
          <w:p w14:paraId="5685A6CF">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评审结论</w:t>
            </w:r>
          </w:p>
        </w:tc>
        <w:tc>
          <w:tcPr>
            <w:tcW w:w="6252" w:type="dxa"/>
            <w:gridSpan w:val="6"/>
          </w:tcPr>
          <w:p w14:paraId="46B68CB3">
            <w:pPr>
              <w:widowControl/>
              <w:snapToGrid w:val="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□每项实得分均不低于该项分值80%的，评审结论合格</w:t>
            </w:r>
          </w:p>
          <w:p w14:paraId="1224DB44">
            <w:pPr>
              <w:autoSpaceDE w:val="0"/>
              <w:autoSpaceDN w:val="0"/>
              <w:adjustRightInd w:val="0"/>
              <w:jc w:val="left"/>
              <w:outlineLvl w:val="2"/>
              <w:rPr>
                <w:rFonts w:hint="eastAsia" w:ascii="宋体" w:hAnsi="宋体" w:eastAsia="宋体" w:cs="宋体"/>
                <w:color w:val="auto"/>
                <w:szCs w:val="21"/>
                <w:highlight w:val="none"/>
              </w:rPr>
            </w:pPr>
          </w:p>
          <w:p w14:paraId="2E9A5600">
            <w:pPr>
              <w:widowControl/>
              <w:snapToGrid w:val="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□评审结论不合格，说明：</w:t>
            </w:r>
            <w:r>
              <w:rPr>
                <w:rFonts w:hint="eastAsia" w:ascii="宋体" w:hAnsi="宋体" w:eastAsia="宋体" w:cs="宋体"/>
                <w:bCs/>
                <w:color w:val="auto"/>
                <w:szCs w:val="21"/>
                <w:highlight w:val="none"/>
                <w:u w:val="single"/>
              </w:rPr>
              <w:t xml:space="preserve">              </w:t>
            </w:r>
          </w:p>
        </w:tc>
      </w:tr>
      <w:tr w14:paraId="0757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3729" w:type="dxa"/>
            <w:gridSpan w:val="3"/>
            <w:vMerge w:val="restart"/>
            <w:vAlign w:val="center"/>
          </w:tcPr>
          <w:p w14:paraId="60B32377">
            <w:pPr>
              <w:widowControl/>
              <w:snapToGrid w:val="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履约评审运营项目</w:t>
            </w:r>
            <w:r>
              <w:rPr>
                <w:rFonts w:hint="eastAsia" w:ascii="宋体" w:hAnsi="宋体" w:eastAsia="宋体" w:cs="宋体"/>
                <w:color w:val="auto"/>
                <w:szCs w:val="21"/>
                <w:highlight w:val="none"/>
              </w:rPr>
              <w:t>其他</w:t>
            </w:r>
            <w:r>
              <w:rPr>
                <w:rFonts w:hint="eastAsia" w:ascii="宋体" w:hAnsi="宋体" w:eastAsia="宋体" w:cs="宋体"/>
                <w:bCs/>
                <w:color w:val="auto"/>
                <w:szCs w:val="21"/>
                <w:highlight w:val="none"/>
              </w:rPr>
              <w:t>意见及签署</w:t>
            </w:r>
          </w:p>
        </w:tc>
        <w:tc>
          <w:tcPr>
            <w:tcW w:w="2271" w:type="dxa"/>
            <w:gridSpan w:val="2"/>
            <w:vAlign w:val="center"/>
          </w:tcPr>
          <w:p w14:paraId="0A6F7BA1">
            <w:pPr>
              <w:widowControl/>
              <w:snapToGrid w:val="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经办人</w:t>
            </w:r>
          </w:p>
        </w:tc>
        <w:tc>
          <w:tcPr>
            <w:tcW w:w="3987" w:type="dxa"/>
            <w:gridSpan w:val="5"/>
            <w:vAlign w:val="center"/>
          </w:tcPr>
          <w:p w14:paraId="4220DC43">
            <w:pPr>
              <w:widowControl/>
              <w:snapToGrid w:val="0"/>
              <w:jc w:val="left"/>
              <w:rPr>
                <w:rFonts w:hint="eastAsia" w:ascii="宋体" w:hAnsi="宋体" w:eastAsia="宋体" w:cs="宋体"/>
                <w:bCs/>
                <w:color w:val="auto"/>
                <w:szCs w:val="21"/>
                <w:highlight w:val="none"/>
              </w:rPr>
            </w:pPr>
          </w:p>
        </w:tc>
      </w:tr>
      <w:tr w14:paraId="68C6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3729" w:type="dxa"/>
            <w:gridSpan w:val="3"/>
            <w:vMerge w:val="continue"/>
          </w:tcPr>
          <w:p w14:paraId="56E97DB8">
            <w:pPr>
              <w:widowControl/>
              <w:snapToGrid w:val="0"/>
              <w:jc w:val="left"/>
              <w:rPr>
                <w:rFonts w:hint="eastAsia" w:ascii="宋体" w:hAnsi="宋体" w:eastAsia="宋体" w:cs="宋体"/>
                <w:bCs/>
                <w:color w:val="auto"/>
                <w:szCs w:val="21"/>
                <w:highlight w:val="none"/>
              </w:rPr>
            </w:pPr>
          </w:p>
        </w:tc>
        <w:tc>
          <w:tcPr>
            <w:tcW w:w="2271" w:type="dxa"/>
            <w:gridSpan w:val="2"/>
            <w:vAlign w:val="center"/>
          </w:tcPr>
          <w:p w14:paraId="42D49F18">
            <w:pPr>
              <w:widowControl/>
              <w:snapToGrid w:val="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运营项目负责人</w:t>
            </w:r>
          </w:p>
        </w:tc>
        <w:tc>
          <w:tcPr>
            <w:tcW w:w="3987" w:type="dxa"/>
            <w:gridSpan w:val="5"/>
            <w:vAlign w:val="center"/>
          </w:tcPr>
          <w:p w14:paraId="4398736D">
            <w:pPr>
              <w:widowControl/>
              <w:snapToGrid w:val="0"/>
              <w:jc w:val="left"/>
              <w:rPr>
                <w:rFonts w:hint="eastAsia" w:ascii="宋体" w:hAnsi="宋体" w:eastAsia="宋体" w:cs="宋体"/>
                <w:bCs/>
                <w:color w:val="auto"/>
                <w:szCs w:val="21"/>
                <w:highlight w:val="none"/>
              </w:rPr>
            </w:pPr>
          </w:p>
        </w:tc>
      </w:tr>
    </w:tbl>
    <w:p w14:paraId="140E1AFC">
      <w:pPr>
        <w:autoSpaceDE w:val="0"/>
        <w:autoSpaceDN w:val="0"/>
        <w:adjustRightInd w:val="0"/>
        <w:jc w:val="left"/>
        <w:rPr>
          <w:rFonts w:hint="eastAsia" w:ascii="宋体" w:hAnsi="宋体" w:eastAsia="宋体" w:cs="宋体"/>
          <w:color w:val="auto"/>
          <w:kern w:val="0"/>
          <w:szCs w:val="21"/>
          <w:highlight w:val="none"/>
        </w:rPr>
      </w:pPr>
    </w:p>
    <w:p w14:paraId="26791C04">
      <w:pPr>
        <w:pageBreakBefore/>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附件2：廉洁协议书</w:t>
      </w:r>
    </w:p>
    <w:p w14:paraId="2BF8C02F">
      <w:pPr>
        <w:autoSpaceDE w:val="0"/>
        <w:autoSpaceDN w:val="0"/>
        <w:adjustRightInd w:val="0"/>
        <w:spacing w:line="360" w:lineRule="auto"/>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廉洁协议书</w:t>
      </w:r>
    </w:p>
    <w:p w14:paraId="29662854">
      <w:pPr>
        <w:autoSpaceDE w:val="0"/>
        <w:autoSpaceDN w:val="0"/>
        <w:adjustRightInd w:val="0"/>
        <w:spacing w:line="360" w:lineRule="auto"/>
        <w:jc w:val="left"/>
        <w:rPr>
          <w:rFonts w:hint="eastAsia" w:ascii="宋体" w:hAnsi="宋体" w:eastAsia="宋体" w:cs="宋体"/>
          <w:color w:val="auto"/>
          <w:kern w:val="0"/>
          <w:szCs w:val="21"/>
          <w:highlight w:val="none"/>
        </w:rPr>
      </w:pPr>
    </w:p>
    <w:p w14:paraId="4773E31E">
      <w:pPr>
        <w:autoSpaceDE w:val="0"/>
        <w:autoSpaceDN w:val="0"/>
        <w:adjustRightInd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rPr>
        <w:t>东莞市水务集团有限公司2025年液态次氯酸钠采购项目（招标编号：</w:t>
      </w:r>
      <w:r>
        <w:rPr>
          <w:rFonts w:hint="eastAsia" w:ascii="宋体" w:hAnsi="宋体" w:eastAsia="宋体" w:cs="宋体"/>
          <w:color w:val="auto"/>
          <w:szCs w:val="21"/>
          <w:highlight w:val="none"/>
        </w:rPr>
        <w:t>YDZB25DGQY0005</w:t>
      </w:r>
      <w:r>
        <w:rPr>
          <w:rFonts w:hint="eastAsia" w:ascii="宋体" w:hAnsi="宋体" w:eastAsia="宋体" w:cs="宋体"/>
          <w:color w:val="auto"/>
          <w:kern w:val="0"/>
          <w:szCs w:val="21"/>
          <w:highlight w:val="none"/>
        </w:rPr>
        <w:t>）</w:t>
      </w:r>
    </w:p>
    <w:p w14:paraId="5985D213">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甲方（业主单位）：</w:t>
      </w:r>
      <w:r>
        <w:rPr>
          <w:rFonts w:hint="eastAsia" w:ascii="宋体" w:hAnsi="宋体" w:eastAsia="宋体" w:cs="宋体"/>
          <w:color w:val="auto"/>
          <w:kern w:val="0"/>
          <w:szCs w:val="21"/>
          <w:highlight w:val="none"/>
        </w:rPr>
        <w:t xml:space="preserve"> </w:t>
      </w:r>
    </w:p>
    <w:p w14:paraId="5CF13715">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乙方：</w:t>
      </w:r>
      <w:r>
        <w:rPr>
          <w:rFonts w:hint="eastAsia" w:ascii="宋体" w:hAnsi="宋体" w:eastAsia="宋体" w:cs="宋体"/>
          <w:color w:val="auto"/>
          <w:kern w:val="0"/>
          <w:szCs w:val="21"/>
          <w:highlight w:val="none"/>
        </w:rPr>
        <w:t xml:space="preserve"> </w:t>
      </w:r>
    </w:p>
    <w:p w14:paraId="1DFBA7D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738141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DDC973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第一条  甲乙双方的权利和义务</w:t>
      </w:r>
    </w:p>
    <w:p w14:paraId="7CBF01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14:paraId="086210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14:paraId="467F8C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14:paraId="20FE25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14:paraId="74A8A0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14:paraId="07AE73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14:paraId="1AE6353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第二条  甲方的义务</w:t>
      </w:r>
    </w:p>
    <w:p w14:paraId="2DEFDF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14:paraId="15322C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14:paraId="5664FF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14:paraId="4036DA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14:paraId="05BAF4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（五）甲方及其工作人员不得以任何理由向乙方推荐分包单位，不得要求乙方购买合同规定外的材料和设备。</w:t>
      </w:r>
    </w:p>
    <w:p w14:paraId="7F1A08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14:paraId="0830EF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102EFE5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第三条  乙方义务</w:t>
      </w:r>
    </w:p>
    <w:p w14:paraId="281ADD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14:paraId="13E2AF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14:paraId="772A50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14:paraId="2EF68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14:paraId="78B2BE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14:paraId="1650E4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14:paraId="4A1500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689133E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第四条  违约责任</w:t>
      </w:r>
    </w:p>
    <w:p w14:paraId="766590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14:paraId="524EF4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p w14:paraId="7D86538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第五条  监督检查</w:t>
      </w:r>
    </w:p>
    <w:p w14:paraId="79BAD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甲乙双方的廉洁从业行为由双方或双方上级单位的纪检、监察部门负责监督，对本协议履行情况进行检查。</w:t>
      </w:r>
    </w:p>
    <w:p w14:paraId="1997325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第六条 举报信访受理</w:t>
      </w:r>
    </w:p>
    <w:p w14:paraId="3E527A1B">
      <w:pPr>
        <w:spacing w:line="360" w:lineRule="auto"/>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（一）举报受理部门：东莞市水务集团有限公司纪检监察部。</w:t>
      </w:r>
    </w:p>
    <w:p w14:paraId="3C966C0C">
      <w:pPr>
        <w:spacing w:line="360" w:lineRule="auto"/>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028E0D7E">
      <w:pPr>
        <w:spacing w:line="360" w:lineRule="auto"/>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rFonts w:hint="eastAsia"/>
          <w:color w:val="auto"/>
          <w:highlight w:val="none"/>
        </w:rPr>
        <w:fldChar w:fldCharType="begin"/>
      </w:r>
      <w:r>
        <w:rPr>
          <w:rFonts w:hint="eastAsia" w:ascii="宋体" w:hAnsi="宋体" w:eastAsia="宋体" w:cs="宋体"/>
          <w:color w:val="auto"/>
          <w:szCs w:val="21"/>
          <w:highlight w:val="none"/>
        </w:rPr>
        <w:instrText xml:space="preserve"> HYPERLINK "mailto:jcsj@dgswjt.cn。" </w:instrText>
      </w:r>
      <w:r>
        <w:rPr>
          <w:rFonts w:hint="eastAsia"/>
          <w:color w:val="auto"/>
          <w:highlight w:val="none"/>
        </w:rPr>
        <w:fldChar w:fldCharType="separate"/>
      </w:r>
      <w:r>
        <w:rPr>
          <w:rStyle w:val="44"/>
          <w:rFonts w:hint="eastAsia" w:ascii="宋体" w:hAnsi="宋体" w:eastAsia="宋体" w:cs="宋体"/>
          <w:color w:val="auto"/>
          <w:sz w:val="21"/>
          <w:szCs w:val="21"/>
          <w:highlight w:val="none"/>
        </w:rPr>
        <w:t>jcsj@dgswjt.cn。</w:t>
      </w:r>
      <w:r>
        <w:rPr>
          <w:rStyle w:val="44"/>
          <w:rFonts w:hint="eastAsia" w:ascii="宋体" w:hAnsi="宋体" w:eastAsia="宋体" w:cs="宋体"/>
          <w:color w:val="auto"/>
          <w:sz w:val="21"/>
          <w:szCs w:val="21"/>
          <w:highlight w:val="none"/>
        </w:rPr>
        <w:fldChar w:fldCharType="end"/>
      </w:r>
    </w:p>
    <w:p w14:paraId="6715E2C0">
      <w:pPr>
        <w:spacing w:line="360" w:lineRule="auto"/>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（四）信访地址：广东省东莞市东城街道育华路1号。</w:t>
      </w:r>
    </w:p>
    <w:p w14:paraId="7EF3BED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第七条 其他</w:t>
      </w:r>
    </w:p>
    <w:p w14:paraId="69BB74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本协议有效期为甲乙双方签字并加盖公章之日起至该工程/采购项目竣工验收完毕，质保期/服务期满后止。本协议一式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份，甲、乙双方上级主管部门各执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p>
    <w:p w14:paraId="7AEA4BF2">
      <w:pPr>
        <w:autoSpaceDE w:val="0"/>
        <w:autoSpaceDN w:val="0"/>
        <w:adjustRightInd w:val="0"/>
        <w:spacing w:line="360" w:lineRule="auto"/>
        <w:jc w:val="left"/>
        <w:rPr>
          <w:rFonts w:hint="eastAsia" w:ascii="宋体" w:hAnsi="宋体" w:eastAsia="宋体" w:cs="宋体"/>
          <w:color w:val="auto"/>
          <w:kern w:val="0"/>
          <w:szCs w:val="21"/>
          <w:highlight w:val="none"/>
        </w:rPr>
      </w:pPr>
    </w:p>
    <w:p w14:paraId="627788C6">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r>
        <w:rPr>
          <w:rFonts w:hint="eastAsia" w:ascii="宋体" w:hAnsi="宋体" w:eastAsia="宋体" w:cs="宋体"/>
          <w:color w:val="auto"/>
          <w:kern w:val="0"/>
          <w:szCs w:val="21"/>
          <w:highlight w:val="none"/>
        </w:rPr>
        <w:t>（本页为廉洁协议签署页）</w:t>
      </w:r>
    </w:p>
    <w:p w14:paraId="6F5F14A8">
      <w:pPr>
        <w:autoSpaceDE w:val="0"/>
        <w:autoSpaceDN w:val="0"/>
        <w:adjustRightInd w:val="0"/>
        <w:spacing w:line="360" w:lineRule="auto"/>
        <w:jc w:val="left"/>
        <w:rPr>
          <w:rFonts w:hint="eastAsia" w:ascii="宋体" w:hAnsi="宋体" w:eastAsia="宋体" w:cs="宋体"/>
          <w:color w:val="auto"/>
          <w:kern w:val="0"/>
          <w:szCs w:val="21"/>
          <w:highlight w:val="none"/>
        </w:rPr>
      </w:pPr>
    </w:p>
    <w:p w14:paraId="7D7C6C19">
      <w:pPr>
        <w:autoSpaceDE w:val="0"/>
        <w:autoSpaceDN w:val="0"/>
        <w:adjustRightInd w:val="0"/>
        <w:spacing w:line="360" w:lineRule="auto"/>
        <w:jc w:val="left"/>
        <w:rPr>
          <w:rFonts w:hint="eastAsia" w:ascii="宋体" w:hAnsi="宋体" w:eastAsia="宋体" w:cs="宋体"/>
          <w:color w:val="auto"/>
          <w:kern w:val="0"/>
          <w:szCs w:val="21"/>
          <w:highlight w:val="none"/>
        </w:rPr>
      </w:pPr>
    </w:p>
    <w:p w14:paraId="0D103910">
      <w:pPr>
        <w:autoSpaceDE w:val="0"/>
        <w:autoSpaceDN w:val="0"/>
        <w:adjustRightInd w:val="0"/>
        <w:spacing w:line="360" w:lineRule="auto"/>
        <w:ind w:left="5880" w:hanging="5880" w:hangingChars="2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甲方（盖章）：                           乙方（盖章）： </w:t>
      </w:r>
    </w:p>
    <w:p w14:paraId="193A45EF">
      <w:pPr>
        <w:autoSpaceDE w:val="0"/>
        <w:autoSpaceDN w:val="0"/>
        <w:adjustRightInd w:val="0"/>
        <w:spacing w:line="360" w:lineRule="auto"/>
        <w:jc w:val="left"/>
        <w:rPr>
          <w:rFonts w:hint="eastAsia" w:ascii="宋体" w:hAnsi="宋体" w:eastAsia="宋体" w:cs="宋体"/>
          <w:color w:val="auto"/>
          <w:kern w:val="0"/>
          <w:szCs w:val="21"/>
          <w:highlight w:val="none"/>
        </w:rPr>
      </w:pPr>
    </w:p>
    <w:p w14:paraId="33EBB793">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                             法定代表人：</w:t>
      </w:r>
    </w:p>
    <w:p w14:paraId="692612EA">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甲方代表：                               乙方代表：</w:t>
      </w:r>
    </w:p>
    <w:p w14:paraId="75F410D3">
      <w:pPr>
        <w:autoSpaceDE w:val="0"/>
        <w:autoSpaceDN w:val="0"/>
        <w:adjustRightInd w:val="0"/>
        <w:spacing w:line="360" w:lineRule="auto"/>
        <w:jc w:val="left"/>
        <w:rPr>
          <w:rFonts w:hint="eastAsia" w:ascii="宋体" w:hAnsi="宋体" w:eastAsia="宋体" w:cs="宋体"/>
          <w:color w:val="auto"/>
          <w:kern w:val="0"/>
          <w:szCs w:val="21"/>
          <w:highlight w:val="none"/>
        </w:rPr>
      </w:pPr>
    </w:p>
    <w:p w14:paraId="20849ACF">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签订日期：    年  月  日                      年  月  日</w:t>
      </w:r>
    </w:p>
    <w:p w14:paraId="30238FD0">
      <w:pPr>
        <w:autoSpaceDE w:val="0"/>
        <w:autoSpaceDN w:val="0"/>
        <w:adjustRightInd w:val="0"/>
        <w:jc w:val="left"/>
        <w:rPr>
          <w:rFonts w:hint="eastAsia" w:ascii="宋体" w:hAnsi="宋体" w:eastAsia="宋体" w:cs="宋体"/>
          <w:color w:val="auto"/>
          <w:kern w:val="0"/>
          <w:szCs w:val="21"/>
          <w:highlight w:val="none"/>
        </w:rPr>
      </w:pPr>
    </w:p>
    <w:p w14:paraId="0C8E934F">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32DEF963">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706FD69D">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0984A052">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36C4979F">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5A6468B7">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5E00C6FE">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49B77B0F">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5DFBE89A">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3BDE2D95">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6F8D5100">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1922DD61">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3AE63ADD">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230E44E6">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5E0A17B1">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18DA5E71">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7CD439A6">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4714240E">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662D7100">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64180F8B">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74391CB6">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2A8E5D9B">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099DB84F">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24A8B256">
      <w:pPr>
        <w:pageBreakBefore/>
        <w:widowControl/>
        <w:spacing w:line="360" w:lineRule="auto"/>
        <w:ind w:firstLine="6510" w:firstLineChars="3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合同编号：</w:t>
      </w:r>
      <w:r>
        <w:rPr>
          <w:rFonts w:hint="eastAsia" w:ascii="宋体" w:hAnsi="宋体" w:eastAsia="宋体" w:cs="宋体"/>
          <w:color w:val="auto"/>
          <w:szCs w:val="21"/>
          <w:highlight w:val="none"/>
          <w:u w:val="single"/>
          <w:lang w:bidi="ar"/>
        </w:rPr>
        <w:t xml:space="preserve">                     </w:t>
      </w:r>
      <w:r>
        <w:rPr>
          <w:rFonts w:hint="eastAsia" w:ascii="宋体" w:hAnsi="宋体" w:eastAsia="宋体" w:cs="宋体"/>
          <w:b/>
          <w:bCs/>
          <w:color w:val="auto"/>
          <w:szCs w:val="21"/>
          <w:highlight w:val="none"/>
          <w:lang w:bidi="ar"/>
        </w:rPr>
        <w:t xml:space="preserve"> </w:t>
      </w:r>
    </w:p>
    <w:p w14:paraId="64104DB2">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《东莞市水务集团有限公司2025年度液态次氯酸钠采购项目采购合同》</w:t>
      </w:r>
    </w:p>
    <w:p w14:paraId="29F0FAC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补充协议（    ）</w:t>
      </w:r>
    </w:p>
    <w:p w14:paraId="5CBFF8AB">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甲方：</w:t>
      </w:r>
    </w:p>
    <w:p w14:paraId="155145BB">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地址：</w:t>
      </w:r>
    </w:p>
    <w:p w14:paraId="1AF932E9">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乙方： </w:t>
      </w:r>
    </w:p>
    <w:p w14:paraId="0B307754">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地址： </w:t>
      </w:r>
    </w:p>
    <w:p w14:paraId="6D93EB11">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丙方：</w:t>
      </w:r>
    </w:p>
    <w:p w14:paraId="00FFA678">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地址：   </w:t>
      </w:r>
    </w:p>
    <w:p w14:paraId="2C4F1FF6">
      <w:pPr>
        <w:autoSpaceDE w:val="0"/>
        <w:spacing w:line="360" w:lineRule="auto"/>
        <w:ind w:left="477" w:leftChars="227" w:firstLine="73" w:firstLineChars="35"/>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965A72C">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甲乙双方于</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年</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月</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日签订了《</w:t>
      </w:r>
      <w:r>
        <w:rPr>
          <w:rFonts w:hint="eastAsia" w:ascii="宋体" w:hAnsi="宋体" w:eastAsia="宋体" w:cs="宋体"/>
          <w:color w:val="auto"/>
          <w:szCs w:val="21"/>
          <w:highlight w:val="none"/>
          <w:u w:val="single"/>
          <w:lang w:bidi="ar"/>
        </w:rPr>
        <w:t>东莞市水务集团有限公司2025年度液态次氯酸钠采购项目采购合同</w:t>
      </w:r>
      <w:r>
        <w:rPr>
          <w:rFonts w:hint="eastAsia" w:ascii="宋体" w:hAnsi="宋体" w:eastAsia="宋体" w:cs="宋体"/>
          <w:color w:val="auto"/>
          <w:szCs w:val="21"/>
          <w:highlight w:val="none"/>
          <w:lang w:bidi="ar"/>
        </w:rPr>
        <w:t>》（合同编号：</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下称“《原合同》”），现根据本项目的实际情况，本着平等互利的原则，经甲乙丙三方协商一致，同意《原合同》项下新增丙方作为合同主体之一，享有与承担甲方在《原合同》中约定的相应权利与义务，就甲乙丙各方权利义务事宜，三方达成如下补充内容：</w:t>
      </w:r>
    </w:p>
    <w:p w14:paraId="239814AE">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一、各方同意新增丙方为《原合同》主体之一，享有与承担的权利与义务同甲方在《原合同》中的权利与义务。</w:t>
      </w:r>
    </w:p>
    <w:p w14:paraId="7149960F">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二、《原合同》交货地点增加丙方各运营项目。</w:t>
      </w:r>
    </w:p>
    <w:p w14:paraId="04BA232D">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三、乙方应根据丙方各运营项目实际情况，按丙方要求开具发票（发票抬头为丙方），由丙方按照《原合同》约定支付相应款项给乙方。</w:t>
      </w:r>
    </w:p>
    <w:p w14:paraId="511A49F2">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四、本补充协议为《原合同》不可分割的组成部分，除本补充协议明确约定外，《原合同》的其他约定继续有效。《原合同》解除或终止的，本补充协议自动解除或终止。</w:t>
      </w:r>
    </w:p>
    <w:p w14:paraId="550DF014">
      <w:pPr>
        <w:autoSpaceDE w:val="0"/>
        <w:spacing w:line="360" w:lineRule="auto"/>
        <w:ind w:firstLine="495" w:firstLineChars="236"/>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五、本补充协议自甲乙丙三方法定代表人或负责人签字并盖章后生效。</w:t>
      </w:r>
    </w:p>
    <w:p w14:paraId="190C740E">
      <w:pPr>
        <w:autoSpaceDE w:val="0"/>
        <w:spacing w:line="360" w:lineRule="auto"/>
        <w:ind w:firstLine="495" w:firstLineChars="236"/>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六、本补充协议一式</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份，甲方执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份，乙方执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份，丙方执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份，各份均具同等法律效力。</w:t>
      </w:r>
    </w:p>
    <w:p w14:paraId="7C8D0B3E">
      <w:pPr>
        <w:autoSpaceDE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（以下无正文，为签署页）</w:t>
      </w:r>
    </w:p>
    <w:p w14:paraId="68182963">
      <w:pPr>
        <w:autoSpaceDE w:val="0"/>
        <w:spacing w:line="360" w:lineRule="auto"/>
        <w:ind w:firstLine="420" w:firstLineChars="200"/>
        <w:rPr>
          <w:rFonts w:hint="eastAsia" w:ascii="宋体" w:hAnsi="宋体" w:eastAsia="宋体" w:cs="宋体"/>
          <w:color w:val="auto"/>
          <w:szCs w:val="21"/>
          <w:highlight w:val="none"/>
          <w:lang w:bidi="ar"/>
        </w:rPr>
      </w:pPr>
    </w:p>
    <w:p w14:paraId="1F042CC4">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甲方：                      乙方：</w:t>
      </w:r>
    </w:p>
    <w:p w14:paraId="2B4791BB">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法定代表（或负责）人：      法定代表（或负责）人：</w:t>
      </w:r>
    </w:p>
    <w:p w14:paraId="79D3CC9C">
      <w:pPr>
        <w:autoSpaceDE w:val="0"/>
        <w:spacing w:line="360" w:lineRule="auto"/>
        <w:ind w:left="477" w:leftChars="227" w:firstLine="73" w:firstLineChars="35"/>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2D21F450">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丙方：                                </w:t>
      </w:r>
    </w:p>
    <w:p w14:paraId="48E4369C">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法定代表（或负责）人：</w:t>
      </w:r>
    </w:p>
    <w:p w14:paraId="7BFD3F99">
      <w:pPr>
        <w:autoSpaceDE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7DEB4B2">
      <w:pPr>
        <w:autoSpaceDE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签订日期：    年    月     日</w:t>
      </w:r>
    </w:p>
    <w:p w14:paraId="6A1F082B">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7B5786A5">
      <w:pPr>
        <w:pageBreakBefore/>
        <w:spacing w:before="120" w:beforeLines="50" w:after="120" w:afterLines="50" w:line="360" w:lineRule="auto"/>
        <w:ind w:firstLine="640"/>
        <w:jc w:val="center"/>
        <w:outlineLvl w:val="0"/>
        <w:rPr>
          <w:rFonts w:hint="eastAsia" w:ascii="宋体" w:hAnsi="宋体" w:eastAsia="宋体" w:cs="Times New Roman"/>
          <w:b/>
          <w:bCs/>
          <w:color w:val="auto"/>
          <w:sz w:val="32"/>
          <w:szCs w:val="32"/>
          <w:highlight w:val="none"/>
          <w:lang w:val="zh-CN"/>
        </w:rPr>
      </w:pPr>
      <w:bookmarkStart w:id="469" w:name="_Toc447045090"/>
      <w:bookmarkStart w:id="470" w:name="_Toc512353083"/>
      <w:bookmarkStart w:id="471" w:name="_Toc447044603"/>
      <w:bookmarkStart w:id="472" w:name="_Toc19440"/>
      <w:bookmarkStart w:id="473" w:name="_Toc24427_WPSOffice_Level1"/>
      <w:bookmarkStart w:id="474" w:name="_Toc142508360"/>
      <w:bookmarkStart w:id="475" w:name="_Toc447044479"/>
      <w:bookmarkStart w:id="476" w:name="_Toc22246"/>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69"/>
      <w:bookmarkEnd w:id="470"/>
      <w:bookmarkEnd w:id="471"/>
      <w:bookmarkEnd w:id="472"/>
      <w:bookmarkEnd w:id="473"/>
      <w:bookmarkEnd w:id="474"/>
      <w:bookmarkEnd w:id="475"/>
      <w:bookmarkEnd w:id="476"/>
      <w:bookmarkStart w:id="477" w:name="_Toc447044480"/>
      <w:bookmarkStart w:id="478" w:name="_Toc447044604"/>
      <w:bookmarkStart w:id="479" w:name="_Toc447045091"/>
    </w:p>
    <w:p w14:paraId="72FC06A6">
      <w:pPr>
        <w:autoSpaceDE w:val="0"/>
        <w:autoSpaceDN w:val="0"/>
        <w:adjustRightInd w:val="0"/>
        <w:spacing w:after="120" w:afterLines="50" w:line="360" w:lineRule="auto"/>
        <w:jc w:val="left"/>
        <w:outlineLvl w:val="1"/>
        <w:rPr>
          <w:rFonts w:hint="eastAsia" w:ascii="宋体" w:hAnsi="宋体" w:eastAsia="宋体" w:cs="Times New Roman"/>
          <w:b/>
          <w:color w:val="auto"/>
          <w:kern w:val="0"/>
          <w:sz w:val="28"/>
          <w:szCs w:val="28"/>
          <w:highlight w:val="none"/>
        </w:rPr>
      </w:pPr>
      <w:bookmarkStart w:id="480" w:name="_Toc8993"/>
      <w:bookmarkStart w:id="481" w:name="_Toc26521_WPSOffice_Level2"/>
      <w:r>
        <w:rPr>
          <w:rFonts w:hint="eastAsia" w:ascii="宋体" w:hAnsi="宋体" w:eastAsia="宋体" w:cs="Times New Roman"/>
          <w:b/>
          <w:color w:val="auto"/>
          <w:kern w:val="0"/>
          <w:sz w:val="28"/>
          <w:szCs w:val="28"/>
          <w:highlight w:val="none"/>
        </w:rPr>
        <w:t>一、不可撤销银行履约保函格式</w:t>
      </w:r>
      <w:bookmarkEnd w:id="477"/>
      <w:bookmarkEnd w:id="478"/>
      <w:bookmarkEnd w:id="479"/>
      <w:bookmarkEnd w:id="480"/>
      <w:bookmarkEnd w:id="481"/>
    </w:p>
    <w:p w14:paraId="0B8ADAB6">
      <w:pPr>
        <w:autoSpaceDE w:val="0"/>
        <w:autoSpaceDN w:val="0"/>
        <w:adjustRightInd w:val="0"/>
        <w:jc w:val="center"/>
        <w:outlineLvl w:val="2"/>
        <w:rPr>
          <w:rFonts w:hint="eastAsia" w:ascii="宋体" w:hAnsi="宋体" w:eastAsia="宋体" w:cs="Times New Roman"/>
          <w:b/>
          <w:color w:val="auto"/>
          <w:kern w:val="0"/>
          <w:sz w:val="30"/>
          <w:szCs w:val="30"/>
          <w:highlight w:val="none"/>
        </w:rPr>
      </w:pPr>
      <w:bookmarkStart w:id="482" w:name="_Toc11988"/>
      <w:r>
        <w:rPr>
          <w:rFonts w:hint="eastAsia" w:ascii="宋体" w:hAnsi="宋体" w:eastAsia="宋体" w:cs="Times New Roman"/>
          <w:b/>
          <w:color w:val="auto"/>
          <w:kern w:val="0"/>
          <w:sz w:val="30"/>
          <w:szCs w:val="30"/>
          <w:highlight w:val="none"/>
        </w:rPr>
        <w:t>不可撤销银行履约保函</w:t>
      </w:r>
      <w:bookmarkEnd w:id="482"/>
    </w:p>
    <w:p w14:paraId="263EB7D2">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051BA15D">
      <w:pPr>
        <w:autoSpaceDE w:val="0"/>
        <w:autoSpaceDN w:val="0"/>
        <w:adjustRightInd w:val="0"/>
        <w:spacing w:line="360" w:lineRule="auto"/>
        <w:ind w:firstLine="6300"/>
        <w:jc w:val="left"/>
        <w:rPr>
          <w:rFonts w:hint="eastAsia"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0EEDFA90">
      <w:pPr>
        <w:widowControl/>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43189DC6">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1A153AF6">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607D4C22">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5AC4FFC5">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175E06BF">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7BB9BA4A">
      <w:pPr>
        <w:widowControl/>
        <w:autoSpaceDE w:val="0"/>
        <w:autoSpaceDN w:val="0"/>
        <w:adjustRightInd w:val="0"/>
        <w:spacing w:line="360" w:lineRule="auto"/>
        <w:ind w:firstLine="437"/>
        <w:jc w:val="left"/>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应从合同签订之日起至合同期限届满并完成全部供货及相关服务义务后二十八（28）日内保持有效。</w:t>
      </w:r>
    </w:p>
    <w:p w14:paraId="07838C7C">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p>
    <w:p w14:paraId="6E11C0D4">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4757D415">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290D9B4D">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74BF8C8B">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136BBD0F">
      <w:pPr>
        <w:autoSpaceDE w:val="0"/>
        <w:autoSpaceDN w:val="0"/>
        <w:adjustRightInd w:val="0"/>
        <w:spacing w:line="360" w:lineRule="auto"/>
        <w:ind w:left="840" w:firstLine="420" w:firstLineChars="200"/>
        <w:jc w:val="left"/>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552A0AFC">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2EA77AA1">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61189D89">
      <w:pPr>
        <w:autoSpaceDE w:val="0"/>
        <w:autoSpaceDN w:val="0"/>
        <w:adjustRightInd w:val="0"/>
        <w:spacing w:line="360" w:lineRule="auto"/>
        <w:ind w:right="368" w:rightChars="175"/>
        <w:jc w:val="left"/>
        <w:rPr>
          <w:rFonts w:hint="eastAsia" w:ascii="宋体" w:hAnsi="宋体" w:eastAsia="宋体" w:cs="Times New Roman"/>
          <w:color w:val="auto"/>
          <w:kern w:val="0"/>
          <w:szCs w:val="21"/>
          <w:highlight w:val="none"/>
        </w:rPr>
        <w:sectPr>
          <w:footerReference r:id="rId5" w:type="first"/>
          <w:footerReference r:id="rId4" w:type="default"/>
          <w:pgSz w:w="12240" w:h="15840"/>
          <w:pgMar w:top="1191" w:right="1043" w:bottom="1191" w:left="1043" w:header="720" w:footer="720" w:gutter="0"/>
          <w:cols w:space="720" w:num="1"/>
          <w:titlePg/>
          <w:docGrid w:linePitch="326" w:charSpace="0"/>
        </w:sectPr>
      </w:pPr>
    </w:p>
    <w:p w14:paraId="4A2FE253">
      <w:pPr>
        <w:outlineLvl w:val="1"/>
        <w:rPr>
          <w:rFonts w:hint="eastAsia" w:ascii="宋体" w:hAnsi="宋体" w:eastAsia="宋体" w:cs="Times New Roman"/>
          <w:b/>
          <w:color w:val="auto"/>
          <w:kern w:val="0"/>
          <w:sz w:val="28"/>
          <w:szCs w:val="28"/>
          <w:highlight w:val="none"/>
        </w:rPr>
      </w:pPr>
      <w:bookmarkStart w:id="483" w:name="_Toc2582"/>
      <w:r>
        <w:rPr>
          <w:rFonts w:hint="eastAsia" w:ascii="宋体" w:hAnsi="宋体" w:eastAsia="宋体" w:cs="Times New Roman"/>
          <w:b/>
          <w:color w:val="auto"/>
          <w:kern w:val="0"/>
          <w:sz w:val="28"/>
          <w:szCs w:val="28"/>
          <w:highlight w:val="none"/>
        </w:rPr>
        <w:t>二、履约保证保险凭证格式</w:t>
      </w:r>
      <w:bookmarkEnd w:id="483"/>
    </w:p>
    <w:p w14:paraId="245422F2">
      <w:pPr>
        <w:autoSpaceDE w:val="0"/>
        <w:autoSpaceDN w:val="0"/>
        <w:adjustRightInd w:val="0"/>
        <w:jc w:val="center"/>
        <w:rPr>
          <w:rFonts w:hint="eastAsia" w:ascii="宋体" w:hAnsi="宋体" w:eastAsia="宋体" w:cs="Times New Roman"/>
          <w:b/>
          <w:color w:val="auto"/>
          <w:kern w:val="0"/>
          <w:sz w:val="30"/>
          <w:szCs w:val="30"/>
          <w:highlight w:val="none"/>
        </w:rPr>
      </w:pPr>
    </w:p>
    <w:p w14:paraId="35939BFC">
      <w:pPr>
        <w:autoSpaceDE w:val="0"/>
        <w:autoSpaceDN w:val="0"/>
        <w:adjustRightInd w:val="0"/>
        <w:jc w:val="center"/>
        <w:rPr>
          <w:rFonts w:hint="eastAsia"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履约保证保险凭证</w:t>
      </w:r>
    </w:p>
    <w:p w14:paraId="48D5056C">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57E0883A">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2EBC14E8">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0CD463E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p>
    <w:p w14:paraId="321A7D9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。我方已接受申请人的请求，并出具《履约保证保险》保险单。</w:t>
      </w:r>
      <w:r>
        <w:rPr>
          <w:rFonts w:ascii="宋体" w:hAnsi="宋体" w:eastAsia="宋体" w:cs="宋体"/>
          <w:color w:val="auto"/>
          <w:kern w:val="0"/>
          <w:szCs w:val="21"/>
          <w:highlight w:val="none"/>
        </w:rPr>
        <w:t xml:space="preserve"> </w:t>
      </w:r>
    </w:p>
    <w:p w14:paraId="23DFE025">
      <w:pPr>
        <w:autoSpaceDE w:val="0"/>
        <w:autoSpaceDN w:val="0"/>
        <w:adjustRightInd w:val="0"/>
        <w:spacing w:line="360" w:lineRule="auto"/>
        <w:ind w:firstLine="437"/>
        <w:jc w:val="left"/>
        <w:outlineLvl w:val="1"/>
        <w:rPr>
          <w:rFonts w:hint="eastAsia" w:ascii="宋体" w:hAnsi="宋体" w:eastAsia="宋体" w:cs="宋体"/>
          <w:color w:val="auto"/>
          <w:kern w:val="0"/>
          <w:szCs w:val="21"/>
          <w:highlight w:val="none"/>
        </w:rPr>
      </w:pPr>
      <w:bookmarkStart w:id="484" w:name="_Toc9902"/>
      <w:r>
        <w:rPr>
          <w:rFonts w:hint="eastAsia" w:ascii="宋体" w:hAnsi="宋体" w:eastAsia="宋体" w:cs="宋体"/>
          <w:color w:val="auto"/>
          <w:kern w:val="0"/>
          <w:szCs w:val="21"/>
          <w:highlight w:val="none"/>
        </w:rPr>
        <w:t>一、保证保险金额</w:t>
      </w:r>
      <w:bookmarkEnd w:id="484"/>
      <w:r>
        <w:rPr>
          <w:rFonts w:hint="eastAsia" w:ascii="宋体" w:hAnsi="宋体" w:eastAsia="宋体" w:cs="宋体"/>
          <w:color w:val="auto"/>
          <w:kern w:val="0"/>
          <w:szCs w:val="21"/>
          <w:highlight w:val="none"/>
        </w:rPr>
        <w:t xml:space="preserve"> </w:t>
      </w:r>
    </w:p>
    <w:p w14:paraId="15D2779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ascii="宋体" w:hAnsi="宋体" w:eastAsia="宋体" w:cs="宋体"/>
          <w:color w:val="auto"/>
          <w:kern w:val="0"/>
          <w:szCs w:val="21"/>
          <w:highlight w:val="none"/>
        </w:rPr>
        <w:t>¥</w:t>
      </w:r>
      <w:r>
        <w:rPr>
          <w:rFonts w:hint="eastAsia" w:ascii="宋体" w:hAnsi="宋体" w:eastAsia="宋体" w:cs="宋体"/>
          <w:b/>
          <w:color w:val="auto"/>
          <w:kern w:val="0"/>
          <w:szCs w:val="21"/>
          <w:highlight w:val="none"/>
          <w:u w:val="singl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1DD4DE30">
      <w:pPr>
        <w:autoSpaceDE w:val="0"/>
        <w:autoSpaceDN w:val="0"/>
        <w:adjustRightInd w:val="0"/>
        <w:spacing w:line="360" w:lineRule="auto"/>
        <w:ind w:firstLine="437"/>
        <w:jc w:val="left"/>
        <w:outlineLvl w:val="1"/>
        <w:rPr>
          <w:rFonts w:hint="eastAsia" w:ascii="宋体" w:hAnsi="宋体" w:eastAsia="宋体" w:cs="宋体"/>
          <w:color w:val="auto"/>
          <w:kern w:val="0"/>
          <w:szCs w:val="21"/>
          <w:highlight w:val="none"/>
        </w:rPr>
      </w:pPr>
      <w:bookmarkStart w:id="485" w:name="_Toc2431"/>
      <w:r>
        <w:rPr>
          <w:rFonts w:hint="eastAsia" w:ascii="宋体" w:hAnsi="宋体" w:eastAsia="宋体" w:cs="宋体"/>
          <w:color w:val="auto"/>
          <w:kern w:val="0"/>
          <w:szCs w:val="21"/>
          <w:highlight w:val="none"/>
        </w:rPr>
        <w:t>二、保证保险的责任范围</w:t>
      </w:r>
      <w:bookmarkEnd w:id="485"/>
      <w:r>
        <w:rPr>
          <w:rFonts w:hint="eastAsia" w:ascii="宋体" w:hAnsi="宋体" w:eastAsia="宋体" w:cs="宋体"/>
          <w:color w:val="auto"/>
          <w:kern w:val="0"/>
          <w:szCs w:val="21"/>
          <w:highlight w:val="none"/>
        </w:rPr>
        <w:t xml:space="preserve"> </w:t>
      </w:r>
    </w:p>
    <w:p w14:paraId="7495335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 xml:space="preserve">履行相关义务，给贵方造成损失的，贵方可向我方提出索赔，我方按照保险合同的约定承担损失赔偿责任。 </w:t>
      </w:r>
    </w:p>
    <w:p w14:paraId="1AC6D35A">
      <w:pPr>
        <w:autoSpaceDE w:val="0"/>
        <w:autoSpaceDN w:val="0"/>
        <w:adjustRightInd w:val="0"/>
        <w:spacing w:line="360" w:lineRule="auto"/>
        <w:ind w:firstLine="437"/>
        <w:jc w:val="left"/>
        <w:outlineLvl w:val="1"/>
        <w:rPr>
          <w:rFonts w:hint="eastAsia" w:ascii="宋体" w:hAnsi="宋体" w:eastAsia="宋体" w:cs="宋体"/>
          <w:color w:val="auto"/>
          <w:kern w:val="0"/>
          <w:szCs w:val="21"/>
          <w:highlight w:val="none"/>
        </w:rPr>
      </w:pPr>
      <w:bookmarkStart w:id="486" w:name="_Toc11315"/>
      <w:r>
        <w:rPr>
          <w:rFonts w:hint="eastAsia" w:ascii="宋体" w:hAnsi="宋体" w:eastAsia="宋体" w:cs="宋体"/>
          <w:color w:val="auto"/>
          <w:kern w:val="0"/>
          <w:szCs w:val="21"/>
          <w:highlight w:val="none"/>
        </w:rPr>
        <w:t>三、代偿的安排</w:t>
      </w:r>
      <w:bookmarkEnd w:id="486"/>
      <w:r>
        <w:rPr>
          <w:rFonts w:hint="eastAsia" w:ascii="宋体" w:hAnsi="宋体" w:eastAsia="宋体" w:cs="宋体"/>
          <w:color w:val="auto"/>
          <w:kern w:val="0"/>
          <w:szCs w:val="21"/>
          <w:highlight w:val="none"/>
        </w:rPr>
        <w:t xml:space="preserve"> </w:t>
      </w:r>
    </w:p>
    <w:p w14:paraId="58B4312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76A8C1B2">
      <w:pPr>
        <w:autoSpaceDE w:val="0"/>
        <w:autoSpaceDN w:val="0"/>
        <w:adjustRightInd w:val="0"/>
        <w:spacing w:line="360" w:lineRule="auto"/>
        <w:ind w:firstLine="437"/>
        <w:jc w:val="left"/>
        <w:outlineLvl w:val="1"/>
        <w:rPr>
          <w:rFonts w:hint="eastAsia" w:ascii="宋体" w:hAnsi="宋体" w:eastAsia="宋体" w:cs="宋体"/>
          <w:color w:val="auto"/>
          <w:kern w:val="0"/>
          <w:szCs w:val="21"/>
          <w:highlight w:val="none"/>
        </w:rPr>
      </w:pPr>
      <w:bookmarkStart w:id="487" w:name="_Toc17362"/>
      <w:r>
        <w:rPr>
          <w:rFonts w:hint="eastAsia" w:ascii="宋体" w:hAnsi="宋体" w:eastAsia="宋体" w:cs="宋体"/>
          <w:color w:val="auto"/>
          <w:kern w:val="0"/>
          <w:szCs w:val="21"/>
          <w:highlight w:val="none"/>
        </w:rPr>
        <w:t>四、生效时间</w:t>
      </w:r>
      <w:bookmarkEnd w:id="487"/>
      <w:r>
        <w:rPr>
          <w:rFonts w:hint="eastAsia" w:ascii="宋体" w:hAnsi="宋体" w:eastAsia="宋体" w:cs="宋体"/>
          <w:color w:val="auto"/>
          <w:kern w:val="0"/>
          <w:szCs w:val="21"/>
          <w:highlight w:val="none"/>
        </w:rPr>
        <w:t xml:space="preserve"> </w:t>
      </w:r>
    </w:p>
    <w:p w14:paraId="7D75953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5CA90E54">
      <w:pPr>
        <w:autoSpaceDE w:val="0"/>
        <w:autoSpaceDN w:val="0"/>
        <w:adjustRightInd w:val="0"/>
        <w:spacing w:line="360" w:lineRule="auto"/>
        <w:ind w:firstLine="437"/>
        <w:jc w:val="left"/>
        <w:outlineLvl w:val="1"/>
        <w:rPr>
          <w:rFonts w:hint="eastAsia" w:ascii="宋体" w:hAnsi="宋体" w:eastAsia="宋体" w:cs="宋体"/>
          <w:color w:val="auto"/>
          <w:kern w:val="0"/>
          <w:szCs w:val="21"/>
          <w:highlight w:val="none"/>
        </w:rPr>
      </w:pPr>
      <w:bookmarkStart w:id="488" w:name="_Toc6705"/>
      <w:r>
        <w:rPr>
          <w:rFonts w:hint="eastAsia" w:ascii="宋体" w:hAnsi="宋体" w:eastAsia="宋体" w:cs="宋体"/>
          <w:color w:val="auto"/>
          <w:kern w:val="0"/>
          <w:szCs w:val="21"/>
          <w:highlight w:val="none"/>
        </w:rPr>
        <w:t>五、其他</w:t>
      </w:r>
      <w:bookmarkEnd w:id="488"/>
    </w:p>
    <w:p w14:paraId="3691C0EB">
      <w:pPr>
        <w:widowControl/>
        <w:autoSpaceDE w:val="0"/>
        <w:autoSpaceDN w:val="0"/>
        <w:adjustRightInd w:val="0"/>
        <w:spacing w:line="360" w:lineRule="auto"/>
        <w:ind w:firstLine="437"/>
        <w:jc w:val="left"/>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rPr>
        <w:t>履约保证保险</w:t>
      </w:r>
      <w:r>
        <w:rPr>
          <w:rFonts w:hint="eastAsia" w:ascii="宋体" w:hAnsi="宋体" w:eastAsia="宋体" w:cs="Times New Roman"/>
          <w:color w:val="auto"/>
          <w:kern w:val="0"/>
          <w:szCs w:val="21"/>
          <w:highlight w:val="none"/>
        </w:rPr>
        <w:t>应从合同签订之日起至合同期限届满并完成全部供货及相关服务义务后二十八（28）日内保持有效。</w:t>
      </w:r>
    </w:p>
    <w:p w14:paraId="020CAA73">
      <w:pPr>
        <w:pStyle w:val="6"/>
        <w:rPr>
          <w:color w:val="auto"/>
          <w:highlight w:val="none"/>
        </w:rPr>
      </w:pPr>
    </w:p>
    <w:p w14:paraId="591AF2C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w:t>
      </w:r>
      <w:r>
        <w:rPr>
          <w:rFonts w:ascii="宋体" w:hAnsi="宋体" w:eastAsia="宋体" w:cs="宋体"/>
          <w:color w:val="auto"/>
          <w:kern w:val="0"/>
          <w:szCs w:val="21"/>
          <w:highlight w:val="none"/>
        </w:rPr>
        <w:t xml:space="preserve">XXX </w:t>
      </w:r>
      <w:r>
        <w:rPr>
          <w:rFonts w:hint="eastAsia" w:ascii="宋体" w:hAnsi="宋体" w:eastAsia="宋体" w:cs="宋体"/>
          <w:color w:val="auto"/>
          <w:kern w:val="0"/>
          <w:szCs w:val="21"/>
          <w:highlight w:val="none"/>
        </w:rPr>
        <w:t>保险有限公司履约保证保险（</w:t>
      </w:r>
      <w:r>
        <w:rPr>
          <w:rFonts w:ascii="宋体" w:hAnsi="宋体" w:eastAsia="宋体" w:cs="宋体"/>
          <w:color w:val="auto"/>
          <w:kern w:val="0"/>
          <w:szCs w:val="21"/>
          <w:highlight w:val="none"/>
        </w:rPr>
        <w:t xml:space="preserve">X </w:t>
      </w:r>
      <w:r>
        <w:rPr>
          <w:rFonts w:hint="eastAsia" w:ascii="宋体" w:hAnsi="宋体" w:eastAsia="宋体" w:cs="宋体"/>
          <w:color w:val="auto"/>
          <w:kern w:val="0"/>
          <w:szCs w:val="21"/>
          <w:highlight w:val="none"/>
        </w:rPr>
        <w:t xml:space="preserve">款）条款》及保单 </w:t>
      </w:r>
    </w:p>
    <w:p w14:paraId="67863081">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48F13E7">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49198A2B">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法定代表人或授权代理人：</w:t>
      </w:r>
      <w:r>
        <w:rPr>
          <w:rFonts w:ascii="宋体" w:hAnsi="宋体" w:eastAsia="宋体" w:cs="宋体"/>
          <w:color w:val="auto"/>
          <w:kern w:val="0"/>
          <w:szCs w:val="21"/>
          <w:highlight w:val="none"/>
        </w:rPr>
        <w:t xml:space="preserve">________ </w:t>
      </w:r>
    </w:p>
    <w:p w14:paraId="6EE42480">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w:t>
      </w:r>
      <w:r>
        <w:rPr>
          <w:rFonts w:hint="eastAsia" w:ascii="宋体" w:hAnsi="宋体" w:eastAsia="宋体" w:cs="Times New Roman"/>
          <w:b/>
          <w:color w:val="auto"/>
          <w:kern w:val="0"/>
          <w:sz w:val="28"/>
          <w:szCs w:val="28"/>
          <w:highlight w:val="none"/>
        </w:rPr>
        <w:br w:type="page"/>
      </w:r>
    </w:p>
    <w:p w14:paraId="0E88DB4A">
      <w:pPr>
        <w:autoSpaceDE w:val="0"/>
        <w:autoSpaceDN w:val="0"/>
        <w:adjustRightInd w:val="0"/>
        <w:spacing w:after="120" w:afterLines="50" w:line="360" w:lineRule="auto"/>
        <w:jc w:val="left"/>
        <w:outlineLvl w:val="1"/>
        <w:rPr>
          <w:rFonts w:hint="eastAsia" w:ascii="宋体" w:hAnsi="宋体" w:eastAsia="宋体" w:cs="Times New Roman"/>
          <w:b/>
          <w:color w:val="auto"/>
          <w:kern w:val="0"/>
          <w:sz w:val="28"/>
          <w:szCs w:val="28"/>
          <w:highlight w:val="none"/>
        </w:rPr>
      </w:pPr>
      <w:bookmarkStart w:id="489" w:name="_Toc10769"/>
      <w:r>
        <w:rPr>
          <w:rFonts w:hint="eastAsia" w:ascii="宋体" w:hAnsi="宋体" w:eastAsia="宋体" w:cs="Times New Roman"/>
          <w:b/>
          <w:color w:val="auto"/>
          <w:kern w:val="0"/>
          <w:sz w:val="28"/>
          <w:szCs w:val="28"/>
          <w:highlight w:val="none"/>
        </w:rPr>
        <w:t>三、担保公司履约担保书格式</w:t>
      </w:r>
      <w:bookmarkEnd w:id="489"/>
    </w:p>
    <w:p w14:paraId="6CA0474E">
      <w:pPr>
        <w:autoSpaceDE w:val="0"/>
        <w:autoSpaceDN w:val="0"/>
        <w:adjustRightInd w:val="0"/>
        <w:jc w:val="center"/>
        <w:rPr>
          <w:rFonts w:hint="eastAsia"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2F265917">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662AD641">
      <w:pPr>
        <w:autoSpaceDE w:val="0"/>
        <w:autoSpaceDN w:val="0"/>
        <w:adjustRightInd w:val="0"/>
        <w:spacing w:line="360" w:lineRule="auto"/>
        <w:ind w:firstLine="437"/>
        <w:jc w:val="left"/>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7DFAEBB6">
      <w:pPr>
        <w:widowControl/>
        <w:autoSpaceDE w:val="0"/>
        <w:autoSpaceDN w:val="0"/>
        <w:adjustRightInd w:val="0"/>
        <w:spacing w:line="360" w:lineRule="auto"/>
        <w:ind w:firstLine="567" w:firstLineChars="270"/>
        <w:jc w:val="left"/>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1590219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57121E2C">
      <w:pPr>
        <w:autoSpaceDE w:val="0"/>
        <w:autoSpaceDN w:val="0"/>
        <w:adjustRightInd w:val="0"/>
        <w:spacing w:line="360" w:lineRule="auto"/>
        <w:ind w:firstLine="437"/>
        <w:jc w:val="left"/>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773D24BF">
      <w:pPr>
        <w:widowControl/>
        <w:autoSpaceDE w:val="0"/>
        <w:autoSpaceDN w:val="0"/>
        <w:adjustRightInd w:val="0"/>
        <w:spacing w:line="360" w:lineRule="auto"/>
        <w:ind w:firstLine="437"/>
        <w:jc w:val="left"/>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应从合同签订之日起至合同期限届满并完成全部供货及相关服务义务后二十八（28）日内保持有效。</w:t>
      </w:r>
    </w:p>
    <w:p w14:paraId="2A2C591D">
      <w:pPr>
        <w:autoSpaceDE w:val="0"/>
        <w:autoSpaceDN w:val="0"/>
        <w:adjustRightInd w:val="0"/>
        <w:spacing w:line="360" w:lineRule="auto"/>
        <w:jc w:val="left"/>
        <w:rPr>
          <w:rFonts w:hint="eastAsia" w:ascii="宋体" w:hAnsi="宋体" w:eastAsia="宋体" w:cs="Times New Roman"/>
          <w:color w:val="auto"/>
          <w:kern w:val="0"/>
          <w:szCs w:val="21"/>
          <w:highlight w:val="none"/>
        </w:rPr>
      </w:pPr>
    </w:p>
    <w:p w14:paraId="36166592">
      <w:pPr>
        <w:autoSpaceDE w:val="0"/>
        <w:autoSpaceDN w:val="0"/>
        <w:adjustRightInd w:val="0"/>
        <w:spacing w:line="360" w:lineRule="auto"/>
        <w:ind w:firstLine="3990" w:firstLineChars="19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44FB2B2A">
      <w:pPr>
        <w:autoSpaceDE w:val="0"/>
        <w:autoSpaceDN w:val="0"/>
        <w:adjustRightInd w:val="0"/>
        <w:spacing w:line="360" w:lineRule="auto"/>
        <w:ind w:firstLine="3990" w:firstLineChars="19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44FD51EA">
      <w:pPr>
        <w:autoSpaceDE w:val="0"/>
        <w:autoSpaceDN w:val="0"/>
        <w:adjustRightInd w:val="0"/>
        <w:spacing w:line="360" w:lineRule="auto"/>
        <w:ind w:firstLine="3990" w:firstLineChars="19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683D45F6">
      <w:pPr>
        <w:autoSpaceDE w:val="0"/>
        <w:autoSpaceDN w:val="0"/>
        <w:adjustRightInd w:val="0"/>
        <w:spacing w:line="360" w:lineRule="auto"/>
        <w:ind w:firstLine="3990" w:firstLineChars="19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58B35152">
      <w:pPr>
        <w:autoSpaceDE w:val="0"/>
        <w:autoSpaceDN w:val="0"/>
        <w:adjustRightInd w:val="0"/>
        <w:spacing w:line="360" w:lineRule="auto"/>
        <w:ind w:firstLine="3990" w:firstLineChars="19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37F3B63F">
      <w:pPr>
        <w:autoSpaceDE w:val="0"/>
        <w:autoSpaceDN w:val="0"/>
        <w:adjustRightInd w:val="0"/>
        <w:spacing w:line="360" w:lineRule="auto"/>
        <w:ind w:right="368" w:rightChars="175"/>
        <w:jc w:val="left"/>
        <w:rPr>
          <w:rFonts w:hint="eastAsia" w:ascii="宋体" w:hAnsi="宋体" w:eastAsia="宋体" w:cs="Times New Roman"/>
          <w:color w:val="auto"/>
          <w:kern w:val="0"/>
          <w:szCs w:val="21"/>
          <w:highlight w:val="none"/>
        </w:rPr>
      </w:pPr>
    </w:p>
    <w:p w14:paraId="044CC922">
      <w:pPr>
        <w:autoSpaceDE w:val="0"/>
        <w:autoSpaceDN w:val="0"/>
        <w:adjustRightInd w:val="0"/>
        <w:spacing w:line="360" w:lineRule="auto"/>
        <w:ind w:right="368" w:rightChars="175"/>
        <w:jc w:val="left"/>
        <w:rPr>
          <w:rFonts w:hint="eastAsia" w:ascii="宋体" w:hAnsi="宋体" w:eastAsia="宋体" w:cs="Times New Roman"/>
          <w:color w:val="auto"/>
          <w:kern w:val="0"/>
          <w:szCs w:val="21"/>
          <w:highlight w:val="none"/>
        </w:rPr>
      </w:pPr>
    </w:p>
    <w:p w14:paraId="23B93887">
      <w:pPr>
        <w:autoSpaceDE w:val="0"/>
        <w:autoSpaceDN w:val="0"/>
        <w:adjustRightInd w:val="0"/>
        <w:spacing w:line="360" w:lineRule="auto"/>
        <w:jc w:val="left"/>
        <w:rPr>
          <w:rFonts w:hint="eastAsia" w:ascii="宋体" w:hAnsi="宋体" w:eastAsia="宋体" w:cs="Times New Roman"/>
          <w:color w:val="auto"/>
          <w:kern w:val="0"/>
          <w:szCs w:val="21"/>
          <w:highlight w:val="none"/>
        </w:rPr>
      </w:pPr>
    </w:p>
    <w:p w14:paraId="693EBC94">
      <w:pPr>
        <w:autoSpaceDE w:val="0"/>
        <w:autoSpaceDN w:val="0"/>
        <w:adjustRightInd w:val="0"/>
        <w:spacing w:line="360" w:lineRule="auto"/>
        <w:ind w:firstLine="5775" w:firstLineChars="2750"/>
        <w:jc w:val="left"/>
        <w:rPr>
          <w:rFonts w:hint="eastAsia" w:ascii="宋体" w:hAnsi="宋体" w:eastAsia="宋体" w:cs="Times New Roman"/>
          <w:color w:val="auto"/>
          <w:kern w:val="0"/>
          <w:szCs w:val="21"/>
          <w:highlight w:val="none"/>
        </w:rPr>
      </w:pPr>
    </w:p>
    <w:p w14:paraId="1329520E">
      <w:pPr>
        <w:autoSpaceDE w:val="0"/>
        <w:autoSpaceDN w:val="0"/>
        <w:adjustRightInd w:val="0"/>
        <w:spacing w:line="360" w:lineRule="auto"/>
        <w:ind w:firstLine="5775" w:firstLineChars="2750"/>
        <w:jc w:val="left"/>
        <w:rPr>
          <w:rFonts w:hint="eastAsia" w:ascii="宋体" w:hAnsi="宋体" w:eastAsia="宋体" w:cs="Times New Roman"/>
          <w:color w:val="auto"/>
          <w:kern w:val="0"/>
          <w:szCs w:val="21"/>
          <w:highlight w:val="none"/>
        </w:rPr>
      </w:pPr>
    </w:p>
    <w:p w14:paraId="359654A3">
      <w:pPr>
        <w:autoSpaceDE w:val="0"/>
        <w:autoSpaceDN w:val="0"/>
        <w:adjustRightInd w:val="0"/>
        <w:spacing w:line="360" w:lineRule="auto"/>
        <w:ind w:firstLine="5775" w:firstLineChars="2750"/>
        <w:jc w:val="left"/>
        <w:rPr>
          <w:rFonts w:hint="eastAsia" w:ascii="宋体" w:hAnsi="宋体" w:eastAsia="宋体" w:cs="Times New Roman"/>
          <w:color w:val="auto"/>
          <w:kern w:val="0"/>
          <w:szCs w:val="21"/>
          <w:highlight w:val="none"/>
        </w:rPr>
      </w:pPr>
    </w:p>
    <w:p w14:paraId="29633F65">
      <w:pPr>
        <w:autoSpaceDE w:val="0"/>
        <w:autoSpaceDN w:val="0"/>
        <w:adjustRightInd w:val="0"/>
        <w:spacing w:line="360" w:lineRule="auto"/>
        <w:ind w:firstLine="5775" w:firstLineChars="2750"/>
        <w:jc w:val="left"/>
        <w:rPr>
          <w:rFonts w:hint="eastAsia" w:ascii="宋体" w:hAnsi="宋体" w:eastAsia="宋体" w:cs="Times New Roman"/>
          <w:color w:val="auto"/>
          <w:kern w:val="0"/>
          <w:szCs w:val="21"/>
          <w:highlight w:val="none"/>
        </w:rPr>
      </w:pPr>
    </w:p>
    <w:p w14:paraId="680BC0F1">
      <w:pPr>
        <w:autoSpaceDE w:val="0"/>
        <w:autoSpaceDN w:val="0"/>
        <w:adjustRightInd w:val="0"/>
        <w:spacing w:line="360" w:lineRule="auto"/>
        <w:ind w:firstLine="5775" w:firstLineChars="2750"/>
        <w:jc w:val="left"/>
        <w:rPr>
          <w:rFonts w:hint="eastAsia" w:ascii="宋体" w:hAnsi="宋体" w:eastAsia="宋体" w:cs="Times New Roman"/>
          <w:color w:val="auto"/>
          <w:kern w:val="0"/>
          <w:szCs w:val="21"/>
          <w:highlight w:val="none"/>
        </w:rPr>
      </w:pPr>
    </w:p>
    <w:p w14:paraId="55E5D3B2">
      <w:pPr>
        <w:autoSpaceDE w:val="0"/>
        <w:autoSpaceDN w:val="0"/>
        <w:adjustRightInd w:val="0"/>
        <w:spacing w:line="360" w:lineRule="auto"/>
        <w:ind w:firstLine="5775" w:firstLineChars="2750"/>
        <w:jc w:val="left"/>
        <w:rPr>
          <w:rFonts w:hint="eastAsia" w:ascii="宋体" w:hAnsi="宋体" w:eastAsia="宋体" w:cs="Times New Roman"/>
          <w:color w:val="auto"/>
          <w:kern w:val="0"/>
          <w:szCs w:val="21"/>
          <w:highlight w:val="none"/>
        </w:rPr>
      </w:pPr>
    </w:p>
    <w:p w14:paraId="5542C06B">
      <w:pPr>
        <w:autoSpaceDE w:val="0"/>
        <w:autoSpaceDN w:val="0"/>
        <w:adjustRightInd w:val="0"/>
        <w:spacing w:line="360" w:lineRule="auto"/>
        <w:ind w:firstLine="5775" w:firstLineChars="2750"/>
        <w:jc w:val="left"/>
        <w:rPr>
          <w:rFonts w:hint="eastAsia" w:ascii="宋体" w:hAnsi="宋体" w:eastAsia="宋体" w:cs="Times New Roman"/>
          <w:color w:val="auto"/>
          <w:kern w:val="0"/>
          <w:szCs w:val="21"/>
          <w:highlight w:val="none"/>
        </w:rPr>
      </w:pPr>
    </w:p>
    <w:p w14:paraId="648B8F94">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p>
    <w:p w14:paraId="08002033">
      <w:pPr>
        <w:pageBreakBefore/>
        <w:tabs>
          <w:tab w:val="left" w:pos="1080"/>
        </w:tabs>
        <w:autoSpaceDE w:val="0"/>
        <w:autoSpaceDN w:val="0"/>
        <w:adjustRightInd w:val="0"/>
        <w:spacing w:line="360" w:lineRule="auto"/>
        <w:ind w:left="357" w:leftChars="-100" w:hanging="567"/>
        <w:jc w:val="center"/>
        <w:outlineLvl w:val="2"/>
        <w:rPr>
          <w:rFonts w:hint="eastAsia" w:ascii="宋体" w:hAnsi="宋体" w:eastAsia="宋体" w:cs="宋体"/>
          <w:b/>
          <w:bCs/>
          <w:color w:val="auto"/>
          <w:kern w:val="44"/>
          <w:sz w:val="32"/>
          <w:szCs w:val="32"/>
          <w:highlight w:val="none"/>
        </w:rPr>
      </w:pPr>
      <w:bookmarkStart w:id="490" w:name="_Toc16740"/>
      <w:bookmarkStart w:id="491" w:name="_Toc12794"/>
      <w:bookmarkStart w:id="492" w:name="_Toc142508361"/>
      <w:bookmarkStart w:id="493" w:name="_Toc32761_WPSOffice_Level1"/>
      <w:bookmarkStart w:id="494" w:name="_Toc486167708"/>
      <w:bookmarkStart w:id="495" w:name="_Toc450662895"/>
      <w:r>
        <w:rPr>
          <w:rFonts w:hint="eastAsia" w:ascii="宋体" w:hAnsi="宋体" w:eastAsia="宋体" w:cs="宋体"/>
          <w:b/>
          <w:bCs/>
          <w:color w:val="auto"/>
          <w:kern w:val="44"/>
          <w:sz w:val="32"/>
          <w:szCs w:val="32"/>
          <w:highlight w:val="none"/>
          <w:lang w:val="zh-CN"/>
        </w:rPr>
        <w:t>第六篇 投标文件格式</w:t>
      </w:r>
      <w:bookmarkEnd w:id="490"/>
      <w:bookmarkEnd w:id="491"/>
      <w:bookmarkEnd w:id="492"/>
      <w:bookmarkEnd w:id="493"/>
      <w:bookmarkEnd w:id="494"/>
      <w:bookmarkEnd w:id="495"/>
    </w:p>
    <w:p w14:paraId="35C1FDB5">
      <w:pPr>
        <w:pStyle w:val="3"/>
        <w:spacing w:line="360" w:lineRule="auto"/>
        <w:jc w:val="center"/>
        <w:rPr>
          <w:rFonts w:hint="eastAsia" w:ascii="宋体" w:hAnsi="宋体" w:cs="宋体"/>
          <w:b/>
          <w:color w:val="auto"/>
          <w:kern w:val="0"/>
          <w:sz w:val="32"/>
          <w:szCs w:val="32"/>
          <w:highlight w:val="none"/>
        </w:rPr>
      </w:pPr>
      <w:bookmarkStart w:id="496" w:name="_Toc94107202"/>
      <w:bookmarkStart w:id="497" w:name="_Toc486167709"/>
      <w:bookmarkStart w:id="498" w:name="_Toc21133_WPSOffice_Level2"/>
      <w:bookmarkStart w:id="499" w:name="_Toc102860067"/>
      <w:bookmarkStart w:id="500" w:name="_Toc142508362"/>
      <w:bookmarkStart w:id="501" w:name="_Toc104991868"/>
      <w:bookmarkStart w:id="502" w:name="_Toc533708121"/>
      <w:bookmarkStart w:id="503" w:name="_Toc102860411"/>
      <w:bookmarkStart w:id="504" w:name="_Toc140596921"/>
      <w:bookmarkStart w:id="505" w:name="_Toc1977721"/>
      <w:r>
        <w:rPr>
          <w:rFonts w:hint="eastAsia" w:ascii="宋体" w:hAnsi="宋体" w:cs="宋体"/>
          <w:b/>
          <w:color w:val="auto"/>
          <w:kern w:val="0"/>
          <w:sz w:val="32"/>
          <w:szCs w:val="32"/>
          <w:highlight w:val="none"/>
        </w:rPr>
        <w:br w:type="page"/>
      </w:r>
    </w:p>
    <w:p w14:paraId="6AED25AE">
      <w:pPr>
        <w:pStyle w:val="3"/>
        <w:spacing w:line="360" w:lineRule="auto"/>
        <w:jc w:val="center"/>
        <w:rPr>
          <w:rFonts w:hint="eastAsia" w:ascii="宋体" w:hAnsi="宋体" w:cs="宋体"/>
          <w:b/>
          <w:color w:val="auto"/>
          <w:kern w:val="0"/>
          <w:sz w:val="32"/>
          <w:szCs w:val="32"/>
          <w:highlight w:val="none"/>
        </w:rPr>
      </w:pPr>
    </w:p>
    <w:p w14:paraId="220E11D3">
      <w:pPr>
        <w:pStyle w:val="3"/>
        <w:spacing w:line="360" w:lineRule="auto"/>
        <w:jc w:val="center"/>
        <w:rPr>
          <w:rFonts w:hint="eastAsia" w:ascii="宋体" w:hAnsi="宋体" w:cs="宋体"/>
          <w:b/>
          <w:color w:val="auto"/>
          <w:kern w:val="0"/>
          <w:sz w:val="32"/>
          <w:szCs w:val="32"/>
          <w:highlight w:val="none"/>
        </w:rPr>
      </w:pPr>
    </w:p>
    <w:p w14:paraId="12CADFC1">
      <w:pPr>
        <w:pStyle w:val="3"/>
        <w:spacing w:line="360" w:lineRule="auto"/>
        <w:jc w:val="center"/>
        <w:rPr>
          <w:rFonts w:hint="eastAsia" w:ascii="宋体" w:hAnsi="宋体" w:cs="宋体"/>
          <w:b/>
          <w:color w:val="auto"/>
          <w:kern w:val="0"/>
          <w:sz w:val="32"/>
          <w:szCs w:val="32"/>
          <w:highlight w:val="none"/>
        </w:rPr>
      </w:pPr>
    </w:p>
    <w:p w14:paraId="2E84AB3A">
      <w:pPr>
        <w:pStyle w:val="3"/>
        <w:spacing w:line="360" w:lineRule="auto"/>
        <w:jc w:val="center"/>
        <w:rPr>
          <w:rFonts w:hint="eastAsia" w:ascii="宋体" w:hAnsi="宋体" w:cs="宋体"/>
          <w:color w:val="auto"/>
          <w:sz w:val="84"/>
          <w:highlight w:val="none"/>
        </w:rPr>
      </w:pPr>
    </w:p>
    <w:p w14:paraId="46AE71F7">
      <w:pPr>
        <w:pStyle w:val="3"/>
        <w:spacing w:line="360" w:lineRule="auto"/>
        <w:jc w:val="center"/>
        <w:rPr>
          <w:rFonts w:hint="eastAsia" w:ascii="宋体" w:hAnsi="宋体" w:cs="宋体"/>
          <w:color w:val="auto"/>
          <w:sz w:val="84"/>
          <w:highlight w:val="none"/>
        </w:rPr>
      </w:pPr>
      <w:r>
        <w:rPr>
          <w:rFonts w:hint="eastAsia" w:ascii="宋体" w:hAnsi="宋体" w:cs="宋体"/>
          <w:color w:val="auto"/>
          <w:sz w:val="84"/>
          <w:highlight w:val="none"/>
        </w:rPr>
        <w:t>投 标 文 件</w:t>
      </w:r>
    </w:p>
    <w:p w14:paraId="07940A69">
      <w:pPr>
        <w:pStyle w:val="3"/>
        <w:spacing w:line="360" w:lineRule="auto"/>
        <w:rPr>
          <w:rFonts w:hint="eastAsia" w:ascii="宋体" w:hAnsi="宋体" w:cs="宋体"/>
          <w:color w:val="auto"/>
          <w:highlight w:val="none"/>
        </w:rPr>
      </w:pPr>
    </w:p>
    <w:p w14:paraId="18A039AD">
      <w:pPr>
        <w:pStyle w:val="3"/>
        <w:spacing w:line="360" w:lineRule="auto"/>
        <w:rPr>
          <w:rFonts w:hint="eastAsia" w:ascii="宋体" w:hAnsi="宋体" w:cs="宋体"/>
          <w:color w:val="auto"/>
          <w:highlight w:val="none"/>
        </w:rPr>
      </w:pPr>
    </w:p>
    <w:p w14:paraId="327E6F3E">
      <w:pPr>
        <w:pStyle w:val="3"/>
        <w:spacing w:line="360" w:lineRule="auto"/>
        <w:rPr>
          <w:rFonts w:hint="eastAsia" w:ascii="宋体" w:hAnsi="宋体" w:cs="宋体"/>
          <w:color w:val="auto"/>
          <w:highlight w:val="none"/>
        </w:rPr>
      </w:pPr>
    </w:p>
    <w:p w14:paraId="063B07B9">
      <w:pPr>
        <w:pStyle w:val="3"/>
        <w:spacing w:line="360" w:lineRule="auto"/>
        <w:rPr>
          <w:rFonts w:hint="eastAsia" w:ascii="宋体" w:hAnsi="宋体" w:cs="宋体"/>
          <w:color w:val="auto"/>
          <w:highlight w:val="none"/>
        </w:rPr>
      </w:pPr>
    </w:p>
    <w:p w14:paraId="00305B87">
      <w:pPr>
        <w:pStyle w:val="3"/>
        <w:spacing w:line="360" w:lineRule="auto"/>
        <w:rPr>
          <w:rFonts w:hint="eastAsia" w:ascii="宋体" w:hAnsi="宋体" w:cs="宋体"/>
          <w:color w:val="auto"/>
          <w:highlight w:val="none"/>
        </w:rPr>
      </w:pPr>
    </w:p>
    <w:p w14:paraId="017D3427">
      <w:pPr>
        <w:pStyle w:val="3"/>
        <w:spacing w:line="360" w:lineRule="auto"/>
        <w:rPr>
          <w:rFonts w:hint="eastAsia" w:ascii="宋体" w:hAnsi="宋体" w:cs="宋体"/>
          <w:color w:val="auto"/>
          <w:highlight w:val="none"/>
        </w:rPr>
      </w:pPr>
    </w:p>
    <w:p w14:paraId="43EC25E1">
      <w:pPr>
        <w:pStyle w:val="3"/>
        <w:spacing w:line="360" w:lineRule="auto"/>
        <w:ind w:firstLine="1875" w:firstLineChars="625"/>
        <w:rPr>
          <w:rFonts w:hint="eastAsia"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13EC92D8">
      <w:pPr>
        <w:pStyle w:val="3"/>
        <w:spacing w:line="360" w:lineRule="auto"/>
        <w:ind w:firstLine="1875" w:firstLineChars="625"/>
        <w:rPr>
          <w:rFonts w:hint="eastAsia"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66789E73">
      <w:pPr>
        <w:pStyle w:val="3"/>
        <w:spacing w:line="360" w:lineRule="auto"/>
        <w:ind w:firstLine="1875" w:firstLineChars="625"/>
        <w:rPr>
          <w:rFonts w:hint="eastAsia"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投标文件商务部分 </w:t>
      </w:r>
    </w:p>
    <w:p w14:paraId="3842A031">
      <w:pPr>
        <w:pStyle w:val="3"/>
        <w:spacing w:line="360" w:lineRule="auto"/>
        <w:ind w:firstLine="1875" w:firstLineChars="625"/>
        <w:rPr>
          <w:rFonts w:hint="eastAsia"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703B4A8B">
      <w:pPr>
        <w:pStyle w:val="3"/>
        <w:spacing w:line="360" w:lineRule="auto"/>
        <w:ind w:firstLine="1875" w:firstLineChars="625"/>
        <w:rPr>
          <w:rFonts w:hint="eastAsia"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14:paraId="6BB74080">
      <w:pPr>
        <w:pStyle w:val="3"/>
        <w:spacing w:line="360" w:lineRule="auto"/>
        <w:ind w:firstLine="1875" w:firstLineChars="625"/>
        <w:rPr>
          <w:rFonts w:hint="eastAsia"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5621B277">
      <w:pPr>
        <w:pStyle w:val="3"/>
        <w:spacing w:line="360" w:lineRule="auto"/>
        <w:rPr>
          <w:rFonts w:hint="eastAsia" w:ascii="宋体" w:hAnsi="宋体" w:cs="宋体"/>
          <w:color w:val="auto"/>
          <w:highlight w:val="none"/>
        </w:rPr>
      </w:pPr>
    </w:p>
    <w:p w14:paraId="5D94E5C7">
      <w:pPr>
        <w:pStyle w:val="3"/>
        <w:spacing w:line="360" w:lineRule="auto"/>
        <w:rPr>
          <w:rFonts w:hint="eastAsia" w:ascii="宋体" w:hAnsi="宋体" w:cs="宋体"/>
          <w:color w:val="auto"/>
          <w:highlight w:val="none"/>
        </w:rPr>
      </w:pPr>
      <w:r>
        <w:rPr>
          <w:rFonts w:hint="eastAsia" w:ascii="宋体" w:hAnsi="宋体" w:cs="宋体"/>
          <w:color w:val="auto"/>
          <w:highlight w:val="none"/>
        </w:rPr>
        <w:br w:type="page"/>
      </w:r>
    </w:p>
    <w:p w14:paraId="267854B7">
      <w:pPr>
        <w:spacing w:line="480" w:lineRule="auto"/>
        <w:ind w:firstLine="675" w:firstLineChars="224"/>
        <w:jc w:val="center"/>
        <w:rPr>
          <w:rFonts w:hint="eastAsia" w:ascii="宋体" w:hAnsi="宋体" w:eastAsia="宋体" w:cs="宋体"/>
          <w:b/>
          <w:bCs/>
          <w:color w:val="auto"/>
          <w:sz w:val="30"/>
          <w:szCs w:val="30"/>
          <w:highlight w:val="none"/>
        </w:rPr>
      </w:pPr>
    </w:p>
    <w:p w14:paraId="53B56AE6">
      <w:pP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04B851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0EC13D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46BCA716">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06AB017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2136" w:type="pct"/>
            <w:tcBorders>
              <w:left w:val="single" w:color="auto" w:sz="4" w:space="0"/>
            </w:tcBorders>
            <w:vAlign w:val="center"/>
          </w:tcPr>
          <w:p w14:paraId="03BE821D">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039AD1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546C45E">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758290A6">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6F920E85">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F87B43C">
            <w:pPr>
              <w:adjustRightInd w:val="0"/>
              <w:snapToGrid w:val="0"/>
              <w:spacing w:line="360" w:lineRule="auto"/>
              <w:rPr>
                <w:rFonts w:hint="eastAsia" w:ascii="宋体" w:hAnsi="宋体" w:eastAsia="宋体" w:cs="宋体"/>
                <w:bCs/>
                <w:color w:val="auto"/>
                <w:szCs w:val="21"/>
                <w:highlight w:val="none"/>
              </w:rPr>
            </w:pPr>
          </w:p>
        </w:tc>
      </w:tr>
      <w:tr w14:paraId="5DB641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1A514974">
            <w:pPr>
              <w:rPr>
                <w:rFonts w:hint="eastAsia" w:ascii="宋体" w:hAnsi="宋体" w:eastAsia="宋体" w:cs="宋体"/>
                <w:bCs/>
                <w:color w:val="auto"/>
                <w:szCs w:val="21"/>
                <w:highlight w:val="none"/>
              </w:rPr>
            </w:pPr>
          </w:p>
        </w:tc>
        <w:tc>
          <w:tcPr>
            <w:tcW w:w="1337" w:type="pct"/>
            <w:vAlign w:val="center"/>
          </w:tcPr>
          <w:p w14:paraId="1405F274">
            <w:pPr>
              <w:rPr>
                <w:rFonts w:hint="eastAsia" w:ascii="宋体" w:hAnsi="宋体" w:eastAsia="宋体" w:cs="宋体"/>
                <w:bCs/>
                <w:color w:val="auto"/>
                <w:szCs w:val="21"/>
                <w:highlight w:val="none"/>
              </w:rPr>
            </w:pPr>
          </w:p>
        </w:tc>
        <w:tc>
          <w:tcPr>
            <w:tcW w:w="861" w:type="pct"/>
            <w:vAlign w:val="center"/>
          </w:tcPr>
          <w:p w14:paraId="39B68427">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715F2D9">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263DCF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FBE2A6D">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EF4AC1A">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3C82AF6C">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AC492ED">
            <w:pPr>
              <w:spacing w:line="360" w:lineRule="auto"/>
              <w:ind w:firstLine="8" w:firstLineChars="4"/>
              <w:rPr>
                <w:rFonts w:hint="eastAsia" w:ascii="宋体" w:hAnsi="宋体" w:eastAsia="宋体" w:cs="宋体"/>
                <w:bCs/>
                <w:color w:val="auto"/>
                <w:szCs w:val="21"/>
                <w:highlight w:val="none"/>
              </w:rPr>
            </w:pPr>
          </w:p>
        </w:tc>
      </w:tr>
      <w:tr w14:paraId="64197C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46185046">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2847C08F">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45256685">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666CBA05">
            <w:pPr>
              <w:adjustRightInd w:val="0"/>
              <w:snapToGrid w:val="0"/>
              <w:spacing w:line="360" w:lineRule="auto"/>
              <w:rPr>
                <w:rFonts w:hint="eastAsia" w:ascii="宋体" w:hAnsi="宋体" w:eastAsia="宋体" w:cs="宋体"/>
                <w:bCs/>
                <w:color w:val="auto"/>
                <w:szCs w:val="21"/>
                <w:highlight w:val="none"/>
              </w:rPr>
            </w:pPr>
          </w:p>
        </w:tc>
      </w:tr>
      <w:tr w14:paraId="698539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82F7816">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4EF31E1C">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4817BE5C">
            <w:pPr>
              <w:spacing w:line="360" w:lineRule="auto"/>
              <w:jc w:val="center"/>
              <w:rPr>
                <w:rFonts w:hint="eastAsia" w:ascii="宋体" w:hAnsi="宋体" w:eastAsia="宋体" w:cs="宋体"/>
                <w:bCs/>
                <w:color w:val="auto"/>
                <w:szCs w:val="21"/>
                <w:highlight w:val="none"/>
              </w:rPr>
            </w:pPr>
          </w:p>
        </w:tc>
      </w:tr>
    </w:tbl>
    <w:p w14:paraId="41C037AA">
      <w:pPr>
        <w:pStyle w:val="3"/>
        <w:spacing w:line="360" w:lineRule="auto"/>
        <w:rPr>
          <w:rFonts w:hint="eastAsia" w:ascii="宋体" w:hAnsi="宋体" w:cs="宋体"/>
          <w:color w:val="auto"/>
          <w:highlight w:val="none"/>
        </w:rPr>
      </w:pPr>
    </w:p>
    <w:p w14:paraId="0A8E4D4F">
      <w:pPr>
        <w:pStyle w:val="3"/>
        <w:spacing w:line="360" w:lineRule="auto"/>
        <w:rPr>
          <w:rFonts w:hint="eastAsia" w:ascii="宋体" w:hAnsi="宋体" w:cs="宋体"/>
          <w:color w:val="auto"/>
          <w:highlight w:val="none"/>
        </w:rPr>
      </w:pPr>
    </w:p>
    <w:p w14:paraId="4734800D">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35686FA4">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bookmarkStart w:id="506" w:name="_Toc18706"/>
      <w:bookmarkStart w:id="507" w:name="_Toc13331"/>
      <w:bookmarkStart w:id="508" w:name="_Toc26307"/>
      <w:r>
        <w:rPr>
          <w:rFonts w:hint="eastAsia" w:ascii="宋体" w:hAnsi="宋体" w:eastAsia="宋体" w:cs="宋体"/>
          <w:b/>
          <w:color w:val="auto"/>
          <w:kern w:val="0"/>
          <w:sz w:val="32"/>
          <w:szCs w:val="32"/>
          <w:highlight w:val="none"/>
        </w:rPr>
        <w:t>一、投标函格式</w:t>
      </w:r>
      <w:bookmarkEnd w:id="496"/>
      <w:bookmarkEnd w:id="497"/>
      <w:bookmarkEnd w:id="498"/>
      <w:bookmarkEnd w:id="499"/>
      <w:bookmarkEnd w:id="500"/>
      <w:bookmarkEnd w:id="501"/>
      <w:bookmarkEnd w:id="502"/>
      <w:bookmarkEnd w:id="503"/>
      <w:bookmarkEnd w:id="504"/>
      <w:bookmarkEnd w:id="505"/>
      <w:bookmarkEnd w:id="506"/>
      <w:bookmarkEnd w:id="507"/>
      <w:bookmarkEnd w:id="508"/>
    </w:p>
    <w:p w14:paraId="12917440">
      <w:pPr>
        <w:autoSpaceDE w:val="0"/>
        <w:autoSpaceDN w:val="0"/>
        <w:adjustRightInd w:val="0"/>
        <w:spacing w:line="360" w:lineRule="auto"/>
        <w:jc w:val="center"/>
        <w:rPr>
          <w:rFonts w:hint="eastAsia" w:ascii="宋体" w:hAnsi="宋体" w:eastAsia="宋体" w:cs="宋体"/>
          <w:b/>
          <w:bCs/>
          <w:color w:val="auto"/>
          <w:sz w:val="30"/>
          <w:szCs w:val="30"/>
          <w:highlight w:val="none"/>
        </w:rPr>
      </w:pPr>
      <w:bookmarkStart w:id="509" w:name="_Toc16695_WPSOffice_Level3"/>
      <w:r>
        <w:rPr>
          <w:rFonts w:hint="eastAsia" w:ascii="宋体" w:hAnsi="宋体" w:eastAsia="宋体" w:cs="宋体"/>
          <w:b/>
          <w:bCs/>
          <w:color w:val="auto"/>
          <w:sz w:val="30"/>
          <w:szCs w:val="30"/>
          <w:highlight w:val="none"/>
          <w:lang w:val="zh-CN"/>
        </w:rPr>
        <w:t>投 标 函</w:t>
      </w:r>
      <w:bookmarkEnd w:id="509"/>
    </w:p>
    <w:p w14:paraId="76DF995A">
      <w:pPr>
        <w:autoSpaceDE w:val="0"/>
        <w:autoSpaceDN w:val="0"/>
        <w:adjustRightInd w:val="0"/>
        <w:spacing w:line="360" w:lineRule="auto"/>
        <w:rPr>
          <w:rFonts w:hint="eastAsia" w:ascii="宋体" w:hAnsi="宋体" w:eastAsia="宋体" w:cs="宋体"/>
          <w:color w:val="auto"/>
          <w:szCs w:val="21"/>
          <w:highlight w:val="none"/>
          <w:lang w:val="zh-CN"/>
        </w:rPr>
      </w:pPr>
    </w:p>
    <w:p w14:paraId="081492DB">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rPr>
        <w:t>东莞市水务集团有限公司</w:t>
      </w:r>
    </w:p>
    <w:p w14:paraId="2236AD6A">
      <w:pPr>
        <w:autoSpaceDE w:val="0"/>
        <w:autoSpaceDN w:val="0"/>
        <w:adjustRightInd w:val="0"/>
        <w:spacing w:line="360" w:lineRule="auto"/>
        <w:rPr>
          <w:rFonts w:hint="eastAsia" w:ascii="宋体" w:hAnsi="宋体" w:eastAsia="宋体" w:cs="宋体"/>
          <w:color w:val="auto"/>
          <w:szCs w:val="21"/>
          <w:highlight w:val="none"/>
        </w:rPr>
      </w:pPr>
    </w:p>
    <w:p w14:paraId="7A6CA113">
      <w:pPr>
        <w:wordWrap w:val="0"/>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rPr>
        <w:t>东莞市水务集团有限公司2025年度液态次氯酸钠采购项目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YDZB25DGQY0005</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33B54DD3">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01DECB5B">
      <w:pPr>
        <w:autoSpaceDE w:val="0"/>
        <w:autoSpaceDN w:val="0"/>
        <w:adjustRightInd w:val="0"/>
        <w:spacing w:line="360" w:lineRule="auto"/>
        <w:ind w:firstLine="315" w:firstLineChars="150"/>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0F1579D6">
      <w:pPr>
        <w:autoSpaceDE w:val="0"/>
        <w:autoSpaceDN w:val="0"/>
        <w:adjustRightInd w:val="0"/>
        <w:spacing w:line="360" w:lineRule="auto"/>
        <w:ind w:firstLine="315" w:firstLineChars="150"/>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1E0079C6">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5938ECBA">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YDZB25DGQY0005</w:t>
      </w:r>
      <w:r>
        <w:rPr>
          <w:rFonts w:hint="eastAsia" w:ascii="宋体" w:hAnsi="宋体" w:eastAsia="宋体" w:cs="宋体"/>
          <w:color w:val="auto"/>
          <w:szCs w:val="21"/>
          <w:highlight w:val="none"/>
          <w:lang w:val="zh-CN"/>
        </w:rPr>
        <w:t>的投标；</w:t>
      </w:r>
    </w:p>
    <w:p w14:paraId="0B6E8A0D">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649857F3">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68CC210A">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70FD254A">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347A60D2">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334DA548">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2747224D">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6A1C578C">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1F0C2208">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40625EEE">
      <w:pPr>
        <w:autoSpaceDE w:val="0"/>
        <w:autoSpaceDN w:val="0"/>
        <w:adjustRightInd w:val="0"/>
        <w:spacing w:line="360" w:lineRule="auto"/>
        <w:ind w:firstLine="315" w:firstLineChars="150"/>
        <w:outlineLvl w:val="2"/>
        <w:rPr>
          <w:rFonts w:hint="eastAsia" w:ascii="宋体" w:hAnsi="宋体" w:eastAsia="宋体" w:cs="宋体"/>
          <w:color w:val="auto"/>
          <w:szCs w:val="21"/>
          <w:highlight w:val="none"/>
          <w:lang w:val="zh-CN"/>
        </w:rPr>
      </w:pPr>
      <w:bookmarkStart w:id="510" w:name="_Toc13323"/>
      <w:r>
        <w:rPr>
          <w:rFonts w:hint="eastAsia" w:ascii="宋体" w:hAnsi="宋体" w:eastAsia="宋体" w:cs="宋体"/>
          <w:color w:val="auto"/>
          <w:szCs w:val="21"/>
          <w:highlight w:val="none"/>
          <w:lang w:val="zh-CN"/>
        </w:rPr>
        <w:t>（十一）所有与本投标有关的函件请发往下列地址：</w:t>
      </w:r>
      <w:bookmarkEnd w:id="510"/>
    </w:p>
    <w:p w14:paraId="6D63DC09">
      <w:pPr>
        <w:autoSpaceDE w:val="0"/>
        <w:autoSpaceDN w:val="0"/>
        <w:adjustRightInd w:val="0"/>
        <w:spacing w:line="360" w:lineRule="auto"/>
        <w:ind w:left="395" w:leftChars="-12" w:hanging="420" w:hangingChars="200"/>
        <w:rPr>
          <w:rFonts w:hint="eastAsia" w:ascii="宋体" w:hAnsi="宋体" w:eastAsia="宋体" w:cs="宋体"/>
          <w:color w:val="auto"/>
          <w:szCs w:val="21"/>
          <w:highlight w:val="none"/>
          <w:u w:val="single"/>
          <w:lang w:val="zh-CN"/>
        </w:rPr>
      </w:pPr>
    </w:p>
    <w:p w14:paraId="1281C1E0">
      <w:pPr>
        <w:autoSpaceDE w:val="0"/>
        <w:autoSpaceDN w:val="0"/>
        <w:adjustRightInd w:val="0"/>
        <w:spacing w:line="360" w:lineRule="auto"/>
        <w:ind w:firstLine="420" w:firstLineChars="200"/>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638A15E1">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43A2F727">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624095D8">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8684B72">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4BF2A1D5">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7584F89">
      <w:pPr>
        <w:autoSpaceDE w:val="0"/>
        <w:autoSpaceDN w:val="0"/>
        <w:adjustRightInd w:val="0"/>
        <w:spacing w:line="360" w:lineRule="auto"/>
        <w:ind w:firstLine="4960" w:firstLineChars="2362"/>
        <w:rPr>
          <w:rFonts w:hint="eastAsia"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AF13A97">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11" w:name="_Toc140596922"/>
      <w:bookmarkStart w:id="512" w:name="_Toc142508363"/>
      <w:bookmarkStart w:id="513" w:name="_Toc94107203"/>
      <w:bookmarkStart w:id="514" w:name="_Toc26795"/>
      <w:bookmarkStart w:id="515" w:name="_Toc102860068"/>
      <w:bookmarkStart w:id="516" w:name="_Toc1977722"/>
      <w:bookmarkStart w:id="517" w:name="_Toc533708122"/>
      <w:bookmarkStart w:id="518" w:name="_Toc102860412"/>
      <w:bookmarkStart w:id="519" w:name="_Toc21941"/>
      <w:bookmarkStart w:id="520" w:name="_Toc28613_WPSOffice_Level2"/>
      <w:bookmarkStart w:id="521" w:name="_Toc8696"/>
      <w:bookmarkStart w:id="522" w:name="_Toc104991869"/>
      <w:bookmarkStart w:id="523" w:name="_Toc486167710"/>
      <w:r>
        <w:rPr>
          <w:rFonts w:hint="eastAsia" w:ascii="宋体" w:hAnsi="宋体" w:eastAsia="宋体" w:cs="宋体"/>
          <w:b/>
          <w:color w:val="auto"/>
          <w:kern w:val="0"/>
          <w:sz w:val="32"/>
          <w:szCs w:val="32"/>
          <w:highlight w:val="none"/>
        </w:rPr>
        <w:t>二、投标承诺书格式</w:t>
      </w:r>
      <w:bookmarkEnd w:id="511"/>
      <w:bookmarkEnd w:id="512"/>
      <w:bookmarkEnd w:id="513"/>
      <w:bookmarkEnd w:id="514"/>
      <w:bookmarkEnd w:id="515"/>
      <w:bookmarkEnd w:id="516"/>
      <w:bookmarkEnd w:id="517"/>
      <w:bookmarkEnd w:id="518"/>
      <w:bookmarkEnd w:id="519"/>
      <w:bookmarkEnd w:id="520"/>
      <w:bookmarkEnd w:id="521"/>
      <w:bookmarkEnd w:id="522"/>
      <w:bookmarkEnd w:id="523"/>
    </w:p>
    <w:p w14:paraId="2DD375CF">
      <w:pPr>
        <w:autoSpaceDE w:val="0"/>
        <w:autoSpaceDN w:val="0"/>
        <w:adjustRightInd w:val="0"/>
        <w:spacing w:line="360" w:lineRule="auto"/>
        <w:jc w:val="center"/>
        <w:outlineLvl w:val="2"/>
        <w:rPr>
          <w:rFonts w:hint="eastAsia" w:ascii="宋体" w:hAnsi="宋体" w:eastAsia="宋体" w:cs="Times New Roman"/>
          <w:b/>
          <w:bCs/>
          <w:color w:val="auto"/>
          <w:sz w:val="30"/>
          <w:szCs w:val="30"/>
          <w:highlight w:val="none"/>
          <w:lang w:val="zh-CN"/>
        </w:rPr>
      </w:pPr>
      <w:bookmarkStart w:id="524" w:name="_Toc20258"/>
      <w:r>
        <w:rPr>
          <w:rFonts w:hint="eastAsia" w:ascii="宋体" w:hAnsi="宋体" w:eastAsia="宋体" w:cs="Times New Roman"/>
          <w:b/>
          <w:bCs/>
          <w:color w:val="auto"/>
          <w:sz w:val="30"/>
          <w:szCs w:val="30"/>
          <w:highlight w:val="none"/>
          <w:lang w:val="zh-CN"/>
        </w:rPr>
        <w:t>投标承诺书</w:t>
      </w:r>
      <w:bookmarkEnd w:id="524"/>
    </w:p>
    <w:p w14:paraId="4786A44B">
      <w:pPr>
        <w:widowControl/>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p>
    <w:p w14:paraId="637F781A">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rPr>
        <w:t>东莞市水务集团有限公司2025年度液态次氯酸钠采购项目</w:t>
      </w:r>
      <w:r>
        <w:rPr>
          <w:rFonts w:hint="eastAsia" w:ascii="宋体" w:hAnsi="宋体" w:eastAsia="宋体" w:cs="Times New Roman"/>
          <w:color w:val="auto"/>
          <w:kern w:val="0"/>
          <w:szCs w:val="21"/>
          <w:highlight w:val="none"/>
        </w:rPr>
        <w:t>（招标编号：YDZB25DGQY0005）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317A49DE">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540D7FB6">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p>
    <w:p w14:paraId="77A48A36">
      <w:pPr>
        <w:autoSpaceDE w:val="0"/>
        <w:autoSpaceDN w:val="0"/>
        <w:adjustRightInd w:val="0"/>
        <w:spacing w:line="360" w:lineRule="auto"/>
        <w:jc w:val="left"/>
        <w:rPr>
          <w:rFonts w:hint="eastAsia" w:ascii="宋体" w:hAnsi="宋体" w:eastAsia="宋体" w:cs="Times New Roman"/>
          <w:color w:val="auto"/>
          <w:kern w:val="0"/>
          <w:sz w:val="24"/>
          <w:szCs w:val="24"/>
          <w:highlight w:val="none"/>
        </w:rPr>
      </w:pPr>
    </w:p>
    <w:p w14:paraId="25D02EB2">
      <w:pPr>
        <w:autoSpaceDE w:val="0"/>
        <w:autoSpaceDN w:val="0"/>
        <w:adjustRightInd w:val="0"/>
        <w:spacing w:line="360" w:lineRule="auto"/>
        <w:jc w:val="left"/>
        <w:rPr>
          <w:rFonts w:hint="eastAsia" w:ascii="宋体" w:hAnsi="宋体" w:eastAsia="宋体" w:cs="Times New Roman"/>
          <w:color w:val="auto"/>
          <w:kern w:val="0"/>
          <w:sz w:val="24"/>
          <w:szCs w:val="24"/>
          <w:highlight w:val="none"/>
        </w:rPr>
      </w:pPr>
    </w:p>
    <w:p w14:paraId="3A26697D">
      <w:pPr>
        <w:autoSpaceDE w:val="0"/>
        <w:autoSpaceDN w:val="0"/>
        <w:adjustRightInd w:val="0"/>
        <w:spacing w:line="360" w:lineRule="auto"/>
        <w:ind w:firstLine="504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560056FD">
      <w:pPr>
        <w:autoSpaceDE w:val="0"/>
        <w:autoSpaceDN w:val="0"/>
        <w:adjustRightInd w:val="0"/>
        <w:spacing w:line="360" w:lineRule="auto"/>
        <w:ind w:firstLine="5040"/>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04CE109D">
      <w:pPr>
        <w:autoSpaceDE w:val="0"/>
        <w:autoSpaceDN w:val="0"/>
        <w:adjustRightInd w:val="0"/>
        <w:spacing w:line="360" w:lineRule="auto"/>
        <w:ind w:firstLine="5040"/>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1BA8358A">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14:paraId="0A67465D">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05C04B39">
      <w:pPr>
        <w:autoSpaceDE w:val="0"/>
        <w:autoSpaceDN w:val="0"/>
        <w:adjustRightInd w:val="0"/>
        <w:spacing w:line="360" w:lineRule="auto"/>
        <w:jc w:val="left"/>
        <w:rPr>
          <w:rFonts w:hint="eastAsia" w:ascii="宋体" w:hAnsi="宋体" w:eastAsia="宋体" w:cs="宋体"/>
          <w:color w:val="auto"/>
          <w:kern w:val="0"/>
          <w:sz w:val="24"/>
          <w:szCs w:val="24"/>
          <w:highlight w:val="none"/>
        </w:rPr>
      </w:pPr>
      <w:bookmarkStart w:id="525" w:name="_Toc311032584"/>
      <w:bookmarkStart w:id="526" w:name="_Toc326768876"/>
      <w:bookmarkStart w:id="527" w:name="_Toc316896755"/>
    </w:p>
    <w:p w14:paraId="44A4AED3">
      <w:pPr>
        <w:pageBreakBefore/>
        <w:autoSpaceDE w:val="0"/>
        <w:autoSpaceDN w:val="0"/>
        <w:adjustRightInd w:val="0"/>
        <w:spacing w:line="360" w:lineRule="auto"/>
        <w:jc w:val="left"/>
        <w:outlineLvl w:val="1"/>
        <w:rPr>
          <w:rFonts w:hint="eastAsia" w:ascii="宋体" w:hAnsi="宋体" w:eastAsia="宋体" w:cs="宋体"/>
          <w:b/>
          <w:color w:val="auto"/>
          <w:kern w:val="44"/>
          <w:sz w:val="32"/>
          <w:szCs w:val="32"/>
          <w:highlight w:val="none"/>
        </w:rPr>
      </w:pPr>
      <w:bookmarkStart w:id="528" w:name="_Toc12590"/>
      <w:bookmarkStart w:id="529" w:name="_Toc5836"/>
      <w:bookmarkStart w:id="530" w:name="_Toc142508364"/>
      <w:bookmarkStart w:id="531" w:name="_Toc94107204"/>
      <w:bookmarkStart w:id="532" w:name="_Toc9778"/>
      <w:bookmarkStart w:id="533" w:name="_Toc86764083"/>
      <w:bookmarkStart w:id="534" w:name="_Toc102860069"/>
      <w:bookmarkStart w:id="535" w:name="_Toc82182546"/>
      <w:bookmarkStart w:id="536" w:name="_Toc102860413"/>
      <w:bookmarkStart w:id="537" w:name="_Toc104991870"/>
      <w:bookmarkStart w:id="538" w:name="_Toc140596923"/>
      <w:bookmarkStart w:id="539" w:name="_Toc533708123"/>
      <w:bookmarkStart w:id="540" w:name="_Toc7024_WPSOffice_Level2"/>
      <w:bookmarkStart w:id="541" w:name="_Toc486167711"/>
      <w:bookmarkStart w:id="542" w:name="_Toc1977723"/>
      <w:r>
        <w:rPr>
          <w:rFonts w:hint="eastAsia" w:ascii="宋体" w:hAnsi="宋体" w:eastAsia="宋体" w:cs="宋体"/>
          <w:b/>
          <w:color w:val="auto"/>
          <w:kern w:val="44"/>
          <w:sz w:val="32"/>
          <w:szCs w:val="32"/>
          <w:highlight w:val="none"/>
        </w:rPr>
        <w:t>三、供货及/或提供服务过程承诺函格式</w:t>
      </w:r>
      <w:bookmarkEnd w:id="528"/>
      <w:bookmarkEnd w:id="529"/>
      <w:bookmarkEnd w:id="530"/>
      <w:bookmarkEnd w:id="531"/>
      <w:bookmarkEnd w:id="532"/>
      <w:bookmarkEnd w:id="533"/>
      <w:bookmarkEnd w:id="534"/>
      <w:bookmarkEnd w:id="535"/>
      <w:bookmarkEnd w:id="536"/>
      <w:bookmarkEnd w:id="537"/>
      <w:bookmarkEnd w:id="538"/>
    </w:p>
    <w:p w14:paraId="30A2944B">
      <w:pPr>
        <w:autoSpaceDE w:val="0"/>
        <w:autoSpaceDN w:val="0"/>
        <w:adjustRightInd w:val="0"/>
        <w:spacing w:line="360" w:lineRule="auto"/>
        <w:jc w:val="center"/>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20FF59E2">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致东莞市水务集团有限公司：</w:t>
      </w:r>
    </w:p>
    <w:p w14:paraId="299D0C2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rPr>
        <w:t>东莞市水务集团有限公司2025年度液态次氯酸钠采购项目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YDZB25DGQY0005</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6B04566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564CA80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23ED59F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F2EC0F0">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70D982B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51AA0F5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384B6CD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6AE3784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456BEE94">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8B27904">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1576D6A4">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4382C76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2C0AE9C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79CAA919">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7E01030D">
      <w:pPr>
        <w:autoSpaceDE w:val="0"/>
        <w:autoSpaceDN w:val="0"/>
        <w:adjustRightInd w:val="0"/>
        <w:spacing w:line="360" w:lineRule="auto"/>
        <w:ind w:firstLine="420" w:firstLineChars="200"/>
        <w:jc w:val="left"/>
        <w:outlineLvl w:val="2"/>
        <w:rPr>
          <w:rFonts w:hint="eastAsia" w:ascii="宋体" w:hAnsi="宋体" w:eastAsia="宋体" w:cs="宋体"/>
          <w:color w:val="auto"/>
          <w:kern w:val="0"/>
          <w:szCs w:val="21"/>
          <w:highlight w:val="none"/>
        </w:rPr>
      </w:pPr>
      <w:bookmarkStart w:id="543" w:name="_Toc30312"/>
      <w:r>
        <w:rPr>
          <w:rFonts w:hint="eastAsia" w:ascii="宋体" w:hAnsi="宋体" w:eastAsia="宋体" w:cs="宋体"/>
          <w:color w:val="auto"/>
          <w:kern w:val="0"/>
          <w:szCs w:val="21"/>
          <w:highlight w:val="none"/>
        </w:rPr>
        <w:t>③我方承诺不在厂内道路、消防通道内搭建临时建筑或堆放物资。</w:t>
      </w:r>
      <w:bookmarkEnd w:id="543"/>
    </w:p>
    <w:p w14:paraId="4320D70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01DA5119">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4C3369E6">
      <w:pPr>
        <w:autoSpaceDE w:val="0"/>
        <w:autoSpaceDN w:val="0"/>
        <w:adjustRightInd w:val="0"/>
        <w:spacing w:line="360" w:lineRule="auto"/>
        <w:ind w:firstLine="420" w:firstLineChars="200"/>
        <w:jc w:val="left"/>
        <w:outlineLvl w:val="2"/>
        <w:rPr>
          <w:rFonts w:hint="eastAsia" w:ascii="宋体" w:hAnsi="宋体" w:eastAsia="宋体" w:cs="宋体"/>
          <w:color w:val="auto"/>
          <w:kern w:val="0"/>
          <w:szCs w:val="21"/>
          <w:highlight w:val="none"/>
        </w:rPr>
      </w:pPr>
      <w:bookmarkStart w:id="544" w:name="_Toc31861"/>
      <w:r>
        <w:rPr>
          <w:rFonts w:hint="eastAsia" w:ascii="宋体" w:hAnsi="宋体" w:eastAsia="宋体" w:cs="宋体"/>
          <w:color w:val="auto"/>
          <w:kern w:val="0"/>
          <w:szCs w:val="21"/>
          <w:highlight w:val="none"/>
        </w:rPr>
        <w:t>⑥我方承诺防雷、防静电设施及用电设施有良好接地。</w:t>
      </w:r>
      <w:bookmarkEnd w:id="544"/>
    </w:p>
    <w:p w14:paraId="1388960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75449CB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64C9E38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7726F9BE">
      <w:pPr>
        <w:autoSpaceDE w:val="0"/>
        <w:autoSpaceDN w:val="0"/>
        <w:adjustRightInd w:val="0"/>
        <w:spacing w:line="360" w:lineRule="auto"/>
        <w:ind w:firstLine="504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44806B8F">
      <w:pPr>
        <w:autoSpaceDE w:val="0"/>
        <w:autoSpaceDN w:val="0"/>
        <w:adjustRightInd w:val="0"/>
        <w:spacing w:line="360" w:lineRule="auto"/>
        <w:ind w:firstLine="504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19784E8A">
      <w:pPr>
        <w:autoSpaceDE w:val="0"/>
        <w:autoSpaceDN w:val="0"/>
        <w:adjustRightInd w:val="0"/>
        <w:spacing w:line="360" w:lineRule="auto"/>
        <w:ind w:firstLine="504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5281D100">
      <w:pPr>
        <w:autoSpaceDE w:val="0"/>
        <w:autoSpaceDN w:val="0"/>
        <w:adjustRightInd w:val="0"/>
        <w:spacing w:line="360" w:lineRule="auto"/>
        <w:ind w:right="420" w:firstLine="5040" w:firstLineChars="2400"/>
        <w:jc w:val="left"/>
        <w:rPr>
          <w:rFonts w:hint="eastAsia"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6780E421">
      <w:pPr>
        <w:pageBreakBefore/>
        <w:autoSpaceDE w:val="0"/>
        <w:autoSpaceDN w:val="0"/>
        <w:adjustRightInd w:val="0"/>
        <w:spacing w:line="360" w:lineRule="auto"/>
        <w:jc w:val="left"/>
        <w:outlineLvl w:val="1"/>
        <w:rPr>
          <w:rFonts w:hint="eastAsia" w:ascii="宋体" w:hAnsi="宋体" w:eastAsia="宋体" w:cs="宋体"/>
          <w:b/>
          <w:color w:val="auto"/>
          <w:kern w:val="0"/>
          <w:sz w:val="32"/>
          <w:szCs w:val="32"/>
          <w:highlight w:val="none"/>
        </w:rPr>
      </w:pPr>
      <w:bookmarkStart w:id="545" w:name="_Toc102860414"/>
      <w:bookmarkStart w:id="546" w:name="_Toc102860070"/>
      <w:bookmarkStart w:id="547" w:name="_Toc142508365"/>
      <w:bookmarkStart w:id="548" w:name="_Toc104991871"/>
      <w:bookmarkStart w:id="549" w:name="_Toc94107205"/>
      <w:bookmarkStart w:id="550" w:name="_Toc86764084"/>
      <w:bookmarkStart w:id="551" w:name="_Toc140596924"/>
      <w:bookmarkStart w:id="552" w:name="_Toc82182547"/>
      <w:bookmarkStart w:id="553" w:name="_Toc6287"/>
      <w:bookmarkStart w:id="554" w:name="_Toc24988"/>
      <w:bookmarkStart w:id="555" w:name="_Toc3993"/>
      <w:r>
        <w:rPr>
          <w:rFonts w:hint="eastAsia" w:ascii="宋体" w:hAnsi="宋体" w:eastAsia="宋体" w:cs="宋体"/>
          <w:b/>
          <w:color w:val="auto"/>
          <w:kern w:val="44"/>
          <w:sz w:val="32"/>
          <w:szCs w:val="32"/>
          <w:highlight w:val="none"/>
        </w:rPr>
        <w:t>四</w:t>
      </w:r>
      <w:bookmarkEnd w:id="545"/>
      <w:bookmarkEnd w:id="546"/>
      <w:bookmarkEnd w:id="547"/>
      <w:bookmarkEnd w:id="548"/>
      <w:bookmarkEnd w:id="549"/>
      <w:bookmarkEnd w:id="550"/>
      <w:bookmarkEnd w:id="551"/>
      <w:bookmarkEnd w:id="552"/>
      <w:bookmarkStart w:id="556" w:name="_Toc102860415"/>
      <w:bookmarkStart w:id="557" w:name="_Toc94107206"/>
      <w:bookmarkStart w:id="558" w:name="_Toc104991872"/>
      <w:bookmarkStart w:id="559" w:name="_Toc142508366"/>
      <w:bookmarkStart w:id="560" w:name="_Toc102860071"/>
      <w:bookmarkStart w:id="561" w:name="_Toc140596925"/>
      <w:r>
        <w:rPr>
          <w:rFonts w:hint="eastAsia" w:ascii="宋体" w:hAnsi="宋体" w:eastAsia="宋体" w:cs="宋体"/>
          <w:b/>
          <w:color w:val="auto"/>
          <w:kern w:val="0"/>
          <w:sz w:val="32"/>
          <w:szCs w:val="32"/>
          <w:highlight w:val="none"/>
        </w:rPr>
        <w:t>、投标报价表格式</w:t>
      </w:r>
      <w:bookmarkEnd w:id="539"/>
      <w:bookmarkEnd w:id="540"/>
      <w:bookmarkEnd w:id="541"/>
      <w:bookmarkEnd w:id="542"/>
      <w:bookmarkEnd w:id="553"/>
      <w:bookmarkEnd w:id="554"/>
      <w:bookmarkEnd w:id="555"/>
      <w:bookmarkEnd w:id="556"/>
      <w:bookmarkEnd w:id="557"/>
      <w:bookmarkEnd w:id="558"/>
      <w:bookmarkEnd w:id="559"/>
      <w:bookmarkEnd w:id="560"/>
      <w:bookmarkEnd w:id="561"/>
    </w:p>
    <w:p w14:paraId="210A0D6B">
      <w:pPr>
        <w:tabs>
          <w:tab w:val="left" w:pos="567"/>
        </w:tabs>
        <w:autoSpaceDE w:val="0"/>
        <w:autoSpaceDN w:val="0"/>
        <w:adjustRightInd w:val="0"/>
        <w:spacing w:line="360" w:lineRule="auto"/>
        <w:ind w:left="711" w:hanging="711" w:hangingChars="236"/>
        <w:jc w:val="left"/>
        <w:outlineLvl w:val="2"/>
        <w:rPr>
          <w:rFonts w:hint="eastAsia" w:ascii="宋体" w:hAnsi="宋体" w:eastAsia="宋体" w:cs="宋体"/>
          <w:b/>
          <w:color w:val="auto"/>
          <w:kern w:val="0"/>
          <w:sz w:val="30"/>
          <w:szCs w:val="30"/>
          <w:highlight w:val="none"/>
        </w:rPr>
      </w:pPr>
      <w:bookmarkStart w:id="562" w:name="_Toc140596926"/>
      <w:bookmarkStart w:id="563" w:name="_Toc18589"/>
      <w:bookmarkStart w:id="564" w:name="_Toc23150"/>
      <w:bookmarkStart w:id="565" w:name="_Toc142508367"/>
      <w:bookmarkStart w:id="566" w:name="_Toc2395_WPSOffice_Level3"/>
      <w:bookmarkStart w:id="567" w:name="_Toc104991873"/>
      <w:bookmarkStart w:id="568" w:name="_Toc1105"/>
      <w:bookmarkStart w:id="569" w:name="_Toc94107207"/>
      <w:bookmarkStart w:id="570" w:name="_Toc102860072"/>
      <w:bookmarkStart w:id="571" w:name="_Toc102860416"/>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562"/>
      <w:bookmarkEnd w:id="563"/>
      <w:bookmarkEnd w:id="564"/>
      <w:bookmarkEnd w:id="565"/>
      <w:bookmarkEnd w:id="566"/>
      <w:bookmarkEnd w:id="567"/>
      <w:bookmarkEnd w:id="568"/>
      <w:bookmarkEnd w:id="569"/>
      <w:bookmarkEnd w:id="570"/>
      <w:bookmarkEnd w:id="571"/>
    </w:p>
    <w:p w14:paraId="5FAAFDF8">
      <w:pPr>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5A9B7EBB">
      <w:pPr>
        <w:spacing w:line="360"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rPr>
        <w:t>东莞市水务集团有限公司2025年度液态次氯酸钠采购项目</w:t>
      </w:r>
    </w:p>
    <w:p w14:paraId="4E9D03F2">
      <w:pPr>
        <w:spacing w:line="360" w:lineRule="auto"/>
        <w:rPr>
          <w:rFonts w:hint="eastAsia"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rPr>
        <w:t>YDZB25DGQY0005</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352"/>
        <w:gridCol w:w="1352"/>
        <w:gridCol w:w="806"/>
        <w:gridCol w:w="983"/>
        <w:gridCol w:w="728"/>
        <w:gridCol w:w="1146"/>
        <w:gridCol w:w="1978"/>
        <w:gridCol w:w="1851"/>
      </w:tblGrid>
      <w:tr w14:paraId="37D3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68" w:hRule="atLeast"/>
          <w:jc w:val="center"/>
        </w:trPr>
        <w:tc>
          <w:tcPr>
            <w:tcW w:w="663" w:type="pct"/>
            <w:tcBorders>
              <w:top w:val="single" w:color="auto" w:sz="4" w:space="0"/>
              <w:left w:val="single" w:color="auto" w:sz="4" w:space="0"/>
              <w:bottom w:val="single" w:color="auto" w:sz="4" w:space="0"/>
              <w:right w:val="single" w:color="auto" w:sz="4" w:space="0"/>
            </w:tcBorders>
            <w:vAlign w:val="center"/>
          </w:tcPr>
          <w:p w14:paraId="6E2A68C2">
            <w:pPr>
              <w:pStyle w:val="21"/>
              <w:snapToGrid w:val="0"/>
              <w:spacing w:line="400" w:lineRule="exact"/>
              <w:jc w:val="center"/>
              <w:rPr>
                <w:rFonts w:hint="eastAsia" w:hAnsi="宋体" w:cs="宋体"/>
                <w:b/>
                <w:color w:val="auto"/>
                <w:szCs w:val="21"/>
                <w:highlight w:val="none"/>
              </w:rPr>
            </w:pPr>
            <w:r>
              <w:rPr>
                <w:rFonts w:hint="eastAsia" w:hAnsi="宋体" w:cs="宋体"/>
                <w:b/>
                <w:color w:val="auto"/>
                <w:szCs w:val="21"/>
                <w:highlight w:val="none"/>
              </w:rPr>
              <w:t>货物名称</w:t>
            </w:r>
          </w:p>
        </w:tc>
        <w:tc>
          <w:tcPr>
            <w:tcW w:w="663" w:type="pct"/>
            <w:tcBorders>
              <w:top w:val="single" w:color="auto" w:sz="4" w:space="0"/>
              <w:left w:val="single" w:color="auto" w:sz="4" w:space="0"/>
              <w:bottom w:val="single" w:color="auto" w:sz="4" w:space="0"/>
              <w:right w:val="single" w:color="auto" w:sz="4" w:space="0"/>
            </w:tcBorders>
            <w:vAlign w:val="center"/>
          </w:tcPr>
          <w:p w14:paraId="337AA497">
            <w:pPr>
              <w:pStyle w:val="21"/>
              <w:snapToGrid w:val="0"/>
              <w:spacing w:line="400" w:lineRule="exact"/>
              <w:jc w:val="center"/>
              <w:rPr>
                <w:rFonts w:hint="eastAsia" w:hAnsi="宋体" w:cs="宋体"/>
                <w:b/>
                <w:color w:val="auto"/>
                <w:szCs w:val="21"/>
                <w:highlight w:val="none"/>
              </w:rPr>
            </w:pPr>
            <w:r>
              <w:rPr>
                <w:rFonts w:hint="eastAsia" w:hAnsi="宋体" w:cs="宋体"/>
                <w:b/>
                <w:color w:val="auto"/>
                <w:szCs w:val="21"/>
                <w:highlight w:val="none"/>
              </w:rPr>
              <w:t>供应公司</w:t>
            </w:r>
          </w:p>
        </w:tc>
        <w:tc>
          <w:tcPr>
            <w:tcW w:w="395" w:type="pct"/>
            <w:tcBorders>
              <w:top w:val="single" w:color="auto" w:sz="4" w:space="0"/>
              <w:left w:val="single" w:color="auto" w:sz="4" w:space="0"/>
              <w:bottom w:val="single" w:color="auto" w:sz="4" w:space="0"/>
              <w:right w:val="single" w:color="auto" w:sz="4" w:space="0"/>
            </w:tcBorders>
            <w:vAlign w:val="center"/>
          </w:tcPr>
          <w:p w14:paraId="203A7028">
            <w:pPr>
              <w:pStyle w:val="21"/>
              <w:snapToGrid w:val="0"/>
              <w:spacing w:line="400" w:lineRule="exact"/>
              <w:jc w:val="center"/>
              <w:rPr>
                <w:rFonts w:hint="eastAsia" w:hAnsi="宋体" w:cs="宋体"/>
                <w:b/>
                <w:color w:val="auto"/>
                <w:szCs w:val="21"/>
                <w:highlight w:val="none"/>
              </w:rPr>
            </w:pPr>
            <w:r>
              <w:rPr>
                <w:rFonts w:hint="eastAsia" w:hAnsi="宋体" w:cs="宋体"/>
                <w:b/>
                <w:color w:val="auto"/>
                <w:szCs w:val="21"/>
                <w:highlight w:val="none"/>
              </w:rPr>
              <w:t>品牌</w:t>
            </w:r>
          </w:p>
        </w:tc>
        <w:tc>
          <w:tcPr>
            <w:tcW w:w="482" w:type="pct"/>
            <w:tcBorders>
              <w:top w:val="single" w:color="auto" w:sz="4" w:space="0"/>
              <w:left w:val="single" w:color="auto" w:sz="4" w:space="0"/>
              <w:bottom w:val="single" w:color="auto" w:sz="4" w:space="0"/>
              <w:right w:val="single" w:color="auto" w:sz="4" w:space="0"/>
            </w:tcBorders>
            <w:vAlign w:val="center"/>
          </w:tcPr>
          <w:p w14:paraId="16D09122">
            <w:pPr>
              <w:pStyle w:val="21"/>
              <w:snapToGrid w:val="0"/>
              <w:spacing w:line="400" w:lineRule="exact"/>
              <w:jc w:val="center"/>
              <w:rPr>
                <w:rFonts w:hint="eastAsia" w:hAnsi="宋体" w:cs="宋体"/>
                <w:b/>
                <w:color w:val="auto"/>
                <w:szCs w:val="21"/>
                <w:highlight w:val="none"/>
              </w:rPr>
            </w:pPr>
            <w:r>
              <w:rPr>
                <w:rFonts w:hint="eastAsia" w:hAnsi="宋体" w:cs="宋体"/>
                <w:b/>
                <w:color w:val="auto"/>
                <w:szCs w:val="21"/>
                <w:highlight w:val="none"/>
              </w:rPr>
              <w:t>产地</w:t>
            </w:r>
          </w:p>
        </w:tc>
        <w:tc>
          <w:tcPr>
            <w:tcW w:w="357" w:type="pct"/>
            <w:tcBorders>
              <w:top w:val="single" w:color="auto" w:sz="4" w:space="0"/>
              <w:left w:val="single" w:color="auto" w:sz="4" w:space="0"/>
              <w:bottom w:val="single" w:color="auto" w:sz="4" w:space="0"/>
              <w:right w:val="single" w:color="auto" w:sz="4" w:space="0"/>
            </w:tcBorders>
            <w:vAlign w:val="center"/>
          </w:tcPr>
          <w:p w14:paraId="7E14026F">
            <w:pPr>
              <w:pStyle w:val="21"/>
              <w:snapToGrid w:val="0"/>
              <w:spacing w:line="400" w:lineRule="exact"/>
              <w:jc w:val="center"/>
              <w:rPr>
                <w:rFonts w:hint="eastAsia" w:hAnsi="宋体" w:cs="宋体"/>
                <w:b/>
                <w:color w:val="auto"/>
                <w:szCs w:val="21"/>
                <w:highlight w:val="none"/>
              </w:rPr>
            </w:pPr>
            <w:r>
              <w:rPr>
                <w:rFonts w:hint="eastAsia" w:hAnsi="宋体" w:cs="宋体"/>
                <w:b/>
                <w:color w:val="auto"/>
                <w:szCs w:val="21"/>
                <w:highlight w:val="none"/>
              </w:rPr>
              <w:t>单位</w:t>
            </w:r>
          </w:p>
        </w:tc>
        <w:tc>
          <w:tcPr>
            <w:tcW w:w="562" w:type="pct"/>
            <w:tcBorders>
              <w:top w:val="single" w:color="auto" w:sz="4" w:space="0"/>
              <w:left w:val="single" w:color="auto" w:sz="4" w:space="0"/>
              <w:bottom w:val="single" w:color="auto" w:sz="4" w:space="0"/>
              <w:right w:val="single" w:color="auto" w:sz="4" w:space="0"/>
            </w:tcBorders>
            <w:vAlign w:val="center"/>
          </w:tcPr>
          <w:p w14:paraId="55AD9C6C">
            <w:pPr>
              <w:pStyle w:val="21"/>
              <w:snapToGrid w:val="0"/>
              <w:spacing w:line="400" w:lineRule="exact"/>
              <w:jc w:val="center"/>
              <w:rPr>
                <w:rFonts w:hint="eastAsia" w:hAnsi="宋体" w:cs="宋体"/>
                <w:b/>
                <w:color w:val="auto"/>
                <w:szCs w:val="21"/>
                <w:highlight w:val="none"/>
              </w:rPr>
            </w:pPr>
            <w:r>
              <w:rPr>
                <w:rFonts w:hint="eastAsia" w:hAnsi="宋体" w:cs="宋体"/>
                <w:b/>
                <w:color w:val="auto"/>
                <w:szCs w:val="21"/>
                <w:highlight w:val="none"/>
              </w:rPr>
              <w:t>暂定采购数量</w:t>
            </w:r>
          </w:p>
        </w:tc>
        <w:tc>
          <w:tcPr>
            <w:tcW w:w="968" w:type="pct"/>
            <w:tcBorders>
              <w:top w:val="single" w:color="auto" w:sz="4" w:space="0"/>
              <w:left w:val="single" w:color="auto" w:sz="4" w:space="0"/>
              <w:bottom w:val="single" w:color="auto" w:sz="4" w:space="0"/>
              <w:right w:val="single" w:color="auto" w:sz="4" w:space="0"/>
            </w:tcBorders>
            <w:vAlign w:val="center"/>
          </w:tcPr>
          <w:p w14:paraId="6E4D6C3C">
            <w:pPr>
              <w:pStyle w:val="21"/>
              <w:snapToGrid w:val="0"/>
              <w:spacing w:line="400" w:lineRule="exact"/>
              <w:jc w:val="center"/>
              <w:rPr>
                <w:rFonts w:hint="eastAsia" w:hAnsi="宋体" w:cs="宋体"/>
                <w:b/>
                <w:color w:val="auto"/>
                <w:szCs w:val="21"/>
                <w:highlight w:val="none"/>
              </w:rPr>
            </w:pPr>
            <w:r>
              <w:rPr>
                <w:rFonts w:hint="eastAsia" w:hAnsi="宋体" w:cs="宋体"/>
                <w:b/>
                <w:color w:val="auto"/>
                <w:szCs w:val="21"/>
                <w:highlight w:val="none"/>
              </w:rPr>
              <w:t>综合单价（元/吨）</w:t>
            </w:r>
          </w:p>
          <w:p w14:paraId="2A5AB381">
            <w:pPr>
              <w:pStyle w:val="21"/>
              <w:snapToGrid w:val="0"/>
              <w:spacing w:line="400" w:lineRule="exact"/>
              <w:jc w:val="center"/>
              <w:rPr>
                <w:rFonts w:hint="eastAsia" w:hAnsi="宋体" w:cs="宋体"/>
                <w:b/>
                <w:color w:val="auto"/>
                <w:szCs w:val="21"/>
                <w:highlight w:val="none"/>
              </w:rPr>
            </w:pPr>
            <w:r>
              <w:rPr>
                <w:rFonts w:hint="eastAsia" w:hAnsi="宋体" w:cs="宋体"/>
                <w:b/>
                <w:color w:val="auto"/>
                <w:szCs w:val="21"/>
                <w:highlight w:val="none"/>
              </w:rPr>
              <w:t xml:space="preserve">（不含销项税） </w:t>
            </w:r>
          </w:p>
        </w:tc>
        <w:tc>
          <w:tcPr>
            <w:tcW w:w="907" w:type="pct"/>
            <w:tcBorders>
              <w:top w:val="single" w:color="auto" w:sz="4" w:space="0"/>
              <w:left w:val="single" w:color="auto" w:sz="4" w:space="0"/>
              <w:bottom w:val="single" w:color="auto" w:sz="4" w:space="0"/>
              <w:right w:val="single" w:color="auto" w:sz="4" w:space="0"/>
            </w:tcBorders>
            <w:vAlign w:val="center"/>
          </w:tcPr>
          <w:p w14:paraId="37D84070">
            <w:pPr>
              <w:pStyle w:val="21"/>
              <w:snapToGrid w:val="0"/>
              <w:spacing w:line="400" w:lineRule="exact"/>
              <w:jc w:val="center"/>
              <w:rPr>
                <w:rFonts w:hint="eastAsia" w:hAnsi="宋体" w:cs="宋体"/>
                <w:b/>
                <w:color w:val="auto"/>
                <w:szCs w:val="21"/>
                <w:highlight w:val="none"/>
              </w:rPr>
            </w:pPr>
            <w:r>
              <w:rPr>
                <w:rFonts w:hint="eastAsia" w:hAnsi="宋体" w:cs="宋体"/>
                <w:b/>
                <w:color w:val="auto"/>
                <w:szCs w:val="21"/>
                <w:highlight w:val="none"/>
              </w:rPr>
              <w:t>投标报价（元，总价）</w:t>
            </w:r>
          </w:p>
          <w:p w14:paraId="7F5953E9">
            <w:pPr>
              <w:pStyle w:val="21"/>
              <w:snapToGrid w:val="0"/>
              <w:spacing w:line="400" w:lineRule="exact"/>
              <w:jc w:val="center"/>
              <w:rPr>
                <w:rFonts w:hint="eastAsia" w:hAnsi="宋体" w:cs="宋体"/>
                <w:b/>
                <w:color w:val="auto"/>
                <w:szCs w:val="21"/>
                <w:highlight w:val="none"/>
              </w:rPr>
            </w:pPr>
            <w:r>
              <w:rPr>
                <w:rFonts w:hint="eastAsia" w:hAnsi="宋体" w:cs="宋体"/>
                <w:b/>
                <w:color w:val="auto"/>
                <w:szCs w:val="21"/>
                <w:highlight w:val="none"/>
              </w:rPr>
              <w:t>（不含销项税）</w:t>
            </w:r>
          </w:p>
        </w:tc>
      </w:tr>
      <w:tr w14:paraId="4541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9" w:hRule="atLeast"/>
          <w:jc w:val="center"/>
        </w:trPr>
        <w:tc>
          <w:tcPr>
            <w:tcW w:w="663" w:type="pct"/>
            <w:vMerge w:val="restart"/>
            <w:tcBorders>
              <w:top w:val="single" w:color="auto" w:sz="4" w:space="0"/>
              <w:left w:val="single" w:color="auto" w:sz="4" w:space="0"/>
              <w:right w:val="single" w:color="auto" w:sz="4" w:space="0"/>
            </w:tcBorders>
            <w:vAlign w:val="center"/>
          </w:tcPr>
          <w:p w14:paraId="2C9AC5EE">
            <w:pPr>
              <w:pStyle w:val="21"/>
              <w:snapToGrid w:val="0"/>
              <w:spacing w:line="400" w:lineRule="exact"/>
              <w:jc w:val="center"/>
              <w:rPr>
                <w:rFonts w:hint="eastAsia" w:hAnsi="宋体" w:cs="宋体"/>
                <w:color w:val="auto"/>
                <w:szCs w:val="21"/>
                <w:highlight w:val="none"/>
              </w:rPr>
            </w:pPr>
            <w:r>
              <w:rPr>
                <w:rFonts w:hint="eastAsia" w:hAnsi="宋体" w:cs="宋体"/>
                <w:color w:val="auto"/>
                <w:kern w:val="0"/>
                <w:szCs w:val="21"/>
                <w:highlight w:val="none"/>
                <w:u w:val="single"/>
              </w:rPr>
              <w:t>液态次氯酸钠</w:t>
            </w:r>
          </w:p>
        </w:tc>
        <w:tc>
          <w:tcPr>
            <w:tcW w:w="663" w:type="pct"/>
            <w:tcBorders>
              <w:top w:val="single" w:color="auto" w:sz="4" w:space="0"/>
              <w:left w:val="single" w:color="auto" w:sz="4" w:space="0"/>
              <w:bottom w:val="single" w:color="auto" w:sz="4" w:space="0"/>
              <w:right w:val="single" w:color="auto" w:sz="4" w:space="0"/>
            </w:tcBorders>
            <w:vAlign w:val="center"/>
          </w:tcPr>
          <w:p w14:paraId="4DC40BC1">
            <w:pPr>
              <w:pStyle w:val="21"/>
              <w:snapToGrid w:val="0"/>
              <w:spacing w:line="400" w:lineRule="exact"/>
              <w:jc w:val="center"/>
              <w:rPr>
                <w:rFonts w:hint="eastAsia" w:hAnsi="宋体" w:cs="宋体"/>
                <w:color w:val="auto"/>
                <w:szCs w:val="21"/>
                <w:highlight w:val="none"/>
              </w:rPr>
            </w:pPr>
            <w:r>
              <w:rPr>
                <w:rFonts w:hint="eastAsia" w:hAnsi="宋体" w:cs="宋体"/>
                <w:color w:val="auto"/>
                <w:szCs w:val="21"/>
                <w:highlight w:val="none"/>
              </w:rPr>
              <w:t>供水公司</w:t>
            </w:r>
          </w:p>
        </w:tc>
        <w:tc>
          <w:tcPr>
            <w:tcW w:w="395" w:type="pct"/>
            <w:vMerge w:val="restart"/>
            <w:tcBorders>
              <w:top w:val="single" w:color="auto" w:sz="4" w:space="0"/>
              <w:left w:val="single" w:color="auto" w:sz="4" w:space="0"/>
              <w:right w:val="single" w:color="auto" w:sz="4" w:space="0"/>
            </w:tcBorders>
            <w:vAlign w:val="center"/>
          </w:tcPr>
          <w:p w14:paraId="686F1034">
            <w:pPr>
              <w:pStyle w:val="21"/>
              <w:snapToGrid w:val="0"/>
              <w:spacing w:line="400" w:lineRule="exact"/>
              <w:jc w:val="center"/>
              <w:rPr>
                <w:rFonts w:hint="eastAsia" w:hAnsi="宋体" w:cs="宋体"/>
                <w:color w:val="auto"/>
                <w:szCs w:val="21"/>
                <w:highlight w:val="none"/>
              </w:rPr>
            </w:pPr>
          </w:p>
        </w:tc>
        <w:tc>
          <w:tcPr>
            <w:tcW w:w="482" w:type="pct"/>
            <w:vMerge w:val="restart"/>
            <w:tcBorders>
              <w:top w:val="single" w:color="auto" w:sz="4" w:space="0"/>
              <w:left w:val="single" w:color="auto" w:sz="4" w:space="0"/>
              <w:right w:val="single" w:color="auto" w:sz="4" w:space="0"/>
            </w:tcBorders>
            <w:vAlign w:val="center"/>
          </w:tcPr>
          <w:p w14:paraId="51FAEA97">
            <w:pPr>
              <w:pStyle w:val="21"/>
              <w:snapToGrid w:val="0"/>
              <w:spacing w:line="400" w:lineRule="exact"/>
              <w:jc w:val="center"/>
              <w:rPr>
                <w:rFonts w:hint="eastAsia" w:hAnsi="宋体" w:cs="宋体"/>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6862DFA">
            <w:pPr>
              <w:pStyle w:val="21"/>
              <w:snapToGrid w:val="0"/>
              <w:spacing w:line="400" w:lineRule="exact"/>
              <w:jc w:val="center"/>
              <w:rPr>
                <w:rFonts w:hint="eastAsia" w:hAnsi="宋体" w:cs="宋体"/>
                <w:color w:val="auto"/>
                <w:szCs w:val="21"/>
                <w:highlight w:val="none"/>
              </w:rPr>
            </w:pPr>
            <w:r>
              <w:rPr>
                <w:rFonts w:hint="eastAsia" w:hAnsi="宋体" w:cs="宋体"/>
                <w:color w:val="auto"/>
                <w:szCs w:val="21"/>
                <w:highlight w:val="none"/>
              </w:rPr>
              <w:t>吨</w:t>
            </w:r>
          </w:p>
        </w:tc>
        <w:tc>
          <w:tcPr>
            <w:tcW w:w="562" w:type="pct"/>
            <w:tcBorders>
              <w:top w:val="single" w:color="auto" w:sz="4" w:space="0"/>
              <w:left w:val="single" w:color="auto" w:sz="4" w:space="0"/>
              <w:bottom w:val="single" w:color="auto" w:sz="4" w:space="0"/>
              <w:right w:val="single" w:color="auto" w:sz="4" w:space="0"/>
            </w:tcBorders>
            <w:vAlign w:val="center"/>
          </w:tcPr>
          <w:p w14:paraId="28E1A691">
            <w:pPr>
              <w:pStyle w:val="21"/>
              <w:snapToGrid w:val="0"/>
              <w:spacing w:line="400" w:lineRule="exact"/>
              <w:jc w:val="center"/>
              <w:rPr>
                <w:rFonts w:hint="eastAsia" w:hAnsi="宋体" w:cs="宋体"/>
                <w:color w:val="auto"/>
                <w:szCs w:val="21"/>
                <w:highlight w:val="none"/>
              </w:rPr>
            </w:pPr>
            <w:r>
              <w:rPr>
                <w:rFonts w:ascii="宋体" w:hAnsi="宋体" w:cs="宋体"/>
                <w:color w:val="auto"/>
                <w:szCs w:val="21"/>
                <w:highlight w:val="none"/>
              </w:rPr>
              <w:t>33650</w:t>
            </w:r>
          </w:p>
        </w:tc>
        <w:tc>
          <w:tcPr>
            <w:tcW w:w="968" w:type="pct"/>
            <w:tcBorders>
              <w:top w:val="single" w:color="auto" w:sz="4" w:space="0"/>
              <w:left w:val="single" w:color="auto" w:sz="4" w:space="0"/>
              <w:bottom w:val="single" w:color="auto" w:sz="4" w:space="0"/>
              <w:right w:val="single" w:color="auto" w:sz="4" w:space="0"/>
            </w:tcBorders>
            <w:vAlign w:val="center"/>
          </w:tcPr>
          <w:p w14:paraId="076550E9">
            <w:pPr>
              <w:pStyle w:val="21"/>
              <w:snapToGrid w:val="0"/>
              <w:spacing w:line="400" w:lineRule="exact"/>
              <w:jc w:val="center"/>
              <w:rPr>
                <w:rFonts w:hint="eastAsia" w:hAnsi="宋体" w:cs="宋体"/>
                <w:color w:val="auto"/>
                <w:szCs w:val="21"/>
                <w:highlight w:val="none"/>
              </w:rPr>
            </w:pPr>
          </w:p>
        </w:tc>
        <w:tc>
          <w:tcPr>
            <w:tcW w:w="907" w:type="pct"/>
            <w:tcBorders>
              <w:top w:val="single" w:color="auto" w:sz="4" w:space="0"/>
              <w:left w:val="single" w:color="auto" w:sz="4" w:space="0"/>
              <w:bottom w:val="single" w:color="auto" w:sz="4" w:space="0"/>
              <w:right w:val="single" w:color="auto" w:sz="4" w:space="0"/>
            </w:tcBorders>
            <w:vAlign w:val="center"/>
          </w:tcPr>
          <w:p w14:paraId="0B6C2EE9">
            <w:pPr>
              <w:pStyle w:val="21"/>
              <w:snapToGrid w:val="0"/>
              <w:spacing w:line="400" w:lineRule="exact"/>
              <w:jc w:val="center"/>
              <w:rPr>
                <w:rFonts w:hint="eastAsia" w:hAnsi="宋体" w:cs="宋体"/>
                <w:color w:val="auto"/>
                <w:szCs w:val="21"/>
                <w:highlight w:val="none"/>
              </w:rPr>
            </w:pPr>
          </w:p>
        </w:tc>
      </w:tr>
      <w:tr w14:paraId="27D5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9" w:hRule="atLeast"/>
          <w:jc w:val="center"/>
        </w:trPr>
        <w:tc>
          <w:tcPr>
            <w:tcW w:w="663" w:type="pct"/>
            <w:vMerge w:val="continue"/>
            <w:tcBorders>
              <w:left w:val="single" w:color="auto" w:sz="4" w:space="0"/>
              <w:bottom w:val="single" w:color="auto" w:sz="4" w:space="0"/>
              <w:right w:val="single" w:color="auto" w:sz="4" w:space="0"/>
            </w:tcBorders>
            <w:vAlign w:val="center"/>
          </w:tcPr>
          <w:p w14:paraId="0ECA15BA">
            <w:pPr>
              <w:pStyle w:val="21"/>
              <w:snapToGrid w:val="0"/>
              <w:spacing w:line="400" w:lineRule="exact"/>
              <w:jc w:val="center"/>
              <w:rPr>
                <w:rFonts w:hint="eastAsia" w:hAnsi="宋体" w:cs="宋体"/>
                <w:color w:val="auto"/>
                <w:szCs w:val="21"/>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14:paraId="27BC4804">
            <w:pPr>
              <w:pStyle w:val="21"/>
              <w:snapToGrid w:val="0"/>
              <w:spacing w:line="400" w:lineRule="exact"/>
              <w:jc w:val="center"/>
              <w:rPr>
                <w:rFonts w:hint="eastAsia" w:hAnsi="宋体" w:cs="宋体"/>
                <w:color w:val="auto"/>
                <w:szCs w:val="21"/>
                <w:highlight w:val="none"/>
              </w:rPr>
            </w:pPr>
            <w:r>
              <w:rPr>
                <w:rFonts w:hint="eastAsia" w:hAnsi="宋体" w:cs="宋体"/>
                <w:color w:val="auto"/>
                <w:szCs w:val="21"/>
                <w:highlight w:val="none"/>
              </w:rPr>
              <w:t>净水公司</w:t>
            </w:r>
          </w:p>
        </w:tc>
        <w:tc>
          <w:tcPr>
            <w:tcW w:w="395" w:type="pct"/>
            <w:vMerge w:val="continue"/>
            <w:tcBorders>
              <w:left w:val="single" w:color="auto" w:sz="4" w:space="0"/>
              <w:bottom w:val="single" w:color="auto" w:sz="4" w:space="0"/>
              <w:right w:val="single" w:color="auto" w:sz="4" w:space="0"/>
            </w:tcBorders>
            <w:vAlign w:val="center"/>
          </w:tcPr>
          <w:p w14:paraId="11176E58">
            <w:pPr>
              <w:pStyle w:val="21"/>
              <w:snapToGrid w:val="0"/>
              <w:spacing w:line="400" w:lineRule="exact"/>
              <w:jc w:val="center"/>
              <w:rPr>
                <w:rFonts w:hint="eastAsia" w:hAnsi="宋体" w:cs="宋体"/>
                <w:color w:val="auto"/>
                <w:szCs w:val="21"/>
                <w:highlight w:val="none"/>
              </w:rPr>
            </w:pPr>
          </w:p>
        </w:tc>
        <w:tc>
          <w:tcPr>
            <w:tcW w:w="482" w:type="pct"/>
            <w:vMerge w:val="continue"/>
            <w:tcBorders>
              <w:left w:val="single" w:color="auto" w:sz="4" w:space="0"/>
              <w:bottom w:val="single" w:color="auto" w:sz="4" w:space="0"/>
              <w:right w:val="single" w:color="auto" w:sz="4" w:space="0"/>
            </w:tcBorders>
            <w:vAlign w:val="center"/>
          </w:tcPr>
          <w:p w14:paraId="134FB59D">
            <w:pPr>
              <w:pStyle w:val="21"/>
              <w:snapToGrid w:val="0"/>
              <w:spacing w:line="400" w:lineRule="exact"/>
              <w:jc w:val="center"/>
              <w:rPr>
                <w:rFonts w:hint="eastAsia" w:hAnsi="宋体" w:cs="宋体"/>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49EC031">
            <w:pPr>
              <w:pStyle w:val="21"/>
              <w:snapToGrid w:val="0"/>
              <w:spacing w:line="400" w:lineRule="exact"/>
              <w:jc w:val="center"/>
              <w:rPr>
                <w:rFonts w:hint="eastAsia" w:hAnsi="宋体" w:cs="宋体"/>
                <w:color w:val="auto"/>
                <w:szCs w:val="21"/>
                <w:highlight w:val="none"/>
              </w:rPr>
            </w:pPr>
            <w:r>
              <w:rPr>
                <w:rFonts w:hint="eastAsia" w:hAnsi="宋体" w:cs="宋体"/>
                <w:color w:val="auto"/>
                <w:szCs w:val="21"/>
                <w:highlight w:val="none"/>
              </w:rPr>
              <w:t>吨</w:t>
            </w:r>
          </w:p>
        </w:tc>
        <w:tc>
          <w:tcPr>
            <w:tcW w:w="562" w:type="pct"/>
            <w:tcBorders>
              <w:top w:val="single" w:color="auto" w:sz="4" w:space="0"/>
              <w:left w:val="single" w:color="auto" w:sz="4" w:space="0"/>
              <w:bottom w:val="single" w:color="auto" w:sz="4" w:space="0"/>
              <w:right w:val="single" w:color="auto" w:sz="4" w:space="0"/>
            </w:tcBorders>
            <w:vAlign w:val="center"/>
          </w:tcPr>
          <w:p w14:paraId="3E6CFEEE">
            <w:pPr>
              <w:pStyle w:val="21"/>
              <w:snapToGrid w:val="0"/>
              <w:spacing w:line="400" w:lineRule="exact"/>
              <w:jc w:val="center"/>
              <w:rPr>
                <w:rFonts w:hint="eastAsia" w:hAnsi="宋体" w:cs="宋体"/>
                <w:color w:val="auto"/>
                <w:szCs w:val="21"/>
                <w:highlight w:val="none"/>
              </w:rPr>
            </w:pPr>
            <w:r>
              <w:rPr>
                <w:rFonts w:ascii="宋体" w:hAnsi="宋体" w:cs="宋体"/>
                <w:color w:val="auto"/>
                <w:szCs w:val="21"/>
                <w:highlight w:val="none"/>
              </w:rPr>
              <w:t>4850</w:t>
            </w:r>
          </w:p>
        </w:tc>
        <w:tc>
          <w:tcPr>
            <w:tcW w:w="968" w:type="pct"/>
            <w:tcBorders>
              <w:top w:val="single" w:color="auto" w:sz="4" w:space="0"/>
              <w:left w:val="single" w:color="auto" w:sz="4" w:space="0"/>
              <w:bottom w:val="single" w:color="auto" w:sz="4" w:space="0"/>
              <w:right w:val="single" w:color="auto" w:sz="4" w:space="0"/>
            </w:tcBorders>
            <w:vAlign w:val="center"/>
          </w:tcPr>
          <w:p w14:paraId="456768E4">
            <w:pPr>
              <w:pStyle w:val="21"/>
              <w:snapToGrid w:val="0"/>
              <w:spacing w:line="400" w:lineRule="exact"/>
              <w:jc w:val="center"/>
              <w:rPr>
                <w:rFonts w:hint="eastAsia" w:hAnsi="宋体" w:cs="宋体"/>
                <w:color w:val="auto"/>
                <w:szCs w:val="21"/>
                <w:highlight w:val="none"/>
              </w:rPr>
            </w:pPr>
          </w:p>
        </w:tc>
        <w:tc>
          <w:tcPr>
            <w:tcW w:w="907" w:type="pct"/>
            <w:tcBorders>
              <w:top w:val="single" w:color="auto" w:sz="4" w:space="0"/>
              <w:left w:val="single" w:color="auto" w:sz="4" w:space="0"/>
              <w:bottom w:val="single" w:color="auto" w:sz="4" w:space="0"/>
              <w:right w:val="single" w:color="auto" w:sz="4" w:space="0"/>
            </w:tcBorders>
            <w:vAlign w:val="center"/>
          </w:tcPr>
          <w:p w14:paraId="1C7051E4">
            <w:pPr>
              <w:pStyle w:val="21"/>
              <w:snapToGrid w:val="0"/>
              <w:spacing w:line="400" w:lineRule="exact"/>
              <w:jc w:val="center"/>
              <w:rPr>
                <w:rFonts w:hint="eastAsia" w:hAnsi="宋体" w:cs="宋体"/>
                <w:color w:val="auto"/>
                <w:szCs w:val="21"/>
                <w:highlight w:val="none"/>
              </w:rPr>
            </w:pPr>
          </w:p>
        </w:tc>
      </w:tr>
      <w:tr w14:paraId="2AC3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9" w:hRule="atLeast"/>
          <w:jc w:val="center"/>
        </w:trPr>
        <w:tc>
          <w:tcPr>
            <w:tcW w:w="4092" w:type="pct"/>
            <w:gridSpan w:val="7"/>
            <w:tcBorders>
              <w:top w:val="single" w:color="auto" w:sz="4" w:space="0"/>
              <w:left w:val="single" w:color="auto" w:sz="4" w:space="0"/>
              <w:bottom w:val="single" w:color="auto" w:sz="4" w:space="0"/>
              <w:right w:val="single" w:color="auto" w:sz="4" w:space="0"/>
            </w:tcBorders>
            <w:vAlign w:val="center"/>
          </w:tcPr>
          <w:p w14:paraId="20E807EF">
            <w:pPr>
              <w:pStyle w:val="21"/>
              <w:snapToGrid w:val="0"/>
              <w:spacing w:line="400" w:lineRule="exact"/>
              <w:jc w:val="center"/>
              <w:rPr>
                <w:rFonts w:hint="eastAsia" w:hAnsi="宋体" w:cs="宋体"/>
                <w:color w:val="auto"/>
                <w:szCs w:val="21"/>
                <w:highlight w:val="none"/>
              </w:rPr>
            </w:pPr>
            <w:r>
              <w:rPr>
                <w:rFonts w:hint="eastAsia" w:hAnsi="宋体" w:cs="宋体"/>
                <w:b/>
                <w:color w:val="auto"/>
                <w:kern w:val="0"/>
                <w:szCs w:val="21"/>
                <w:highlight w:val="none"/>
              </w:rPr>
              <w:t>合计（不含税，元）</w:t>
            </w:r>
          </w:p>
        </w:tc>
        <w:tc>
          <w:tcPr>
            <w:tcW w:w="907" w:type="pct"/>
            <w:tcBorders>
              <w:top w:val="single" w:color="auto" w:sz="4" w:space="0"/>
              <w:left w:val="single" w:color="auto" w:sz="4" w:space="0"/>
              <w:bottom w:val="single" w:color="auto" w:sz="4" w:space="0"/>
              <w:right w:val="single" w:color="auto" w:sz="4" w:space="0"/>
            </w:tcBorders>
            <w:vAlign w:val="center"/>
          </w:tcPr>
          <w:p w14:paraId="050144C8">
            <w:pPr>
              <w:pStyle w:val="21"/>
              <w:snapToGrid w:val="0"/>
              <w:spacing w:line="400" w:lineRule="exact"/>
              <w:jc w:val="center"/>
              <w:rPr>
                <w:rFonts w:hint="eastAsia" w:hAnsi="宋体" w:cs="宋体"/>
                <w:color w:val="auto"/>
                <w:szCs w:val="21"/>
                <w:highlight w:val="none"/>
              </w:rPr>
            </w:pPr>
          </w:p>
        </w:tc>
      </w:tr>
    </w:tbl>
    <w:p w14:paraId="05D8426C">
      <w:pPr>
        <w:rPr>
          <w:rFonts w:hint="eastAsia" w:ascii="宋体" w:hAnsi="宋体" w:eastAsia="宋体" w:cs="宋体"/>
          <w:color w:val="auto"/>
          <w:kern w:val="0"/>
          <w:sz w:val="20"/>
          <w:szCs w:val="21"/>
          <w:highlight w:val="none"/>
        </w:rPr>
      </w:pPr>
    </w:p>
    <w:p w14:paraId="16CE25DC">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25822B5">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。本招标文件所称的不含税价是指不含本采购项目的投标人销项税额，包含了投标人完成合同义务（含投标人代缴代扣、分包及委外服务、生产运输、采购货物等所产生的价税）的其他全部费用。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48AA669C">
      <w:pPr>
        <w:autoSpaceDE w:val="0"/>
        <w:autoSpaceDN w:val="0"/>
        <w:adjustRightInd w:val="0"/>
        <w:snapToGrid w:val="0"/>
        <w:spacing w:line="360" w:lineRule="auto"/>
        <w:ind w:left="607" w:leftChars="18" w:hanging="569" w:hangingChars="270"/>
        <w:jc w:val="left"/>
        <w:rPr>
          <w:rFonts w:hint="eastAsia"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w:t>
      </w:r>
      <w:r>
        <w:rPr>
          <w:rFonts w:hint="eastAsia" w:ascii="宋体" w:hAnsi="宋体" w:eastAsia="宋体" w:cs="宋体"/>
          <w:b/>
          <w:color w:val="auto"/>
          <w:szCs w:val="21"/>
          <w:highlight w:val="none"/>
          <w:u w:val="single"/>
          <w:lang w:val="zh-CN"/>
        </w:rPr>
        <w:t>投</w:t>
      </w:r>
      <w:r>
        <w:rPr>
          <w:rFonts w:hint="eastAsia" w:ascii="宋体" w:hAnsi="宋体" w:eastAsia="宋体" w:cs="宋体"/>
          <w:b/>
          <w:bCs/>
          <w:color w:val="auto"/>
          <w:highlight w:val="none"/>
          <w:u w:val="single"/>
        </w:rPr>
        <w:t>标人的投标报价或综合单价高于不含税最高投标限价或不含税预算综合单价的，该投标人的投标文件将被视为无效投标</w:t>
      </w:r>
      <w:r>
        <w:rPr>
          <w:rFonts w:hint="eastAsia" w:ascii="宋体" w:hAnsi="宋体" w:eastAsia="宋体" w:cs="Times New Roman"/>
          <w:b/>
          <w:bCs/>
          <w:color w:val="auto"/>
          <w:kern w:val="0"/>
          <w:szCs w:val="21"/>
          <w:highlight w:val="none"/>
        </w:rPr>
        <w:t>。</w:t>
      </w:r>
    </w:p>
    <w:p w14:paraId="7D90722A">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w:t>
      </w:r>
      <w:r>
        <w:rPr>
          <w:rFonts w:hint="eastAsia" w:ascii="宋体" w:hAnsi="宋体" w:eastAsia="宋体" w:cs="宋体"/>
          <w:b/>
          <w:color w:val="auto"/>
          <w:szCs w:val="21"/>
          <w:highlight w:val="none"/>
          <w:u w:val="single"/>
        </w:rPr>
        <w:t>本表的投标报价为不含税综合单价乘以采购货物暂定数量的总价。</w:t>
      </w:r>
      <w:r>
        <w:rPr>
          <w:rFonts w:hint="eastAsia" w:ascii="宋体" w:hAnsi="宋体" w:eastAsia="宋体" w:cs="Times New Roman"/>
          <w:color w:val="auto"/>
          <w:kern w:val="0"/>
          <w:szCs w:val="21"/>
          <w:highlight w:val="none"/>
        </w:rPr>
        <w:t>本投标报价表内投标报价金额与按综合单价计算的总金额不一致的，以综合单价计算结果为准，综合单价金额小数点有明显错位的，应以总价为准，并修正综合单价；对不同文字文本投标文件的解释发生异议的，以中文文本为准。</w:t>
      </w:r>
    </w:p>
    <w:p w14:paraId="0F63403A">
      <w:pPr>
        <w:autoSpaceDE w:val="0"/>
        <w:autoSpaceDN w:val="0"/>
        <w:adjustRightInd w:val="0"/>
        <w:snapToGrid w:val="0"/>
        <w:spacing w:line="360" w:lineRule="auto"/>
        <w:ind w:left="605" w:leftChars="18" w:hanging="567" w:hangingChars="270"/>
        <w:jc w:val="left"/>
        <w:rPr>
          <w:rFonts w:hint="eastAsia" w:ascii="宋体" w:hAnsi="宋体" w:eastAsia="宋体" w:cs="宋体"/>
          <w:color w:val="auto"/>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宋体"/>
          <w:color w:val="auto"/>
          <w:highlight w:val="none"/>
          <w:lang w:val="zh-CN"/>
        </w:rPr>
        <w:t>上述暂定采购数量仅为方便合计投标报价使用，不作为招标人最终购买数量的保证，我方承诺不因实际采购数量的减少或增加而要求招标人提供任何形式的补偿或赔偿。</w:t>
      </w:r>
    </w:p>
    <w:p w14:paraId="3694918A">
      <w:pPr>
        <w:autoSpaceDE w:val="0"/>
        <w:autoSpaceDN w:val="0"/>
        <w:adjustRightInd w:val="0"/>
        <w:snapToGrid w:val="0"/>
        <w:spacing w:line="360" w:lineRule="auto"/>
        <w:ind w:left="605" w:leftChars="18" w:hanging="567" w:hangingChars="270"/>
        <w:jc w:val="left"/>
        <w:rPr>
          <w:rFonts w:hint="eastAsia"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（5）</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022186B9">
      <w:pPr>
        <w:autoSpaceDE w:val="0"/>
        <w:autoSpaceDN w:val="0"/>
        <w:adjustRightInd w:val="0"/>
        <w:snapToGrid w:val="0"/>
        <w:spacing w:line="360" w:lineRule="auto"/>
        <w:ind w:left="605" w:leftChars="18" w:hanging="567" w:hangingChars="270"/>
        <w:jc w:val="left"/>
        <w:rPr>
          <w:rFonts w:hint="eastAsia"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rPr>
        <w:t>6</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14:paraId="333767B8">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36B227C">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6CA1C6F">
      <w:pPr>
        <w:autoSpaceDE w:val="0"/>
        <w:autoSpaceDN w:val="0"/>
        <w:adjustRightInd w:val="0"/>
        <w:spacing w:line="360" w:lineRule="auto"/>
        <w:ind w:firstLine="4960" w:firstLineChars="2362"/>
        <w:rPr>
          <w:rFonts w:hint="eastAsia"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C827E1D">
      <w:pPr>
        <w:autoSpaceDE w:val="0"/>
        <w:autoSpaceDN w:val="0"/>
        <w:adjustRightInd w:val="0"/>
        <w:spacing w:line="360" w:lineRule="auto"/>
        <w:ind w:firstLine="5668" w:firstLineChars="2362"/>
        <w:rPr>
          <w:rFonts w:hint="eastAsia" w:ascii="宋体" w:hAnsi="宋体" w:eastAsia="宋体" w:cs="Times New Roman"/>
          <w:color w:val="auto"/>
          <w:sz w:val="24"/>
          <w:szCs w:val="24"/>
          <w:highlight w:val="none"/>
          <w:lang w:val="zh-CN"/>
        </w:rPr>
      </w:pPr>
    </w:p>
    <w:p w14:paraId="2C772082">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572" w:name="_Toc102860074"/>
      <w:bookmarkStart w:id="573" w:name="_Toc102860418"/>
      <w:bookmarkStart w:id="574" w:name="_Toc142508369"/>
      <w:bookmarkStart w:id="575" w:name="_Toc24015"/>
      <w:bookmarkStart w:id="576" w:name="_Toc94107209"/>
      <w:bookmarkStart w:id="577" w:name="_Toc140596928"/>
      <w:bookmarkStart w:id="578" w:name="_Toc8191"/>
      <w:bookmarkStart w:id="579" w:name="_Toc1977725"/>
      <w:bookmarkStart w:id="580" w:name="_Toc104991875"/>
      <w:bookmarkStart w:id="581" w:name="_Toc18828"/>
      <w:bookmarkStart w:id="582" w:name="_Toc20759_WPSOffice_Level2"/>
      <w:bookmarkStart w:id="583" w:name="_Toc486167712"/>
      <w:bookmarkStart w:id="584" w:name="_Toc533708124"/>
      <w:r>
        <w:rPr>
          <w:rFonts w:hint="eastAsia" w:ascii="宋体" w:hAnsi="宋体" w:eastAsia="宋体" w:cs="宋体"/>
          <w:b/>
          <w:bCs/>
          <w:color w:val="auto"/>
          <w:sz w:val="30"/>
          <w:szCs w:val="30"/>
          <w:highlight w:val="none"/>
        </w:rPr>
        <w:t>五</w:t>
      </w:r>
      <w:r>
        <w:rPr>
          <w:rFonts w:hint="eastAsia" w:ascii="宋体" w:hAnsi="宋体" w:eastAsia="宋体" w:cs="宋体"/>
          <w:b/>
          <w:color w:val="auto"/>
          <w:kern w:val="0"/>
          <w:sz w:val="32"/>
          <w:szCs w:val="32"/>
          <w:highlight w:val="none"/>
        </w:rPr>
        <w:t>、投标人资格证明文件</w:t>
      </w:r>
      <w:bookmarkEnd w:id="572"/>
      <w:bookmarkEnd w:id="573"/>
      <w:bookmarkEnd w:id="574"/>
      <w:bookmarkEnd w:id="575"/>
      <w:bookmarkEnd w:id="576"/>
      <w:bookmarkEnd w:id="577"/>
      <w:bookmarkEnd w:id="578"/>
      <w:bookmarkEnd w:id="579"/>
      <w:bookmarkEnd w:id="580"/>
      <w:bookmarkEnd w:id="581"/>
    </w:p>
    <w:p w14:paraId="2D1F0BD4">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585" w:name="_Toc94107210"/>
      <w:bookmarkStart w:id="586" w:name="_Toc31420"/>
      <w:bookmarkStart w:id="587" w:name="_Toc28382"/>
      <w:bookmarkStart w:id="588" w:name="_Toc102860419"/>
      <w:bookmarkStart w:id="589" w:name="_Toc104991876"/>
      <w:bookmarkStart w:id="590" w:name="_Toc102860075"/>
      <w:bookmarkStart w:id="591" w:name="_Toc140596929"/>
      <w:bookmarkStart w:id="592" w:name="_Toc142508370"/>
      <w:bookmarkStart w:id="593" w:name="_Toc10523"/>
      <w:bookmarkStart w:id="594" w:name="_Toc1977726"/>
      <w:r>
        <w:rPr>
          <w:rFonts w:hint="eastAsia" w:ascii="宋体" w:hAnsi="宋体" w:eastAsia="宋体" w:cs="宋体"/>
          <w:b/>
          <w:color w:val="auto"/>
          <w:kern w:val="0"/>
          <w:sz w:val="30"/>
          <w:szCs w:val="30"/>
          <w:highlight w:val="none"/>
        </w:rPr>
        <w:t>5.1 多证合一营业执照（或事业单位法人证书）复印件</w:t>
      </w:r>
      <w:bookmarkEnd w:id="585"/>
      <w:bookmarkEnd w:id="586"/>
      <w:bookmarkEnd w:id="587"/>
      <w:bookmarkEnd w:id="588"/>
      <w:bookmarkEnd w:id="589"/>
      <w:bookmarkEnd w:id="590"/>
      <w:bookmarkEnd w:id="591"/>
      <w:bookmarkEnd w:id="592"/>
      <w:bookmarkEnd w:id="593"/>
    </w:p>
    <w:p w14:paraId="6B3CCE5F">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17BD6465">
      <w:pPr>
        <w:tabs>
          <w:tab w:val="left" w:pos="567"/>
        </w:tabs>
        <w:autoSpaceDE w:val="0"/>
        <w:autoSpaceDN w:val="0"/>
        <w:adjustRightInd w:val="0"/>
        <w:spacing w:line="360" w:lineRule="auto"/>
        <w:ind w:firstLine="316" w:firstLineChars="150"/>
        <w:jc w:val="left"/>
        <w:rPr>
          <w:rFonts w:hint="eastAsia"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351755A1">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595" w:name="_Toc9489"/>
      <w:bookmarkStart w:id="596" w:name="_Toc104991877"/>
      <w:bookmarkStart w:id="597" w:name="_Toc140596930"/>
      <w:bookmarkStart w:id="598" w:name="_Toc94107211"/>
      <w:bookmarkStart w:id="599" w:name="_Toc16607"/>
      <w:bookmarkStart w:id="600" w:name="_Toc142508371"/>
      <w:bookmarkStart w:id="601" w:name="_Toc102860076"/>
      <w:bookmarkStart w:id="602" w:name="_Toc26345"/>
      <w:bookmarkStart w:id="603" w:name="_Toc102860420"/>
      <w:r>
        <w:rPr>
          <w:rFonts w:hint="eastAsia" w:ascii="宋体" w:hAnsi="宋体" w:eastAsia="宋体" w:cs="宋体"/>
          <w:b/>
          <w:color w:val="auto"/>
          <w:kern w:val="0"/>
          <w:sz w:val="30"/>
          <w:szCs w:val="30"/>
          <w:highlight w:val="none"/>
        </w:rPr>
        <w:t>5.2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595"/>
      <w:bookmarkEnd w:id="596"/>
      <w:bookmarkEnd w:id="597"/>
      <w:bookmarkEnd w:id="598"/>
      <w:bookmarkEnd w:id="599"/>
      <w:bookmarkEnd w:id="600"/>
      <w:bookmarkEnd w:id="601"/>
      <w:bookmarkEnd w:id="602"/>
      <w:bookmarkEnd w:id="603"/>
    </w:p>
    <w:p w14:paraId="7B78391E">
      <w:pPr>
        <w:tabs>
          <w:tab w:val="left" w:pos="567"/>
        </w:tabs>
        <w:autoSpaceDE w:val="0"/>
        <w:autoSpaceDN w:val="0"/>
        <w:adjustRightInd w:val="0"/>
        <w:spacing w:line="360" w:lineRule="auto"/>
        <w:jc w:val="left"/>
        <w:outlineLvl w:val="2"/>
        <w:rPr>
          <w:rFonts w:hint="eastAsia"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604" w:name="_Toc142508372"/>
      <w:bookmarkStart w:id="605" w:name="_Toc102860421"/>
      <w:bookmarkStart w:id="606" w:name="_Toc140596931"/>
      <w:bookmarkStart w:id="607" w:name="_Toc104991878"/>
      <w:bookmarkStart w:id="608" w:name="_Toc102860077"/>
      <w:bookmarkStart w:id="609" w:name="_Toc94107212"/>
      <w:bookmarkStart w:id="610" w:name="_Toc21657"/>
      <w:bookmarkStart w:id="611" w:name="_Toc10429"/>
      <w:bookmarkStart w:id="612" w:name="_Toc644"/>
      <w:r>
        <w:rPr>
          <w:rFonts w:hint="eastAsia" w:ascii="宋体" w:hAnsi="宋体" w:eastAsia="宋体" w:cs="宋体"/>
          <w:b/>
          <w:color w:val="auto"/>
          <w:kern w:val="0"/>
          <w:sz w:val="30"/>
          <w:szCs w:val="30"/>
          <w:highlight w:val="none"/>
        </w:rPr>
        <w:t>5.3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604"/>
      <w:bookmarkEnd w:id="605"/>
      <w:bookmarkEnd w:id="606"/>
      <w:bookmarkEnd w:id="607"/>
      <w:bookmarkEnd w:id="608"/>
      <w:bookmarkEnd w:id="609"/>
      <w:bookmarkEnd w:id="610"/>
      <w:bookmarkEnd w:id="611"/>
      <w:bookmarkEnd w:id="612"/>
    </w:p>
    <w:p w14:paraId="5B4159C5">
      <w:pPr>
        <w:spacing w:before="120" w:after="120" w:line="360" w:lineRule="auto"/>
        <w:ind w:firstLine="426" w:firstLineChars="20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82"/>
      <w:bookmarkEnd w:id="583"/>
      <w:bookmarkEnd w:id="584"/>
      <w:bookmarkEnd w:id="594"/>
    </w:p>
    <w:p w14:paraId="0A3125B4">
      <w:pPr>
        <w:spacing w:before="120" w:after="120" w:line="360" w:lineRule="auto"/>
        <w:ind w:firstLine="608" w:firstLineChars="202"/>
        <w:jc w:val="center"/>
        <w:rPr>
          <w:rFonts w:hint="eastAsia" w:ascii="宋体" w:hAnsi="宋体" w:eastAsia="宋体" w:cs="宋体"/>
          <w:b/>
          <w:color w:val="auto"/>
          <w:sz w:val="30"/>
          <w:szCs w:val="30"/>
          <w:highlight w:val="none"/>
        </w:rPr>
      </w:pPr>
    </w:p>
    <w:p w14:paraId="31A2C0C5">
      <w:pPr>
        <w:spacing w:before="120" w:after="120" w:line="360" w:lineRule="auto"/>
        <w:ind w:firstLine="608" w:firstLineChars="202"/>
        <w:jc w:val="center"/>
        <w:rPr>
          <w:rFonts w:hint="eastAsia" w:ascii="宋体" w:hAnsi="宋体" w:eastAsia="宋体" w:cs="宋体"/>
          <w:b/>
          <w:bCs/>
          <w:color w:val="auto"/>
          <w:sz w:val="30"/>
          <w:szCs w:val="30"/>
          <w:highlight w:val="none"/>
        </w:rPr>
      </w:pPr>
      <w:bookmarkStart w:id="613" w:name="_Toc11033_WPSOffice_Level3"/>
      <w:r>
        <w:rPr>
          <w:rFonts w:hint="eastAsia" w:ascii="宋体" w:hAnsi="宋体" w:eastAsia="宋体" w:cs="宋体"/>
          <w:b/>
          <w:color w:val="auto"/>
          <w:sz w:val="30"/>
          <w:szCs w:val="30"/>
          <w:highlight w:val="none"/>
        </w:rPr>
        <w:t>法定代</w:t>
      </w:r>
      <w:bookmarkStart w:id="614" w:name="_Toc36971359"/>
      <w:bookmarkStart w:id="615" w:name="_Toc45995270"/>
      <w:r>
        <w:rPr>
          <w:rFonts w:hint="eastAsia" w:ascii="宋体" w:hAnsi="宋体" w:eastAsia="宋体" w:cs="宋体"/>
          <w:b/>
          <w:color w:val="auto"/>
          <w:sz w:val="30"/>
          <w:szCs w:val="30"/>
          <w:highlight w:val="none"/>
        </w:rPr>
        <w:t>表人身份证明书</w:t>
      </w:r>
      <w:bookmarkEnd w:id="613"/>
    </w:p>
    <w:bookmarkEnd w:id="614"/>
    <w:bookmarkEnd w:id="615"/>
    <w:p w14:paraId="6C3AE468">
      <w:pPr>
        <w:spacing w:before="120" w:after="120"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0E6CD8F1">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2EE63434">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5C733412">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56444C81">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63A8B89E">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6EA7CF9B">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21834933">
      <w:pPr>
        <w:spacing w:before="120" w:after="120" w:line="360" w:lineRule="auto"/>
        <w:ind w:left="340" w:leftChars="162" w:firstLine="474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28AE9CC8">
      <w:pPr>
        <w:autoSpaceDE w:val="0"/>
        <w:autoSpaceDN w:val="0"/>
        <w:adjustRightInd w:val="0"/>
        <w:spacing w:line="360" w:lineRule="auto"/>
        <w:ind w:right="1010" w:rightChars="481" w:firstLine="6090" w:firstLineChars="2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2E72CD9">
      <w:pPr>
        <w:autoSpaceDE w:val="0"/>
        <w:autoSpaceDN w:val="0"/>
        <w:adjustRightInd w:val="0"/>
        <w:jc w:val="left"/>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8DFEB41">
                            <w:pPr>
                              <w:rPr>
                                <w:rFonts w:hint="eastAsia"/>
                              </w:rPr>
                            </w:pPr>
                          </w:p>
                          <w:p w14:paraId="07A821E3">
                            <w:pPr>
                              <w:rPr>
                                <w:rFonts w:hint="eastAsia"/>
                              </w:rPr>
                            </w:pPr>
                          </w:p>
                          <w:p w14:paraId="08F7BE19">
                            <w:pPr>
                              <w:rPr>
                                <w:rFonts w:hint="eastAsia"/>
                              </w:rPr>
                            </w:pPr>
                          </w:p>
                          <w:p w14:paraId="08814FE4">
                            <w:pPr>
                              <w:rPr>
                                <w:rFonts w:hint="eastAsia"/>
                              </w:rPr>
                            </w:pPr>
                          </w:p>
                          <w:p w14:paraId="53BF327D">
                            <w:pPr>
                              <w:jc w:val="center"/>
                              <w:rPr>
                                <w:rFonts w:hint="eastAsia"/>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28DFEB41">
                      <w:pPr>
                        <w:rPr>
                          <w:rFonts w:hint="eastAsia"/>
                        </w:rPr>
                      </w:pPr>
                    </w:p>
                    <w:p w14:paraId="07A821E3">
                      <w:pPr>
                        <w:rPr>
                          <w:rFonts w:hint="eastAsia"/>
                        </w:rPr>
                      </w:pPr>
                    </w:p>
                    <w:p w14:paraId="08F7BE19">
                      <w:pPr>
                        <w:rPr>
                          <w:rFonts w:hint="eastAsia"/>
                        </w:rPr>
                      </w:pPr>
                    </w:p>
                    <w:p w14:paraId="08814FE4">
                      <w:pPr>
                        <w:rPr>
                          <w:rFonts w:hint="eastAsia"/>
                        </w:rPr>
                      </w:pPr>
                    </w:p>
                    <w:p w14:paraId="53BF327D">
                      <w:pPr>
                        <w:jc w:val="center"/>
                        <w:rPr>
                          <w:rFonts w:hint="eastAsia"/>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79B1978">
                            <w:pPr>
                              <w:rPr>
                                <w:rFonts w:hint="eastAsia"/>
                              </w:rPr>
                            </w:pPr>
                          </w:p>
                          <w:p w14:paraId="7281917D">
                            <w:pPr>
                              <w:rPr>
                                <w:rFonts w:hint="eastAsia"/>
                              </w:rPr>
                            </w:pPr>
                          </w:p>
                          <w:p w14:paraId="219A285A">
                            <w:pPr>
                              <w:rPr>
                                <w:rFonts w:hint="eastAsia"/>
                              </w:rPr>
                            </w:pPr>
                          </w:p>
                          <w:p w14:paraId="1F94320C">
                            <w:pPr>
                              <w:rPr>
                                <w:rFonts w:hint="eastAsia"/>
                              </w:rPr>
                            </w:pPr>
                          </w:p>
                          <w:p w14:paraId="3A7C4472">
                            <w:pPr>
                              <w:jc w:val="center"/>
                              <w:rPr>
                                <w:rFonts w:hint="eastAsia"/>
                                <w:szCs w:val="21"/>
                              </w:rPr>
                            </w:pPr>
                            <w:r>
                              <w:rPr>
                                <w:rFonts w:hint="eastAsia"/>
                                <w:szCs w:val="21"/>
                              </w:rPr>
                              <w:t>法定代表人身份证反面</w:t>
                            </w:r>
                          </w:p>
                          <w:p w14:paraId="2409823C">
                            <w:pPr>
                              <w:jc w:val="center"/>
                              <w:rPr>
                                <w:rFonts w:hint="eastAsia"/>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579B1978">
                      <w:pPr>
                        <w:rPr>
                          <w:rFonts w:hint="eastAsia"/>
                        </w:rPr>
                      </w:pPr>
                    </w:p>
                    <w:p w14:paraId="7281917D">
                      <w:pPr>
                        <w:rPr>
                          <w:rFonts w:hint="eastAsia"/>
                        </w:rPr>
                      </w:pPr>
                    </w:p>
                    <w:p w14:paraId="219A285A">
                      <w:pPr>
                        <w:rPr>
                          <w:rFonts w:hint="eastAsia"/>
                        </w:rPr>
                      </w:pPr>
                    </w:p>
                    <w:p w14:paraId="1F94320C">
                      <w:pPr>
                        <w:rPr>
                          <w:rFonts w:hint="eastAsia"/>
                        </w:rPr>
                      </w:pPr>
                    </w:p>
                    <w:p w14:paraId="3A7C4472">
                      <w:pPr>
                        <w:jc w:val="center"/>
                        <w:rPr>
                          <w:rFonts w:hint="eastAsia"/>
                          <w:szCs w:val="21"/>
                        </w:rPr>
                      </w:pPr>
                      <w:r>
                        <w:rPr>
                          <w:rFonts w:hint="eastAsia"/>
                          <w:szCs w:val="21"/>
                        </w:rPr>
                        <w:t>法定代表人身份证反面</w:t>
                      </w:r>
                    </w:p>
                    <w:p w14:paraId="2409823C">
                      <w:pPr>
                        <w:jc w:val="center"/>
                        <w:rPr>
                          <w:rFonts w:hint="eastAsia"/>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9AB9CBC">
                            <w:pPr>
                              <w:rPr>
                                <w:rFonts w:hint="eastAsia"/>
                              </w:rPr>
                            </w:pPr>
                          </w:p>
                          <w:p w14:paraId="5687421A">
                            <w:pPr>
                              <w:rPr>
                                <w:rFonts w:hint="eastAsia"/>
                              </w:rPr>
                            </w:pPr>
                          </w:p>
                          <w:p w14:paraId="3E2AB6AE">
                            <w:pPr>
                              <w:rPr>
                                <w:rFonts w:hint="eastAsia"/>
                              </w:rPr>
                            </w:pPr>
                          </w:p>
                          <w:p w14:paraId="799D038A">
                            <w:pPr>
                              <w:rPr>
                                <w:rFonts w:hint="eastAsia"/>
                              </w:rPr>
                            </w:pPr>
                          </w:p>
                          <w:p w14:paraId="5E0E816C">
                            <w:pPr>
                              <w:jc w:val="center"/>
                              <w:rPr>
                                <w:rFonts w:hint="eastAsia"/>
                              </w:rP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19AB9CBC">
                      <w:pPr>
                        <w:rPr>
                          <w:rFonts w:hint="eastAsia"/>
                        </w:rPr>
                      </w:pPr>
                    </w:p>
                    <w:p w14:paraId="5687421A">
                      <w:pPr>
                        <w:rPr>
                          <w:rFonts w:hint="eastAsia"/>
                        </w:rPr>
                      </w:pPr>
                    </w:p>
                    <w:p w14:paraId="3E2AB6AE">
                      <w:pPr>
                        <w:rPr>
                          <w:rFonts w:hint="eastAsia"/>
                        </w:rPr>
                      </w:pPr>
                    </w:p>
                    <w:p w14:paraId="799D038A">
                      <w:pPr>
                        <w:rPr>
                          <w:rFonts w:hint="eastAsia"/>
                        </w:rPr>
                      </w:pPr>
                    </w:p>
                    <w:p w14:paraId="5E0E816C">
                      <w:pPr>
                        <w:jc w:val="center"/>
                        <w:rPr>
                          <w:rFonts w:hint="eastAsia"/>
                        </w:rPr>
                      </w:pPr>
                      <w:r>
                        <w:rPr>
                          <w:rFonts w:hint="eastAsia"/>
                        </w:rPr>
                        <w:t>身份证正面</w:t>
                      </w:r>
                    </w:p>
                  </w:txbxContent>
                </v:textbox>
              </v:shape>
            </w:pict>
          </mc:Fallback>
        </mc:AlternateContent>
      </w:r>
    </w:p>
    <w:p w14:paraId="3B471F5D">
      <w:pPr>
        <w:autoSpaceDE w:val="0"/>
        <w:autoSpaceDN w:val="0"/>
        <w:adjustRightInd w:val="0"/>
        <w:jc w:val="left"/>
        <w:rPr>
          <w:rFonts w:hint="eastAsia" w:ascii="宋体" w:hAnsi="宋体" w:eastAsia="宋体" w:cs="宋体"/>
          <w:color w:val="auto"/>
          <w:kern w:val="0"/>
          <w:sz w:val="24"/>
          <w:szCs w:val="24"/>
          <w:highlight w:val="none"/>
        </w:rPr>
      </w:pPr>
    </w:p>
    <w:p w14:paraId="1145EACD">
      <w:pPr>
        <w:autoSpaceDE w:val="0"/>
        <w:autoSpaceDN w:val="0"/>
        <w:adjustRightInd w:val="0"/>
        <w:jc w:val="left"/>
        <w:rPr>
          <w:rFonts w:hint="eastAsia" w:ascii="宋体" w:hAnsi="宋体" w:eastAsia="宋体" w:cs="宋体"/>
          <w:color w:val="auto"/>
          <w:kern w:val="0"/>
          <w:sz w:val="24"/>
          <w:szCs w:val="24"/>
          <w:highlight w:val="none"/>
        </w:rPr>
      </w:pPr>
    </w:p>
    <w:p w14:paraId="152F1DD3">
      <w:pPr>
        <w:autoSpaceDE w:val="0"/>
        <w:autoSpaceDN w:val="0"/>
        <w:adjustRightInd w:val="0"/>
        <w:jc w:val="left"/>
        <w:rPr>
          <w:rFonts w:hint="eastAsia" w:ascii="宋体" w:hAnsi="宋体" w:eastAsia="宋体" w:cs="宋体"/>
          <w:color w:val="auto"/>
          <w:kern w:val="0"/>
          <w:sz w:val="24"/>
          <w:szCs w:val="24"/>
          <w:highlight w:val="none"/>
        </w:rPr>
      </w:pPr>
    </w:p>
    <w:p w14:paraId="7A1E7ED0">
      <w:pPr>
        <w:autoSpaceDE w:val="0"/>
        <w:autoSpaceDN w:val="0"/>
        <w:adjustRightInd w:val="0"/>
        <w:jc w:val="left"/>
        <w:rPr>
          <w:rFonts w:hint="eastAsia" w:ascii="宋体" w:hAnsi="宋体" w:eastAsia="宋体" w:cs="宋体"/>
          <w:color w:val="auto"/>
          <w:kern w:val="0"/>
          <w:sz w:val="24"/>
          <w:szCs w:val="24"/>
          <w:highlight w:val="none"/>
        </w:rPr>
      </w:pPr>
    </w:p>
    <w:p w14:paraId="5DC961E8">
      <w:pPr>
        <w:autoSpaceDE w:val="0"/>
        <w:autoSpaceDN w:val="0"/>
        <w:adjustRightInd w:val="0"/>
        <w:jc w:val="left"/>
        <w:rPr>
          <w:rFonts w:hint="eastAsia" w:ascii="宋体" w:hAnsi="宋体" w:eastAsia="宋体" w:cs="宋体"/>
          <w:color w:val="auto"/>
          <w:kern w:val="0"/>
          <w:sz w:val="24"/>
          <w:szCs w:val="24"/>
          <w:highlight w:val="none"/>
        </w:rPr>
      </w:pPr>
    </w:p>
    <w:p w14:paraId="33416DA2">
      <w:pPr>
        <w:autoSpaceDE w:val="0"/>
        <w:autoSpaceDN w:val="0"/>
        <w:adjustRightInd w:val="0"/>
        <w:jc w:val="left"/>
        <w:rPr>
          <w:rFonts w:hint="eastAsia" w:ascii="宋体" w:hAnsi="宋体" w:eastAsia="宋体" w:cs="宋体"/>
          <w:color w:val="auto"/>
          <w:kern w:val="0"/>
          <w:sz w:val="24"/>
          <w:szCs w:val="24"/>
          <w:highlight w:val="none"/>
        </w:rPr>
      </w:pPr>
    </w:p>
    <w:p w14:paraId="33D49C26">
      <w:pPr>
        <w:autoSpaceDE w:val="0"/>
        <w:autoSpaceDN w:val="0"/>
        <w:adjustRightInd w:val="0"/>
        <w:jc w:val="left"/>
        <w:rPr>
          <w:rFonts w:hint="eastAsia" w:ascii="宋体" w:hAnsi="宋体" w:eastAsia="宋体" w:cs="宋体"/>
          <w:color w:val="auto"/>
          <w:kern w:val="0"/>
          <w:sz w:val="24"/>
          <w:szCs w:val="24"/>
          <w:highlight w:val="none"/>
        </w:rPr>
      </w:pPr>
    </w:p>
    <w:p w14:paraId="7A0C934A">
      <w:pPr>
        <w:autoSpaceDE w:val="0"/>
        <w:autoSpaceDN w:val="0"/>
        <w:adjustRightInd w:val="0"/>
        <w:jc w:val="left"/>
        <w:rPr>
          <w:rFonts w:hint="eastAsia" w:ascii="宋体" w:hAnsi="宋体" w:eastAsia="宋体" w:cs="宋体"/>
          <w:color w:val="auto"/>
          <w:kern w:val="0"/>
          <w:sz w:val="24"/>
          <w:szCs w:val="24"/>
          <w:highlight w:val="none"/>
        </w:rPr>
      </w:pPr>
    </w:p>
    <w:p w14:paraId="6C3936F0">
      <w:pPr>
        <w:autoSpaceDE w:val="0"/>
        <w:autoSpaceDN w:val="0"/>
        <w:adjustRightInd w:val="0"/>
        <w:jc w:val="left"/>
        <w:rPr>
          <w:rFonts w:hint="eastAsia" w:ascii="宋体" w:hAnsi="宋体" w:eastAsia="宋体" w:cs="宋体"/>
          <w:color w:val="auto"/>
          <w:kern w:val="0"/>
          <w:sz w:val="24"/>
          <w:szCs w:val="24"/>
          <w:highlight w:val="none"/>
        </w:rPr>
      </w:pPr>
    </w:p>
    <w:p w14:paraId="2CEF09A9">
      <w:pPr>
        <w:autoSpaceDE w:val="0"/>
        <w:autoSpaceDN w:val="0"/>
        <w:adjustRightInd w:val="0"/>
        <w:jc w:val="left"/>
        <w:rPr>
          <w:rFonts w:hint="eastAsia" w:ascii="宋体" w:hAnsi="宋体" w:eastAsia="宋体" w:cs="宋体"/>
          <w:b/>
          <w:color w:val="auto"/>
          <w:kern w:val="0"/>
          <w:szCs w:val="21"/>
          <w:highlight w:val="none"/>
        </w:rPr>
      </w:pPr>
    </w:p>
    <w:p w14:paraId="3944A1C6">
      <w:pPr>
        <w:autoSpaceDE w:val="0"/>
        <w:autoSpaceDN w:val="0"/>
        <w:adjustRightInd w:val="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64DE9A00">
      <w:pPr>
        <w:autoSpaceDE w:val="0"/>
        <w:autoSpaceDN w:val="0"/>
        <w:adjustRightInd w:val="0"/>
        <w:jc w:val="left"/>
        <w:rPr>
          <w:rFonts w:hint="eastAsia" w:ascii="宋体" w:hAnsi="宋体" w:eastAsia="宋体" w:cs="宋体"/>
          <w:color w:val="auto"/>
          <w:kern w:val="0"/>
          <w:szCs w:val="21"/>
          <w:highlight w:val="none"/>
        </w:rPr>
      </w:pPr>
    </w:p>
    <w:p w14:paraId="013FB4D9">
      <w:pPr>
        <w:spacing w:before="120" w:after="120" w:line="360" w:lineRule="auto"/>
        <w:ind w:firstLine="424" w:firstLineChars="202"/>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25"/>
      <w:bookmarkEnd w:id="526"/>
      <w:bookmarkEnd w:id="527"/>
      <w:bookmarkStart w:id="616" w:name="_Toc533708125"/>
      <w:bookmarkStart w:id="617" w:name="_Toc6240_WPSOffice_Level2"/>
      <w:bookmarkStart w:id="618" w:name="_Toc486167713"/>
      <w:bookmarkStart w:id="619" w:name="_Toc1977727"/>
      <w:r>
        <w:rPr>
          <w:rFonts w:hint="eastAsia" w:ascii="宋体" w:hAnsi="宋体" w:eastAsia="宋体" w:cs="宋体"/>
          <w:b/>
          <w:color w:val="auto"/>
          <w:szCs w:val="24"/>
          <w:highlight w:val="none"/>
        </w:rPr>
        <w:t>（2）法定代表人授权书格式</w:t>
      </w:r>
      <w:bookmarkEnd w:id="616"/>
      <w:bookmarkEnd w:id="617"/>
      <w:bookmarkEnd w:id="618"/>
      <w:bookmarkEnd w:id="619"/>
    </w:p>
    <w:p w14:paraId="18879E07">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p>
    <w:p w14:paraId="492044BB">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620" w:name="_Toc29146_WPSOffice_Level3"/>
      <w:r>
        <w:rPr>
          <w:rFonts w:hint="eastAsia" w:ascii="宋体" w:hAnsi="宋体" w:eastAsia="宋体" w:cs="宋体"/>
          <w:b/>
          <w:bCs/>
          <w:color w:val="auto"/>
          <w:sz w:val="30"/>
          <w:szCs w:val="30"/>
          <w:highlight w:val="none"/>
          <w:lang w:val="zh-CN"/>
        </w:rPr>
        <w:t>法定代表人授权书</w:t>
      </w:r>
      <w:bookmarkEnd w:id="620"/>
    </w:p>
    <w:p w14:paraId="7EDF21D8">
      <w:pPr>
        <w:autoSpaceDE w:val="0"/>
        <w:autoSpaceDN w:val="0"/>
        <w:adjustRightInd w:val="0"/>
        <w:spacing w:line="360" w:lineRule="auto"/>
        <w:jc w:val="center"/>
        <w:rPr>
          <w:rFonts w:hint="eastAsia" w:ascii="宋体" w:hAnsi="宋体" w:eastAsia="宋体" w:cs="宋体"/>
          <w:color w:val="auto"/>
          <w:szCs w:val="28"/>
          <w:highlight w:val="none"/>
          <w:lang w:val="zh-CN"/>
        </w:rPr>
      </w:pPr>
    </w:p>
    <w:p w14:paraId="291685A4">
      <w:pPr>
        <w:spacing w:before="120" w:after="120"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致：东莞市水务集团有限公司</w:t>
      </w:r>
    </w:p>
    <w:p w14:paraId="7E4A39BD">
      <w:pPr>
        <w:spacing w:before="120" w:after="12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rPr>
        <w:t>东莞市水务集团有限公司2025年度液态次氯酸钠采购项目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YDZB25DGQY0005</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68A176B0">
      <w:pPr>
        <w:spacing w:before="120" w:after="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1676CC8C">
      <w:pPr>
        <w:spacing w:before="120" w:after="120" w:line="360" w:lineRule="auto"/>
        <w:ind w:left="348" w:leftChars="136" w:hanging="62"/>
        <w:rPr>
          <w:rFonts w:hint="eastAsia" w:ascii="宋体" w:hAnsi="宋体" w:eastAsia="宋体" w:cs="宋体"/>
          <w:color w:val="auto"/>
          <w:szCs w:val="24"/>
          <w:highlight w:val="none"/>
        </w:rPr>
      </w:pPr>
    </w:p>
    <w:p w14:paraId="018A6149">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5CA639D1">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0E04880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732C5AD0">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D04941C">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26D615F9">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4FAE261">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1B088D9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7D59EB6A">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2EDBB81D">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9B3909E">
                            <w:pPr>
                              <w:rPr>
                                <w:rFonts w:hint="eastAsia"/>
                              </w:rPr>
                            </w:pPr>
                          </w:p>
                          <w:p w14:paraId="4A74F601">
                            <w:pPr>
                              <w:rPr>
                                <w:rFonts w:hint="eastAsia"/>
                              </w:rPr>
                            </w:pPr>
                          </w:p>
                          <w:p w14:paraId="3A70BCED">
                            <w:pPr>
                              <w:rPr>
                                <w:rFonts w:hint="eastAsia"/>
                              </w:rPr>
                            </w:pPr>
                          </w:p>
                          <w:p w14:paraId="20BFA9C7">
                            <w:pPr>
                              <w:rPr>
                                <w:rFonts w:hint="eastAsia"/>
                              </w:rPr>
                            </w:pPr>
                          </w:p>
                          <w:p w14:paraId="644083A6">
                            <w:pPr>
                              <w:jc w:val="center"/>
                              <w:rPr>
                                <w:rFonts w:hint="eastAsia"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59B3909E">
                      <w:pPr>
                        <w:rPr>
                          <w:rFonts w:hint="eastAsia"/>
                        </w:rPr>
                      </w:pPr>
                    </w:p>
                    <w:p w14:paraId="4A74F601">
                      <w:pPr>
                        <w:rPr>
                          <w:rFonts w:hint="eastAsia"/>
                        </w:rPr>
                      </w:pPr>
                    </w:p>
                    <w:p w14:paraId="3A70BCED">
                      <w:pPr>
                        <w:rPr>
                          <w:rFonts w:hint="eastAsia"/>
                        </w:rPr>
                      </w:pPr>
                    </w:p>
                    <w:p w14:paraId="20BFA9C7">
                      <w:pPr>
                        <w:rPr>
                          <w:rFonts w:hint="eastAsia"/>
                        </w:rPr>
                      </w:pPr>
                    </w:p>
                    <w:p w14:paraId="644083A6">
                      <w:pPr>
                        <w:jc w:val="center"/>
                        <w:rPr>
                          <w:rFonts w:hint="eastAsia"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E3A6A83">
                            <w:pPr>
                              <w:rPr>
                                <w:rFonts w:hint="eastAsia"/>
                              </w:rPr>
                            </w:pPr>
                          </w:p>
                          <w:p w14:paraId="6D84CBE6">
                            <w:pPr>
                              <w:rPr>
                                <w:rFonts w:hint="eastAsia"/>
                              </w:rPr>
                            </w:pPr>
                          </w:p>
                          <w:p w14:paraId="17E56B66">
                            <w:pPr>
                              <w:rPr>
                                <w:rFonts w:hint="eastAsia"/>
                              </w:rPr>
                            </w:pPr>
                          </w:p>
                          <w:p w14:paraId="371F1BB5">
                            <w:pPr>
                              <w:rPr>
                                <w:rFonts w:hint="eastAsia"/>
                              </w:rPr>
                            </w:pPr>
                          </w:p>
                          <w:p w14:paraId="007E61F0">
                            <w:pPr>
                              <w:jc w:val="center"/>
                              <w:rPr>
                                <w:rFonts w:hint="eastAsia"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5E3A6A83">
                      <w:pPr>
                        <w:rPr>
                          <w:rFonts w:hint="eastAsia"/>
                        </w:rPr>
                      </w:pPr>
                    </w:p>
                    <w:p w14:paraId="6D84CBE6">
                      <w:pPr>
                        <w:rPr>
                          <w:rFonts w:hint="eastAsia"/>
                        </w:rPr>
                      </w:pPr>
                    </w:p>
                    <w:p w14:paraId="17E56B66">
                      <w:pPr>
                        <w:rPr>
                          <w:rFonts w:hint="eastAsia"/>
                        </w:rPr>
                      </w:pPr>
                    </w:p>
                    <w:p w14:paraId="371F1BB5">
                      <w:pPr>
                        <w:rPr>
                          <w:rFonts w:hint="eastAsia"/>
                        </w:rPr>
                      </w:pPr>
                    </w:p>
                    <w:p w14:paraId="007E61F0">
                      <w:pPr>
                        <w:jc w:val="center"/>
                        <w:rPr>
                          <w:rFonts w:hint="eastAsia" w:hAnsi="宋体"/>
                        </w:rPr>
                      </w:pPr>
                      <w:r>
                        <w:rPr>
                          <w:rFonts w:hint="eastAsia" w:hAnsi="宋体"/>
                        </w:rPr>
                        <w:t>法定代表人身份证正面</w:t>
                      </w:r>
                    </w:p>
                  </w:txbxContent>
                </v:textbox>
              </v:shape>
            </w:pict>
          </mc:Fallback>
        </mc:AlternateContent>
      </w:r>
    </w:p>
    <w:p w14:paraId="76EDD48D">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0548BEF0">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4538771C">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2BF7B0ED">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36A59E13">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640A936D">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5729E487">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1D65B570">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26AAD587">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9A66F29">
                            <w:pPr>
                              <w:rPr>
                                <w:rFonts w:hint="eastAsia"/>
                              </w:rPr>
                            </w:pPr>
                          </w:p>
                          <w:p w14:paraId="6CCBB179">
                            <w:pPr>
                              <w:jc w:val="center"/>
                              <w:rPr>
                                <w:rFonts w:hint="eastAsia" w:hAnsi="宋体"/>
                                <w:color w:val="FF0000"/>
                              </w:rPr>
                            </w:pPr>
                          </w:p>
                          <w:p w14:paraId="53628A0D">
                            <w:pPr>
                              <w:jc w:val="center"/>
                              <w:rPr>
                                <w:rFonts w:hint="eastAsia" w:hAnsi="宋体"/>
                                <w:color w:val="FF0000"/>
                              </w:rPr>
                            </w:pPr>
                          </w:p>
                          <w:p w14:paraId="660AB5C6">
                            <w:pPr>
                              <w:jc w:val="center"/>
                              <w:rPr>
                                <w:rFonts w:hint="eastAsia" w:hAnsi="宋体"/>
                                <w:color w:val="FF0000"/>
                              </w:rPr>
                            </w:pPr>
                          </w:p>
                          <w:p w14:paraId="5D4843C1">
                            <w:pPr>
                              <w:jc w:val="center"/>
                              <w:rPr>
                                <w:rFonts w:hint="eastAsia"/>
                              </w:rPr>
                            </w:pPr>
                            <w:r>
                              <w:rPr>
                                <w:rFonts w:hint="eastAsia" w:hAnsi="宋体"/>
                              </w:rPr>
                              <w:t>被授权人身份证反面</w:t>
                            </w:r>
                          </w:p>
                          <w:p w14:paraId="49C1D518">
                            <w:pPr>
                              <w:rPr>
                                <w:rFonts w:hint="eastAsia"/>
                              </w:rPr>
                            </w:pPr>
                          </w:p>
                          <w:p w14:paraId="7A614957">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59A66F29">
                      <w:pPr>
                        <w:rPr>
                          <w:rFonts w:hint="eastAsia"/>
                        </w:rPr>
                      </w:pPr>
                    </w:p>
                    <w:p w14:paraId="6CCBB179">
                      <w:pPr>
                        <w:jc w:val="center"/>
                        <w:rPr>
                          <w:rFonts w:hint="eastAsia" w:hAnsi="宋体"/>
                          <w:color w:val="FF0000"/>
                        </w:rPr>
                      </w:pPr>
                    </w:p>
                    <w:p w14:paraId="53628A0D">
                      <w:pPr>
                        <w:jc w:val="center"/>
                        <w:rPr>
                          <w:rFonts w:hint="eastAsia" w:hAnsi="宋体"/>
                          <w:color w:val="FF0000"/>
                        </w:rPr>
                      </w:pPr>
                    </w:p>
                    <w:p w14:paraId="660AB5C6">
                      <w:pPr>
                        <w:jc w:val="center"/>
                        <w:rPr>
                          <w:rFonts w:hint="eastAsia" w:hAnsi="宋体"/>
                          <w:color w:val="FF0000"/>
                        </w:rPr>
                      </w:pPr>
                    </w:p>
                    <w:p w14:paraId="5D4843C1">
                      <w:pPr>
                        <w:jc w:val="center"/>
                        <w:rPr>
                          <w:rFonts w:hint="eastAsia"/>
                        </w:rPr>
                      </w:pPr>
                      <w:r>
                        <w:rPr>
                          <w:rFonts w:hint="eastAsia" w:hAnsi="宋体"/>
                        </w:rPr>
                        <w:t>被授权人身份证反面</w:t>
                      </w:r>
                    </w:p>
                    <w:p w14:paraId="49C1D518">
                      <w:pPr>
                        <w:rPr>
                          <w:rFonts w:hint="eastAsia"/>
                        </w:rPr>
                      </w:pPr>
                    </w:p>
                    <w:p w14:paraId="7A614957">
                      <w:pPr>
                        <w:rPr>
                          <w:rFonts w:hint="eastAsia"/>
                        </w:rPr>
                      </w:pP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4BD2649">
                            <w:pPr>
                              <w:rPr>
                                <w:rFonts w:hint="eastAsia"/>
                              </w:rPr>
                            </w:pPr>
                          </w:p>
                          <w:p w14:paraId="2ADA19A6">
                            <w:pPr>
                              <w:jc w:val="center"/>
                              <w:rPr>
                                <w:rFonts w:hint="eastAsia" w:hAnsi="宋体"/>
                                <w:color w:val="FF0000"/>
                              </w:rPr>
                            </w:pPr>
                          </w:p>
                          <w:p w14:paraId="413D8E83">
                            <w:pPr>
                              <w:jc w:val="center"/>
                              <w:rPr>
                                <w:rFonts w:hint="eastAsia" w:hAnsi="宋体"/>
                                <w:color w:val="FF0000"/>
                              </w:rPr>
                            </w:pPr>
                          </w:p>
                          <w:p w14:paraId="474FC29E">
                            <w:pPr>
                              <w:jc w:val="center"/>
                              <w:rPr>
                                <w:rFonts w:hint="eastAsia" w:hAnsi="宋体"/>
                                <w:color w:val="FF0000"/>
                              </w:rPr>
                            </w:pPr>
                          </w:p>
                          <w:p w14:paraId="12AA9595">
                            <w:pPr>
                              <w:jc w:val="center"/>
                              <w:rPr>
                                <w:rFonts w:hint="eastAsia"/>
                              </w:rPr>
                            </w:pPr>
                            <w:r>
                              <w:rPr>
                                <w:rFonts w:hint="eastAsia" w:hAnsi="宋体"/>
                              </w:rPr>
                              <w:t>被授权人身份证正面</w:t>
                            </w:r>
                          </w:p>
                          <w:p w14:paraId="1FF53B34">
                            <w:pPr>
                              <w:rPr>
                                <w:rFonts w:hint="eastAsia"/>
                              </w:rPr>
                            </w:pPr>
                          </w:p>
                          <w:p w14:paraId="2B98A659">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24BD2649">
                      <w:pPr>
                        <w:rPr>
                          <w:rFonts w:hint="eastAsia"/>
                        </w:rPr>
                      </w:pPr>
                    </w:p>
                    <w:p w14:paraId="2ADA19A6">
                      <w:pPr>
                        <w:jc w:val="center"/>
                        <w:rPr>
                          <w:rFonts w:hint="eastAsia" w:hAnsi="宋体"/>
                          <w:color w:val="FF0000"/>
                        </w:rPr>
                      </w:pPr>
                    </w:p>
                    <w:p w14:paraId="413D8E83">
                      <w:pPr>
                        <w:jc w:val="center"/>
                        <w:rPr>
                          <w:rFonts w:hint="eastAsia" w:hAnsi="宋体"/>
                          <w:color w:val="FF0000"/>
                        </w:rPr>
                      </w:pPr>
                    </w:p>
                    <w:p w14:paraId="474FC29E">
                      <w:pPr>
                        <w:jc w:val="center"/>
                        <w:rPr>
                          <w:rFonts w:hint="eastAsia" w:hAnsi="宋体"/>
                          <w:color w:val="FF0000"/>
                        </w:rPr>
                      </w:pPr>
                    </w:p>
                    <w:p w14:paraId="12AA9595">
                      <w:pPr>
                        <w:jc w:val="center"/>
                        <w:rPr>
                          <w:rFonts w:hint="eastAsia"/>
                        </w:rPr>
                      </w:pPr>
                      <w:r>
                        <w:rPr>
                          <w:rFonts w:hint="eastAsia" w:hAnsi="宋体"/>
                        </w:rPr>
                        <w:t>被授权人身份证正面</w:t>
                      </w:r>
                    </w:p>
                    <w:p w14:paraId="1FF53B34">
                      <w:pPr>
                        <w:rPr>
                          <w:rFonts w:hint="eastAsia"/>
                        </w:rPr>
                      </w:pPr>
                    </w:p>
                    <w:p w14:paraId="2B98A659">
                      <w:pPr>
                        <w:rPr>
                          <w:rFonts w:hint="eastAsia"/>
                        </w:rPr>
                      </w:pPr>
                    </w:p>
                  </w:txbxContent>
                </v:textbox>
              </v:shape>
            </w:pict>
          </mc:Fallback>
        </mc:AlternateContent>
      </w:r>
    </w:p>
    <w:p w14:paraId="5F6B5184">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4E0CCDD4">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2F76BE6E">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5BB53E5A">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7E731CDD">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416FD10F">
      <w:pPr>
        <w:widowControl/>
        <w:autoSpaceDE w:val="0"/>
        <w:autoSpaceDN w:val="0"/>
        <w:spacing w:before="120" w:after="120" w:line="360" w:lineRule="auto"/>
        <w:ind w:right="781" w:rightChars="372" w:firstLine="422" w:firstLineChars="200"/>
        <w:textAlignment w:val="bottom"/>
        <w:rPr>
          <w:rFonts w:hint="eastAsia" w:ascii="宋体" w:hAnsi="宋体" w:eastAsia="宋体" w:cs="宋体"/>
          <w:b/>
          <w:color w:val="auto"/>
          <w:szCs w:val="24"/>
          <w:highlight w:val="none"/>
        </w:rPr>
        <w:sectPr>
          <w:footerReference r:id="rId7" w:type="first"/>
          <w:footerReference r:id="rId6"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452C2598">
      <w:pPr>
        <w:pStyle w:val="6"/>
        <w:pageBreakBefore/>
        <w:spacing w:line="360" w:lineRule="auto"/>
        <w:rPr>
          <w:rFonts w:hint="eastAsia" w:hAnsi="宋体" w:cs="宋体"/>
          <w:b/>
          <w:bCs/>
          <w:color w:val="auto"/>
          <w:kern w:val="2"/>
          <w:sz w:val="32"/>
          <w:szCs w:val="32"/>
          <w:highlight w:val="none"/>
          <w:lang w:val="zh-CN"/>
        </w:rPr>
      </w:pPr>
      <w:bookmarkStart w:id="621" w:name="_Toc8338"/>
      <w:bookmarkStart w:id="622" w:name="_Toc30070"/>
      <w:bookmarkStart w:id="623" w:name="_Toc19029"/>
      <w:bookmarkStart w:id="624" w:name="_Toc140596933"/>
      <w:bookmarkStart w:id="625" w:name="_Toc142508373"/>
      <w:bookmarkStart w:id="626" w:name="_Toc104991880"/>
      <w:bookmarkStart w:id="627" w:name="_Toc94107214"/>
      <w:bookmarkStart w:id="628" w:name="_Toc1977730"/>
      <w:r>
        <w:rPr>
          <w:rFonts w:hint="eastAsia" w:hAnsi="宋体" w:cs="宋体"/>
          <w:b/>
          <w:color w:val="auto"/>
          <w:sz w:val="30"/>
          <w:szCs w:val="30"/>
          <w:highlight w:val="none"/>
        </w:rPr>
        <w:t>5.4</w:t>
      </w:r>
      <w:r>
        <w:rPr>
          <w:rFonts w:hAnsi="宋体" w:cs="宋体"/>
          <w:b/>
          <w:color w:val="auto"/>
          <w:sz w:val="30"/>
          <w:szCs w:val="30"/>
          <w:highlight w:val="none"/>
        </w:rPr>
        <w:t xml:space="preserve"> </w:t>
      </w:r>
      <w:r>
        <w:rPr>
          <w:rFonts w:hint="eastAsia" w:hAnsi="宋体" w:cs="宋体"/>
          <w:b/>
          <w:bCs/>
          <w:color w:val="auto"/>
          <w:kern w:val="2"/>
          <w:sz w:val="32"/>
          <w:szCs w:val="32"/>
          <w:highlight w:val="none"/>
          <w:lang w:val="zh-CN"/>
        </w:rPr>
        <w:t>制造商资格声明和独家授权销售及售后服务承诺函（若投标人为制造商，必须提供制造商资格声明</w:t>
      </w:r>
      <w:r>
        <w:rPr>
          <w:rFonts w:hint="eastAsia" w:hAnsi="宋体" w:cs="宋体"/>
          <w:b/>
          <w:bCs/>
          <w:color w:val="auto"/>
          <w:kern w:val="2"/>
          <w:sz w:val="32"/>
          <w:szCs w:val="32"/>
          <w:highlight w:val="none"/>
          <w:lang w:val="en-US" w:eastAsia="zh-CN"/>
        </w:rPr>
        <w:t>原件</w:t>
      </w:r>
      <w:r>
        <w:rPr>
          <w:rFonts w:hint="eastAsia" w:hAnsi="宋体" w:cs="宋体"/>
          <w:b/>
          <w:bCs/>
          <w:color w:val="auto"/>
          <w:kern w:val="2"/>
          <w:sz w:val="32"/>
          <w:szCs w:val="32"/>
          <w:highlight w:val="none"/>
          <w:lang w:val="zh-CN"/>
        </w:rPr>
        <w:t>；若投标人为经销商，必须提供制造商资格声明</w:t>
      </w:r>
      <w:r>
        <w:rPr>
          <w:rFonts w:hint="eastAsia" w:hAnsi="宋体" w:cs="宋体"/>
          <w:b/>
          <w:bCs/>
          <w:color w:val="auto"/>
          <w:kern w:val="2"/>
          <w:sz w:val="32"/>
          <w:szCs w:val="32"/>
          <w:highlight w:val="none"/>
          <w:lang w:val="en-US" w:eastAsia="zh-CN"/>
        </w:rPr>
        <w:t>原件</w:t>
      </w:r>
      <w:r>
        <w:rPr>
          <w:rFonts w:hint="eastAsia" w:hAnsi="宋体" w:cs="宋体"/>
          <w:b/>
          <w:bCs/>
          <w:color w:val="auto"/>
          <w:kern w:val="2"/>
          <w:sz w:val="32"/>
          <w:szCs w:val="32"/>
          <w:highlight w:val="none"/>
          <w:lang w:val="zh-CN"/>
        </w:rPr>
        <w:t>和投标产品制造商出具的《独家授权销售及售后服务承诺函》</w:t>
      </w:r>
      <w:r>
        <w:rPr>
          <w:rFonts w:hint="eastAsia" w:hAnsi="宋体" w:cs="宋体"/>
          <w:b/>
          <w:bCs/>
          <w:color w:val="auto"/>
          <w:kern w:val="2"/>
          <w:sz w:val="32"/>
          <w:szCs w:val="32"/>
          <w:highlight w:val="none"/>
          <w:lang w:val="en-US" w:eastAsia="zh-CN"/>
        </w:rPr>
        <w:t>原件</w:t>
      </w:r>
      <w:r>
        <w:rPr>
          <w:rFonts w:hint="eastAsia" w:hAnsi="宋体" w:cs="宋体"/>
          <w:b/>
          <w:bCs/>
          <w:color w:val="auto"/>
          <w:kern w:val="2"/>
          <w:sz w:val="32"/>
          <w:szCs w:val="32"/>
          <w:highlight w:val="none"/>
          <w:lang w:val="zh-CN"/>
        </w:rPr>
        <w:t>）</w:t>
      </w:r>
    </w:p>
    <w:p w14:paraId="7D638A69">
      <w:pPr>
        <w:spacing w:line="360" w:lineRule="auto"/>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制造商资格声明</w:t>
      </w:r>
    </w:p>
    <w:p w14:paraId="70CD6CD6">
      <w:pPr>
        <w:snapToGrid w:val="0"/>
        <w:spacing w:line="360" w:lineRule="auto"/>
        <w:rPr>
          <w:rFonts w:hint="eastAsia" w:ascii="宋体" w:hAnsi="宋体" w:eastAsia="宋体" w:cs="宋体"/>
          <w:color w:val="auto"/>
          <w:szCs w:val="21"/>
          <w:highlight w:val="none"/>
        </w:rPr>
      </w:pPr>
      <w:bookmarkStart w:id="629" w:name="_Toc31194"/>
      <w:r>
        <w:rPr>
          <w:rFonts w:hint="eastAsia" w:ascii="宋体" w:hAnsi="宋体" w:eastAsia="宋体" w:cs="宋体"/>
          <w:color w:val="auto"/>
          <w:szCs w:val="21"/>
          <w:highlight w:val="none"/>
        </w:rPr>
        <w:t>1、名称及概况：</w:t>
      </w:r>
      <w:bookmarkEnd w:id="629"/>
    </w:p>
    <w:p w14:paraId="7C09340E">
      <w:pPr>
        <w:snapToGrid w:val="0"/>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（1）制造商名称：</w:t>
      </w:r>
      <w:r>
        <w:rPr>
          <w:rFonts w:hint="eastAsia" w:ascii="宋体" w:hAnsi="宋体" w:eastAsia="宋体" w:cs="宋体"/>
          <w:color w:val="auto"/>
          <w:szCs w:val="21"/>
          <w:highlight w:val="none"/>
          <w:u w:val="single"/>
        </w:rPr>
        <w:t xml:space="preserve">                                            </w:t>
      </w:r>
    </w:p>
    <w:p w14:paraId="351BD09F">
      <w:pPr>
        <w:snapToGrid w:val="0"/>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（2）总部地址：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 xml:space="preserve">                    </w:t>
      </w:r>
    </w:p>
    <w:p w14:paraId="67EC9335">
      <w:pPr>
        <w:snapToGrid w:val="0"/>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（3）电话号码：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传真：</w:t>
      </w:r>
      <w:r>
        <w:rPr>
          <w:rFonts w:hint="eastAsia" w:ascii="宋体" w:hAnsi="宋体" w:eastAsia="宋体" w:cs="宋体"/>
          <w:color w:val="auto"/>
          <w:szCs w:val="21"/>
          <w:highlight w:val="none"/>
          <w:u w:val="single"/>
        </w:rPr>
        <w:t xml:space="preserve">                        </w:t>
      </w:r>
    </w:p>
    <w:p w14:paraId="105FFD3F">
      <w:pPr>
        <w:snapToGrid w:val="0"/>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（4）成立和/或注册日期：</w:t>
      </w:r>
      <w:r>
        <w:rPr>
          <w:rFonts w:hint="eastAsia" w:ascii="宋体" w:hAnsi="宋体" w:eastAsia="宋体" w:cs="宋体"/>
          <w:color w:val="auto"/>
          <w:szCs w:val="21"/>
          <w:highlight w:val="none"/>
          <w:u w:val="single"/>
        </w:rPr>
        <w:t xml:space="preserve">                                     </w:t>
      </w:r>
    </w:p>
    <w:p w14:paraId="627936BB">
      <w:pPr>
        <w:snapToGrid w:val="0"/>
        <w:spacing w:line="360" w:lineRule="auto"/>
        <w:ind w:firstLine="210" w:firstLineChars="1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（5）实收资本：</w:t>
      </w:r>
      <w:r>
        <w:rPr>
          <w:rFonts w:hint="eastAsia" w:ascii="宋体" w:hAnsi="宋体" w:eastAsia="宋体" w:cs="宋体"/>
          <w:color w:val="auto"/>
          <w:szCs w:val="21"/>
          <w:highlight w:val="none"/>
          <w:u w:val="single"/>
        </w:rPr>
        <w:t xml:space="preserve">                                              </w:t>
      </w:r>
    </w:p>
    <w:p w14:paraId="7E9D6A8A">
      <w:pPr>
        <w:snapToGrid w:val="0"/>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（6）法定代表人姓名：</w:t>
      </w:r>
      <w:r>
        <w:rPr>
          <w:rFonts w:hint="eastAsia" w:ascii="宋体" w:hAnsi="宋体" w:eastAsia="宋体" w:cs="宋体"/>
          <w:color w:val="auto"/>
          <w:szCs w:val="21"/>
          <w:highlight w:val="none"/>
          <w:u w:val="single"/>
        </w:rPr>
        <w:t xml:space="preserve">                                        </w:t>
      </w:r>
    </w:p>
    <w:p w14:paraId="2CB67780">
      <w:pPr>
        <w:snapToGrid w:val="0"/>
        <w:spacing w:line="360" w:lineRule="auto"/>
        <w:ind w:firstLine="210" w:firstLineChars="1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（7）制造商代表姓名、联系电话和地址：</w:t>
      </w:r>
      <w:r>
        <w:rPr>
          <w:rFonts w:hint="eastAsia" w:ascii="宋体" w:hAnsi="宋体" w:eastAsia="宋体" w:cs="宋体"/>
          <w:color w:val="auto"/>
          <w:szCs w:val="21"/>
          <w:highlight w:val="none"/>
          <w:u w:val="single"/>
        </w:rPr>
        <w:t xml:space="preserve">                        </w:t>
      </w:r>
    </w:p>
    <w:p w14:paraId="2CC355B1">
      <w:pPr>
        <w:snapToGrid w:val="0"/>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（8）投标产品名称及品牌：</w:t>
      </w:r>
      <w:r>
        <w:rPr>
          <w:rFonts w:hint="eastAsia" w:ascii="宋体" w:hAnsi="宋体" w:eastAsia="宋体" w:cs="宋体"/>
          <w:color w:val="auto"/>
          <w:szCs w:val="21"/>
          <w:highlight w:val="none"/>
          <w:u w:val="single"/>
        </w:rPr>
        <w:t xml:space="preserve">                                    </w:t>
      </w:r>
    </w:p>
    <w:p w14:paraId="6DF5696E">
      <w:pPr>
        <w:snapToGrid w:val="0"/>
        <w:spacing w:line="360" w:lineRule="auto"/>
        <w:rPr>
          <w:rFonts w:hint="eastAsia" w:ascii="宋体" w:hAnsi="宋体" w:eastAsia="宋体" w:cs="宋体"/>
          <w:color w:val="auto"/>
          <w:szCs w:val="21"/>
          <w:highlight w:val="none"/>
        </w:rPr>
      </w:pPr>
      <w:bookmarkStart w:id="630" w:name="_Toc22703"/>
      <w:r>
        <w:rPr>
          <w:rFonts w:hint="eastAsia" w:ascii="宋体" w:hAnsi="宋体" w:eastAsia="宋体" w:cs="宋体"/>
          <w:color w:val="auto"/>
          <w:szCs w:val="21"/>
          <w:highlight w:val="none"/>
        </w:rPr>
        <w:t>2、制造投标货物的主要设备、设施及有关情况：</w:t>
      </w:r>
      <w:bookmarkEnd w:id="630"/>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20F6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vAlign w:val="center"/>
          </w:tcPr>
          <w:p w14:paraId="2DD7EA0A">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制造投标货物的工厂名称</w:t>
            </w:r>
          </w:p>
        </w:tc>
        <w:tc>
          <w:tcPr>
            <w:tcW w:w="1763" w:type="dxa"/>
            <w:vAlign w:val="center"/>
          </w:tcPr>
          <w:p w14:paraId="2C68E2D0">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制造投标货物的工厂地址</w:t>
            </w:r>
          </w:p>
        </w:tc>
        <w:tc>
          <w:tcPr>
            <w:tcW w:w="2191" w:type="dxa"/>
            <w:vAlign w:val="center"/>
          </w:tcPr>
          <w:p w14:paraId="790EDD0F">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主要生产（存储、运输）设备设施名称及数量</w:t>
            </w:r>
          </w:p>
        </w:tc>
        <w:tc>
          <w:tcPr>
            <w:tcW w:w="1323" w:type="dxa"/>
            <w:vAlign w:val="center"/>
          </w:tcPr>
          <w:p w14:paraId="3887B5BD">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购买年份</w:t>
            </w:r>
          </w:p>
        </w:tc>
        <w:tc>
          <w:tcPr>
            <w:tcW w:w="1323" w:type="dxa"/>
            <w:vAlign w:val="center"/>
          </w:tcPr>
          <w:p w14:paraId="5C6DB75A">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年生产能力</w:t>
            </w:r>
          </w:p>
        </w:tc>
        <w:tc>
          <w:tcPr>
            <w:tcW w:w="1138" w:type="dxa"/>
            <w:vAlign w:val="center"/>
          </w:tcPr>
          <w:p w14:paraId="5B9194CF">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职工人数</w:t>
            </w:r>
          </w:p>
        </w:tc>
      </w:tr>
      <w:tr w14:paraId="304C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vAlign w:val="center"/>
          </w:tcPr>
          <w:p w14:paraId="0A764660">
            <w:pPr>
              <w:snapToGrid w:val="0"/>
              <w:spacing w:line="360" w:lineRule="auto"/>
              <w:jc w:val="center"/>
              <w:rPr>
                <w:rFonts w:hint="eastAsia" w:ascii="宋体" w:hAnsi="宋体" w:eastAsia="宋体" w:cs="宋体"/>
                <w:color w:val="auto"/>
                <w:szCs w:val="21"/>
                <w:highlight w:val="none"/>
              </w:rPr>
            </w:pPr>
          </w:p>
        </w:tc>
        <w:tc>
          <w:tcPr>
            <w:tcW w:w="1763" w:type="dxa"/>
            <w:vAlign w:val="center"/>
          </w:tcPr>
          <w:p w14:paraId="078E4893">
            <w:pPr>
              <w:snapToGrid w:val="0"/>
              <w:spacing w:line="360" w:lineRule="auto"/>
              <w:jc w:val="center"/>
              <w:rPr>
                <w:rFonts w:hint="eastAsia" w:ascii="宋体" w:hAnsi="宋体" w:eastAsia="宋体" w:cs="宋体"/>
                <w:color w:val="auto"/>
                <w:szCs w:val="21"/>
                <w:highlight w:val="none"/>
              </w:rPr>
            </w:pPr>
          </w:p>
        </w:tc>
        <w:tc>
          <w:tcPr>
            <w:tcW w:w="2191" w:type="dxa"/>
            <w:vAlign w:val="center"/>
          </w:tcPr>
          <w:p w14:paraId="775EA908">
            <w:pPr>
              <w:snapToGrid w:val="0"/>
              <w:spacing w:line="360" w:lineRule="auto"/>
              <w:jc w:val="center"/>
              <w:rPr>
                <w:rFonts w:hint="eastAsia" w:ascii="宋体" w:hAnsi="宋体" w:eastAsia="宋体" w:cs="宋体"/>
                <w:color w:val="auto"/>
                <w:szCs w:val="21"/>
                <w:highlight w:val="none"/>
              </w:rPr>
            </w:pPr>
          </w:p>
        </w:tc>
        <w:tc>
          <w:tcPr>
            <w:tcW w:w="1323" w:type="dxa"/>
            <w:vAlign w:val="center"/>
          </w:tcPr>
          <w:p w14:paraId="42D12CB4">
            <w:pPr>
              <w:snapToGrid w:val="0"/>
              <w:spacing w:line="360" w:lineRule="auto"/>
              <w:jc w:val="center"/>
              <w:rPr>
                <w:rFonts w:hint="eastAsia" w:ascii="宋体" w:hAnsi="宋体" w:eastAsia="宋体" w:cs="宋体"/>
                <w:color w:val="auto"/>
                <w:szCs w:val="21"/>
                <w:highlight w:val="none"/>
              </w:rPr>
            </w:pPr>
          </w:p>
        </w:tc>
        <w:tc>
          <w:tcPr>
            <w:tcW w:w="1323" w:type="dxa"/>
            <w:vAlign w:val="center"/>
          </w:tcPr>
          <w:p w14:paraId="6443D4FC">
            <w:pPr>
              <w:snapToGrid w:val="0"/>
              <w:spacing w:line="360" w:lineRule="auto"/>
              <w:jc w:val="center"/>
              <w:rPr>
                <w:rFonts w:hint="eastAsia" w:ascii="宋体" w:hAnsi="宋体" w:eastAsia="宋体" w:cs="宋体"/>
                <w:color w:val="auto"/>
                <w:szCs w:val="21"/>
                <w:highlight w:val="none"/>
              </w:rPr>
            </w:pPr>
          </w:p>
        </w:tc>
        <w:tc>
          <w:tcPr>
            <w:tcW w:w="1138" w:type="dxa"/>
            <w:vAlign w:val="center"/>
          </w:tcPr>
          <w:p w14:paraId="39556599">
            <w:pPr>
              <w:snapToGrid w:val="0"/>
              <w:spacing w:line="360" w:lineRule="auto"/>
              <w:jc w:val="center"/>
              <w:rPr>
                <w:rFonts w:hint="eastAsia" w:ascii="宋体" w:hAnsi="宋体" w:eastAsia="宋体" w:cs="宋体"/>
                <w:color w:val="auto"/>
                <w:szCs w:val="21"/>
                <w:highlight w:val="none"/>
              </w:rPr>
            </w:pPr>
          </w:p>
        </w:tc>
      </w:tr>
      <w:tr w14:paraId="74FA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vAlign w:val="center"/>
          </w:tcPr>
          <w:p w14:paraId="7CCC7B78">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63" w:type="dxa"/>
            <w:vAlign w:val="center"/>
          </w:tcPr>
          <w:p w14:paraId="15CBE33A">
            <w:pPr>
              <w:snapToGrid w:val="0"/>
              <w:spacing w:line="360" w:lineRule="auto"/>
              <w:jc w:val="center"/>
              <w:rPr>
                <w:rFonts w:hint="eastAsia" w:ascii="宋体" w:hAnsi="宋体" w:eastAsia="宋体" w:cs="宋体"/>
                <w:color w:val="auto"/>
                <w:szCs w:val="21"/>
                <w:highlight w:val="none"/>
              </w:rPr>
            </w:pPr>
          </w:p>
        </w:tc>
        <w:tc>
          <w:tcPr>
            <w:tcW w:w="2191" w:type="dxa"/>
            <w:vAlign w:val="center"/>
          </w:tcPr>
          <w:p w14:paraId="3EEDD0E1">
            <w:pPr>
              <w:snapToGrid w:val="0"/>
              <w:spacing w:line="360" w:lineRule="auto"/>
              <w:jc w:val="center"/>
              <w:rPr>
                <w:rFonts w:hint="eastAsia" w:ascii="宋体" w:hAnsi="宋体" w:eastAsia="宋体" w:cs="宋体"/>
                <w:color w:val="auto"/>
                <w:szCs w:val="21"/>
                <w:highlight w:val="none"/>
              </w:rPr>
            </w:pPr>
          </w:p>
        </w:tc>
        <w:tc>
          <w:tcPr>
            <w:tcW w:w="1323" w:type="dxa"/>
            <w:vAlign w:val="center"/>
          </w:tcPr>
          <w:p w14:paraId="5AAFD4DF">
            <w:pPr>
              <w:snapToGrid w:val="0"/>
              <w:spacing w:line="360" w:lineRule="auto"/>
              <w:jc w:val="center"/>
              <w:rPr>
                <w:rFonts w:hint="eastAsia" w:ascii="宋体" w:hAnsi="宋体" w:eastAsia="宋体" w:cs="宋体"/>
                <w:color w:val="auto"/>
                <w:szCs w:val="21"/>
                <w:highlight w:val="none"/>
              </w:rPr>
            </w:pPr>
          </w:p>
        </w:tc>
        <w:tc>
          <w:tcPr>
            <w:tcW w:w="1323" w:type="dxa"/>
            <w:vAlign w:val="center"/>
          </w:tcPr>
          <w:p w14:paraId="2C6F2734">
            <w:pPr>
              <w:snapToGrid w:val="0"/>
              <w:spacing w:line="360" w:lineRule="auto"/>
              <w:jc w:val="center"/>
              <w:rPr>
                <w:rFonts w:hint="eastAsia" w:ascii="宋体" w:hAnsi="宋体" w:eastAsia="宋体" w:cs="宋体"/>
                <w:color w:val="auto"/>
                <w:szCs w:val="21"/>
                <w:highlight w:val="none"/>
              </w:rPr>
            </w:pPr>
          </w:p>
        </w:tc>
        <w:tc>
          <w:tcPr>
            <w:tcW w:w="1138" w:type="dxa"/>
            <w:vAlign w:val="center"/>
          </w:tcPr>
          <w:p w14:paraId="0F528F06">
            <w:pPr>
              <w:snapToGrid w:val="0"/>
              <w:spacing w:line="360" w:lineRule="auto"/>
              <w:jc w:val="center"/>
              <w:rPr>
                <w:rFonts w:hint="eastAsia" w:ascii="宋体" w:hAnsi="宋体" w:eastAsia="宋体" w:cs="宋体"/>
                <w:color w:val="auto"/>
                <w:szCs w:val="21"/>
                <w:highlight w:val="none"/>
              </w:rPr>
            </w:pPr>
          </w:p>
        </w:tc>
      </w:tr>
    </w:tbl>
    <w:p w14:paraId="056BA56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3、投标货物中本制造商不生产，而需从其它制造商购买的主要材料：</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48F3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vAlign w:val="center"/>
          </w:tcPr>
          <w:p w14:paraId="7EFEC9D4">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主要材料名称</w:t>
            </w:r>
          </w:p>
        </w:tc>
        <w:tc>
          <w:tcPr>
            <w:tcW w:w="3421" w:type="dxa"/>
            <w:vAlign w:val="center"/>
          </w:tcPr>
          <w:p w14:paraId="2703B180">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制造厂名称</w:t>
            </w:r>
          </w:p>
        </w:tc>
        <w:tc>
          <w:tcPr>
            <w:tcW w:w="2827" w:type="dxa"/>
            <w:vAlign w:val="center"/>
          </w:tcPr>
          <w:p w14:paraId="2FB7E50C">
            <w:pPr>
              <w:snapToGrid w:val="0"/>
              <w:spacing w:line="360" w:lineRule="auto"/>
              <w:ind w:firstLine="1050" w:firstLineChars="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r>
      <w:tr w14:paraId="3DD3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vAlign w:val="center"/>
          </w:tcPr>
          <w:p w14:paraId="5B3D04FE">
            <w:pPr>
              <w:snapToGrid w:val="0"/>
              <w:spacing w:line="360" w:lineRule="auto"/>
              <w:jc w:val="center"/>
              <w:rPr>
                <w:rFonts w:hint="eastAsia" w:ascii="宋体" w:hAnsi="宋体" w:eastAsia="宋体" w:cs="宋体"/>
                <w:color w:val="auto"/>
                <w:szCs w:val="21"/>
                <w:highlight w:val="none"/>
              </w:rPr>
            </w:pPr>
          </w:p>
        </w:tc>
        <w:tc>
          <w:tcPr>
            <w:tcW w:w="3421" w:type="dxa"/>
            <w:vAlign w:val="center"/>
          </w:tcPr>
          <w:p w14:paraId="428ABB25">
            <w:pPr>
              <w:snapToGrid w:val="0"/>
              <w:spacing w:line="360" w:lineRule="auto"/>
              <w:jc w:val="center"/>
              <w:rPr>
                <w:rFonts w:hint="eastAsia" w:ascii="宋体" w:hAnsi="宋体" w:eastAsia="宋体" w:cs="宋体"/>
                <w:color w:val="auto"/>
                <w:szCs w:val="21"/>
                <w:highlight w:val="none"/>
              </w:rPr>
            </w:pPr>
          </w:p>
        </w:tc>
        <w:tc>
          <w:tcPr>
            <w:tcW w:w="2827" w:type="dxa"/>
            <w:vAlign w:val="center"/>
          </w:tcPr>
          <w:p w14:paraId="378529CC">
            <w:pPr>
              <w:snapToGrid w:val="0"/>
              <w:spacing w:line="360" w:lineRule="auto"/>
              <w:jc w:val="center"/>
              <w:rPr>
                <w:rFonts w:hint="eastAsia" w:ascii="宋体" w:hAnsi="宋体" w:eastAsia="宋体" w:cs="宋体"/>
                <w:color w:val="auto"/>
                <w:szCs w:val="21"/>
                <w:highlight w:val="none"/>
              </w:rPr>
            </w:pPr>
          </w:p>
        </w:tc>
      </w:tr>
      <w:tr w14:paraId="4A33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vAlign w:val="center"/>
          </w:tcPr>
          <w:p w14:paraId="63F43EA5">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421" w:type="dxa"/>
            <w:vAlign w:val="center"/>
          </w:tcPr>
          <w:p w14:paraId="694319F8">
            <w:pPr>
              <w:snapToGrid w:val="0"/>
              <w:spacing w:line="360" w:lineRule="auto"/>
              <w:jc w:val="center"/>
              <w:rPr>
                <w:rFonts w:hint="eastAsia" w:ascii="宋体" w:hAnsi="宋体" w:eastAsia="宋体" w:cs="宋体"/>
                <w:color w:val="auto"/>
                <w:szCs w:val="21"/>
                <w:highlight w:val="none"/>
              </w:rPr>
            </w:pPr>
          </w:p>
        </w:tc>
        <w:tc>
          <w:tcPr>
            <w:tcW w:w="2827" w:type="dxa"/>
            <w:vAlign w:val="center"/>
          </w:tcPr>
          <w:p w14:paraId="3390BB2F">
            <w:pPr>
              <w:snapToGrid w:val="0"/>
              <w:spacing w:line="360" w:lineRule="auto"/>
              <w:jc w:val="center"/>
              <w:rPr>
                <w:rFonts w:hint="eastAsia" w:ascii="宋体" w:hAnsi="宋体" w:eastAsia="宋体" w:cs="宋体"/>
                <w:color w:val="auto"/>
                <w:szCs w:val="21"/>
                <w:highlight w:val="none"/>
              </w:rPr>
            </w:pPr>
          </w:p>
        </w:tc>
      </w:tr>
    </w:tbl>
    <w:p w14:paraId="1DF08E3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4、近三年该货物主要销售给国内、外主要客户的名称地址：</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1A8F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3019" w:type="dxa"/>
            <w:vAlign w:val="center"/>
          </w:tcPr>
          <w:p w14:paraId="7C0013C2">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客户名称</w:t>
            </w:r>
          </w:p>
        </w:tc>
        <w:tc>
          <w:tcPr>
            <w:tcW w:w="3324" w:type="dxa"/>
            <w:vAlign w:val="center"/>
          </w:tcPr>
          <w:p w14:paraId="38B08B93">
            <w:pPr>
              <w:snapToGrid w:val="0"/>
              <w:spacing w:line="360" w:lineRule="auto"/>
              <w:ind w:left="3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销售货物</w:t>
            </w:r>
          </w:p>
        </w:tc>
        <w:tc>
          <w:tcPr>
            <w:tcW w:w="2718" w:type="dxa"/>
            <w:vAlign w:val="center"/>
          </w:tcPr>
          <w:p w14:paraId="39D493A7">
            <w:pPr>
              <w:snapToGrid w:val="0"/>
              <w:spacing w:line="360" w:lineRule="auto"/>
              <w:ind w:left="3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r>
      <w:tr w14:paraId="14D8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vAlign w:val="center"/>
          </w:tcPr>
          <w:p w14:paraId="263A385B">
            <w:pPr>
              <w:snapToGrid w:val="0"/>
              <w:spacing w:line="360" w:lineRule="auto"/>
              <w:jc w:val="center"/>
              <w:rPr>
                <w:rFonts w:hint="eastAsia" w:ascii="宋体" w:hAnsi="宋体" w:eastAsia="宋体" w:cs="宋体"/>
                <w:color w:val="auto"/>
                <w:szCs w:val="21"/>
                <w:highlight w:val="none"/>
              </w:rPr>
            </w:pPr>
          </w:p>
        </w:tc>
        <w:tc>
          <w:tcPr>
            <w:tcW w:w="3324" w:type="dxa"/>
            <w:vAlign w:val="center"/>
          </w:tcPr>
          <w:p w14:paraId="76A7E6D8">
            <w:pPr>
              <w:snapToGrid w:val="0"/>
              <w:spacing w:line="360" w:lineRule="auto"/>
              <w:ind w:left="342"/>
              <w:jc w:val="center"/>
              <w:rPr>
                <w:rFonts w:hint="eastAsia" w:ascii="宋体" w:hAnsi="宋体" w:eastAsia="宋体" w:cs="宋体"/>
                <w:snapToGrid w:val="0"/>
                <w:color w:val="auto"/>
                <w:szCs w:val="21"/>
                <w:highlight w:val="none"/>
              </w:rPr>
            </w:pPr>
          </w:p>
        </w:tc>
        <w:tc>
          <w:tcPr>
            <w:tcW w:w="2718" w:type="dxa"/>
            <w:vAlign w:val="center"/>
          </w:tcPr>
          <w:p w14:paraId="57D11BDB">
            <w:pPr>
              <w:snapToGrid w:val="0"/>
              <w:spacing w:line="360" w:lineRule="auto"/>
              <w:ind w:left="342"/>
              <w:jc w:val="center"/>
              <w:rPr>
                <w:rFonts w:hint="eastAsia" w:ascii="宋体" w:hAnsi="宋体" w:eastAsia="宋体" w:cs="宋体"/>
                <w:snapToGrid w:val="0"/>
                <w:color w:val="auto"/>
                <w:szCs w:val="21"/>
                <w:highlight w:val="none"/>
              </w:rPr>
            </w:pPr>
          </w:p>
        </w:tc>
      </w:tr>
      <w:tr w14:paraId="2AE4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vAlign w:val="center"/>
          </w:tcPr>
          <w:p w14:paraId="05DA2E4C">
            <w:pPr>
              <w:snapToGrid w:val="0"/>
              <w:spacing w:line="360" w:lineRule="auto"/>
              <w:jc w:val="center"/>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t>……</w:t>
            </w:r>
          </w:p>
        </w:tc>
        <w:tc>
          <w:tcPr>
            <w:tcW w:w="3324" w:type="dxa"/>
            <w:vAlign w:val="center"/>
          </w:tcPr>
          <w:p w14:paraId="002764F0">
            <w:pPr>
              <w:snapToGrid w:val="0"/>
              <w:spacing w:line="360" w:lineRule="auto"/>
              <w:ind w:left="357"/>
              <w:jc w:val="center"/>
              <w:rPr>
                <w:rFonts w:hint="eastAsia" w:ascii="宋体" w:hAnsi="宋体" w:eastAsia="宋体" w:cs="宋体"/>
                <w:snapToGrid w:val="0"/>
                <w:color w:val="auto"/>
                <w:szCs w:val="21"/>
                <w:highlight w:val="none"/>
              </w:rPr>
            </w:pPr>
          </w:p>
        </w:tc>
        <w:tc>
          <w:tcPr>
            <w:tcW w:w="2718" w:type="dxa"/>
            <w:vAlign w:val="center"/>
          </w:tcPr>
          <w:p w14:paraId="484F5908">
            <w:pPr>
              <w:snapToGrid w:val="0"/>
              <w:spacing w:line="360" w:lineRule="auto"/>
              <w:ind w:left="357"/>
              <w:jc w:val="center"/>
              <w:rPr>
                <w:rFonts w:hint="eastAsia" w:ascii="宋体" w:hAnsi="宋体" w:eastAsia="宋体" w:cs="宋体"/>
                <w:snapToGrid w:val="0"/>
                <w:color w:val="auto"/>
                <w:szCs w:val="21"/>
                <w:highlight w:val="none"/>
              </w:rPr>
            </w:pPr>
          </w:p>
        </w:tc>
      </w:tr>
    </w:tbl>
    <w:p w14:paraId="10A47A0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5、生产及管理人员</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0FF3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jc w:val="center"/>
        </w:trPr>
        <w:tc>
          <w:tcPr>
            <w:tcW w:w="666" w:type="dxa"/>
            <w:vAlign w:val="center"/>
          </w:tcPr>
          <w:p w14:paraId="64D312A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96" w:type="dxa"/>
            <w:vAlign w:val="center"/>
          </w:tcPr>
          <w:p w14:paraId="7D02627D">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692" w:type="dxa"/>
            <w:vAlign w:val="center"/>
          </w:tcPr>
          <w:p w14:paraId="6286B73E">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692" w:type="dxa"/>
            <w:vAlign w:val="center"/>
          </w:tcPr>
          <w:p w14:paraId="5A4E9C34">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692" w:type="dxa"/>
            <w:vAlign w:val="center"/>
          </w:tcPr>
          <w:p w14:paraId="2A6BC4E7">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165" w:type="dxa"/>
            <w:vAlign w:val="center"/>
          </w:tcPr>
          <w:p w14:paraId="30934872">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所学专业</w:t>
            </w:r>
          </w:p>
        </w:tc>
        <w:tc>
          <w:tcPr>
            <w:tcW w:w="1165" w:type="dxa"/>
            <w:vAlign w:val="center"/>
          </w:tcPr>
          <w:p w14:paraId="01C66873">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资格/职称证书</w:t>
            </w:r>
          </w:p>
        </w:tc>
        <w:tc>
          <w:tcPr>
            <w:tcW w:w="719" w:type="dxa"/>
            <w:vAlign w:val="center"/>
          </w:tcPr>
          <w:p w14:paraId="528E950D">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104" w:type="dxa"/>
            <w:vAlign w:val="center"/>
          </w:tcPr>
          <w:p w14:paraId="10575D3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从事本行业年限</w:t>
            </w:r>
          </w:p>
        </w:tc>
        <w:tc>
          <w:tcPr>
            <w:tcW w:w="970" w:type="dxa"/>
            <w:vAlign w:val="center"/>
          </w:tcPr>
          <w:p w14:paraId="40EEDC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备注</w:t>
            </w:r>
          </w:p>
        </w:tc>
      </w:tr>
      <w:tr w14:paraId="61C4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vAlign w:val="center"/>
          </w:tcPr>
          <w:p w14:paraId="1A81AFA1">
            <w:pPr>
              <w:snapToGrid w:val="0"/>
              <w:spacing w:line="360" w:lineRule="auto"/>
              <w:jc w:val="center"/>
              <w:rPr>
                <w:rFonts w:hint="eastAsia" w:ascii="宋体" w:hAnsi="宋体" w:eastAsia="宋体" w:cs="宋体"/>
                <w:color w:val="auto"/>
                <w:szCs w:val="21"/>
                <w:highlight w:val="none"/>
              </w:rPr>
            </w:pPr>
          </w:p>
        </w:tc>
        <w:tc>
          <w:tcPr>
            <w:tcW w:w="1196" w:type="dxa"/>
            <w:vAlign w:val="center"/>
          </w:tcPr>
          <w:p w14:paraId="5ACDF09C">
            <w:pPr>
              <w:snapToGrid w:val="0"/>
              <w:spacing w:line="360" w:lineRule="auto"/>
              <w:jc w:val="center"/>
              <w:rPr>
                <w:rFonts w:hint="eastAsia" w:ascii="宋体" w:hAnsi="宋体" w:eastAsia="宋体" w:cs="宋体"/>
                <w:color w:val="auto"/>
                <w:szCs w:val="21"/>
                <w:highlight w:val="none"/>
              </w:rPr>
            </w:pPr>
          </w:p>
        </w:tc>
        <w:tc>
          <w:tcPr>
            <w:tcW w:w="692" w:type="dxa"/>
            <w:vAlign w:val="center"/>
          </w:tcPr>
          <w:p w14:paraId="749F63FB">
            <w:pPr>
              <w:snapToGrid w:val="0"/>
              <w:spacing w:line="360" w:lineRule="auto"/>
              <w:jc w:val="center"/>
              <w:rPr>
                <w:rFonts w:hint="eastAsia" w:ascii="宋体" w:hAnsi="宋体" w:eastAsia="宋体" w:cs="宋体"/>
                <w:color w:val="auto"/>
                <w:szCs w:val="21"/>
                <w:highlight w:val="none"/>
              </w:rPr>
            </w:pPr>
          </w:p>
        </w:tc>
        <w:tc>
          <w:tcPr>
            <w:tcW w:w="692" w:type="dxa"/>
            <w:vAlign w:val="center"/>
          </w:tcPr>
          <w:p w14:paraId="6E5EFCE0">
            <w:pPr>
              <w:snapToGrid w:val="0"/>
              <w:spacing w:line="360" w:lineRule="auto"/>
              <w:jc w:val="center"/>
              <w:rPr>
                <w:rFonts w:hint="eastAsia" w:ascii="宋体" w:hAnsi="宋体" w:eastAsia="宋体" w:cs="宋体"/>
                <w:color w:val="auto"/>
                <w:szCs w:val="21"/>
                <w:highlight w:val="none"/>
              </w:rPr>
            </w:pPr>
          </w:p>
        </w:tc>
        <w:tc>
          <w:tcPr>
            <w:tcW w:w="692" w:type="dxa"/>
            <w:vAlign w:val="center"/>
          </w:tcPr>
          <w:p w14:paraId="06457F8F">
            <w:pPr>
              <w:snapToGrid w:val="0"/>
              <w:spacing w:line="360" w:lineRule="auto"/>
              <w:jc w:val="center"/>
              <w:rPr>
                <w:rFonts w:hint="eastAsia" w:ascii="宋体" w:hAnsi="宋体" w:eastAsia="宋体" w:cs="宋体"/>
                <w:color w:val="auto"/>
                <w:szCs w:val="21"/>
                <w:highlight w:val="none"/>
              </w:rPr>
            </w:pPr>
          </w:p>
        </w:tc>
        <w:tc>
          <w:tcPr>
            <w:tcW w:w="1165" w:type="dxa"/>
            <w:vAlign w:val="center"/>
          </w:tcPr>
          <w:p w14:paraId="50FCAABC">
            <w:pPr>
              <w:snapToGrid w:val="0"/>
              <w:spacing w:line="360" w:lineRule="auto"/>
              <w:jc w:val="center"/>
              <w:rPr>
                <w:rFonts w:hint="eastAsia" w:ascii="宋体" w:hAnsi="宋体" w:eastAsia="宋体" w:cs="宋体"/>
                <w:color w:val="auto"/>
                <w:szCs w:val="21"/>
                <w:highlight w:val="none"/>
              </w:rPr>
            </w:pPr>
          </w:p>
        </w:tc>
        <w:tc>
          <w:tcPr>
            <w:tcW w:w="1165" w:type="dxa"/>
            <w:vAlign w:val="center"/>
          </w:tcPr>
          <w:p w14:paraId="4EB47954">
            <w:pPr>
              <w:snapToGrid w:val="0"/>
              <w:spacing w:line="360" w:lineRule="auto"/>
              <w:jc w:val="center"/>
              <w:rPr>
                <w:rFonts w:hint="eastAsia" w:ascii="宋体" w:hAnsi="宋体" w:eastAsia="宋体" w:cs="宋体"/>
                <w:color w:val="auto"/>
                <w:szCs w:val="21"/>
                <w:highlight w:val="none"/>
              </w:rPr>
            </w:pPr>
          </w:p>
        </w:tc>
        <w:tc>
          <w:tcPr>
            <w:tcW w:w="719" w:type="dxa"/>
            <w:vAlign w:val="center"/>
          </w:tcPr>
          <w:p w14:paraId="23E97734">
            <w:pPr>
              <w:snapToGrid w:val="0"/>
              <w:spacing w:line="360" w:lineRule="auto"/>
              <w:jc w:val="center"/>
              <w:rPr>
                <w:rFonts w:hint="eastAsia" w:ascii="宋体" w:hAnsi="宋体" w:eastAsia="宋体" w:cs="宋体"/>
                <w:color w:val="auto"/>
                <w:szCs w:val="21"/>
                <w:highlight w:val="none"/>
              </w:rPr>
            </w:pPr>
          </w:p>
        </w:tc>
        <w:tc>
          <w:tcPr>
            <w:tcW w:w="1104" w:type="dxa"/>
            <w:vAlign w:val="center"/>
          </w:tcPr>
          <w:p w14:paraId="1738544C">
            <w:pPr>
              <w:snapToGrid w:val="0"/>
              <w:spacing w:line="360" w:lineRule="auto"/>
              <w:jc w:val="center"/>
              <w:rPr>
                <w:rFonts w:hint="eastAsia" w:ascii="宋体" w:hAnsi="宋体" w:eastAsia="宋体" w:cs="宋体"/>
                <w:color w:val="auto"/>
                <w:szCs w:val="21"/>
                <w:highlight w:val="none"/>
              </w:rPr>
            </w:pPr>
          </w:p>
        </w:tc>
        <w:tc>
          <w:tcPr>
            <w:tcW w:w="970" w:type="dxa"/>
            <w:vAlign w:val="center"/>
          </w:tcPr>
          <w:p w14:paraId="6B7F13A1">
            <w:pPr>
              <w:snapToGrid w:val="0"/>
              <w:spacing w:line="360" w:lineRule="auto"/>
              <w:jc w:val="center"/>
              <w:rPr>
                <w:rFonts w:hint="eastAsia" w:ascii="宋体" w:hAnsi="宋体" w:eastAsia="宋体" w:cs="宋体"/>
                <w:color w:val="auto"/>
                <w:szCs w:val="21"/>
                <w:highlight w:val="none"/>
              </w:rPr>
            </w:pPr>
          </w:p>
        </w:tc>
      </w:tr>
      <w:tr w14:paraId="365E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vAlign w:val="center"/>
          </w:tcPr>
          <w:p w14:paraId="143E39ED">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96" w:type="dxa"/>
            <w:vAlign w:val="center"/>
          </w:tcPr>
          <w:p w14:paraId="05EA8450">
            <w:pPr>
              <w:snapToGrid w:val="0"/>
              <w:spacing w:line="360" w:lineRule="auto"/>
              <w:jc w:val="center"/>
              <w:rPr>
                <w:rFonts w:hint="eastAsia" w:ascii="宋体" w:hAnsi="宋体" w:eastAsia="宋体" w:cs="宋体"/>
                <w:color w:val="auto"/>
                <w:szCs w:val="21"/>
                <w:highlight w:val="none"/>
              </w:rPr>
            </w:pPr>
          </w:p>
        </w:tc>
        <w:tc>
          <w:tcPr>
            <w:tcW w:w="692" w:type="dxa"/>
            <w:vAlign w:val="center"/>
          </w:tcPr>
          <w:p w14:paraId="37D7EF9E">
            <w:pPr>
              <w:snapToGrid w:val="0"/>
              <w:spacing w:line="360" w:lineRule="auto"/>
              <w:jc w:val="center"/>
              <w:rPr>
                <w:rFonts w:hint="eastAsia" w:ascii="宋体" w:hAnsi="宋体" w:eastAsia="宋体" w:cs="宋体"/>
                <w:color w:val="auto"/>
                <w:szCs w:val="21"/>
                <w:highlight w:val="none"/>
              </w:rPr>
            </w:pPr>
          </w:p>
        </w:tc>
        <w:tc>
          <w:tcPr>
            <w:tcW w:w="692" w:type="dxa"/>
            <w:vAlign w:val="center"/>
          </w:tcPr>
          <w:p w14:paraId="7D95AB91">
            <w:pPr>
              <w:snapToGrid w:val="0"/>
              <w:spacing w:line="360" w:lineRule="auto"/>
              <w:jc w:val="center"/>
              <w:rPr>
                <w:rFonts w:hint="eastAsia" w:ascii="宋体" w:hAnsi="宋体" w:eastAsia="宋体" w:cs="宋体"/>
                <w:color w:val="auto"/>
                <w:szCs w:val="21"/>
                <w:highlight w:val="none"/>
              </w:rPr>
            </w:pPr>
          </w:p>
        </w:tc>
        <w:tc>
          <w:tcPr>
            <w:tcW w:w="692" w:type="dxa"/>
            <w:vAlign w:val="center"/>
          </w:tcPr>
          <w:p w14:paraId="4DB3FBC6">
            <w:pPr>
              <w:snapToGrid w:val="0"/>
              <w:spacing w:line="360" w:lineRule="auto"/>
              <w:jc w:val="center"/>
              <w:rPr>
                <w:rFonts w:hint="eastAsia" w:ascii="宋体" w:hAnsi="宋体" w:eastAsia="宋体" w:cs="宋体"/>
                <w:color w:val="auto"/>
                <w:szCs w:val="21"/>
                <w:highlight w:val="none"/>
              </w:rPr>
            </w:pPr>
          </w:p>
        </w:tc>
        <w:tc>
          <w:tcPr>
            <w:tcW w:w="1165" w:type="dxa"/>
            <w:vAlign w:val="center"/>
          </w:tcPr>
          <w:p w14:paraId="36765CCB">
            <w:pPr>
              <w:snapToGrid w:val="0"/>
              <w:spacing w:line="360" w:lineRule="auto"/>
              <w:jc w:val="center"/>
              <w:rPr>
                <w:rFonts w:hint="eastAsia" w:ascii="宋体" w:hAnsi="宋体" w:eastAsia="宋体" w:cs="宋体"/>
                <w:color w:val="auto"/>
                <w:szCs w:val="21"/>
                <w:highlight w:val="none"/>
              </w:rPr>
            </w:pPr>
          </w:p>
        </w:tc>
        <w:tc>
          <w:tcPr>
            <w:tcW w:w="1165" w:type="dxa"/>
            <w:vAlign w:val="center"/>
          </w:tcPr>
          <w:p w14:paraId="438D4654">
            <w:pPr>
              <w:snapToGrid w:val="0"/>
              <w:spacing w:line="360" w:lineRule="auto"/>
              <w:jc w:val="center"/>
              <w:rPr>
                <w:rFonts w:hint="eastAsia" w:ascii="宋体" w:hAnsi="宋体" w:eastAsia="宋体" w:cs="宋体"/>
                <w:color w:val="auto"/>
                <w:szCs w:val="21"/>
                <w:highlight w:val="none"/>
              </w:rPr>
            </w:pPr>
          </w:p>
        </w:tc>
        <w:tc>
          <w:tcPr>
            <w:tcW w:w="719" w:type="dxa"/>
            <w:vAlign w:val="center"/>
          </w:tcPr>
          <w:p w14:paraId="2BBFBFCB">
            <w:pPr>
              <w:snapToGrid w:val="0"/>
              <w:spacing w:line="360" w:lineRule="auto"/>
              <w:jc w:val="center"/>
              <w:rPr>
                <w:rFonts w:hint="eastAsia" w:ascii="宋体" w:hAnsi="宋体" w:eastAsia="宋体" w:cs="宋体"/>
                <w:color w:val="auto"/>
                <w:szCs w:val="21"/>
                <w:highlight w:val="none"/>
              </w:rPr>
            </w:pPr>
          </w:p>
        </w:tc>
        <w:tc>
          <w:tcPr>
            <w:tcW w:w="1104" w:type="dxa"/>
            <w:vAlign w:val="center"/>
          </w:tcPr>
          <w:p w14:paraId="3420FCF3">
            <w:pPr>
              <w:snapToGrid w:val="0"/>
              <w:spacing w:line="360" w:lineRule="auto"/>
              <w:jc w:val="center"/>
              <w:rPr>
                <w:rFonts w:hint="eastAsia" w:ascii="宋体" w:hAnsi="宋体" w:eastAsia="宋体" w:cs="宋体"/>
                <w:color w:val="auto"/>
                <w:szCs w:val="21"/>
                <w:highlight w:val="none"/>
              </w:rPr>
            </w:pPr>
          </w:p>
        </w:tc>
        <w:tc>
          <w:tcPr>
            <w:tcW w:w="970" w:type="dxa"/>
            <w:vAlign w:val="center"/>
          </w:tcPr>
          <w:p w14:paraId="40A35FE4">
            <w:pPr>
              <w:snapToGrid w:val="0"/>
              <w:spacing w:line="360" w:lineRule="auto"/>
              <w:jc w:val="center"/>
              <w:rPr>
                <w:rFonts w:hint="eastAsia" w:ascii="宋体" w:hAnsi="宋体" w:eastAsia="宋体" w:cs="宋体"/>
                <w:color w:val="auto"/>
                <w:szCs w:val="21"/>
                <w:highlight w:val="none"/>
              </w:rPr>
            </w:pPr>
          </w:p>
        </w:tc>
      </w:tr>
    </w:tbl>
    <w:p w14:paraId="2A27521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6、其他情况：(公司简介、技术力量、本制造商生产投标货物的经验等)</w:t>
      </w:r>
    </w:p>
    <w:p w14:paraId="639A0626">
      <w:pPr>
        <w:pStyle w:val="3"/>
        <w:snapToGrid w:val="0"/>
        <w:spacing w:line="360" w:lineRule="auto"/>
        <w:ind w:left="0" w:leftChars="0"/>
        <w:rPr>
          <w:rFonts w:hint="eastAsia" w:ascii="宋体" w:hAnsi="宋体" w:cs="宋体"/>
          <w:color w:val="auto"/>
          <w:szCs w:val="21"/>
          <w:highlight w:val="none"/>
        </w:rPr>
      </w:pPr>
    </w:p>
    <w:p w14:paraId="21261C08">
      <w:pPr>
        <w:pStyle w:val="3"/>
        <w:snapToGrid w:val="0"/>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兹证明上述声明是真实的、正确的，并提供了全部能提供的资料和数据，我们同意遵照贵方要求出示有关证明文件。</w:t>
      </w:r>
    </w:p>
    <w:p w14:paraId="61E48739">
      <w:pPr>
        <w:pStyle w:val="3"/>
        <w:snapToGrid w:val="0"/>
        <w:spacing w:line="360" w:lineRule="auto"/>
        <w:ind w:left="0" w:leftChars="0"/>
        <w:rPr>
          <w:rFonts w:hint="eastAsia" w:ascii="宋体" w:hAnsi="宋体" w:cs="宋体"/>
          <w:color w:val="auto"/>
          <w:szCs w:val="21"/>
          <w:highlight w:val="none"/>
        </w:rPr>
      </w:pPr>
    </w:p>
    <w:p w14:paraId="3CD48E90">
      <w:pPr>
        <w:pStyle w:val="3"/>
        <w:snapToGrid w:val="0"/>
        <w:spacing w:line="360" w:lineRule="auto"/>
        <w:ind w:left="0" w:leftChars="0"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制造商名称：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（同时加盖制造商法人公章）</w:t>
      </w:r>
    </w:p>
    <w:p w14:paraId="64014833">
      <w:pPr>
        <w:snapToGrid w:val="0"/>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制造商</w:t>
      </w:r>
      <w:r>
        <w:rPr>
          <w:rFonts w:hint="eastAsia" w:ascii="宋体" w:hAnsi="宋体" w:eastAsia="宋体" w:cs="宋体"/>
          <w:color w:val="auto"/>
          <w:szCs w:val="21"/>
          <w:highlight w:val="none"/>
        </w:rPr>
        <w:t>法定代表人或被授权人：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（打印名字，并签名或盖私章）</w:t>
      </w:r>
    </w:p>
    <w:p w14:paraId="151AD93C">
      <w:pPr>
        <w:pStyle w:val="3"/>
        <w:snapToGrid w:val="0"/>
        <w:spacing w:line="360" w:lineRule="auto"/>
        <w:ind w:left="0" w:leftChars="0"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签署人职务：</w:t>
      </w:r>
      <w:r>
        <w:rPr>
          <w:rFonts w:hint="eastAsia" w:ascii="宋体" w:hAnsi="宋体" w:cs="宋体"/>
          <w:color w:val="auto"/>
          <w:szCs w:val="21"/>
          <w:highlight w:val="none"/>
          <w:u w:val="single"/>
        </w:rPr>
        <w:t xml:space="preserve">                                     </w:t>
      </w:r>
    </w:p>
    <w:p w14:paraId="1BD25951">
      <w:pPr>
        <w:pStyle w:val="3"/>
        <w:snapToGrid w:val="0"/>
        <w:spacing w:line="360" w:lineRule="auto"/>
        <w:ind w:left="0" w:leftChars="0" w:firstLine="525" w:firstLineChars="250"/>
        <w:rPr>
          <w:rFonts w:hint="eastAsia"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p>
    <w:p w14:paraId="6D8E8F58">
      <w:pPr>
        <w:pStyle w:val="3"/>
        <w:snapToGrid w:val="0"/>
        <w:spacing w:line="360" w:lineRule="auto"/>
        <w:ind w:left="0" w:leftChars="0"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14:paraId="6B74FCC9">
      <w:pPr>
        <w:pStyle w:val="3"/>
        <w:snapToGrid w:val="0"/>
        <w:spacing w:line="360" w:lineRule="auto"/>
        <w:ind w:left="0" w:leftChars="0"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网址：</w:t>
      </w:r>
      <w:r>
        <w:rPr>
          <w:rFonts w:hint="eastAsia" w:ascii="宋体" w:hAnsi="宋体" w:cs="宋体"/>
          <w:color w:val="auto"/>
          <w:szCs w:val="21"/>
          <w:highlight w:val="none"/>
          <w:u w:val="single"/>
        </w:rPr>
        <w:t xml:space="preserve">                                           </w:t>
      </w:r>
    </w:p>
    <w:p w14:paraId="1AE22FF4">
      <w:pPr>
        <w:pStyle w:val="3"/>
        <w:snapToGrid w:val="0"/>
        <w:spacing w:line="360" w:lineRule="auto"/>
        <w:ind w:left="0" w:leftChars="0"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p>
    <w:p w14:paraId="0A0CA68F">
      <w:pPr>
        <w:pStyle w:val="3"/>
        <w:snapToGrid w:val="0"/>
        <w:spacing w:line="360" w:lineRule="auto"/>
        <w:ind w:left="0" w:leftChars="0"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联系地址：</w:t>
      </w:r>
      <w:r>
        <w:rPr>
          <w:rFonts w:hint="eastAsia" w:ascii="宋体" w:hAnsi="宋体" w:cs="宋体"/>
          <w:color w:val="auto"/>
          <w:szCs w:val="21"/>
          <w:highlight w:val="none"/>
          <w:u w:val="single"/>
        </w:rPr>
        <w:t xml:space="preserve">                                       </w:t>
      </w:r>
    </w:p>
    <w:p w14:paraId="59A42896">
      <w:pPr>
        <w:pStyle w:val="3"/>
        <w:snapToGrid w:val="0"/>
        <w:spacing w:line="360" w:lineRule="auto"/>
        <w:ind w:left="0" w:leftChars="0"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14:paraId="7082AB17">
      <w:pPr>
        <w:rPr>
          <w:rFonts w:hint="eastAsia" w:ascii="宋体" w:hAnsi="宋体" w:cs="宋体"/>
          <w:color w:val="auto"/>
          <w:szCs w:val="21"/>
          <w:highlight w:val="none"/>
          <w:u w:val="single"/>
        </w:rPr>
      </w:pPr>
    </w:p>
    <w:p w14:paraId="650B80CF">
      <w:pPr>
        <w:pStyle w:val="2"/>
        <w:jc w:val="both"/>
        <w:rPr>
          <w:rFonts w:hint="default" w:eastAsia="宋体"/>
          <w:color w:val="auto"/>
          <w:highlight w:val="none"/>
          <w:lang w:val="en-US" w:eastAsia="zh-CN"/>
        </w:rPr>
      </w:pPr>
      <w:r>
        <w:rPr>
          <w:rFonts w:hint="eastAsia" w:hAnsi="宋体" w:cs="宋体"/>
          <w:color w:val="auto"/>
          <w:szCs w:val="21"/>
          <w:highlight w:val="none"/>
          <w:u w:val="single"/>
          <w:lang w:val="en-US" w:eastAsia="zh-CN"/>
        </w:rPr>
        <w:t>原件要求装订在正本</w:t>
      </w:r>
    </w:p>
    <w:p w14:paraId="2D51F56B">
      <w:pPr>
        <w:pageBreakBefore/>
        <w:spacing w:line="360" w:lineRule="auto"/>
        <w:jc w:val="center"/>
        <w:rPr>
          <w:rFonts w:hint="eastAsia" w:ascii="宋体" w:hAnsi="宋体" w:eastAsia="宋体" w:cs="宋体"/>
          <w:b/>
          <w:bCs/>
          <w:color w:val="auto"/>
          <w:sz w:val="30"/>
          <w:szCs w:val="30"/>
          <w:highlight w:val="none"/>
          <w:lang w:val="zh-CN"/>
        </w:rPr>
      </w:pPr>
      <w:bookmarkStart w:id="631" w:name="_Toc20148"/>
      <w:r>
        <w:rPr>
          <w:rFonts w:hint="eastAsia" w:ascii="宋体" w:hAnsi="宋体" w:eastAsia="宋体" w:cs="宋体"/>
          <w:b/>
          <w:bCs/>
          <w:color w:val="auto"/>
          <w:sz w:val="30"/>
          <w:szCs w:val="30"/>
          <w:highlight w:val="none"/>
          <w:lang w:val="zh-CN"/>
        </w:rPr>
        <w:t>独家授权销售及售后服务承诺函</w:t>
      </w:r>
      <w:bookmarkEnd w:id="631"/>
    </w:p>
    <w:p w14:paraId="6D7CE05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（备注说明：</w:t>
      </w:r>
      <w:r>
        <w:rPr>
          <w:rFonts w:hint="eastAsia" w:ascii="宋体" w:hAnsi="宋体" w:eastAsia="宋体" w:cs="宋体"/>
          <w:b/>
          <w:color w:val="auto"/>
          <w:szCs w:val="21"/>
          <w:highlight w:val="none"/>
          <w:u w:val="single"/>
        </w:rPr>
        <w:t>投标人为经销商时提供本独家授权销售及售后服务承诺函</w:t>
      </w:r>
      <w:r>
        <w:rPr>
          <w:rFonts w:hint="eastAsia" w:ascii="宋体" w:hAnsi="宋体" w:eastAsia="宋体" w:cs="宋体"/>
          <w:b/>
          <w:color w:val="auto"/>
          <w:szCs w:val="21"/>
          <w:highlight w:val="none"/>
        </w:rPr>
        <w:t>）</w:t>
      </w:r>
    </w:p>
    <w:p w14:paraId="7ED96FB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致：东莞市水务集团有限公司</w:t>
      </w:r>
    </w:p>
    <w:p w14:paraId="01AC3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szCs w:val="21"/>
          <w:highlight w:val="none"/>
          <w:u w:val="single"/>
        </w:rPr>
        <w:t xml:space="preserve">            （投标产品制造商名称）</w:t>
      </w:r>
      <w:r>
        <w:rPr>
          <w:rFonts w:hint="eastAsia" w:ascii="宋体" w:hAnsi="宋体" w:eastAsia="宋体" w:cs="宋体"/>
          <w:color w:val="auto"/>
          <w:szCs w:val="21"/>
          <w:highlight w:val="none"/>
        </w:rPr>
        <w:t>是按</w:t>
      </w:r>
      <w:r>
        <w:rPr>
          <w:rFonts w:hint="eastAsia" w:ascii="宋体" w:hAnsi="宋体" w:eastAsia="宋体" w:cs="宋体"/>
          <w:color w:val="auto"/>
          <w:szCs w:val="21"/>
          <w:highlight w:val="none"/>
          <w:u w:val="single"/>
        </w:rPr>
        <w:t xml:space="preserve">            （国家名称）</w:t>
      </w:r>
      <w:r>
        <w:rPr>
          <w:rFonts w:hint="eastAsia" w:ascii="宋体" w:hAnsi="宋体" w:eastAsia="宋体" w:cs="宋体"/>
          <w:color w:val="auto"/>
          <w:szCs w:val="21"/>
          <w:highlight w:val="none"/>
        </w:rPr>
        <w:t>法律成立的一家公司，主要营业地址设在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。兹证明参加贵方</w:t>
      </w:r>
      <w:r>
        <w:rPr>
          <w:rFonts w:hint="eastAsia" w:ascii="宋体" w:hAnsi="宋体" w:eastAsia="宋体" w:cs="宋体"/>
          <w:color w:val="auto"/>
          <w:spacing w:val="6"/>
          <w:szCs w:val="32"/>
          <w:highlight w:val="none"/>
        </w:rPr>
        <w:t>东莞市水务集团有限公司2025年度液态次氯酸钠采购项目</w:t>
      </w:r>
      <w:r>
        <w:rPr>
          <w:rFonts w:hint="eastAsia" w:ascii="宋体" w:hAnsi="宋体" w:eastAsia="宋体" w:cs="宋体"/>
          <w:color w:val="auto"/>
          <w:szCs w:val="21"/>
          <w:highlight w:val="none"/>
        </w:rPr>
        <w:t>的按</w:t>
      </w:r>
      <w:r>
        <w:rPr>
          <w:rFonts w:hint="eastAsia" w:ascii="宋体" w:hAnsi="宋体" w:eastAsia="宋体" w:cs="宋体"/>
          <w:color w:val="auto"/>
          <w:szCs w:val="21"/>
          <w:highlight w:val="none"/>
          <w:u w:val="single"/>
        </w:rPr>
        <w:t xml:space="preserve">            （国家名称）</w:t>
      </w:r>
      <w:r>
        <w:rPr>
          <w:rFonts w:hint="eastAsia" w:ascii="宋体" w:hAnsi="宋体" w:eastAsia="宋体" w:cs="宋体"/>
          <w:color w:val="auto"/>
          <w:szCs w:val="21"/>
          <w:highlight w:val="none"/>
        </w:rPr>
        <w:t>法律成立的、主要营业地址在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（下称“投标人”）作为我方合法、唯一的授权参与本项目投标的经销商： </w:t>
      </w:r>
    </w:p>
    <w:p w14:paraId="7BDC73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1、我方确认，投标人就</w:t>
      </w:r>
      <w:r>
        <w:rPr>
          <w:rFonts w:hint="eastAsia" w:ascii="宋体" w:hAnsi="宋体" w:eastAsia="宋体" w:cs="宋体"/>
          <w:color w:val="auto"/>
          <w:spacing w:val="6"/>
          <w:szCs w:val="32"/>
          <w:highlight w:val="none"/>
        </w:rPr>
        <w:t>东莞市水务集团有限公司2025年度液态次氯酸钠采购项目</w:t>
      </w:r>
      <w:r>
        <w:rPr>
          <w:rFonts w:hint="eastAsia" w:ascii="宋体" w:hAnsi="宋体" w:eastAsia="宋体" w:cs="宋体"/>
          <w:color w:val="auto"/>
          <w:szCs w:val="21"/>
          <w:highlight w:val="none"/>
        </w:rPr>
        <w:t xml:space="preserve">提供货物时附带的出厂质量标准、售后服务承诺等合法有效，并对我方具有约束力。 </w:t>
      </w:r>
    </w:p>
    <w:p w14:paraId="0B0835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2、质保期期间，质保服务包括但不限于对货物出现不符合招标文件要求或投标文件承诺或我方出厂质量标准的、有问题货物按招标文件要求及时进行免费更换。</w:t>
      </w:r>
    </w:p>
    <w:p w14:paraId="3FE39FE6">
      <w:pPr>
        <w:spacing w:line="360" w:lineRule="auto"/>
        <w:ind w:firstLine="420" w:firstLineChars="200"/>
        <w:rPr>
          <w:rFonts w:hint="eastAsia" w:ascii="宋体" w:hAnsi="宋体" w:eastAsia="宋体" w:cs="宋体"/>
          <w:color w:val="auto"/>
          <w:szCs w:val="21"/>
          <w:highlight w:val="none"/>
        </w:rPr>
      </w:pPr>
      <w:bookmarkStart w:id="632" w:name="_Toc11658"/>
      <w:r>
        <w:rPr>
          <w:rFonts w:hint="eastAsia" w:ascii="宋体" w:hAnsi="宋体" w:eastAsia="宋体" w:cs="宋体"/>
          <w:color w:val="auto"/>
          <w:szCs w:val="21"/>
          <w:highlight w:val="none"/>
        </w:rPr>
        <w:t>3、我方保证：我方提供的产品既非试验产品也非积压产品。</w:t>
      </w:r>
      <w:bookmarkEnd w:id="632"/>
    </w:p>
    <w:p w14:paraId="6156DCFC">
      <w:pPr>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4、我方承诺将及时提醒贵方关注：相关产品的生产、供货、售后服务以及性能等方面的重大变更。</w:t>
      </w:r>
    </w:p>
    <w:p w14:paraId="004E5BDD">
      <w:pPr>
        <w:spacing w:line="360" w:lineRule="auto"/>
        <w:ind w:firstLine="420" w:firstLineChars="200"/>
        <w:rPr>
          <w:rFonts w:hint="eastAsia" w:ascii="宋体" w:hAnsi="宋体" w:eastAsia="宋体" w:cs="宋体"/>
          <w:color w:val="auto"/>
          <w:szCs w:val="21"/>
          <w:highlight w:val="none"/>
          <w:lang w:val="zh-CN"/>
        </w:rPr>
      </w:pPr>
      <w:bookmarkStart w:id="633" w:name="_Toc16007"/>
      <w:r>
        <w:rPr>
          <w:rFonts w:hint="eastAsia" w:ascii="宋体" w:hAnsi="宋体" w:eastAsia="宋体" w:cs="宋体"/>
          <w:color w:val="auto"/>
          <w:szCs w:val="21"/>
          <w:highlight w:val="none"/>
          <w:lang w:val="zh-CN"/>
        </w:rPr>
        <w:t>5、本授权函不得进行二次授权或转授权，否则无效。</w:t>
      </w:r>
      <w:bookmarkEnd w:id="633"/>
    </w:p>
    <w:p w14:paraId="0EBF6C1D">
      <w:pPr>
        <w:spacing w:line="360" w:lineRule="auto"/>
        <w:ind w:right="893"/>
        <w:rPr>
          <w:rFonts w:hint="eastAsia" w:ascii="宋体" w:hAnsi="宋体" w:eastAsia="宋体" w:cs="宋体"/>
          <w:color w:val="auto"/>
          <w:szCs w:val="21"/>
          <w:highlight w:val="none"/>
          <w:lang w:val="zh-CN"/>
        </w:rPr>
      </w:pPr>
    </w:p>
    <w:p w14:paraId="344DCD2B">
      <w:pPr>
        <w:spacing w:line="360" w:lineRule="auto"/>
        <w:ind w:right="893"/>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投标产品制造商名称（加盖法人公章）：</w:t>
      </w:r>
      <w:r>
        <w:rPr>
          <w:rFonts w:hint="eastAsia" w:ascii="宋体" w:hAnsi="宋体" w:eastAsia="宋体" w:cs="宋体"/>
          <w:color w:val="auto"/>
          <w:szCs w:val="21"/>
          <w:highlight w:val="none"/>
          <w:u w:val="single"/>
          <w:lang w:val="zh-CN"/>
        </w:rPr>
        <w:t xml:space="preserve">                         </w:t>
      </w:r>
    </w:p>
    <w:p w14:paraId="7FB0E4CB">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制造商法定代表人或被授权人（签名或盖私章）：  </w:t>
      </w:r>
      <w:r>
        <w:rPr>
          <w:rFonts w:hint="eastAsia" w:ascii="宋体" w:hAnsi="宋体" w:eastAsia="宋体" w:cs="宋体"/>
          <w:color w:val="auto"/>
          <w:szCs w:val="21"/>
          <w:highlight w:val="none"/>
          <w:u w:val="single"/>
          <w:lang w:val="zh-CN"/>
        </w:rPr>
        <w:t xml:space="preserve">                      </w:t>
      </w:r>
    </w:p>
    <w:p w14:paraId="52D01ABD">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签署人职务： </w:t>
      </w:r>
      <w:r>
        <w:rPr>
          <w:rFonts w:hint="eastAsia" w:ascii="宋体" w:hAnsi="宋体" w:eastAsia="宋体" w:cs="宋体"/>
          <w:color w:val="auto"/>
          <w:szCs w:val="21"/>
          <w:highlight w:val="none"/>
          <w:u w:val="single"/>
          <w:lang w:val="zh-CN"/>
        </w:rPr>
        <w:t xml:space="preserve">                      </w:t>
      </w:r>
    </w:p>
    <w:p w14:paraId="0450F48A">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电话：</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 xml:space="preserve">               </w:t>
      </w:r>
    </w:p>
    <w:p w14:paraId="16A2963F">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传真： </w:t>
      </w:r>
      <w:r>
        <w:rPr>
          <w:rFonts w:hint="eastAsia" w:ascii="宋体" w:hAnsi="宋体" w:eastAsia="宋体" w:cs="宋体"/>
          <w:color w:val="auto"/>
          <w:szCs w:val="21"/>
          <w:highlight w:val="none"/>
          <w:u w:val="single"/>
          <w:lang w:val="zh-CN"/>
        </w:rPr>
        <w:t xml:space="preserve">                      </w:t>
      </w:r>
    </w:p>
    <w:p w14:paraId="46280FFB">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地址： </w:t>
      </w:r>
      <w:r>
        <w:rPr>
          <w:rFonts w:hint="eastAsia" w:ascii="宋体" w:hAnsi="宋体" w:eastAsia="宋体" w:cs="宋体"/>
          <w:color w:val="auto"/>
          <w:szCs w:val="21"/>
          <w:highlight w:val="none"/>
          <w:u w:val="single"/>
          <w:lang w:val="zh-CN"/>
        </w:rPr>
        <w:t xml:space="preserve">                      </w:t>
      </w:r>
    </w:p>
    <w:p w14:paraId="53B53725">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网址： </w:t>
      </w:r>
      <w:r>
        <w:rPr>
          <w:rFonts w:hint="eastAsia" w:ascii="宋体" w:hAnsi="宋体" w:eastAsia="宋体" w:cs="宋体"/>
          <w:color w:val="auto"/>
          <w:szCs w:val="21"/>
          <w:highlight w:val="none"/>
          <w:u w:val="single"/>
          <w:lang w:val="zh-CN"/>
        </w:rPr>
        <w:t xml:space="preserve">                      </w:t>
      </w:r>
    </w:p>
    <w:p w14:paraId="575975A7">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电子邮箱： </w:t>
      </w:r>
      <w:r>
        <w:rPr>
          <w:rFonts w:hint="eastAsia" w:ascii="宋体" w:hAnsi="宋体" w:eastAsia="宋体" w:cs="宋体"/>
          <w:color w:val="auto"/>
          <w:szCs w:val="21"/>
          <w:highlight w:val="none"/>
          <w:u w:val="single"/>
          <w:lang w:val="zh-CN"/>
        </w:rPr>
        <w:t xml:space="preserve">                      </w:t>
      </w:r>
    </w:p>
    <w:p w14:paraId="43AF957D">
      <w:pPr>
        <w:spacing w:line="360" w:lineRule="auto"/>
        <w:ind w:right="893"/>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签发日期： </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 xml:space="preserve"> 月 </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w:t>
      </w:r>
    </w:p>
    <w:p w14:paraId="05CD9579">
      <w:pPr>
        <w:pStyle w:val="6"/>
        <w:pageBreakBefore/>
        <w:spacing w:line="360" w:lineRule="auto"/>
        <w:rPr>
          <w:rFonts w:hint="eastAsia" w:hAnsi="宋体" w:cs="宋体"/>
          <w:b/>
          <w:bCs/>
          <w:color w:val="auto"/>
          <w:kern w:val="2"/>
          <w:sz w:val="32"/>
          <w:szCs w:val="32"/>
          <w:highlight w:val="none"/>
        </w:rPr>
      </w:pPr>
      <w:r>
        <w:rPr>
          <w:rFonts w:hint="eastAsia" w:hAnsi="宋体" w:cs="宋体"/>
          <w:b/>
          <w:bCs/>
          <w:color w:val="auto"/>
          <w:kern w:val="2"/>
          <w:sz w:val="32"/>
          <w:szCs w:val="32"/>
          <w:highlight w:val="none"/>
        </w:rPr>
        <w:t>5.5 所投产品制造商具有安全生产监督管理部门核发的合法有效的安全生产许可证（许可范围含次氯酸钠或液态次氯酸钠）及全国工业产品生产许可证（许可范围含次氯酸钠或液态次氯酸钠）</w:t>
      </w:r>
    </w:p>
    <w:p w14:paraId="14D81B72">
      <w:pPr>
        <w:spacing w:line="360" w:lineRule="auto"/>
        <w:ind w:firstLine="422" w:firstLineChars="200"/>
        <w:rPr>
          <w:rFonts w:hint="eastAsia" w:ascii="宋体" w:hAnsi="宋体" w:eastAsia="宋体" w:cs="宋体"/>
          <w:b/>
          <w:bCs/>
          <w:color w:val="auto"/>
          <w:highlight w:val="none"/>
        </w:rPr>
      </w:pPr>
    </w:p>
    <w:p w14:paraId="6F39E455">
      <w:pPr>
        <w:pStyle w:val="6"/>
        <w:pageBreakBefore/>
        <w:spacing w:line="360" w:lineRule="auto"/>
        <w:rPr>
          <w:rFonts w:hint="eastAsia" w:hAnsi="宋体" w:cs="宋体"/>
          <w:b/>
          <w:bCs/>
          <w:color w:val="auto"/>
          <w:kern w:val="2"/>
          <w:sz w:val="32"/>
          <w:szCs w:val="32"/>
          <w:highlight w:val="none"/>
          <w:lang w:val="zh-CN"/>
        </w:rPr>
      </w:pPr>
      <w:r>
        <w:rPr>
          <w:rFonts w:hint="eastAsia" w:hAnsi="宋体" w:cs="宋体"/>
          <w:b/>
          <w:bCs/>
          <w:color w:val="auto"/>
          <w:kern w:val="2"/>
          <w:sz w:val="32"/>
          <w:szCs w:val="32"/>
          <w:highlight w:val="none"/>
        </w:rPr>
        <w:t xml:space="preserve">5.6 </w:t>
      </w:r>
      <w:r>
        <w:rPr>
          <w:rFonts w:hint="eastAsia" w:hAnsi="宋体" w:cs="宋体"/>
          <w:b/>
          <w:bCs/>
          <w:color w:val="auto"/>
          <w:kern w:val="2"/>
          <w:sz w:val="32"/>
          <w:szCs w:val="32"/>
          <w:highlight w:val="none"/>
          <w:lang w:val="zh-CN"/>
        </w:rPr>
        <w:t>所投产品制造商具有环境管理部门核发的合法有效的环评批复复印件（批复内容须体现</w:t>
      </w:r>
      <w:r>
        <w:rPr>
          <w:rFonts w:hint="eastAsia" w:hAnsi="宋体" w:cs="宋体"/>
          <w:b/>
          <w:bCs/>
          <w:color w:val="auto"/>
          <w:kern w:val="2"/>
          <w:sz w:val="32"/>
          <w:szCs w:val="32"/>
          <w:highlight w:val="none"/>
        </w:rPr>
        <w:t>含投标产品</w:t>
      </w:r>
      <w:r>
        <w:rPr>
          <w:rFonts w:hint="eastAsia" w:hAnsi="宋体" w:cs="宋体"/>
          <w:b/>
          <w:bCs/>
          <w:color w:val="auto"/>
          <w:kern w:val="2"/>
          <w:sz w:val="32"/>
          <w:szCs w:val="32"/>
          <w:highlight w:val="none"/>
          <w:lang w:val="zh-CN"/>
        </w:rPr>
        <w:t>）</w:t>
      </w:r>
    </w:p>
    <w:p w14:paraId="5B3C3451">
      <w:pPr>
        <w:spacing w:line="360" w:lineRule="auto"/>
        <w:ind w:firstLine="422" w:firstLineChars="200"/>
        <w:rPr>
          <w:rFonts w:hint="eastAsia" w:ascii="宋体" w:hAnsi="宋体" w:eastAsia="宋体" w:cs="宋体"/>
          <w:b/>
          <w:bCs/>
          <w:color w:val="auto"/>
          <w:highlight w:val="none"/>
        </w:rPr>
      </w:pPr>
    </w:p>
    <w:p w14:paraId="242B3AE9">
      <w:pPr>
        <w:pStyle w:val="6"/>
        <w:pageBreakBefore/>
        <w:spacing w:line="360" w:lineRule="auto"/>
        <w:rPr>
          <w:rFonts w:hint="eastAsia" w:hAnsi="宋体"/>
          <w:b/>
          <w:color w:val="auto"/>
          <w:sz w:val="30"/>
          <w:szCs w:val="30"/>
          <w:highlight w:val="none"/>
          <w:lang w:val="zh-CN"/>
        </w:rPr>
      </w:pPr>
      <w:r>
        <w:rPr>
          <w:rFonts w:hint="eastAsia" w:hAnsi="宋体" w:cs="宋体"/>
          <w:b/>
          <w:color w:val="auto"/>
          <w:sz w:val="30"/>
          <w:szCs w:val="30"/>
          <w:highlight w:val="none"/>
        </w:rPr>
        <w:t>5.7</w:t>
      </w:r>
      <w:r>
        <w:rPr>
          <w:rFonts w:hAnsi="宋体" w:cs="宋体"/>
          <w:b/>
          <w:color w:val="auto"/>
          <w:sz w:val="30"/>
          <w:szCs w:val="30"/>
          <w:highlight w:val="none"/>
        </w:rPr>
        <w:t xml:space="preserve"> </w:t>
      </w:r>
      <w:r>
        <w:rPr>
          <w:rFonts w:hint="eastAsia" w:hAnsi="宋体"/>
          <w:b/>
          <w:bCs/>
          <w:color w:val="auto"/>
          <w:kern w:val="2"/>
          <w:sz w:val="32"/>
          <w:szCs w:val="32"/>
          <w:highlight w:val="none"/>
        </w:rPr>
        <w:t>资格业绩</w:t>
      </w:r>
      <w:r>
        <w:rPr>
          <w:rFonts w:hint="eastAsia" w:hAnsi="宋体"/>
          <w:b/>
          <w:bCs/>
          <w:color w:val="auto"/>
          <w:sz w:val="32"/>
          <w:szCs w:val="32"/>
          <w:highlight w:val="none"/>
        </w:rPr>
        <w:t>【投标人提供一份2022年1月1日以来具有投标品牌液态次氯酸钠供货业绩（合同签订日期为2022年1月1日或以后）</w:t>
      </w:r>
      <w:bookmarkEnd w:id="621"/>
      <w:bookmarkEnd w:id="622"/>
      <w:bookmarkEnd w:id="623"/>
      <w:r>
        <w:rPr>
          <w:rFonts w:hint="eastAsia" w:hAnsi="宋体"/>
          <w:b/>
          <w:bCs/>
          <w:color w:val="auto"/>
          <w:sz w:val="32"/>
          <w:szCs w:val="32"/>
          <w:highlight w:val="none"/>
        </w:rPr>
        <w:t>】</w:t>
      </w:r>
    </w:p>
    <w:p w14:paraId="7633B3A4">
      <w:pPr>
        <w:spacing w:line="360" w:lineRule="auto"/>
        <w:rPr>
          <w:rFonts w:hint="eastAsia" w:hAnsi="宋体"/>
          <w:color w:val="auto"/>
          <w:szCs w:val="21"/>
          <w:highlight w:val="none"/>
          <w:lang w:val="zh-CN"/>
        </w:rPr>
      </w:pPr>
    </w:p>
    <w:tbl>
      <w:tblPr>
        <w:tblStyle w:val="37"/>
        <w:tblW w:w="492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7"/>
        <w:gridCol w:w="1749"/>
        <w:gridCol w:w="1500"/>
        <w:gridCol w:w="1240"/>
        <w:gridCol w:w="1050"/>
        <w:gridCol w:w="832"/>
        <w:gridCol w:w="1310"/>
        <w:gridCol w:w="790"/>
      </w:tblGrid>
      <w:tr w14:paraId="48F0A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7ABC81CB">
            <w:pPr>
              <w:autoSpaceDE w:val="0"/>
              <w:autoSpaceDN w:val="0"/>
              <w:adjustRightInd w:val="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956" w:type="pct"/>
            <w:tcBorders>
              <w:top w:val="single" w:color="auto" w:sz="4" w:space="0"/>
              <w:left w:val="single" w:color="auto" w:sz="4" w:space="0"/>
              <w:bottom w:val="single" w:color="auto" w:sz="4" w:space="0"/>
              <w:right w:val="single" w:color="auto" w:sz="4" w:space="0"/>
            </w:tcBorders>
            <w:vAlign w:val="center"/>
          </w:tcPr>
          <w:p w14:paraId="38110F47">
            <w:pPr>
              <w:autoSpaceDE w:val="0"/>
              <w:autoSpaceDN w:val="0"/>
              <w:adjustRightInd w:val="0"/>
              <w:jc w:val="center"/>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570BC187">
            <w:pPr>
              <w:autoSpaceDE w:val="0"/>
              <w:autoSpaceDN w:val="0"/>
              <w:adjustRightInd w:val="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820" w:type="pct"/>
            <w:tcBorders>
              <w:top w:val="single" w:color="auto" w:sz="4" w:space="0"/>
              <w:left w:val="single" w:color="auto" w:sz="4" w:space="0"/>
              <w:bottom w:val="single" w:color="auto" w:sz="4" w:space="0"/>
              <w:right w:val="single" w:color="auto" w:sz="4" w:space="0"/>
            </w:tcBorders>
            <w:vAlign w:val="center"/>
          </w:tcPr>
          <w:p w14:paraId="0D988D07">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678" w:type="pct"/>
            <w:tcBorders>
              <w:top w:val="single" w:color="auto" w:sz="4" w:space="0"/>
              <w:left w:val="single" w:color="auto" w:sz="4" w:space="0"/>
              <w:bottom w:val="single" w:color="auto" w:sz="4" w:space="0"/>
              <w:right w:val="single" w:color="auto" w:sz="4" w:space="0"/>
            </w:tcBorders>
            <w:vAlign w:val="center"/>
          </w:tcPr>
          <w:p w14:paraId="66A7907A">
            <w:pPr>
              <w:autoSpaceDE w:val="0"/>
              <w:autoSpaceDN w:val="0"/>
              <w:adjustRightInd w:val="0"/>
              <w:jc w:val="center"/>
              <w:rPr>
                <w:rFonts w:hint="eastAsia"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574" w:type="pct"/>
            <w:tcBorders>
              <w:top w:val="single" w:color="auto" w:sz="4" w:space="0"/>
              <w:left w:val="single" w:color="auto" w:sz="4" w:space="0"/>
              <w:bottom w:val="single" w:color="auto" w:sz="4" w:space="0"/>
              <w:right w:val="single" w:color="auto" w:sz="4" w:space="0"/>
            </w:tcBorders>
            <w:vAlign w:val="center"/>
          </w:tcPr>
          <w:p w14:paraId="76D60DB3">
            <w:pPr>
              <w:autoSpaceDE w:val="0"/>
              <w:autoSpaceDN w:val="0"/>
              <w:adjustRightInd w:val="0"/>
              <w:jc w:val="center"/>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329EEB69">
            <w:pPr>
              <w:autoSpaceDE w:val="0"/>
              <w:autoSpaceDN w:val="0"/>
              <w:adjustRightInd w:val="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455" w:type="pct"/>
            <w:tcBorders>
              <w:top w:val="single" w:color="auto" w:sz="4" w:space="0"/>
              <w:left w:val="single" w:color="auto" w:sz="4" w:space="0"/>
              <w:bottom w:val="single" w:color="auto" w:sz="4" w:space="0"/>
              <w:right w:val="single" w:color="auto" w:sz="4" w:space="0"/>
            </w:tcBorders>
            <w:vAlign w:val="center"/>
          </w:tcPr>
          <w:p w14:paraId="04E63386">
            <w:pPr>
              <w:autoSpaceDE w:val="0"/>
              <w:autoSpaceDN w:val="0"/>
              <w:adjustRightInd w:val="0"/>
              <w:jc w:val="center"/>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736EB857">
            <w:pPr>
              <w:autoSpaceDE w:val="0"/>
              <w:autoSpaceDN w:val="0"/>
              <w:adjustRightInd w:val="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716" w:type="pct"/>
            <w:tcBorders>
              <w:top w:val="single" w:color="auto" w:sz="4" w:space="0"/>
              <w:left w:val="single" w:color="auto" w:sz="4" w:space="0"/>
              <w:bottom w:val="single" w:color="auto" w:sz="4" w:space="0"/>
              <w:right w:val="single" w:color="auto" w:sz="4" w:space="0"/>
            </w:tcBorders>
            <w:vAlign w:val="center"/>
          </w:tcPr>
          <w:p w14:paraId="1685A637">
            <w:pPr>
              <w:autoSpaceDE w:val="0"/>
              <w:autoSpaceDN w:val="0"/>
              <w:adjustRightInd w:val="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32" w:type="pct"/>
            <w:tcBorders>
              <w:top w:val="single" w:color="auto" w:sz="4" w:space="0"/>
              <w:left w:val="single" w:color="auto" w:sz="4" w:space="0"/>
              <w:bottom w:val="single" w:color="auto" w:sz="4" w:space="0"/>
              <w:right w:val="single" w:color="auto" w:sz="4" w:space="0"/>
            </w:tcBorders>
            <w:vAlign w:val="center"/>
          </w:tcPr>
          <w:p w14:paraId="6FADF626">
            <w:pPr>
              <w:autoSpaceDE w:val="0"/>
              <w:autoSpaceDN w:val="0"/>
              <w:adjustRightInd w:val="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3B2F5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0A701C0A">
            <w:pPr>
              <w:autoSpaceDE w:val="0"/>
              <w:autoSpaceDN w:val="0"/>
              <w:adjustRightInd w:val="0"/>
              <w:spacing w:line="360" w:lineRule="auto"/>
              <w:jc w:val="center"/>
              <w:rPr>
                <w:rFonts w:hint="eastAsia"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956" w:type="pct"/>
            <w:tcBorders>
              <w:top w:val="single" w:color="auto" w:sz="4" w:space="0"/>
              <w:left w:val="single" w:color="auto" w:sz="4" w:space="0"/>
              <w:bottom w:val="single" w:color="auto" w:sz="4" w:space="0"/>
              <w:right w:val="single" w:color="auto" w:sz="4" w:space="0"/>
            </w:tcBorders>
            <w:vAlign w:val="center"/>
          </w:tcPr>
          <w:p w14:paraId="2B383E90">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414E1F6B">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005BF88">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0072896A">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71AFCDEC">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1E1E6DCA">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75DA65AE">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r>
      <w:tr w14:paraId="7F2AD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196635B0">
            <w:pPr>
              <w:autoSpaceDE w:val="0"/>
              <w:autoSpaceDN w:val="0"/>
              <w:adjustRightInd w:val="0"/>
              <w:spacing w:line="360" w:lineRule="auto"/>
              <w:jc w:val="center"/>
              <w:rPr>
                <w:rFonts w:hint="eastAsia"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956" w:type="pct"/>
            <w:tcBorders>
              <w:top w:val="single" w:color="auto" w:sz="4" w:space="0"/>
              <w:left w:val="single" w:color="auto" w:sz="4" w:space="0"/>
              <w:bottom w:val="single" w:color="auto" w:sz="4" w:space="0"/>
              <w:right w:val="single" w:color="auto" w:sz="4" w:space="0"/>
            </w:tcBorders>
            <w:vAlign w:val="center"/>
          </w:tcPr>
          <w:p w14:paraId="5BA9994B">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75CDCECF">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6F57A873">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08FD44E3">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09EC487F">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78C6DDF2">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60B46E29">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r>
      <w:tr w14:paraId="2A857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4CE1FA79">
            <w:pPr>
              <w:autoSpaceDE w:val="0"/>
              <w:autoSpaceDN w:val="0"/>
              <w:adjustRightInd w:val="0"/>
              <w:spacing w:line="360" w:lineRule="auto"/>
              <w:jc w:val="center"/>
              <w:rPr>
                <w:rFonts w:hint="eastAsia"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956" w:type="pct"/>
            <w:tcBorders>
              <w:top w:val="single" w:color="auto" w:sz="4" w:space="0"/>
              <w:left w:val="single" w:color="auto" w:sz="4" w:space="0"/>
              <w:bottom w:val="single" w:color="auto" w:sz="4" w:space="0"/>
              <w:right w:val="single" w:color="auto" w:sz="4" w:space="0"/>
            </w:tcBorders>
            <w:vAlign w:val="center"/>
          </w:tcPr>
          <w:p w14:paraId="21F8813D">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673F2E14">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6167880">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339B4780">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6F56CE2C">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02F15DE6">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4857C8FE">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r>
      <w:tr w14:paraId="58238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1633C0D3">
            <w:pPr>
              <w:autoSpaceDE w:val="0"/>
              <w:autoSpaceDN w:val="0"/>
              <w:adjustRightInd w:val="0"/>
              <w:spacing w:line="360" w:lineRule="auto"/>
              <w:jc w:val="center"/>
              <w:rPr>
                <w:rFonts w:hint="eastAsia"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956" w:type="pct"/>
            <w:tcBorders>
              <w:top w:val="single" w:color="auto" w:sz="4" w:space="0"/>
              <w:left w:val="single" w:color="auto" w:sz="4" w:space="0"/>
              <w:bottom w:val="single" w:color="auto" w:sz="4" w:space="0"/>
              <w:right w:val="single" w:color="auto" w:sz="4" w:space="0"/>
            </w:tcBorders>
            <w:vAlign w:val="center"/>
          </w:tcPr>
          <w:p w14:paraId="11D363EE">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6E5A8CEA">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8C64584">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6A372B10">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11EDED4D">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351AD60F">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5F28E97E">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r>
    </w:tbl>
    <w:p w14:paraId="0C3D9B8C">
      <w:pPr>
        <w:spacing w:line="360" w:lineRule="auto"/>
        <w:ind w:left="424" w:hanging="424" w:hangingChars="201"/>
        <w:rPr>
          <w:rFonts w:hint="eastAsia" w:ascii="宋体" w:hAnsi="宋体" w:eastAsia="宋体" w:cs="宋体"/>
          <w:b/>
          <w:color w:val="auto"/>
          <w:szCs w:val="21"/>
          <w:highlight w:val="none"/>
          <w:lang w:val="zh-CN"/>
        </w:rPr>
      </w:pPr>
    </w:p>
    <w:p w14:paraId="769D2EA7">
      <w:pPr>
        <w:spacing w:line="360" w:lineRule="auto"/>
        <w:ind w:left="424" w:hanging="424" w:hangingChars="201"/>
        <w:outlineLvl w:val="2"/>
        <w:rPr>
          <w:rFonts w:hint="eastAsia" w:ascii="宋体" w:hAnsi="宋体" w:eastAsia="宋体" w:cs="宋体"/>
          <w:b/>
          <w:color w:val="auto"/>
          <w:szCs w:val="21"/>
          <w:highlight w:val="none"/>
          <w:lang w:val="zh-CN"/>
        </w:rPr>
      </w:pPr>
      <w:bookmarkStart w:id="634" w:name="_Toc26084"/>
      <w:r>
        <w:rPr>
          <w:rFonts w:hint="eastAsia" w:ascii="宋体" w:hAnsi="宋体" w:eastAsia="宋体" w:cs="宋体"/>
          <w:b/>
          <w:color w:val="auto"/>
          <w:szCs w:val="21"/>
          <w:highlight w:val="none"/>
          <w:lang w:val="zh-CN"/>
        </w:rPr>
        <w:t>资格业绩证明材料提交要求：</w:t>
      </w:r>
      <w:bookmarkEnd w:id="634"/>
    </w:p>
    <w:p w14:paraId="64F379B8">
      <w:pPr>
        <w:spacing w:line="360" w:lineRule="auto"/>
        <w:ind w:left="422" w:hanging="422" w:hangingChars="201"/>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）业绩须附合同复印件；</w:t>
      </w:r>
    </w:p>
    <w:p w14:paraId="535C5203">
      <w:pPr>
        <w:spacing w:line="360" w:lineRule="auto"/>
        <w:ind w:left="422" w:hanging="422" w:hangingChars="201"/>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）若合同无法反映资格条件（卖方为投标人、合同签订日期为202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年1月1日或以后、合同标的必须包含投标品牌液态次氯酸钠）的，还需提供产品购买方出具的书面补充说明文件复印件作为辅助证明（补充说明文件复印件能显示购买方公章）；</w:t>
      </w:r>
    </w:p>
    <w:p w14:paraId="7597C93B">
      <w:pPr>
        <w:tabs>
          <w:tab w:val="left" w:pos="567"/>
        </w:tabs>
        <w:autoSpaceDE w:val="0"/>
        <w:autoSpaceDN w:val="0"/>
        <w:adjustRightInd w:val="0"/>
        <w:spacing w:line="360" w:lineRule="auto"/>
        <w:ind w:left="422" w:hanging="422" w:hangingChars="200"/>
        <w:jc w:val="left"/>
        <w:outlineLvl w:val="2"/>
        <w:rPr>
          <w:rFonts w:hint="eastAsia" w:ascii="宋体" w:hAnsi="宋体" w:eastAsia="宋体" w:cs="宋体"/>
          <w:b/>
          <w:color w:val="auto"/>
          <w:kern w:val="0"/>
          <w:sz w:val="30"/>
          <w:szCs w:val="30"/>
          <w:highlight w:val="none"/>
        </w:rPr>
      </w:pPr>
      <w:bookmarkStart w:id="635" w:name="_Toc6253"/>
      <w:bookmarkStart w:id="636" w:name="_Toc14967"/>
      <w:bookmarkStart w:id="637" w:name="_Toc11868"/>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w:t>
      </w:r>
      <w:bookmarkEnd w:id="635"/>
      <w:bookmarkEnd w:id="636"/>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637"/>
    </w:p>
    <w:p w14:paraId="7316FB86">
      <w:pPr>
        <w:rPr>
          <w:rFonts w:hint="eastAsia"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63E59330">
      <w:pPr>
        <w:tabs>
          <w:tab w:val="left" w:pos="567"/>
        </w:tabs>
        <w:autoSpaceDE w:val="0"/>
        <w:autoSpaceDN w:val="0"/>
        <w:adjustRightInd w:val="0"/>
        <w:spacing w:line="360" w:lineRule="auto"/>
        <w:jc w:val="left"/>
        <w:outlineLvl w:val="2"/>
        <w:rPr>
          <w:rFonts w:hint="eastAsia" w:ascii="宋体" w:hAnsi="宋体" w:eastAsia="宋体" w:cs="Times New Roman"/>
          <w:b/>
          <w:bCs/>
          <w:color w:val="auto"/>
          <w:sz w:val="32"/>
          <w:szCs w:val="32"/>
          <w:highlight w:val="none"/>
          <w:lang w:val="zh-CN"/>
        </w:rPr>
      </w:pPr>
      <w:bookmarkStart w:id="638" w:name="_Toc31879"/>
      <w:bookmarkStart w:id="639" w:name="_Toc8979"/>
      <w:bookmarkStart w:id="640" w:name="_Toc28409"/>
      <w:r>
        <w:rPr>
          <w:rFonts w:hint="eastAsia" w:ascii="宋体" w:hAnsi="宋体" w:eastAsia="宋体" w:cs="宋体"/>
          <w:b/>
          <w:color w:val="auto"/>
          <w:kern w:val="0"/>
          <w:sz w:val="30"/>
          <w:szCs w:val="30"/>
          <w:highlight w:val="none"/>
        </w:rPr>
        <w:t>5.5 最近3年投标人牵涉的其他（失信和违法）处罚说明格式</w:t>
      </w:r>
      <w:bookmarkEnd w:id="624"/>
      <w:bookmarkEnd w:id="625"/>
      <w:bookmarkEnd w:id="626"/>
      <w:bookmarkEnd w:id="627"/>
      <w:bookmarkEnd w:id="628"/>
      <w:bookmarkEnd w:id="638"/>
      <w:bookmarkEnd w:id="639"/>
      <w:bookmarkEnd w:id="640"/>
    </w:p>
    <w:p w14:paraId="50AC95C6">
      <w:pPr>
        <w:autoSpaceDE w:val="0"/>
        <w:autoSpaceDN w:val="0"/>
        <w:adjustRightInd w:val="0"/>
        <w:spacing w:line="360" w:lineRule="auto"/>
        <w:jc w:val="center"/>
        <w:outlineLvl w:val="1"/>
        <w:rPr>
          <w:rFonts w:hint="eastAsia" w:ascii="宋体" w:hAnsi="宋体" w:eastAsia="宋体" w:cs="宋体"/>
          <w:color w:val="auto"/>
          <w:kern w:val="0"/>
          <w:sz w:val="24"/>
          <w:szCs w:val="24"/>
          <w:highlight w:val="none"/>
        </w:rPr>
      </w:pPr>
      <w:bookmarkStart w:id="641" w:name="_Toc23750"/>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bookmarkEnd w:id="641"/>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1B0B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4196750C">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事项名称</w:t>
            </w:r>
          </w:p>
        </w:tc>
        <w:tc>
          <w:tcPr>
            <w:tcW w:w="1417" w:type="dxa"/>
            <w:vAlign w:val="center"/>
          </w:tcPr>
          <w:p w14:paraId="7CB4551F">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3FE4E63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70F32F1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C6D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62B15EFD">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38382990">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268" w:type="dxa"/>
            <w:vAlign w:val="center"/>
          </w:tcPr>
          <w:p w14:paraId="189D4A76">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276" w:type="dxa"/>
            <w:vAlign w:val="center"/>
          </w:tcPr>
          <w:p w14:paraId="24674E87">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7350E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03C4903E">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1A9B69B1">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268" w:type="dxa"/>
            <w:vAlign w:val="center"/>
          </w:tcPr>
          <w:p w14:paraId="4F55AE65">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276" w:type="dxa"/>
            <w:vAlign w:val="center"/>
          </w:tcPr>
          <w:p w14:paraId="0A1CA62D">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337B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6A2E5656">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3ECC7813">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268" w:type="dxa"/>
            <w:vAlign w:val="center"/>
          </w:tcPr>
          <w:p w14:paraId="5A1248D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276" w:type="dxa"/>
            <w:vAlign w:val="center"/>
          </w:tcPr>
          <w:p w14:paraId="1D0CE890">
            <w:pPr>
              <w:autoSpaceDE w:val="0"/>
              <w:autoSpaceDN w:val="0"/>
              <w:adjustRightInd w:val="0"/>
              <w:spacing w:line="360" w:lineRule="auto"/>
              <w:jc w:val="center"/>
              <w:rPr>
                <w:rFonts w:hint="eastAsia" w:ascii="宋体" w:hAnsi="宋体" w:eastAsia="宋体" w:cs="宋体"/>
                <w:color w:val="auto"/>
                <w:kern w:val="0"/>
                <w:szCs w:val="21"/>
                <w:highlight w:val="none"/>
              </w:rPr>
            </w:pPr>
          </w:p>
        </w:tc>
      </w:tr>
    </w:tbl>
    <w:p w14:paraId="16F3F273">
      <w:pPr>
        <w:autoSpaceDE w:val="0"/>
        <w:autoSpaceDN w:val="0"/>
        <w:adjustRightInd w:val="0"/>
        <w:spacing w:line="360" w:lineRule="auto"/>
        <w:jc w:val="left"/>
        <w:rPr>
          <w:rFonts w:hint="eastAsia" w:ascii="宋体" w:hAnsi="宋体" w:eastAsia="宋体" w:cs="宋体"/>
          <w:color w:val="auto"/>
          <w:kern w:val="0"/>
          <w:szCs w:val="21"/>
          <w:highlight w:val="none"/>
        </w:rPr>
      </w:pPr>
    </w:p>
    <w:p w14:paraId="1F24B836">
      <w:pPr>
        <w:autoSpaceDE w:val="0"/>
        <w:autoSpaceDN w:val="0"/>
        <w:adjustRightInd w:val="0"/>
        <w:spacing w:line="360" w:lineRule="auto"/>
        <w:jc w:val="left"/>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7C78F81E">
      <w:pPr>
        <w:autoSpaceDE w:val="0"/>
        <w:autoSpaceDN w:val="0"/>
        <w:adjustRightInd w:val="0"/>
        <w:ind w:right="-23" w:rightChars="-11"/>
        <w:jc w:val="left"/>
        <w:rPr>
          <w:rFonts w:hint="eastAsia" w:ascii="宋体" w:hAnsi="宋体" w:eastAsia="宋体" w:cs="Times New Roman"/>
          <w:b/>
          <w:bCs/>
          <w:color w:val="auto"/>
          <w:kern w:val="0"/>
          <w:szCs w:val="21"/>
          <w:highlight w:val="none"/>
          <w:lang w:val="zh-CN"/>
        </w:rPr>
      </w:pPr>
    </w:p>
    <w:p w14:paraId="0B1B5DD5">
      <w:pPr>
        <w:autoSpaceDE w:val="0"/>
        <w:autoSpaceDN w:val="0"/>
        <w:adjustRightInd w:val="0"/>
        <w:spacing w:line="360" w:lineRule="auto"/>
        <w:jc w:val="center"/>
        <w:rPr>
          <w:rFonts w:hint="eastAsia" w:ascii="宋体" w:hAnsi="宋体" w:eastAsia="宋体" w:cs="宋体"/>
          <w:color w:val="auto"/>
          <w:kern w:val="0"/>
          <w:sz w:val="24"/>
          <w:szCs w:val="24"/>
          <w:highlight w:val="none"/>
        </w:rPr>
      </w:pPr>
    </w:p>
    <w:p w14:paraId="6D76D2BF">
      <w:pPr>
        <w:spacing w:line="360" w:lineRule="auto"/>
        <w:ind w:firstLine="494" w:firstLineChars="206"/>
        <w:rPr>
          <w:rFonts w:hint="eastAsia" w:ascii="宋体" w:hAnsi="宋体" w:eastAsia="宋体" w:cs="宋体"/>
          <w:color w:val="auto"/>
          <w:kern w:val="0"/>
          <w:sz w:val="24"/>
          <w:szCs w:val="24"/>
          <w:highlight w:val="none"/>
        </w:rPr>
      </w:pPr>
    </w:p>
    <w:p w14:paraId="6ECC708A">
      <w:pPr>
        <w:spacing w:line="360" w:lineRule="auto"/>
        <w:ind w:firstLine="494" w:firstLineChars="206"/>
        <w:rPr>
          <w:rFonts w:hint="eastAsia" w:ascii="宋体" w:hAnsi="宋体" w:eastAsia="宋体" w:cs="宋体"/>
          <w:color w:val="auto"/>
          <w:kern w:val="0"/>
          <w:sz w:val="24"/>
          <w:szCs w:val="24"/>
          <w:highlight w:val="none"/>
        </w:rPr>
      </w:pPr>
    </w:p>
    <w:p w14:paraId="342CE063">
      <w:pPr>
        <w:spacing w:line="360" w:lineRule="auto"/>
        <w:ind w:firstLine="494" w:firstLineChars="206"/>
        <w:rPr>
          <w:rFonts w:hint="eastAsia" w:ascii="宋体" w:hAnsi="宋体" w:eastAsia="宋体" w:cs="宋体"/>
          <w:color w:val="auto"/>
          <w:kern w:val="0"/>
          <w:sz w:val="24"/>
          <w:szCs w:val="24"/>
          <w:highlight w:val="none"/>
        </w:rPr>
      </w:pPr>
    </w:p>
    <w:p w14:paraId="4BADB621">
      <w:pPr>
        <w:spacing w:line="360" w:lineRule="auto"/>
        <w:ind w:right="368" w:rightChars="175" w:firstLine="5460" w:firstLineChars="26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18CB5594">
      <w:pPr>
        <w:autoSpaceDE w:val="0"/>
        <w:autoSpaceDN w:val="0"/>
        <w:adjustRightInd w:val="0"/>
        <w:spacing w:line="360" w:lineRule="auto"/>
        <w:ind w:right="781" w:rightChars="372" w:firstLine="2811" w:firstLineChars="133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77C98C57">
      <w:pPr>
        <w:rPr>
          <w:rFonts w:hint="eastAsia"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642" w:name="_Toc142508374"/>
      <w:bookmarkStart w:id="643" w:name="_Toc13237"/>
      <w:bookmarkStart w:id="644" w:name="_Toc533708126"/>
      <w:bookmarkStart w:id="645" w:name="_Toc1977731"/>
      <w:bookmarkStart w:id="646" w:name="_Toc102860079"/>
      <w:bookmarkStart w:id="647" w:name="_Toc104991881"/>
      <w:bookmarkStart w:id="648" w:name="_Toc140596934"/>
      <w:bookmarkStart w:id="649" w:name="_Toc94107215"/>
      <w:bookmarkStart w:id="650" w:name="_Toc486167714"/>
      <w:bookmarkStart w:id="651" w:name="_Toc102860423"/>
      <w:bookmarkStart w:id="652" w:name="_Toc2031_WPSOffice_Level2"/>
    </w:p>
    <w:p w14:paraId="7211D72E">
      <w:pPr>
        <w:tabs>
          <w:tab w:val="left" w:pos="567"/>
        </w:tabs>
        <w:autoSpaceDE w:val="0"/>
        <w:autoSpaceDN w:val="0"/>
        <w:adjustRightInd w:val="0"/>
        <w:spacing w:line="360" w:lineRule="auto"/>
        <w:jc w:val="left"/>
        <w:outlineLvl w:val="1"/>
        <w:rPr>
          <w:rFonts w:hint="eastAsia" w:ascii="宋体" w:hAnsi="宋体" w:eastAsia="宋体" w:cs="Times New Roman"/>
          <w:color w:val="auto"/>
          <w:kern w:val="0"/>
          <w:szCs w:val="21"/>
          <w:highlight w:val="none"/>
          <w:u w:val="single"/>
        </w:rPr>
      </w:pPr>
      <w:bookmarkStart w:id="653" w:name="_Toc19296"/>
      <w:bookmarkStart w:id="654" w:name="_Toc11148"/>
      <w:r>
        <w:rPr>
          <w:rFonts w:hint="eastAsia" w:ascii="宋体" w:hAnsi="宋体" w:eastAsia="宋体" w:cs="宋体"/>
          <w:b/>
          <w:color w:val="auto"/>
          <w:sz w:val="32"/>
          <w:szCs w:val="32"/>
          <w:highlight w:val="none"/>
        </w:rPr>
        <w:t>六</w:t>
      </w:r>
      <w:r>
        <w:rPr>
          <w:rFonts w:hint="eastAsia" w:ascii="宋体" w:hAnsi="宋体" w:eastAsia="宋体" w:cs="宋体"/>
          <w:b/>
          <w:color w:val="auto"/>
          <w:kern w:val="0"/>
          <w:sz w:val="32"/>
          <w:szCs w:val="32"/>
          <w:highlight w:val="none"/>
        </w:rPr>
        <w:t>、投标人基本情况一览表</w:t>
      </w:r>
      <w:bookmarkEnd w:id="642"/>
      <w:bookmarkEnd w:id="643"/>
      <w:bookmarkEnd w:id="644"/>
      <w:bookmarkEnd w:id="645"/>
      <w:bookmarkEnd w:id="646"/>
      <w:bookmarkEnd w:id="647"/>
      <w:bookmarkEnd w:id="648"/>
      <w:bookmarkEnd w:id="649"/>
      <w:bookmarkEnd w:id="650"/>
      <w:bookmarkEnd w:id="651"/>
      <w:bookmarkEnd w:id="652"/>
      <w:bookmarkEnd w:id="653"/>
      <w:bookmarkEnd w:id="654"/>
    </w:p>
    <w:p w14:paraId="31DD3C60">
      <w:pPr>
        <w:autoSpaceDE w:val="0"/>
        <w:autoSpaceDN w:val="0"/>
        <w:adjustRightInd w:val="0"/>
        <w:spacing w:line="360" w:lineRule="auto"/>
        <w:jc w:val="center"/>
        <w:outlineLvl w:val="0"/>
        <w:rPr>
          <w:rFonts w:hint="eastAsia" w:ascii="宋体" w:hAnsi="宋体" w:eastAsia="宋体" w:cs="宋体"/>
          <w:b/>
          <w:bCs/>
          <w:color w:val="auto"/>
          <w:sz w:val="30"/>
          <w:szCs w:val="30"/>
          <w:highlight w:val="none"/>
        </w:rPr>
      </w:pPr>
      <w:bookmarkStart w:id="655" w:name="_Toc2773_WPSOffice_Level3"/>
      <w:bookmarkStart w:id="656" w:name="_Toc17087"/>
      <w:r>
        <w:rPr>
          <w:rFonts w:hint="eastAsia" w:ascii="宋体" w:hAnsi="宋体" w:eastAsia="宋体" w:cs="宋体"/>
          <w:b/>
          <w:bCs/>
          <w:color w:val="auto"/>
          <w:sz w:val="30"/>
          <w:szCs w:val="30"/>
          <w:highlight w:val="none"/>
          <w:lang w:val="zh-CN"/>
        </w:rPr>
        <w:t>投标人基本情况一览表</w:t>
      </w:r>
      <w:bookmarkEnd w:id="655"/>
      <w:bookmarkEnd w:id="656"/>
    </w:p>
    <w:p w14:paraId="7999D80C">
      <w:pPr>
        <w:autoSpaceDE w:val="0"/>
        <w:autoSpaceDN w:val="0"/>
        <w:adjustRightInd w:val="0"/>
        <w:spacing w:line="360" w:lineRule="auto"/>
        <w:ind w:firstLine="420"/>
        <w:outlineLvl w:val="0"/>
        <w:rPr>
          <w:rFonts w:hint="eastAsia" w:ascii="宋体" w:hAnsi="宋体" w:eastAsia="宋体" w:cs="宋体"/>
          <w:color w:val="auto"/>
          <w:szCs w:val="21"/>
          <w:highlight w:val="none"/>
        </w:rPr>
      </w:pPr>
      <w:bookmarkStart w:id="657" w:name="_Toc4491"/>
      <w:r>
        <w:rPr>
          <w:rFonts w:hint="eastAsia" w:ascii="宋体" w:hAnsi="宋体" w:eastAsia="宋体" w:cs="宋体"/>
          <w:color w:val="auto"/>
          <w:szCs w:val="21"/>
          <w:highlight w:val="none"/>
          <w:lang w:val="zh-CN"/>
        </w:rPr>
        <w:t>1．名称及概况：</w:t>
      </w:r>
      <w:bookmarkEnd w:id="657"/>
    </w:p>
    <w:p w14:paraId="3ACB81E9">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1E195EED">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3FF60D69">
      <w:pPr>
        <w:autoSpaceDE w:val="0"/>
        <w:autoSpaceDN w:val="0"/>
        <w:adjustRightInd w:val="0"/>
        <w:spacing w:line="360" w:lineRule="auto"/>
        <w:ind w:firstLine="66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4E82C5F3">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3A4A7E2A">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343D16E8">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3F86DEB8">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70F7205E">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750695EA">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48136A42">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4FD53E17">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4DC6C2DF">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1C92D429">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5DCBE0B9">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403AB0BD">
      <w:pPr>
        <w:autoSpaceDE w:val="0"/>
        <w:autoSpaceDN w:val="0"/>
        <w:adjustRightInd w:val="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43BAC8E2">
      <w:pPr>
        <w:autoSpaceDE w:val="0"/>
        <w:autoSpaceDN w:val="0"/>
        <w:adjustRightInd w:val="0"/>
        <w:spacing w:line="360" w:lineRule="auto"/>
        <w:ind w:firstLine="420"/>
        <w:outlineLvl w:val="0"/>
        <w:rPr>
          <w:rFonts w:hint="eastAsia" w:ascii="宋体" w:hAnsi="宋体" w:eastAsia="宋体" w:cs="宋体"/>
          <w:color w:val="auto"/>
          <w:szCs w:val="24"/>
          <w:highlight w:val="none"/>
        </w:rPr>
      </w:pPr>
      <w:bookmarkStart w:id="658" w:name="_Toc19229"/>
      <w:r>
        <w:rPr>
          <w:rFonts w:hint="eastAsia" w:ascii="宋体" w:hAnsi="宋体" w:eastAsia="宋体" w:cs="宋体"/>
          <w:color w:val="auto"/>
          <w:szCs w:val="24"/>
          <w:highlight w:val="none"/>
          <w:lang w:val="zh-CN"/>
        </w:rPr>
        <w:t>4. 提交资料（包括但不限于组织架构、公司简介等）：</w:t>
      </w:r>
      <w:bookmarkEnd w:id="658"/>
    </w:p>
    <w:p w14:paraId="542695B8">
      <w:pPr>
        <w:autoSpaceDE w:val="0"/>
        <w:autoSpaceDN w:val="0"/>
        <w:adjustRightInd w:val="0"/>
        <w:spacing w:line="360" w:lineRule="auto"/>
        <w:ind w:firstLine="630" w:firstLineChars="300"/>
        <w:outlineLvl w:val="1"/>
        <w:rPr>
          <w:rFonts w:hint="eastAsia" w:ascii="宋体" w:hAnsi="宋体" w:eastAsia="宋体" w:cs="宋体"/>
          <w:color w:val="auto"/>
          <w:szCs w:val="24"/>
          <w:highlight w:val="none"/>
          <w:lang w:val="zh-CN"/>
        </w:rPr>
      </w:pPr>
      <w:bookmarkStart w:id="659" w:name="_Toc7802"/>
      <w:r>
        <w:rPr>
          <w:rFonts w:hint="eastAsia" w:ascii="宋体" w:hAnsi="宋体" w:eastAsia="宋体" w:cs="宋体"/>
          <w:color w:val="auto"/>
          <w:szCs w:val="24"/>
          <w:highlight w:val="none"/>
          <w:lang w:val="zh-CN"/>
        </w:rPr>
        <w:t>（1）公司简介；</w:t>
      </w:r>
      <w:bookmarkEnd w:id="659"/>
    </w:p>
    <w:p w14:paraId="49B8F6E6">
      <w:pPr>
        <w:autoSpaceDE w:val="0"/>
        <w:autoSpaceDN w:val="0"/>
        <w:adjustRightInd w:val="0"/>
        <w:spacing w:line="360" w:lineRule="auto"/>
        <w:ind w:firstLine="1155" w:firstLineChars="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1026FC71">
      <w:pPr>
        <w:autoSpaceDE w:val="0"/>
        <w:autoSpaceDN w:val="0"/>
        <w:adjustRightInd w:val="0"/>
        <w:spacing w:line="360" w:lineRule="auto"/>
        <w:ind w:firstLine="630" w:firstLineChars="300"/>
        <w:outlineLvl w:val="1"/>
        <w:rPr>
          <w:rFonts w:hint="eastAsia" w:ascii="宋体" w:hAnsi="宋体" w:eastAsia="宋体" w:cs="宋体"/>
          <w:color w:val="auto"/>
          <w:szCs w:val="24"/>
          <w:highlight w:val="none"/>
          <w:lang w:val="zh-CN"/>
        </w:rPr>
      </w:pPr>
      <w:bookmarkStart w:id="660" w:name="_Toc3668"/>
      <w:r>
        <w:rPr>
          <w:rFonts w:hint="eastAsia" w:ascii="宋体" w:hAnsi="宋体" w:eastAsia="宋体" w:cs="宋体"/>
          <w:color w:val="auto"/>
          <w:szCs w:val="24"/>
          <w:highlight w:val="none"/>
          <w:lang w:val="zh-CN"/>
        </w:rPr>
        <w:t>（2）公司组织架构；</w:t>
      </w:r>
      <w:bookmarkEnd w:id="660"/>
    </w:p>
    <w:p w14:paraId="380D11C8">
      <w:pPr>
        <w:autoSpaceDE w:val="0"/>
        <w:autoSpaceDN w:val="0"/>
        <w:adjustRightInd w:val="0"/>
        <w:spacing w:line="360" w:lineRule="auto"/>
        <w:ind w:firstLine="1155" w:firstLineChars="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1ED0A279">
      <w:pPr>
        <w:autoSpaceDE w:val="0"/>
        <w:autoSpaceDN w:val="0"/>
        <w:adjustRightInd w:val="0"/>
        <w:spacing w:line="360" w:lineRule="auto"/>
        <w:ind w:left="836" w:leftChars="137" w:hanging="548" w:hangingChars="261"/>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47B962AA">
      <w:pPr>
        <w:autoSpaceDE w:val="0"/>
        <w:autoSpaceDN w:val="0"/>
        <w:adjustRightInd w:val="0"/>
        <w:spacing w:line="360" w:lineRule="auto"/>
        <w:ind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40B60A0B">
      <w:pPr>
        <w:autoSpaceDE w:val="0"/>
        <w:autoSpaceDN w:val="0"/>
        <w:adjustRightInd w:val="0"/>
        <w:spacing w:line="360" w:lineRule="auto"/>
        <w:ind w:firstLine="420" w:firstLineChars="200"/>
        <w:rPr>
          <w:rFonts w:hint="eastAsia" w:ascii="宋体" w:hAnsi="宋体" w:eastAsia="宋体" w:cs="宋体"/>
          <w:color w:val="auto"/>
          <w:szCs w:val="24"/>
          <w:highlight w:val="none"/>
        </w:rPr>
      </w:pPr>
    </w:p>
    <w:p w14:paraId="035741D5">
      <w:pPr>
        <w:autoSpaceDE w:val="0"/>
        <w:autoSpaceDN w:val="0"/>
        <w:adjustRightInd w:val="0"/>
        <w:spacing w:line="360" w:lineRule="auto"/>
        <w:ind w:right="368" w:rightChars="175"/>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7A0D2DF6">
      <w:pPr>
        <w:autoSpaceDE w:val="0"/>
        <w:autoSpaceDN w:val="0"/>
        <w:adjustRightInd w:val="0"/>
        <w:spacing w:line="360" w:lineRule="auto"/>
        <w:ind w:right="368" w:rightChars="175" w:firstLine="6237"/>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6169010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61" w:name="_Toc142508375"/>
      <w:bookmarkStart w:id="662" w:name="_Toc140596935"/>
      <w:bookmarkStart w:id="663" w:name="_Toc94107216"/>
      <w:bookmarkStart w:id="664" w:name="_Toc3711"/>
      <w:bookmarkStart w:id="665" w:name="_Toc104991882"/>
      <w:bookmarkStart w:id="666" w:name="_Toc610"/>
      <w:bookmarkStart w:id="667" w:name="_Toc4495"/>
      <w:bookmarkStart w:id="668" w:name="_Toc102860424"/>
      <w:bookmarkStart w:id="669" w:name="_Toc102860080"/>
      <w:bookmarkStart w:id="670" w:name="_Toc533708128"/>
      <w:bookmarkStart w:id="671" w:name="_Toc9051_WPSOffice_Level2"/>
      <w:bookmarkStart w:id="672" w:name="_Toc486167715"/>
      <w:bookmarkStart w:id="673" w:name="_Toc1977733"/>
      <w:r>
        <w:rPr>
          <w:rFonts w:hint="eastAsia" w:ascii="宋体" w:hAnsi="宋体" w:eastAsia="宋体" w:cs="宋体"/>
          <w:b/>
          <w:color w:val="auto"/>
          <w:sz w:val="32"/>
          <w:szCs w:val="32"/>
          <w:highlight w:val="none"/>
        </w:rPr>
        <w:t>七</w:t>
      </w:r>
      <w:r>
        <w:rPr>
          <w:rFonts w:hint="eastAsia" w:ascii="宋体" w:hAnsi="宋体" w:eastAsia="宋体" w:cs="宋体"/>
          <w:b/>
          <w:color w:val="auto"/>
          <w:sz w:val="32"/>
          <w:szCs w:val="32"/>
          <w:highlight w:val="none"/>
          <w:lang w:val="zh-CN"/>
        </w:rPr>
        <w:t>、投标人财务状况表格式</w:t>
      </w:r>
      <w:bookmarkEnd w:id="661"/>
      <w:bookmarkEnd w:id="662"/>
      <w:bookmarkEnd w:id="663"/>
      <w:bookmarkEnd w:id="664"/>
      <w:bookmarkEnd w:id="665"/>
      <w:bookmarkEnd w:id="666"/>
      <w:bookmarkEnd w:id="667"/>
      <w:bookmarkEnd w:id="668"/>
      <w:bookmarkEnd w:id="669"/>
    </w:p>
    <w:p w14:paraId="21C0C294">
      <w:pPr>
        <w:autoSpaceDE w:val="0"/>
        <w:autoSpaceDN w:val="0"/>
        <w:adjustRightInd w:val="0"/>
        <w:spacing w:line="360" w:lineRule="auto"/>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271EE100">
      <w:pPr>
        <w:autoSpaceDE w:val="0"/>
        <w:autoSpaceDN w:val="0"/>
        <w:adjustRightInd w:val="0"/>
        <w:spacing w:line="360" w:lineRule="auto"/>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4FA32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A66646A">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422D943D">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7D998219">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6F3CA7AF">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49ECF52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577BA1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C7B9477">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2021</w:t>
            </w:r>
          </w:p>
        </w:tc>
        <w:tc>
          <w:tcPr>
            <w:tcW w:w="1944" w:type="dxa"/>
            <w:vAlign w:val="center"/>
          </w:tcPr>
          <w:p w14:paraId="77322E7E">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946" w:type="dxa"/>
            <w:vAlign w:val="center"/>
          </w:tcPr>
          <w:p w14:paraId="080BF1EE">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713" w:type="dxa"/>
            <w:vAlign w:val="center"/>
          </w:tcPr>
          <w:p w14:paraId="0BE3BED7">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14:paraId="47725246">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503AA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9D4276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2022</w:t>
            </w:r>
          </w:p>
        </w:tc>
        <w:tc>
          <w:tcPr>
            <w:tcW w:w="1944" w:type="dxa"/>
            <w:vAlign w:val="center"/>
          </w:tcPr>
          <w:p w14:paraId="7094D1B5">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946" w:type="dxa"/>
            <w:vAlign w:val="center"/>
          </w:tcPr>
          <w:p w14:paraId="5AE4938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713" w:type="dxa"/>
          </w:tcPr>
          <w:p w14:paraId="6F30F0C8">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14:paraId="32A02965">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7444D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33365C2">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2023</w:t>
            </w:r>
          </w:p>
        </w:tc>
        <w:tc>
          <w:tcPr>
            <w:tcW w:w="1944" w:type="dxa"/>
            <w:vAlign w:val="center"/>
          </w:tcPr>
          <w:p w14:paraId="51B3E6A7">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946" w:type="dxa"/>
            <w:vAlign w:val="center"/>
          </w:tcPr>
          <w:p w14:paraId="2ACBAEB3">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713" w:type="dxa"/>
          </w:tcPr>
          <w:p w14:paraId="0B887C05">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14:paraId="4CA139C3">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67BD63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4F9EC0B4">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279357BD">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14:paraId="37282D06">
            <w:pPr>
              <w:autoSpaceDE w:val="0"/>
              <w:autoSpaceDN w:val="0"/>
              <w:adjustRightInd w:val="0"/>
              <w:spacing w:line="360" w:lineRule="auto"/>
              <w:jc w:val="center"/>
              <w:rPr>
                <w:rFonts w:hint="eastAsia" w:ascii="宋体" w:hAnsi="宋体" w:eastAsia="宋体" w:cs="宋体"/>
                <w:color w:val="auto"/>
                <w:kern w:val="0"/>
                <w:szCs w:val="21"/>
                <w:highlight w:val="none"/>
              </w:rPr>
            </w:pPr>
          </w:p>
        </w:tc>
      </w:tr>
    </w:tbl>
    <w:p w14:paraId="7361E86B">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3EE0E238">
      <w:pPr>
        <w:autoSpaceDE w:val="0"/>
        <w:autoSpaceDN w:val="0"/>
        <w:adjustRightInd w:val="0"/>
        <w:spacing w:line="360" w:lineRule="auto"/>
        <w:ind w:firstLine="5409" w:firstLineChars="2576"/>
        <w:rPr>
          <w:rFonts w:hint="eastAsia" w:ascii="宋体" w:hAnsi="宋体" w:eastAsia="宋体" w:cs="宋体"/>
          <w:color w:val="auto"/>
          <w:szCs w:val="24"/>
          <w:highlight w:val="none"/>
          <w:lang w:val="zh-CN"/>
        </w:rPr>
      </w:pPr>
    </w:p>
    <w:p w14:paraId="7001D752">
      <w:pPr>
        <w:autoSpaceDE w:val="0"/>
        <w:autoSpaceDN w:val="0"/>
        <w:adjustRightInd w:val="0"/>
        <w:spacing w:line="360" w:lineRule="auto"/>
        <w:ind w:firstLine="5409" w:firstLineChars="2576"/>
        <w:rPr>
          <w:rFonts w:hint="eastAsia" w:ascii="宋体" w:hAnsi="宋体" w:eastAsia="宋体" w:cs="宋体"/>
          <w:color w:val="auto"/>
          <w:szCs w:val="24"/>
          <w:highlight w:val="none"/>
          <w:lang w:val="zh-CN"/>
        </w:rPr>
      </w:pPr>
    </w:p>
    <w:p w14:paraId="40C8F337">
      <w:pPr>
        <w:autoSpaceDE w:val="0"/>
        <w:autoSpaceDN w:val="0"/>
        <w:adjustRightInd w:val="0"/>
        <w:spacing w:line="360" w:lineRule="auto"/>
        <w:ind w:firstLine="5409" w:firstLineChars="2576"/>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6A9D2DAE">
      <w:pPr>
        <w:autoSpaceDE w:val="0"/>
        <w:autoSpaceDN w:val="0"/>
        <w:adjustRightInd w:val="0"/>
        <w:spacing w:line="360" w:lineRule="auto"/>
        <w:ind w:firstLine="6249" w:firstLineChars="2976"/>
        <w:rPr>
          <w:rFonts w:hint="eastAsia" w:ascii="宋体" w:hAnsi="宋体" w:eastAsia="宋体" w:cs="宋体"/>
          <w:b/>
          <w:bCs/>
          <w:color w:val="auto"/>
          <w:kern w:val="0"/>
          <w:szCs w:val="21"/>
          <w:highlight w:val="none"/>
        </w:rPr>
        <w:sectPr>
          <w:footerReference r:id="rId8"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670"/>
    <w:bookmarkEnd w:id="671"/>
    <w:bookmarkEnd w:id="672"/>
    <w:bookmarkEnd w:id="673"/>
    <w:p w14:paraId="15F0103F">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zh-CN"/>
        </w:rPr>
      </w:pPr>
      <w:bookmarkStart w:id="674" w:name="_Toc142508376"/>
      <w:bookmarkStart w:id="675" w:name="_Toc5912"/>
      <w:bookmarkStart w:id="676" w:name="_Toc486167716"/>
      <w:bookmarkStart w:id="677" w:name="_Toc104991883"/>
      <w:bookmarkStart w:id="678" w:name="_Toc15551"/>
      <w:bookmarkStart w:id="679" w:name="_Toc533708130"/>
      <w:bookmarkStart w:id="680" w:name="_Toc102860425"/>
      <w:bookmarkStart w:id="681" w:name="_Toc739_WPSOffice_Level2"/>
      <w:bookmarkStart w:id="682" w:name="_Toc94107217"/>
      <w:bookmarkStart w:id="683" w:name="_Toc140596936"/>
      <w:bookmarkStart w:id="684" w:name="_Toc20034"/>
      <w:bookmarkStart w:id="685" w:name="_Toc102860081"/>
      <w:bookmarkStart w:id="686" w:name="_Toc1977736"/>
      <w:r>
        <w:rPr>
          <w:rFonts w:hint="eastAsia" w:ascii="宋体" w:hAnsi="宋体" w:eastAsia="宋体" w:cs="宋体"/>
          <w:b/>
          <w:color w:val="auto"/>
          <w:kern w:val="0"/>
          <w:sz w:val="32"/>
          <w:szCs w:val="32"/>
          <w:highlight w:val="none"/>
        </w:rPr>
        <w:t>八</w:t>
      </w:r>
      <w:r>
        <w:rPr>
          <w:rFonts w:hint="eastAsia" w:ascii="宋体" w:hAnsi="宋体" w:eastAsia="宋体" w:cs="宋体"/>
          <w:b/>
          <w:color w:val="auto"/>
          <w:kern w:val="0"/>
          <w:sz w:val="32"/>
          <w:szCs w:val="32"/>
          <w:highlight w:val="none"/>
          <w:lang w:val="zh-CN"/>
        </w:rPr>
        <w:t>、合同条款偏离表格式</w:t>
      </w:r>
      <w:bookmarkEnd w:id="674"/>
      <w:bookmarkEnd w:id="675"/>
      <w:bookmarkEnd w:id="676"/>
      <w:bookmarkEnd w:id="677"/>
      <w:bookmarkEnd w:id="678"/>
      <w:bookmarkEnd w:id="679"/>
      <w:bookmarkEnd w:id="680"/>
      <w:bookmarkEnd w:id="681"/>
      <w:bookmarkEnd w:id="682"/>
      <w:bookmarkEnd w:id="683"/>
      <w:bookmarkEnd w:id="684"/>
      <w:bookmarkEnd w:id="685"/>
      <w:bookmarkEnd w:id="686"/>
    </w:p>
    <w:p w14:paraId="340E1FC8">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687" w:name="_Toc26412_WPSOffice_Level3"/>
      <w:r>
        <w:rPr>
          <w:rFonts w:hint="eastAsia" w:ascii="宋体" w:hAnsi="宋体" w:eastAsia="宋体" w:cs="宋体"/>
          <w:b/>
          <w:bCs/>
          <w:color w:val="auto"/>
          <w:kern w:val="0"/>
          <w:sz w:val="28"/>
          <w:szCs w:val="30"/>
          <w:highlight w:val="none"/>
          <w:lang w:val="zh-CN"/>
        </w:rPr>
        <w:t>东莞市水务集团有限公司2025年度液态次氯酸钠采购项目合同条款偏离表</w:t>
      </w:r>
      <w:bookmarkEnd w:id="687"/>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420F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73C284F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1BCB976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1EA3242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49A7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4EBE5651">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1425" w:type="dxa"/>
            <w:vAlign w:val="center"/>
          </w:tcPr>
          <w:p w14:paraId="44F48AD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74C57E7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13C0932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6D0ACA8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2ACE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C1540F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5580DF5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57535C40">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合同项目</w:t>
            </w:r>
          </w:p>
        </w:tc>
        <w:tc>
          <w:tcPr>
            <w:tcW w:w="1346" w:type="dxa"/>
            <w:vAlign w:val="center"/>
          </w:tcPr>
          <w:p w14:paraId="10E9CB72">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6E1DF5B5">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2104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E4342C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40AEF79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w:t>
            </w:r>
          </w:p>
        </w:tc>
        <w:tc>
          <w:tcPr>
            <w:tcW w:w="3055" w:type="dxa"/>
            <w:vAlign w:val="center"/>
          </w:tcPr>
          <w:p w14:paraId="1C6E2491">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合同价款及销项税价</w:t>
            </w:r>
          </w:p>
        </w:tc>
        <w:tc>
          <w:tcPr>
            <w:tcW w:w="1346" w:type="dxa"/>
            <w:vAlign w:val="center"/>
          </w:tcPr>
          <w:p w14:paraId="7B72791B">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678114D9">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5BE7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2BB9A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DFBFA4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w:t>
            </w:r>
          </w:p>
        </w:tc>
        <w:tc>
          <w:tcPr>
            <w:tcW w:w="3055" w:type="dxa"/>
            <w:vAlign w:val="center"/>
          </w:tcPr>
          <w:p w14:paraId="6686EAAA">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合同组成</w:t>
            </w:r>
          </w:p>
        </w:tc>
        <w:tc>
          <w:tcPr>
            <w:tcW w:w="1346" w:type="dxa"/>
            <w:vAlign w:val="center"/>
          </w:tcPr>
          <w:p w14:paraId="39CE7EE5">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129F668A">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4F15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ED2370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03AA4A6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第四条</w:t>
            </w:r>
          </w:p>
        </w:tc>
        <w:tc>
          <w:tcPr>
            <w:tcW w:w="3055" w:type="dxa"/>
            <w:vAlign w:val="center"/>
          </w:tcPr>
          <w:p w14:paraId="08A1B2F9">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技术要求及质量要求</w:t>
            </w:r>
          </w:p>
        </w:tc>
        <w:tc>
          <w:tcPr>
            <w:tcW w:w="1346" w:type="dxa"/>
            <w:vAlign w:val="center"/>
          </w:tcPr>
          <w:p w14:paraId="52BB5952">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437C3CB2">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6352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B504CA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3570E6C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第五条</w:t>
            </w:r>
          </w:p>
        </w:tc>
        <w:tc>
          <w:tcPr>
            <w:tcW w:w="3055" w:type="dxa"/>
            <w:vAlign w:val="center"/>
          </w:tcPr>
          <w:p w14:paraId="04A3CC68">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包装及运输要求</w:t>
            </w:r>
          </w:p>
        </w:tc>
        <w:tc>
          <w:tcPr>
            <w:tcW w:w="1346" w:type="dxa"/>
            <w:vAlign w:val="center"/>
          </w:tcPr>
          <w:p w14:paraId="573A9796">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5B21426E">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376D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B80E96">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05D983C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第六条</w:t>
            </w:r>
          </w:p>
        </w:tc>
        <w:tc>
          <w:tcPr>
            <w:tcW w:w="3055" w:type="dxa"/>
            <w:vAlign w:val="center"/>
          </w:tcPr>
          <w:p w14:paraId="60642C1D">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货物的交付</w:t>
            </w:r>
          </w:p>
        </w:tc>
        <w:tc>
          <w:tcPr>
            <w:tcW w:w="1346" w:type="dxa"/>
            <w:vAlign w:val="center"/>
          </w:tcPr>
          <w:p w14:paraId="2EE58F46">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116F1AF6">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1DA7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1A919C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4B4A633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w:t>
            </w:r>
          </w:p>
        </w:tc>
        <w:tc>
          <w:tcPr>
            <w:tcW w:w="3055" w:type="dxa"/>
            <w:vAlign w:val="center"/>
          </w:tcPr>
          <w:p w14:paraId="54DC3A3E">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储存</w:t>
            </w:r>
          </w:p>
        </w:tc>
        <w:tc>
          <w:tcPr>
            <w:tcW w:w="1346" w:type="dxa"/>
            <w:vAlign w:val="center"/>
          </w:tcPr>
          <w:p w14:paraId="041FACD3">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1D33667F">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2B9F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BE05E3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321D561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第八条</w:t>
            </w:r>
          </w:p>
        </w:tc>
        <w:tc>
          <w:tcPr>
            <w:tcW w:w="3055" w:type="dxa"/>
            <w:vAlign w:val="center"/>
          </w:tcPr>
          <w:p w14:paraId="173F632A">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验收</w:t>
            </w:r>
          </w:p>
        </w:tc>
        <w:tc>
          <w:tcPr>
            <w:tcW w:w="1346" w:type="dxa"/>
            <w:vAlign w:val="center"/>
          </w:tcPr>
          <w:p w14:paraId="19CB8D56">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707F07CB">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19E4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7023EB07">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shd w:val="clear" w:color="auto" w:fill="auto"/>
            <w:vAlign w:val="center"/>
          </w:tcPr>
          <w:p w14:paraId="1B934B4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第九条</w:t>
            </w:r>
          </w:p>
        </w:tc>
        <w:tc>
          <w:tcPr>
            <w:tcW w:w="3055" w:type="dxa"/>
            <w:vAlign w:val="center"/>
          </w:tcPr>
          <w:p w14:paraId="67D0A2CD">
            <w:pPr>
              <w:autoSpaceDE w:val="0"/>
              <w:autoSpaceDN w:val="0"/>
              <w:adjustRightInd w:val="0"/>
              <w:spacing w:line="400" w:lineRule="exact"/>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技术资料</w:t>
            </w:r>
          </w:p>
        </w:tc>
        <w:tc>
          <w:tcPr>
            <w:tcW w:w="1346" w:type="dxa"/>
            <w:vAlign w:val="center"/>
          </w:tcPr>
          <w:p w14:paraId="04165836">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2737171F">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0563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577E8916">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shd w:val="clear" w:color="auto" w:fill="auto"/>
            <w:vAlign w:val="center"/>
          </w:tcPr>
          <w:p w14:paraId="0072329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第十条</w:t>
            </w:r>
          </w:p>
        </w:tc>
        <w:tc>
          <w:tcPr>
            <w:tcW w:w="3055" w:type="dxa"/>
            <w:vAlign w:val="center"/>
          </w:tcPr>
          <w:p w14:paraId="2E7272B2">
            <w:pPr>
              <w:autoSpaceDE w:val="0"/>
              <w:autoSpaceDN w:val="0"/>
              <w:adjustRightInd w:val="0"/>
              <w:spacing w:line="400" w:lineRule="exact"/>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权利保证</w:t>
            </w:r>
          </w:p>
        </w:tc>
        <w:tc>
          <w:tcPr>
            <w:tcW w:w="1346" w:type="dxa"/>
            <w:vAlign w:val="center"/>
          </w:tcPr>
          <w:p w14:paraId="2A4B5F69">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735B9521">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5FD0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5E195A9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shd w:val="clear" w:color="auto" w:fill="auto"/>
            <w:vAlign w:val="center"/>
          </w:tcPr>
          <w:p w14:paraId="7173E817">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第十一条</w:t>
            </w:r>
          </w:p>
        </w:tc>
        <w:tc>
          <w:tcPr>
            <w:tcW w:w="3055" w:type="dxa"/>
            <w:vAlign w:val="center"/>
          </w:tcPr>
          <w:p w14:paraId="30650038">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质量保证及售后服务</w:t>
            </w:r>
          </w:p>
        </w:tc>
        <w:tc>
          <w:tcPr>
            <w:tcW w:w="1346" w:type="dxa"/>
            <w:vAlign w:val="center"/>
          </w:tcPr>
          <w:p w14:paraId="1BAF50BF">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2EC9AC23">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777F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78A19BC6">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shd w:val="clear" w:color="auto" w:fill="auto"/>
            <w:vAlign w:val="center"/>
          </w:tcPr>
          <w:p w14:paraId="1C7610A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第十二条</w:t>
            </w:r>
          </w:p>
        </w:tc>
        <w:tc>
          <w:tcPr>
            <w:tcW w:w="3055" w:type="dxa"/>
            <w:vAlign w:val="center"/>
          </w:tcPr>
          <w:p w14:paraId="05ED3D2E">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1C3B3709">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3DF21FC8">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2097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5432D6D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shd w:val="clear" w:color="auto" w:fill="auto"/>
            <w:vAlign w:val="center"/>
          </w:tcPr>
          <w:p w14:paraId="5F2185B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第十三条</w:t>
            </w:r>
          </w:p>
        </w:tc>
        <w:tc>
          <w:tcPr>
            <w:tcW w:w="3055" w:type="dxa"/>
            <w:vAlign w:val="center"/>
          </w:tcPr>
          <w:p w14:paraId="48F0D3A2">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付款方式</w:t>
            </w:r>
          </w:p>
        </w:tc>
        <w:tc>
          <w:tcPr>
            <w:tcW w:w="1346" w:type="dxa"/>
            <w:vAlign w:val="center"/>
          </w:tcPr>
          <w:p w14:paraId="53D27AC4">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12407BDD">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6EAE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16EB624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shd w:val="clear" w:color="auto" w:fill="auto"/>
            <w:vAlign w:val="center"/>
          </w:tcPr>
          <w:p w14:paraId="273EB6D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第十四条</w:t>
            </w:r>
          </w:p>
        </w:tc>
        <w:tc>
          <w:tcPr>
            <w:tcW w:w="3055" w:type="dxa"/>
            <w:vAlign w:val="center"/>
          </w:tcPr>
          <w:p w14:paraId="44AEEC0D">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不可抗力</w:t>
            </w:r>
          </w:p>
        </w:tc>
        <w:tc>
          <w:tcPr>
            <w:tcW w:w="1346" w:type="dxa"/>
            <w:vAlign w:val="center"/>
          </w:tcPr>
          <w:p w14:paraId="6F447E84">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1FDFB84F">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6A14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18EF1F3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shd w:val="clear" w:color="auto" w:fill="auto"/>
            <w:vAlign w:val="center"/>
          </w:tcPr>
          <w:p w14:paraId="74FE8B4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第十五条</w:t>
            </w:r>
          </w:p>
        </w:tc>
        <w:tc>
          <w:tcPr>
            <w:tcW w:w="3055" w:type="dxa"/>
            <w:vAlign w:val="center"/>
          </w:tcPr>
          <w:p w14:paraId="6E9701F2">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违约责任</w:t>
            </w:r>
          </w:p>
        </w:tc>
        <w:tc>
          <w:tcPr>
            <w:tcW w:w="1346" w:type="dxa"/>
            <w:vAlign w:val="center"/>
          </w:tcPr>
          <w:p w14:paraId="7CBDA958">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3C58C8E1">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18B6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7C20EB5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shd w:val="clear" w:color="auto" w:fill="auto"/>
            <w:vAlign w:val="center"/>
          </w:tcPr>
          <w:p w14:paraId="1894862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第十六条</w:t>
            </w:r>
          </w:p>
        </w:tc>
        <w:tc>
          <w:tcPr>
            <w:tcW w:w="3055" w:type="dxa"/>
            <w:vAlign w:val="center"/>
          </w:tcPr>
          <w:p w14:paraId="05B00216">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争议解决</w:t>
            </w:r>
          </w:p>
        </w:tc>
        <w:tc>
          <w:tcPr>
            <w:tcW w:w="1346" w:type="dxa"/>
            <w:vAlign w:val="center"/>
          </w:tcPr>
          <w:p w14:paraId="0E2CEA2F">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330CD100">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0AE6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45C8A89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425" w:type="dxa"/>
            <w:shd w:val="clear" w:color="auto" w:fill="auto"/>
            <w:vAlign w:val="center"/>
          </w:tcPr>
          <w:p w14:paraId="07780A4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第十七条</w:t>
            </w:r>
          </w:p>
        </w:tc>
        <w:tc>
          <w:tcPr>
            <w:tcW w:w="3055" w:type="dxa"/>
            <w:vAlign w:val="center"/>
          </w:tcPr>
          <w:p w14:paraId="5612057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2A126599">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783D138F">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6F0F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1BF7971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425" w:type="dxa"/>
            <w:shd w:val="clear" w:color="auto" w:fill="auto"/>
            <w:vAlign w:val="center"/>
          </w:tcPr>
          <w:p w14:paraId="7A38DE16">
            <w:pPr>
              <w:pStyle w:val="63"/>
              <w:snapToGrid w:val="0"/>
              <w:spacing w:line="240" w:lineRule="auto"/>
              <w:ind w:firstLine="0" w:firstLineChars="0"/>
              <w:jc w:val="center"/>
              <w:rPr>
                <w:rFonts w:hint="eastAsia" w:ascii="宋体" w:eastAsia="宋体" w:cs="宋体"/>
                <w:color w:val="auto"/>
                <w:kern w:val="0"/>
                <w:sz w:val="21"/>
                <w:szCs w:val="21"/>
                <w:highlight w:val="none"/>
              </w:rPr>
            </w:pPr>
            <w:r>
              <w:rPr>
                <w:rFonts w:hint="eastAsia" w:ascii="宋体" w:eastAsia="宋体" w:cs="宋体"/>
                <w:color w:val="auto"/>
                <w:sz w:val="21"/>
                <w:szCs w:val="21"/>
                <w:highlight w:val="none"/>
              </w:rPr>
              <w:t>附件1</w:t>
            </w:r>
          </w:p>
        </w:tc>
        <w:tc>
          <w:tcPr>
            <w:tcW w:w="3055" w:type="dxa"/>
            <w:vAlign w:val="center"/>
          </w:tcPr>
          <w:p w14:paraId="6F872C22">
            <w:pPr>
              <w:pStyle w:val="63"/>
              <w:snapToGrid w:val="0"/>
              <w:spacing w:line="240" w:lineRule="auto"/>
              <w:ind w:firstLine="0" w:firstLineChars="0"/>
              <w:jc w:val="center"/>
              <w:rPr>
                <w:rFonts w:hint="eastAsia" w:ascii="宋体" w:eastAsia="宋体" w:cs="宋体"/>
                <w:color w:val="auto"/>
                <w:kern w:val="0"/>
                <w:szCs w:val="21"/>
                <w:highlight w:val="none"/>
              </w:rPr>
            </w:pPr>
            <w:r>
              <w:rPr>
                <w:rFonts w:hint="eastAsia" w:ascii="宋体" w:eastAsia="宋体" w:cs="宋体"/>
                <w:color w:val="auto"/>
                <w:sz w:val="21"/>
                <w:szCs w:val="21"/>
                <w:highlight w:val="none"/>
              </w:rPr>
              <w:t>供应商履约评价表</w:t>
            </w:r>
          </w:p>
        </w:tc>
        <w:tc>
          <w:tcPr>
            <w:tcW w:w="1346" w:type="dxa"/>
            <w:vAlign w:val="center"/>
          </w:tcPr>
          <w:p w14:paraId="0F78BD25">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2370E8AB">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4839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3A5EAD9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1425" w:type="dxa"/>
            <w:vAlign w:val="center"/>
          </w:tcPr>
          <w:p w14:paraId="74C485D1">
            <w:pPr>
              <w:pStyle w:val="63"/>
              <w:snapToGrid w:val="0"/>
              <w:spacing w:line="240" w:lineRule="auto"/>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附件2</w:t>
            </w:r>
          </w:p>
        </w:tc>
        <w:tc>
          <w:tcPr>
            <w:tcW w:w="3055" w:type="dxa"/>
            <w:vAlign w:val="center"/>
          </w:tcPr>
          <w:p w14:paraId="0660FF73">
            <w:pPr>
              <w:pStyle w:val="63"/>
              <w:snapToGrid w:val="0"/>
              <w:spacing w:line="240" w:lineRule="auto"/>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廉洁协议书</w:t>
            </w:r>
          </w:p>
        </w:tc>
        <w:tc>
          <w:tcPr>
            <w:tcW w:w="1346" w:type="dxa"/>
            <w:vAlign w:val="center"/>
          </w:tcPr>
          <w:p w14:paraId="1AFB3716">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0D837677">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69B4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3134007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1425" w:type="dxa"/>
            <w:vAlign w:val="center"/>
          </w:tcPr>
          <w:p w14:paraId="71BB3449">
            <w:pPr>
              <w:pStyle w:val="63"/>
              <w:snapToGrid w:val="0"/>
              <w:spacing w:line="240" w:lineRule="auto"/>
              <w:ind w:firstLine="0" w:firstLineChars="0"/>
              <w:jc w:val="center"/>
              <w:rPr>
                <w:rFonts w:hint="eastAsia" w:ascii="宋体" w:eastAsia="宋体" w:cs="宋体"/>
                <w:color w:val="auto"/>
                <w:kern w:val="0"/>
                <w:szCs w:val="21"/>
                <w:highlight w:val="none"/>
              </w:rPr>
            </w:pPr>
            <w:r>
              <w:rPr>
                <w:rFonts w:hint="eastAsia" w:ascii="宋体" w:eastAsia="宋体" w:cs="宋体"/>
                <w:color w:val="auto"/>
                <w:sz w:val="21"/>
                <w:szCs w:val="21"/>
                <w:highlight w:val="none"/>
              </w:rPr>
              <w:t>/</w:t>
            </w:r>
          </w:p>
        </w:tc>
        <w:tc>
          <w:tcPr>
            <w:tcW w:w="3055" w:type="dxa"/>
            <w:vAlign w:val="center"/>
          </w:tcPr>
          <w:p w14:paraId="2D8ED846">
            <w:pPr>
              <w:pStyle w:val="63"/>
              <w:snapToGrid w:val="0"/>
              <w:spacing w:line="240" w:lineRule="auto"/>
              <w:ind w:firstLine="0" w:firstLineChars="0"/>
              <w:jc w:val="center"/>
              <w:rPr>
                <w:rFonts w:hint="eastAsia" w:ascii="宋体" w:eastAsia="宋体" w:cs="宋体"/>
                <w:color w:val="auto"/>
                <w:kern w:val="0"/>
                <w:szCs w:val="21"/>
                <w:highlight w:val="none"/>
              </w:rPr>
            </w:pPr>
            <w:r>
              <w:rPr>
                <w:rFonts w:hint="eastAsia" w:ascii="宋体" w:eastAsia="宋体" w:cs="宋体"/>
                <w:color w:val="auto"/>
                <w:sz w:val="21"/>
                <w:szCs w:val="21"/>
                <w:highlight w:val="none"/>
              </w:rPr>
              <w:t>补充协议</w:t>
            </w:r>
          </w:p>
        </w:tc>
        <w:tc>
          <w:tcPr>
            <w:tcW w:w="1346" w:type="dxa"/>
            <w:vAlign w:val="center"/>
          </w:tcPr>
          <w:p w14:paraId="04A1E7BD">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6E82E298">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6AE5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0718C786">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425" w:type="dxa"/>
            <w:vAlign w:val="center"/>
          </w:tcPr>
          <w:p w14:paraId="0E51ED30">
            <w:pPr>
              <w:pStyle w:val="63"/>
              <w:spacing w:line="400" w:lineRule="exact"/>
              <w:ind w:firstLine="0" w:firstLineChars="0"/>
              <w:contextualSpacing/>
              <w:jc w:val="center"/>
              <w:rPr>
                <w:rFonts w:hint="eastAsia" w:ascii="宋体" w:eastAsia="宋体" w:cs="宋体"/>
                <w:color w:val="auto"/>
                <w:kern w:val="0"/>
                <w:szCs w:val="21"/>
                <w:highlight w:val="none"/>
              </w:rPr>
            </w:pPr>
            <w:r>
              <w:rPr>
                <w:rFonts w:hint="eastAsia" w:ascii="宋体" w:eastAsia="宋体"/>
                <w:color w:val="auto"/>
                <w:sz w:val="21"/>
                <w:szCs w:val="21"/>
                <w:highlight w:val="none"/>
              </w:rPr>
              <w:t>一</w:t>
            </w:r>
          </w:p>
        </w:tc>
        <w:tc>
          <w:tcPr>
            <w:tcW w:w="3055" w:type="dxa"/>
            <w:vAlign w:val="center"/>
          </w:tcPr>
          <w:p w14:paraId="0AB143CA">
            <w:pPr>
              <w:pStyle w:val="63"/>
              <w:spacing w:line="400" w:lineRule="exact"/>
              <w:ind w:firstLine="0" w:firstLineChars="0"/>
              <w:contextualSpacing/>
              <w:jc w:val="center"/>
              <w:rPr>
                <w:rFonts w:hint="eastAsia" w:ascii="宋体" w:eastAsia="宋体" w:cs="宋体"/>
                <w:color w:val="auto"/>
                <w:kern w:val="0"/>
                <w:szCs w:val="21"/>
                <w:highlight w:val="none"/>
              </w:rPr>
            </w:pPr>
            <w:r>
              <w:rPr>
                <w:rFonts w:hint="eastAsia" w:ascii="宋体" w:eastAsia="宋体"/>
                <w:color w:val="auto"/>
                <w:sz w:val="21"/>
                <w:szCs w:val="21"/>
                <w:highlight w:val="none"/>
              </w:rPr>
              <w:t>不可撤销银行履约保函</w:t>
            </w:r>
          </w:p>
        </w:tc>
        <w:tc>
          <w:tcPr>
            <w:tcW w:w="1346" w:type="dxa"/>
            <w:vAlign w:val="center"/>
          </w:tcPr>
          <w:p w14:paraId="54E375F8">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3720539B">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76E7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6FFD553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425" w:type="dxa"/>
            <w:vAlign w:val="center"/>
          </w:tcPr>
          <w:p w14:paraId="77908C3F">
            <w:pPr>
              <w:pStyle w:val="63"/>
              <w:spacing w:line="400" w:lineRule="exact"/>
              <w:ind w:firstLine="0" w:firstLineChars="0"/>
              <w:contextualSpacing/>
              <w:jc w:val="center"/>
              <w:rPr>
                <w:rFonts w:hint="eastAsia" w:ascii="宋体" w:eastAsia="宋体" w:cs="宋体"/>
                <w:color w:val="auto"/>
                <w:kern w:val="0"/>
                <w:szCs w:val="21"/>
                <w:highlight w:val="none"/>
              </w:rPr>
            </w:pPr>
            <w:r>
              <w:rPr>
                <w:rFonts w:hint="eastAsia" w:ascii="宋体" w:eastAsia="宋体"/>
                <w:color w:val="auto"/>
                <w:sz w:val="21"/>
                <w:szCs w:val="21"/>
                <w:highlight w:val="none"/>
              </w:rPr>
              <w:t>二</w:t>
            </w:r>
          </w:p>
        </w:tc>
        <w:tc>
          <w:tcPr>
            <w:tcW w:w="3055" w:type="dxa"/>
            <w:vAlign w:val="center"/>
          </w:tcPr>
          <w:p w14:paraId="65EAB7F8">
            <w:pPr>
              <w:pStyle w:val="63"/>
              <w:spacing w:line="400" w:lineRule="exact"/>
              <w:ind w:firstLine="0" w:firstLineChars="0"/>
              <w:contextualSpacing/>
              <w:jc w:val="center"/>
              <w:rPr>
                <w:rFonts w:hint="eastAsia" w:ascii="宋体" w:eastAsia="宋体" w:cs="宋体"/>
                <w:color w:val="auto"/>
                <w:kern w:val="0"/>
                <w:szCs w:val="21"/>
                <w:highlight w:val="none"/>
              </w:rPr>
            </w:pPr>
            <w:r>
              <w:rPr>
                <w:rFonts w:hint="eastAsia" w:ascii="宋体" w:eastAsia="宋体"/>
                <w:color w:val="auto"/>
                <w:kern w:val="0"/>
                <w:sz w:val="21"/>
                <w:szCs w:val="21"/>
                <w:highlight w:val="none"/>
              </w:rPr>
              <w:t>履约保证保险凭证</w:t>
            </w:r>
          </w:p>
        </w:tc>
        <w:tc>
          <w:tcPr>
            <w:tcW w:w="1346" w:type="dxa"/>
            <w:vAlign w:val="center"/>
          </w:tcPr>
          <w:p w14:paraId="6B4B9A79">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47FCB978">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71A7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shd w:val="clear" w:color="auto" w:fill="auto"/>
            <w:vAlign w:val="center"/>
          </w:tcPr>
          <w:p w14:paraId="2B0B943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1425" w:type="dxa"/>
            <w:vAlign w:val="center"/>
          </w:tcPr>
          <w:p w14:paraId="679CAB64">
            <w:pPr>
              <w:pStyle w:val="63"/>
              <w:spacing w:line="400" w:lineRule="exact"/>
              <w:ind w:firstLine="0" w:firstLineChars="0"/>
              <w:contextualSpacing/>
              <w:jc w:val="center"/>
              <w:rPr>
                <w:rFonts w:hint="eastAsia" w:ascii="宋体" w:eastAsia="宋体" w:cs="宋体"/>
                <w:color w:val="auto"/>
                <w:kern w:val="0"/>
                <w:szCs w:val="21"/>
                <w:highlight w:val="none"/>
              </w:rPr>
            </w:pPr>
            <w:r>
              <w:rPr>
                <w:rFonts w:hint="eastAsia" w:ascii="宋体" w:eastAsia="宋体"/>
                <w:color w:val="auto"/>
                <w:sz w:val="21"/>
                <w:szCs w:val="21"/>
                <w:highlight w:val="none"/>
              </w:rPr>
              <w:t>三</w:t>
            </w:r>
          </w:p>
        </w:tc>
        <w:tc>
          <w:tcPr>
            <w:tcW w:w="3055" w:type="dxa"/>
            <w:vAlign w:val="center"/>
          </w:tcPr>
          <w:p w14:paraId="170D6814">
            <w:pPr>
              <w:pStyle w:val="63"/>
              <w:spacing w:line="400" w:lineRule="exact"/>
              <w:ind w:firstLine="0" w:firstLineChars="0"/>
              <w:contextualSpacing/>
              <w:jc w:val="center"/>
              <w:rPr>
                <w:rFonts w:hint="eastAsia" w:ascii="宋体" w:eastAsia="宋体" w:cs="宋体"/>
                <w:color w:val="auto"/>
                <w:kern w:val="0"/>
                <w:szCs w:val="21"/>
                <w:highlight w:val="none"/>
              </w:rPr>
            </w:pPr>
            <w:r>
              <w:rPr>
                <w:rFonts w:hint="eastAsia" w:ascii="宋体" w:eastAsia="宋体"/>
                <w:color w:val="auto"/>
                <w:kern w:val="0"/>
                <w:sz w:val="21"/>
                <w:szCs w:val="21"/>
                <w:highlight w:val="none"/>
              </w:rPr>
              <w:t>担保公司履约担保书</w:t>
            </w:r>
          </w:p>
        </w:tc>
        <w:tc>
          <w:tcPr>
            <w:tcW w:w="1346" w:type="dxa"/>
            <w:vAlign w:val="center"/>
          </w:tcPr>
          <w:p w14:paraId="00C0AEB8">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5F5BFE11">
            <w:pPr>
              <w:autoSpaceDE w:val="0"/>
              <w:autoSpaceDN w:val="0"/>
              <w:adjustRightInd w:val="0"/>
              <w:spacing w:line="400" w:lineRule="exact"/>
              <w:jc w:val="center"/>
              <w:rPr>
                <w:rFonts w:hint="eastAsia" w:ascii="宋体" w:hAnsi="宋体" w:eastAsia="宋体" w:cs="宋体"/>
                <w:color w:val="auto"/>
                <w:kern w:val="0"/>
                <w:szCs w:val="21"/>
                <w:highlight w:val="none"/>
              </w:rPr>
            </w:pPr>
          </w:p>
        </w:tc>
      </w:tr>
    </w:tbl>
    <w:p w14:paraId="48C34E31">
      <w:pPr>
        <w:autoSpaceDE w:val="0"/>
        <w:autoSpaceDN w:val="0"/>
        <w:adjustRightInd w:val="0"/>
        <w:snapToGrid w:val="0"/>
        <w:spacing w:line="360" w:lineRule="auto"/>
        <w:ind w:left="186" w:leftChars="-158" w:hanging="518" w:hangingChars="247"/>
        <w:jc w:val="left"/>
        <w:rPr>
          <w:rFonts w:hint="eastAsia" w:ascii="宋体" w:hAnsi="宋体" w:eastAsia="宋体" w:cs="Times New Roman"/>
          <w:color w:val="auto"/>
          <w:szCs w:val="24"/>
          <w:highlight w:val="none"/>
          <w:lang w:val="zh-CN"/>
        </w:rPr>
      </w:pPr>
    </w:p>
    <w:p w14:paraId="72858CD4">
      <w:pPr>
        <w:autoSpaceDE w:val="0"/>
        <w:autoSpaceDN w:val="0"/>
        <w:adjustRightInd w:val="0"/>
        <w:snapToGrid w:val="0"/>
        <w:spacing w:line="360" w:lineRule="auto"/>
        <w:ind w:left="166" w:leftChars="-101" w:hanging="378" w:hangingChars="18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4FCF71B3">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62015D9F">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4EAE2B8A">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272E5B22">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7D985CFF">
      <w:pPr>
        <w:spacing w:line="360" w:lineRule="auto"/>
        <w:ind w:left="357" w:leftChars="-100" w:hanging="567" w:hangingChars="270"/>
        <w:rPr>
          <w:rFonts w:hint="eastAsia" w:ascii="宋体" w:hAnsi="宋体" w:eastAsia="宋体" w:cs="宋体"/>
          <w:color w:val="auto"/>
          <w:szCs w:val="21"/>
          <w:highlight w:val="none"/>
        </w:rPr>
      </w:pPr>
    </w:p>
    <w:p w14:paraId="4740A7CF">
      <w:pPr>
        <w:spacing w:line="360" w:lineRule="auto"/>
        <w:ind w:left="357" w:leftChars="-100" w:hanging="567" w:hangingChars="270"/>
        <w:rPr>
          <w:rFonts w:hint="eastAsia" w:ascii="宋体" w:hAnsi="宋体" w:eastAsia="宋体" w:cs="宋体"/>
          <w:color w:val="auto"/>
          <w:szCs w:val="21"/>
          <w:highlight w:val="none"/>
        </w:rPr>
      </w:pPr>
    </w:p>
    <w:p w14:paraId="7BE187D1">
      <w:pPr>
        <w:spacing w:line="360" w:lineRule="auto"/>
        <w:ind w:left="357" w:leftChars="-100" w:hanging="567" w:hangingChars="270"/>
        <w:rPr>
          <w:rFonts w:hint="eastAsia" w:ascii="宋体" w:hAnsi="宋体" w:eastAsia="宋体" w:cs="宋体"/>
          <w:color w:val="auto"/>
          <w:szCs w:val="21"/>
          <w:highlight w:val="none"/>
        </w:rPr>
      </w:pPr>
    </w:p>
    <w:p w14:paraId="63EA298F">
      <w:pPr>
        <w:spacing w:line="360" w:lineRule="auto"/>
        <w:ind w:right="368" w:rightChars="175" w:firstLine="5355" w:firstLineChars="25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6062283E">
      <w:pPr>
        <w:autoSpaceDE w:val="0"/>
        <w:autoSpaceDN w:val="0"/>
        <w:adjustRightInd w:val="0"/>
        <w:spacing w:line="360" w:lineRule="auto"/>
        <w:ind w:firstLine="5355" w:firstLineChars="2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DF45FC9">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88" w:name="_Toc102860426"/>
      <w:bookmarkStart w:id="689" w:name="_Toc4937"/>
      <w:bookmarkStart w:id="690" w:name="_Toc142508377"/>
      <w:bookmarkStart w:id="691" w:name="_Toc102860082"/>
      <w:bookmarkStart w:id="692" w:name="_Toc94107218"/>
      <w:bookmarkStart w:id="693" w:name="_Toc104991884"/>
      <w:bookmarkStart w:id="694" w:name="_Toc2075"/>
      <w:bookmarkStart w:id="695" w:name="_Toc140596937"/>
      <w:bookmarkStart w:id="696" w:name="_Toc13348"/>
      <w:bookmarkStart w:id="697" w:name="_Toc486167717"/>
      <w:bookmarkStart w:id="698" w:name="_Toc27980_WPSOffice_Level2"/>
      <w:r>
        <w:rPr>
          <w:rFonts w:hint="eastAsia" w:ascii="宋体" w:hAnsi="宋体" w:eastAsia="宋体" w:cs="宋体"/>
          <w:b/>
          <w:color w:val="auto"/>
          <w:kern w:val="0"/>
          <w:sz w:val="32"/>
          <w:szCs w:val="32"/>
          <w:highlight w:val="none"/>
        </w:rPr>
        <w:t>九、业绩表格式</w:t>
      </w:r>
      <w:bookmarkEnd w:id="688"/>
      <w:bookmarkEnd w:id="689"/>
      <w:bookmarkEnd w:id="690"/>
      <w:bookmarkEnd w:id="691"/>
      <w:bookmarkEnd w:id="692"/>
      <w:bookmarkEnd w:id="693"/>
      <w:bookmarkEnd w:id="694"/>
      <w:bookmarkEnd w:id="695"/>
      <w:bookmarkEnd w:id="696"/>
    </w:p>
    <w:p w14:paraId="0D9E07F7">
      <w:pPr>
        <w:autoSpaceDE w:val="0"/>
        <w:autoSpaceDN w:val="0"/>
        <w:adjustRightInd w:val="0"/>
        <w:spacing w:line="360" w:lineRule="auto"/>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w:t>
      </w:r>
      <w:r>
        <w:rPr>
          <w:rFonts w:hint="eastAsia" w:ascii="宋体" w:hAnsi="宋体" w:eastAsia="宋体" w:cs="Times New Roman"/>
          <w:b/>
          <w:bCs/>
          <w:color w:val="auto"/>
          <w:sz w:val="30"/>
          <w:szCs w:val="30"/>
          <w:highlight w:val="none"/>
        </w:rPr>
        <w:t>2022年1月1日以来具有</w:t>
      </w:r>
      <w:r>
        <w:rPr>
          <w:rFonts w:hint="eastAsia" w:ascii="宋体" w:hAnsi="宋体" w:eastAsia="宋体" w:cs="Times New Roman"/>
          <w:b/>
          <w:bCs/>
          <w:color w:val="auto"/>
          <w:sz w:val="30"/>
          <w:szCs w:val="30"/>
          <w:highlight w:val="none"/>
          <w:lang w:val="zh-CN"/>
        </w:rPr>
        <w:t>投标品牌液态次氯酸钠供货业绩表</w:t>
      </w:r>
    </w:p>
    <w:p w14:paraId="649567F2">
      <w:pPr>
        <w:pStyle w:val="21"/>
        <w:spacing w:line="360" w:lineRule="auto"/>
        <w:ind w:left="4" w:leftChars="2" w:firstLine="420" w:firstLineChars="200"/>
        <w:rPr>
          <w:rFonts w:hint="eastAsia" w:hAnsi="宋体" w:cs="宋体"/>
          <w:color w:val="auto"/>
          <w:szCs w:val="21"/>
          <w:highlight w:val="none"/>
        </w:rPr>
      </w:pPr>
      <w:r>
        <w:rPr>
          <w:rFonts w:hint="eastAsia" w:hAnsi="宋体" w:cs="宋体"/>
          <w:color w:val="auto"/>
          <w:szCs w:val="21"/>
          <w:highlight w:val="none"/>
        </w:rPr>
        <w:t>本项业绩必须为：投标人</w:t>
      </w:r>
      <w:r>
        <w:rPr>
          <w:rFonts w:hint="eastAsia" w:hAnsi="宋体" w:cs="宋体"/>
          <w:color w:val="auto"/>
          <w:szCs w:val="21"/>
          <w:highlight w:val="none"/>
          <w:lang w:val="zh-CN"/>
        </w:rPr>
        <w:t>202</w:t>
      </w:r>
      <w:r>
        <w:rPr>
          <w:rFonts w:hint="eastAsia" w:hAnsi="宋体" w:cs="宋体"/>
          <w:color w:val="auto"/>
          <w:szCs w:val="21"/>
          <w:highlight w:val="none"/>
        </w:rPr>
        <w:t>2</w:t>
      </w:r>
      <w:r>
        <w:rPr>
          <w:rFonts w:hint="eastAsia" w:hAnsi="宋体" w:cs="宋体"/>
          <w:color w:val="auto"/>
          <w:szCs w:val="21"/>
          <w:highlight w:val="none"/>
          <w:lang w:val="zh-CN"/>
        </w:rPr>
        <w:t>年</w:t>
      </w:r>
      <w:r>
        <w:rPr>
          <w:rFonts w:hint="eastAsia" w:hAnsi="宋体" w:cs="宋体"/>
          <w:color w:val="auto"/>
          <w:szCs w:val="21"/>
          <w:highlight w:val="none"/>
        </w:rPr>
        <w:t>1月1日以来具有的投标品牌液态次氯酸钠供货业绩（合同签订日期为</w:t>
      </w:r>
      <w:r>
        <w:rPr>
          <w:rFonts w:hint="eastAsia" w:hAnsi="宋体" w:cs="宋体"/>
          <w:color w:val="auto"/>
          <w:szCs w:val="21"/>
          <w:highlight w:val="none"/>
          <w:lang w:val="zh-CN"/>
        </w:rPr>
        <w:t>202</w:t>
      </w:r>
      <w:r>
        <w:rPr>
          <w:rFonts w:hint="eastAsia" w:hAnsi="宋体" w:cs="宋体"/>
          <w:color w:val="auto"/>
          <w:szCs w:val="21"/>
          <w:highlight w:val="none"/>
        </w:rPr>
        <w:t>2</w:t>
      </w:r>
      <w:r>
        <w:rPr>
          <w:rFonts w:hint="eastAsia" w:hAnsi="宋体" w:cs="宋体"/>
          <w:color w:val="auto"/>
          <w:szCs w:val="21"/>
          <w:highlight w:val="none"/>
          <w:lang w:val="zh-CN"/>
        </w:rPr>
        <w:t>年</w:t>
      </w:r>
      <w:r>
        <w:rPr>
          <w:rFonts w:hint="eastAsia" w:hAnsi="宋体" w:cs="宋体"/>
          <w:color w:val="auto"/>
          <w:szCs w:val="21"/>
          <w:highlight w:val="none"/>
        </w:rPr>
        <w:t>1月1日或以后）。</w:t>
      </w:r>
    </w:p>
    <w:tbl>
      <w:tblPr>
        <w:tblStyle w:val="3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6"/>
        <w:gridCol w:w="1027"/>
        <w:gridCol w:w="1335"/>
        <w:gridCol w:w="1306"/>
        <w:gridCol w:w="1700"/>
        <w:gridCol w:w="940"/>
        <w:gridCol w:w="994"/>
        <w:gridCol w:w="1312"/>
        <w:gridCol w:w="886"/>
      </w:tblGrid>
      <w:tr w14:paraId="55CD49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18252758">
            <w:pPr>
              <w:autoSpaceDE w:val="0"/>
              <w:autoSpaceDN w:val="0"/>
              <w:adjustRightInd w:val="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495" w:type="pct"/>
            <w:tcBorders>
              <w:top w:val="single" w:color="auto" w:sz="4" w:space="0"/>
              <w:left w:val="single" w:color="auto" w:sz="4" w:space="0"/>
              <w:bottom w:val="single" w:color="auto" w:sz="4" w:space="0"/>
              <w:right w:val="single" w:color="auto" w:sz="4" w:space="0"/>
            </w:tcBorders>
            <w:vAlign w:val="center"/>
          </w:tcPr>
          <w:p w14:paraId="6959CD5F">
            <w:pPr>
              <w:autoSpaceDE w:val="0"/>
              <w:autoSpaceDN w:val="0"/>
              <w:adjustRightInd w:val="0"/>
              <w:jc w:val="center"/>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722D6CF3">
            <w:pPr>
              <w:autoSpaceDE w:val="0"/>
              <w:autoSpaceDN w:val="0"/>
              <w:adjustRightInd w:val="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643" w:type="pct"/>
            <w:tcBorders>
              <w:top w:val="single" w:color="auto" w:sz="4" w:space="0"/>
              <w:left w:val="single" w:color="auto" w:sz="4" w:space="0"/>
              <w:bottom w:val="single" w:color="auto" w:sz="4" w:space="0"/>
              <w:right w:val="single" w:color="auto" w:sz="4" w:space="0"/>
            </w:tcBorders>
            <w:vAlign w:val="center"/>
          </w:tcPr>
          <w:p w14:paraId="3A368CFB">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629" w:type="pct"/>
            <w:tcBorders>
              <w:top w:val="single" w:color="auto" w:sz="4" w:space="0"/>
              <w:left w:val="single" w:color="auto" w:sz="4" w:space="0"/>
              <w:bottom w:val="single" w:color="auto" w:sz="4" w:space="0"/>
              <w:right w:val="single" w:color="auto" w:sz="4" w:space="0"/>
            </w:tcBorders>
            <w:vAlign w:val="center"/>
          </w:tcPr>
          <w:p w14:paraId="57E7E9A3">
            <w:pPr>
              <w:autoSpaceDE w:val="0"/>
              <w:autoSpaceDN w:val="0"/>
              <w:adjustRightInd w:val="0"/>
              <w:jc w:val="center"/>
              <w:rPr>
                <w:rFonts w:hint="eastAsia"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819" w:type="pct"/>
            <w:tcBorders>
              <w:top w:val="single" w:color="auto" w:sz="4" w:space="0"/>
              <w:left w:val="single" w:color="auto" w:sz="4" w:space="0"/>
              <w:bottom w:val="single" w:color="auto" w:sz="4" w:space="0"/>
              <w:right w:val="single" w:color="auto" w:sz="4" w:space="0"/>
            </w:tcBorders>
            <w:vAlign w:val="center"/>
          </w:tcPr>
          <w:p w14:paraId="429261FB">
            <w:pPr>
              <w:autoSpaceDE w:val="0"/>
              <w:autoSpaceDN w:val="0"/>
              <w:adjustRightInd w:val="0"/>
              <w:jc w:val="center"/>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单项合同金额</w:t>
            </w:r>
          </w:p>
          <w:p w14:paraId="471E75C8">
            <w:pPr>
              <w:autoSpaceDE w:val="0"/>
              <w:autoSpaceDN w:val="0"/>
              <w:adjustRightInd w:val="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（单位：万元）</w:t>
            </w:r>
          </w:p>
        </w:tc>
        <w:tc>
          <w:tcPr>
            <w:tcW w:w="453" w:type="pct"/>
            <w:tcBorders>
              <w:top w:val="single" w:color="auto" w:sz="4" w:space="0"/>
              <w:left w:val="single" w:color="auto" w:sz="4" w:space="0"/>
              <w:bottom w:val="single" w:color="auto" w:sz="4" w:space="0"/>
              <w:right w:val="single" w:color="auto" w:sz="4" w:space="0"/>
            </w:tcBorders>
            <w:vAlign w:val="center"/>
          </w:tcPr>
          <w:p w14:paraId="3F86F09C">
            <w:pPr>
              <w:autoSpaceDE w:val="0"/>
              <w:autoSpaceDN w:val="0"/>
              <w:adjustRightInd w:val="0"/>
              <w:jc w:val="center"/>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34495E19">
            <w:pPr>
              <w:autoSpaceDE w:val="0"/>
              <w:autoSpaceDN w:val="0"/>
              <w:adjustRightInd w:val="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479" w:type="pct"/>
            <w:tcBorders>
              <w:top w:val="single" w:color="auto" w:sz="4" w:space="0"/>
              <w:left w:val="single" w:color="auto" w:sz="4" w:space="0"/>
              <w:bottom w:val="single" w:color="auto" w:sz="4" w:space="0"/>
              <w:right w:val="single" w:color="auto" w:sz="4" w:space="0"/>
            </w:tcBorders>
            <w:vAlign w:val="center"/>
          </w:tcPr>
          <w:p w14:paraId="4E71599C">
            <w:pPr>
              <w:autoSpaceDE w:val="0"/>
              <w:autoSpaceDN w:val="0"/>
              <w:adjustRightInd w:val="0"/>
              <w:jc w:val="center"/>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2305FAC6">
            <w:pPr>
              <w:autoSpaceDE w:val="0"/>
              <w:autoSpaceDN w:val="0"/>
              <w:adjustRightInd w:val="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632" w:type="pct"/>
            <w:tcBorders>
              <w:top w:val="single" w:color="auto" w:sz="4" w:space="0"/>
              <w:left w:val="single" w:color="auto" w:sz="4" w:space="0"/>
              <w:bottom w:val="single" w:color="auto" w:sz="4" w:space="0"/>
              <w:right w:val="single" w:color="auto" w:sz="4" w:space="0"/>
            </w:tcBorders>
            <w:vAlign w:val="center"/>
          </w:tcPr>
          <w:p w14:paraId="168457D1">
            <w:pPr>
              <w:autoSpaceDE w:val="0"/>
              <w:autoSpaceDN w:val="0"/>
              <w:adjustRightInd w:val="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27" w:type="pct"/>
            <w:tcBorders>
              <w:top w:val="single" w:color="auto" w:sz="4" w:space="0"/>
              <w:left w:val="single" w:color="auto" w:sz="4" w:space="0"/>
              <w:bottom w:val="single" w:color="auto" w:sz="4" w:space="0"/>
              <w:right w:val="single" w:color="auto" w:sz="4" w:space="0"/>
            </w:tcBorders>
            <w:vAlign w:val="center"/>
          </w:tcPr>
          <w:p w14:paraId="64D1548F">
            <w:pPr>
              <w:autoSpaceDE w:val="0"/>
              <w:autoSpaceDN w:val="0"/>
              <w:adjustRightInd w:val="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1A3C1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6D567F4E">
            <w:pPr>
              <w:autoSpaceDE w:val="0"/>
              <w:autoSpaceDN w:val="0"/>
              <w:adjustRightInd w:val="0"/>
              <w:spacing w:line="360" w:lineRule="auto"/>
              <w:jc w:val="center"/>
              <w:rPr>
                <w:rFonts w:hint="eastAsia"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495" w:type="pct"/>
            <w:tcBorders>
              <w:top w:val="single" w:color="auto" w:sz="4" w:space="0"/>
              <w:left w:val="single" w:color="auto" w:sz="4" w:space="0"/>
              <w:bottom w:val="single" w:color="auto" w:sz="4" w:space="0"/>
              <w:right w:val="single" w:color="auto" w:sz="4" w:space="0"/>
            </w:tcBorders>
            <w:vAlign w:val="center"/>
          </w:tcPr>
          <w:p w14:paraId="37AAE687">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643" w:type="pct"/>
            <w:tcBorders>
              <w:top w:val="single" w:color="auto" w:sz="4" w:space="0"/>
              <w:left w:val="single" w:color="auto" w:sz="4" w:space="0"/>
              <w:bottom w:val="single" w:color="auto" w:sz="4" w:space="0"/>
              <w:right w:val="single" w:color="auto" w:sz="4" w:space="0"/>
            </w:tcBorders>
            <w:vAlign w:val="center"/>
          </w:tcPr>
          <w:p w14:paraId="0BC7AF49">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629" w:type="pct"/>
            <w:tcBorders>
              <w:top w:val="single" w:color="auto" w:sz="4" w:space="0"/>
              <w:left w:val="single" w:color="auto" w:sz="4" w:space="0"/>
              <w:bottom w:val="single" w:color="auto" w:sz="4" w:space="0"/>
              <w:right w:val="single" w:color="auto" w:sz="4" w:space="0"/>
            </w:tcBorders>
            <w:vAlign w:val="center"/>
          </w:tcPr>
          <w:p w14:paraId="5754814E">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819" w:type="pct"/>
            <w:tcBorders>
              <w:top w:val="single" w:color="auto" w:sz="4" w:space="0"/>
              <w:left w:val="single" w:color="auto" w:sz="4" w:space="0"/>
              <w:bottom w:val="single" w:color="auto" w:sz="4" w:space="0"/>
              <w:right w:val="single" w:color="auto" w:sz="4" w:space="0"/>
            </w:tcBorders>
            <w:vAlign w:val="center"/>
          </w:tcPr>
          <w:p w14:paraId="0A00B956">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53" w:type="pct"/>
            <w:tcBorders>
              <w:top w:val="single" w:color="auto" w:sz="4" w:space="0"/>
              <w:left w:val="single" w:color="auto" w:sz="4" w:space="0"/>
              <w:bottom w:val="single" w:color="auto" w:sz="4" w:space="0"/>
              <w:right w:val="single" w:color="auto" w:sz="4" w:space="0"/>
            </w:tcBorders>
            <w:vAlign w:val="center"/>
          </w:tcPr>
          <w:p w14:paraId="0598DC0B">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426DC738">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632" w:type="pct"/>
            <w:tcBorders>
              <w:top w:val="single" w:color="auto" w:sz="4" w:space="0"/>
              <w:left w:val="single" w:color="auto" w:sz="4" w:space="0"/>
              <w:bottom w:val="single" w:color="auto" w:sz="4" w:space="0"/>
              <w:right w:val="single" w:color="auto" w:sz="4" w:space="0"/>
            </w:tcBorders>
            <w:vAlign w:val="center"/>
          </w:tcPr>
          <w:p w14:paraId="7D1CF7CD">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27" w:type="pct"/>
            <w:tcBorders>
              <w:top w:val="single" w:color="auto" w:sz="4" w:space="0"/>
              <w:left w:val="single" w:color="auto" w:sz="4" w:space="0"/>
              <w:bottom w:val="single" w:color="auto" w:sz="4" w:space="0"/>
              <w:right w:val="single" w:color="auto" w:sz="4" w:space="0"/>
            </w:tcBorders>
            <w:vAlign w:val="center"/>
          </w:tcPr>
          <w:p w14:paraId="1010219D">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r>
      <w:tr w14:paraId="15404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5B412ADF">
            <w:pPr>
              <w:autoSpaceDE w:val="0"/>
              <w:autoSpaceDN w:val="0"/>
              <w:adjustRightInd w:val="0"/>
              <w:spacing w:line="360" w:lineRule="auto"/>
              <w:jc w:val="center"/>
              <w:rPr>
                <w:rFonts w:hint="eastAsia"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495" w:type="pct"/>
            <w:tcBorders>
              <w:top w:val="single" w:color="auto" w:sz="4" w:space="0"/>
              <w:left w:val="single" w:color="auto" w:sz="4" w:space="0"/>
              <w:bottom w:val="single" w:color="auto" w:sz="4" w:space="0"/>
              <w:right w:val="single" w:color="auto" w:sz="4" w:space="0"/>
            </w:tcBorders>
            <w:vAlign w:val="center"/>
          </w:tcPr>
          <w:p w14:paraId="7D6F1838">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643" w:type="pct"/>
            <w:tcBorders>
              <w:top w:val="single" w:color="auto" w:sz="4" w:space="0"/>
              <w:left w:val="single" w:color="auto" w:sz="4" w:space="0"/>
              <w:bottom w:val="single" w:color="auto" w:sz="4" w:space="0"/>
              <w:right w:val="single" w:color="auto" w:sz="4" w:space="0"/>
            </w:tcBorders>
            <w:vAlign w:val="center"/>
          </w:tcPr>
          <w:p w14:paraId="62926C8A">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629" w:type="pct"/>
            <w:tcBorders>
              <w:top w:val="single" w:color="auto" w:sz="4" w:space="0"/>
              <w:left w:val="single" w:color="auto" w:sz="4" w:space="0"/>
              <w:bottom w:val="single" w:color="auto" w:sz="4" w:space="0"/>
              <w:right w:val="single" w:color="auto" w:sz="4" w:space="0"/>
            </w:tcBorders>
            <w:vAlign w:val="center"/>
          </w:tcPr>
          <w:p w14:paraId="31E894E0">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819" w:type="pct"/>
            <w:tcBorders>
              <w:top w:val="single" w:color="auto" w:sz="4" w:space="0"/>
              <w:left w:val="single" w:color="auto" w:sz="4" w:space="0"/>
              <w:bottom w:val="single" w:color="auto" w:sz="4" w:space="0"/>
              <w:right w:val="single" w:color="auto" w:sz="4" w:space="0"/>
            </w:tcBorders>
            <w:vAlign w:val="center"/>
          </w:tcPr>
          <w:p w14:paraId="51A0EF8B">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53" w:type="pct"/>
            <w:tcBorders>
              <w:top w:val="single" w:color="auto" w:sz="4" w:space="0"/>
              <w:left w:val="single" w:color="auto" w:sz="4" w:space="0"/>
              <w:bottom w:val="single" w:color="auto" w:sz="4" w:space="0"/>
              <w:right w:val="single" w:color="auto" w:sz="4" w:space="0"/>
            </w:tcBorders>
            <w:vAlign w:val="center"/>
          </w:tcPr>
          <w:p w14:paraId="75B3AE94">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4B227C88">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632" w:type="pct"/>
            <w:tcBorders>
              <w:top w:val="single" w:color="auto" w:sz="4" w:space="0"/>
              <w:left w:val="single" w:color="auto" w:sz="4" w:space="0"/>
              <w:bottom w:val="single" w:color="auto" w:sz="4" w:space="0"/>
              <w:right w:val="single" w:color="auto" w:sz="4" w:space="0"/>
            </w:tcBorders>
            <w:vAlign w:val="center"/>
          </w:tcPr>
          <w:p w14:paraId="392682BD">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27" w:type="pct"/>
            <w:tcBorders>
              <w:top w:val="single" w:color="auto" w:sz="4" w:space="0"/>
              <w:left w:val="single" w:color="auto" w:sz="4" w:space="0"/>
              <w:bottom w:val="single" w:color="auto" w:sz="4" w:space="0"/>
              <w:right w:val="single" w:color="auto" w:sz="4" w:space="0"/>
            </w:tcBorders>
            <w:vAlign w:val="center"/>
          </w:tcPr>
          <w:p w14:paraId="4E84EE2F">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r>
      <w:tr w14:paraId="4919AF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6FA52C2D">
            <w:pPr>
              <w:autoSpaceDE w:val="0"/>
              <w:autoSpaceDN w:val="0"/>
              <w:adjustRightInd w:val="0"/>
              <w:spacing w:line="360" w:lineRule="auto"/>
              <w:jc w:val="center"/>
              <w:rPr>
                <w:rFonts w:hint="eastAsia"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495" w:type="pct"/>
            <w:tcBorders>
              <w:top w:val="single" w:color="auto" w:sz="4" w:space="0"/>
              <w:left w:val="single" w:color="auto" w:sz="4" w:space="0"/>
              <w:bottom w:val="single" w:color="auto" w:sz="4" w:space="0"/>
              <w:right w:val="single" w:color="auto" w:sz="4" w:space="0"/>
            </w:tcBorders>
            <w:vAlign w:val="center"/>
          </w:tcPr>
          <w:p w14:paraId="63CDD2B6">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643" w:type="pct"/>
            <w:tcBorders>
              <w:top w:val="single" w:color="auto" w:sz="4" w:space="0"/>
              <w:left w:val="single" w:color="auto" w:sz="4" w:space="0"/>
              <w:bottom w:val="single" w:color="auto" w:sz="4" w:space="0"/>
              <w:right w:val="single" w:color="auto" w:sz="4" w:space="0"/>
            </w:tcBorders>
            <w:vAlign w:val="center"/>
          </w:tcPr>
          <w:p w14:paraId="6A59C9AF">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629" w:type="pct"/>
            <w:tcBorders>
              <w:top w:val="single" w:color="auto" w:sz="4" w:space="0"/>
              <w:left w:val="single" w:color="auto" w:sz="4" w:space="0"/>
              <w:bottom w:val="single" w:color="auto" w:sz="4" w:space="0"/>
              <w:right w:val="single" w:color="auto" w:sz="4" w:space="0"/>
            </w:tcBorders>
            <w:vAlign w:val="center"/>
          </w:tcPr>
          <w:p w14:paraId="7FEEC46A">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819" w:type="pct"/>
            <w:tcBorders>
              <w:top w:val="single" w:color="auto" w:sz="4" w:space="0"/>
              <w:left w:val="single" w:color="auto" w:sz="4" w:space="0"/>
              <w:bottom w:val="single" w:color="auto" w:sz="4" w:space="0"/>
              <w:right w:val="single" w:color="auto" w:sz="4" w:space="0"/>
            </w:tcBorders>
            <w:vAlign w:val="center"/>
          </w:tcPr>
          <w:p w14:paraId="6B4E5804">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53" w:type="pct"/>
            <w:tcBorders>
              <w:top w:val="single" w:color="auto" w:sz="4" w:space="0"/>
              <w:left w:val="single" w:color="auto" w:sz="4" w:space="0"/>
              <w:bottom w:val="single" w:color="auto" w:sz="4" w:space="0"/>
              <w:right w:val="single" w:color="auto" w:sz="4" w:space="0"/>
            </w:tcBorders>
            <w:vAlign w:val="center"/>
          </w:tcPr>
          <w:p w14:paraId="242B1B04">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7DF34FF5">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632" w:type="pct"/>
            <w:tcBorders>
              <w:top w:val="single" w:color="auto" w:sz="4" w:space="0"/>
              <w:left w:val="single" w:color="auto" w:sz="4" w:space="0"/>
              <w:bottom w:val="single" w:color="auto" w:sz="4" w:space="0"/>
              <w:right w:val="single" w:color="auto" w:sz="4" w:space="0"/>
            </w:tcBorders>
            <w:vAlign w:val="center"/>
          </w:tcPr>
          <w:p w14:paraId="40A3BA45">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27" w:type="pct"/>
            <w:tcBorders>
              <w:top w:val="single" w:color="auto" w:sz="4" w:space="0"/>
              <w:left w:val="single" w:color="auto" w:sz="4" w:space="0"/>
              <w:bottom w:val="single" w:color="auto" w:sz="4" w:space="0"/>
              <w:right w:val="single" w:color="auto" w:sz="4" w:space="0"/>
            </w:tcBorders>
            <w:vAlign w:val="center"/>
          </w:tcPr>
          <w:p w14:paraId="0ECACA02">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r>
      <w:tr w14:paraId="1EAC2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6D45045B">
            <w:pPr>
              <w:autoSpaceDE w:val="0"/>
              <w:autoSpaceDN w:val="0"/>
              <w:adjustRightInd w:val="0"/>
              <w:spacing w:line="360" w:lineRule="auto"/>
              <w:jc w:val="center"/>
              <w:rPr>
                <w:rFonts w:hint="eastAsia"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495" w:type="pct"/>
            <w:tcBorders>
              <w:top w:val="single" w:color="auto" w:sz="4" w:space="0"/>
              <w:left w:val="single" w:color="auto" w:sz="4" w:space="0"/>
              <w:bottom w:val="single" w:color="auto" w:sz="4" w:space="0"/>
              <w:right w:val="single" w:color="auto" w:sz="4" w:space="0"/>
            </w:tcBorders>
            <w:vAlign w:val="center"/>
          </w:tcPr>
          <w:p w14:paraId="616D9C44">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643" w:type="pct"/>
            <w:tcBorders>
              <w:top w:val="single" w:color="auto" w:sz="4" w:space="0"/>
              <w:left w:val="single" w:color="auto" w:sz="4" w:space="0"/>
              <w:bottom w:val="single" w:color="auto" w:sz="4" w:space="0"/>
              <w:right w:val="single" w:color="auto" w:sz="4" w:space="0"/>
            </w:tcBorders>
            <w:vAlign w:val="center"/>
          </w:tcPr>
          <w:p w14:paraId="4C5B5E59">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629" w:type="pct"/>
            <w:tcBorders>
              <w:top w:val="single" w:color="auto" w:sz="4" w:space="0"/>
              <w:left w:val="single" w:color="auto" w:sz="4" w:space="0"/>
              <w:bottom w:val="single" w:color="auto" w:sz="4" w:space="0"/>
              <w:right w:val="single" w:color="auto" w:sz="4" w:space="0"/>
            </w:tcBorders>
            <w:vAlign w:val="center"/>
          </w:tcPr>
          <w:p w14:paraId="17A60E2F">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819" w:type="pct"/>
            <w:tcBorders>
              <w:top w:val="single" w:color="auto" w:sz="4" w:space="0"/>
              <w:left w:val="single" w:color="auto" w:sz="4" w:space="0"/>
              <w:bottom w:val="single" w:color="auto" w:sz="4" w:space="0"/>
              <w:right w:val="single" w:color="auto" w:sz="4" w:space="0"/>
            </w:tcBorders>
            <w:vAlign w:val="center"/>
          </w:tcPr>
          <w:p w14:paraId="1CC3D0A6">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53" w:type="pct"/>
            <w:tcBorders>
              <w:top w:val="single" w:color="auto" w:sz="4" w:space="0"/>
              <w:left w:val="single" w:color="auto" w:sz="4" w:space="0"/>
              <w:bottom w:val="single" w:color="auto" w:sz="4" w:space="0"/>
              <w:right w:val="single" w:color="auto" w:sz="4" w:space="0"/>
            </w:tcBorders>
            <w:vAlign w:val="center"/>
          </w:tcPr>
          <w:p w14:paraId="39AB27B2">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28A20ABB">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632" w:type="pct"/>
            <w:tcBorders>
              <w:top w:val="single" w:color="auto" w:sz="4" w:space="0"/>
              <w:left w:val="single" w:color="auto" w:sz="4" w:space="0"/>
              <w:bottom w:val="single" w:color="auto" w:sz="4" w:space="0"/>
              <w:right w:val="single" w:color="auto" w:sz="4" w:space="0"/>
            </w:tcBorders>
            <w:vAlign w:val="center"/>
          </w:tcPr>
          <w:p w14:paraId="5173CCFB">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27" w:type="pct"/>
            <w:tcBorders>
              <w:top w:val="single" w:color="auto" w:sz="4" w:space="0"/>
              <w:left w:val="single" w:color="auto" w:sz="4" w:space="0"/>
              <w:bottom w:val="single" w:color="auto" w:sz="4" w:space="0"/>
              <w:right w:val="single" w:color="auto" w:sz="4" w:space="0"/>
            </w:tcBorders>
            <w:vAlign w:val="center"/>
          </w:tcPr>
          <w:p w14:paraId="27DC3445">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r>
    </w:tbl>
    <w:p w14:paraId="211885E6">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25529EC7">
      <w:pPr>
        <w:autoSpaceDE w:val="0"/>
        <w:autoSpaceDN w:val="0"/>
        <w:adjustRightInd w:val="0"/>
        <w:snapToGrid w:val="0"/>
        <w:spacing w:line="360" w:lineRule="auto"/>
        <w:ind w:left="481" w:leftChars="-41" w:hanging="567" w:hangingChars="270"/>
        <w:jc w:val="left"/>
        <w:rPr>
          <w:rFonts w:hint="eastAsia" w:ascii="宋体" w:hAnsi="宋体" w:eastAsia="宋体" w:cs="Times New Roman"/>
          <w:b/>
          <w:bCs/>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p>
    <w:p w14:paraId="03FD64FC">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w:t>
      </w:r>
      <w:r>
        <w:rPr>
          <w:rFonts w:hint="eastAsia" w:ascii="宋体" w:hAnsi="宋体" w:eastAsia="宋体" w:cs="宋体"/>
          <w:color w:val="auto"/>
          <w:szCs w:val="21"/>
          <w:highlight w:val="none"/>
        </w:rPr>
        <w:t>业绩按以下条款作为考评依据</w:t>
      </w:r>
      <w:r>
        <w:rPr>
          <w:rFonts w:hint="eastAsia" w:ascii="宋体" w:hAnsi="宋体" w:eastAsia="宋体" w:cs="Times New Roman"/>
          <w:color w:val="auto"/>
          <w:szCs w:val="24"/>
          <w:highlight w:val="none"/>
          <w:lang w:val="zh-CN"/>
        </w:rPr>
        <w:t>：</w:t>
      </w:r>
    </w:p>
    <w:p w14:paraId="65B80F79">
      <w:pPr>
        <w:snapToGrid w:val="0"/>
        <w:spacing w:line="360" w:lineRule="auto"/>
        <w:ind w:left="655" w:leftChars="178" w:hanging="281" w:hangingChars="134"/>
        <w:rPr>
          <w:rFonts w:hint="eastAsia" w:ascii="宋体" w:hAnsi="宋体" w:eastAsia="宋体" w:cs="宋体"/>
          <w:color w:val="auto"/>
          <w:szCs w:val="21"/>
          <w:highlight w:val="none"/>
        </w:rPr>
      </w:pPr>
      <w:bookmarkStart w:id="699" w:name="_Toc4212"/>
      <w:r>
        <w:rPr>
          <w:rFonts w:hint="eastAsia" w:ascii="宋体" w:hAnsi="宋体" w:eastAsia="宋体" w:cs="宋体"/>
          <w:color w:val="auto"/>
          <w:szCs w:val="21"/>
          <w:highlight w:val="none"/>
        </w:rPr>
        <w:t>1）须附合同复印件，否则不得分；</w:t>
      </w:r>
    </w:p>
    <w:p w14:paraId="74E48407">
      <w:pPr>
        <w:snapToGrid w:val="0"/>
        <w:spacing w:line="360" w:lineRule="auto"/>
        <w:ind w:left="655" w:leftChars="178" w:hanging="281" w:hangingChars="134"/>
        <w:rPr>
          <w:rFonts w:hint="eastAsia" w:ascii="宋体" w:hAnsi="宋体" w:eastAsia="宋体" w:cs="宋体"/>
          <w:color w:val="auto"/>
          <w:szCs w:val="21"/>
          <w:highlight w:val="none"/>
        </w:rPr>
      </w:pPr>
      <w:r>
        <w:rPr>
          <w:rFonts w:hint="eastAsia" w:ascii="宋体" w:hAnsi="宋体" w:eastAsia="宋体" w:cs="宋体"/>
          <w:color w:val="auto"/>
          <w:szCs w:val="21"/>
          <w:highlight w:val="none"/>
        </w:rPr>
        <w:t>2）若业绩为框架式协议或资格入围等无明确金额的合同，必须同时提供合同期限内已供货产品发票金额统计表和供货发票复印件，否则，视为无效业绩；</w:t>
      </w:r>
    </w:p>
    <w:p w14:paraId="3F602638">
      <w:pPr>
        <w:snapToGrid w:val="0"/>
        <w:spacing w:line="360" w:lineRule="auto"/>
        <w:ind w:left="655" w:leftChars="178" w:hanging="281" w:hangingChars="134"/>
        <w:rPr>
          <w:rFonts w:hint="eastAsia" w:ascii="宋体" w:hAnsi="宋体" w:eastAsia="宋体" w:cs="宋体"/>
          <w:color w:val="auto"/>
          <w:szCs w:val="21"/>
          <w:highlight w:val="none"/>
        </w:rPr>
      </w:pPr>
      <w:r>
        <w:rPr>
          <w:rFonts w:hint="eastAsia" w:ascii="宋体" w:hAnsi="宋体" w:eastAsia="宋体" w:cs="宋体"/>
          <w:color w:val="auto"/>
          <w:szCs w:val="21"/>
          <w:highlight w:val="none"/>
        </w:rPr>
        <w:t>3）若合同无法反映评分条件（卖方为投标人、合同签订日期为2022年1月1日或以后、金额、合同标的必须包含投标品牌液态次氯酸钠）的，还需提供产品购买方出具的书面补充说明文件复印件作为辅助证明（补充说明文件复印件能显示购买方公章），否则不得分</w:t>
      </w:r>
      <w:bookmarkEnd w:id="699"/>
      <w:r>
        <w:rPr>
          <w:rFonts w:hint="eastAsia" w:ascii="宋体" w:hAnsi="宋体" w:eastAsia="宋体" w:cs="宋体"/>
          <w:color w:val="auto"/>
          <w:szCs w:val="21"/>
          <w:highlight w:val="none"/>
        </w:rPr>
        <w:t>。</w:t>
      </w:r>
    </w:p>
    <w:p w14:paraId="52FB23FE">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3</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10B99DDC">
      <w:pPr>
        <w:autoSpaceDE w:val="0"/>
        <w:autoSpaceDN w:val="0"/>
        <w:adjustRightInd w:val="0"/>
        <w:spacing w:line="360" w:lineRule="auto"/>
        <w:ind w:firstLine="5040" w:firstLineChars="2400"/>
        <w:jc w:val="left"/>
        <w:rPr>
          <w:rFonts w:hint="eastAsia" w:ascii="宋体" w:hAnsi="宋体" w:eastAsia="宋体" w:cs="Times New Roman"/>
          <w:color w:val="auto"/>
          <w:szCs w:val="24"/>
          <w:highlight w:val="none"/>
          <w:lang w:val="zh-CN"/>
        </w:rPr>
      </w:pPr>
    </w:p>
    <w:p w14:paraId="0DC12D78">
      <w:pPr>
        <w:autoSpaceDE w:val="0"/>
        <w:autoSpaceDN w:val="0"/>
        <w:adjustRightInd w:val="0"/>
        <w:spacing w:line="360" w:lineRule="auto"/>
        <w:ind w:firstLine="5040" w:firstLineChars="24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0FD95FA7">
      <w:pPr>
        <w:autoSpaceDE w:val="0"/>
        <w:autoSpaceDN w:val="0"/>
        <w:adjustRightInd w:val="0"/>
        <w:spacing w:line="360" w:lineRule="auto"/>
        <w:ind w:firstLine="5040" w:firstLineChars="240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2D7D5C51">
      <w:pPr>
        <w:pageBreakBefore/>
        <w:snapToGrid w:val="0"/>
        <w:spacing w:line="360" w:lineRule="auto"/>
        <w:ind w:left="671" w:leftChars="-58" w:hanging="793" w:hangingChars="247"/>
        <w:outlineLvl w:val="1"/>
        <w:rPr>
          <w:rFonts w:hint="eastAsia" w:ascii="宋体" w:hAnsi="宋体" w:eastAsia="宋体" w:cs="宋体"/>
          <w:b/>
          <w:color w:val="auto"/>
          <w:sz w:val="32"/>
          <w:szCs w:val="32"/>
          <w:highlight w:val="none"/>
          <w:lang w:val="zh-CN"/>
        </w:rPr>
      </w:pPr>
      <w:bookmarkStart w:id="700" w:name="_Toc30532"/>
      <w:bookmarkStart w:id="701" w:name="_Toc17693"/>
      <w:r>
        <w:rPr>
          <w:rFonts w:hint="eastAsia" w:ascii="宋体" w:hAnsi="宋体" w:eastAsia="宋体" w:cs="宋体"/>
          <w:b/>
          <w:color w:val="auto"/>
          <w:sz w:val="32"/>
          <w:szCs w:val="32"/>
          <w:highlight w:val="none"/>
          <w:lang w:val="zh-CN"/>
        </w:rPr>
        <w:t>附表：已供货产品发票金额统计表</w:t>
      </w:r>
      <w:bookmarkEnd w:id="700"/>
      <w:bookmarkEnd w:id="701"/>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14:paraId="7EB8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vAlign w:val="center"/>
          </w:tcPr>
          <w:p w14:paraId="637CFBAB">
            <w:pPr>
              <w:pStyle w:val="3"/>
              <w:snapToGrid w:val="0"/>
              <w:spacing w:before="120" w:beforeLines="50" w:line="360" w:lineRule="auto"/>
              <w:ind w:left="0" w:leftChars="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5503" w:type="dxa"/>
            <w:gridSpan w:val="5"/>
            <w:vAlign w:val="center"/>
          </w:tcPr>
          <w:p w14:paraId="50FA6B0C">
            <w:pPr>
              <w:pStyle w:val="3"/>
              <w:snapToGrid w:val="0"/>
              <w:spacing w:line="360" w:lineRule="auto"/>
              <w:ind w:left="0" w:leftChars="0"/>
              <w:jc w:val="center"/>
              <w:rPr>
                <w:rFonts w:hint="eastAsia" w:ascii="宋体" w:hAnsi="宋体" w:cs="宋体"/>
                <w:color w:val="auto"/>
                <w:szCs w:val="21"/>
                <w:highlight w:val="none"/>
              </w:rPr>
            </w:pPr>
          </w:p>
        </w:tc>
      </w:tr>
      <w:tr w14:paraId="1FD5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vAlign w:val="center"/>
          </w:tcPr>
          <w:p w14:paraId="16F61E21">
            <w:pPr>
              <w:pStyle w:val="3"/>
              <w:snapToGrid w:val="0"/>
              <w:spacing w:before="120" w:beforeLines="50" w:line="360" w:lineRule="auto"/>
              <w:ind w:left="0" w:leftChars="0"/>
              <w:jc w:val="center"/>
              <w:rPr>
                <w:rFonts w:hint="eastAsia" w:ascii="宋体" w:hAnsi="宋体" w:cs="宋体"/>
                <w:color w:val="auto"/>
                <w:szCs w:val="21"/>
                <w:highlight w:val="none"/>
              </w:rPr>
            </w:pPr>
            <w:r>
              <w:rPr>
                <w:rFonts w:hint="eastAsia" w:ascii="宋体" w:hAnsi="宋体" w:cs="宋体"/>
                <w:color w:val="auto"/>
                <w:szCs w:val="21"/>
                <w:highlight w:val="none"/>
              </w:rPr>
              <w:t>合同约定的供货期</w:t>
            </w:r>
          </w:p>
        </w:tc>
        <w:tc>
          <w:tcPr>
            <w:tcW w:w="5503" w:type="dxa"/>
            <w:gridSpan w:val="5"/>
            <w:vAlign w:val="center"/>
          </w:tcPr>
          <w:p w14:paraId="778F5715">
            <w:pPr>
              <w:pStyle w:val="3"/>
              <w:snapToGrid w:val="0"/>
              <w:spacing w:line="360" w:lineRule="auto"/>
              <w:ind w:left="0" w:leftChars="0"/>
              <w:jc w:val="center"/>
              <w:rPr>
                <w:rFonts w:hint="eastAsia" w:ascii="宋体" w:hAnsi="宋体" w:cs="宋体"/>
                <w:color w:val="auto"/>
                <w:szCs w:val="21"/>
                <w:highlight w:val="none"/>
              </w:rPr>
            </w:pPr>
          </w:p>
        </w:tc>
      </w:tr>
      <w:tr w14:paraId="37A2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vAlign w:val="center"/>
          </w:tcPr>
          <w:p w14:paraId="77256423">
            <w:pPr>
              <w:pStyle w:val="3"/>
              <w:snapToGrid w:val="0"/>
              <w:spacing w:before="120" w:beforeLines="50" w:line="360" w:lineRule="auto"/>
              <w:ind w:left="0" w:leftChars="0"/>
              <w:jc w:val="center"/>
              <w:rPr>
                <w:rFonts w:hint="eastAsia" w:ascii="宋体" w:hAnsi="宋体" w:cs="宋体"/>
                <w:color w:val="auto"/>
                <w:szCs w:val="21"/>
                <w:highlight w:val="none"/>
              </w:rPr>
            </w:pPr>
            <w:r>
              <w:rPr>
                <w:rFonts w:hint="eastAsia" w:ascii="宋体" w:hAnsi="宋体" w:cs="宋体"/>
                <w:color w:val="auto"/>
                <w:szCs w:val="21"/>
                <w:highlight w:val="none"/>
              </w:rPr>
              <w:t>发票抬头（</w:t>
            </w:r>
            <w:r>
              <w:rPr>
                <w:rFonts w:hint="eastAsia" w:ascii="宋体" w:hAnsi="宋体" w:cs="宋体"/>
                <w:color w:val="auto"/>
                <w:highlight w:val="none"/>
              </w:rPr>
              <w:t>合同购买方）</w:t>
            </w:r>
          </w:p>
        </w:tc>
        <w:tc>
          <w:tcPr>
            <w:tcW w:w="5503" w:type="dxa"/>
            <w:gridSpan w:val="5"/>
            <w:vAlign w:val="center"/>
          </w:tcPr>
          <w:p w14:paraId="3A7E3F5F">
            <w:pPr>
              <w:pStyle w:val="3"/>
              <w:snapToGrid w:val="0"/>
              <w:spacing w:line="360" w:lineRule="auto"/>
              <w:ind w:left="0" w:leftChars="0"/>
              <w:jc w:val="center"/>
              <w:rPr>
                <w:rFonts w:hint="eastAsia" w:ascii="宋体" w:hAnsi="宋体" w:cs="宋体"/>
                <w:color w:val="auto"/>
                <w:szCs w:val="21"/>
                <w:highlight w:val="none"/>
              </w:rPr>
            </w:pPr>
          </w:p>
        </w:tc>
      </w:tr>
      <w:tr w14:paraId="7F2C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vAlign w:val="center"/>
          </w:tcPr>
          <w:p w14:paraId="35BD870A">
            <w:pPr>
              <w:pStyle w:val="3"/>
              <w:snapToGrid w:val="0"/>
              <w:spacing w:before="120" w:beforeLines="50" w:line="360" w:lineRule="auto"/>
              <w:ind w:left="0" w:leftChars="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202" w:type="dxa"/>
            <w:vAlign w:val="center"/>
          </w:tcPr>
          <w:p w14:paraId="47FB0F21">
            <w:pPr>
              <w:pStyle w:val="3"/>
              <w:snapToGrid w:val="0"/>
              <w:spacing w:before="120" w:beforeLines="50" w:line="360" w:lineRule="auto"/>
              <w:ind w:left="0" w:leftChars="0"/>
              <w:jc w:val="center"/>
              <w:rPr>
                <w:rFonts w:hint="eastAsia" w:ascii="宋体" w:hAnsi="宋体" w:cs="宋体"/>
                <w:color w:val="auto"/>
                <w:szCs w:val="21"/>
                <w:highlight w:val="none"/>
              </w:rPr>
            </w:pPr>
            <w:r>
              <w:rPr>
                <w:rFonts w:hint="eastAsia" w:ascii="宋体" w:hAnsi="宋体" w:cs="宋体"/>
                <w:color w:val="auto"/>
                <w:szCs w:val="21"/>
                <w:highlight w:val="none"/>
              </w:rPr>
              <w:t>发票名目</w:t>
            </w:r>
          </w:p>
        </w:tc>
        <w:tc>
          <w:tcPr>
            <w:tcW w:w="1416" w:type="dxa"/>
            <w:vAlign w:val="center"/>
          </w:tcPr>
          <w:p w14:paraId="24C369B8">
            <w:pPr>
              <w:pStyle w:val="3"/>
              <w:snapToGrid w:val="0"/>
              <w:spacing w:before="120" w:beforeLines="50" w:line="360" w:lineRule="auto"/>
              <w:ind w:left="0" w:leftChars="0"/>
              <w:jc w:val="center"/>
              <w:rPr>
                <w:rFonts w:hint="eastAsia" w:ascii="宋体" w:hAnsi="宋体" w:cs="宋体"/>
                <w:color w:val="auto"/>
                <w:szCs w:val="21"/>
                <w:highlight w:val="none"/>
              </w:rPr>
            </w:pPr>
            <w:r>
              <w:rPr>
                <w:rFonts w:hint="eastAsia" w:ascii="宋体" w:hAnsi="宋体" w:cs="宋体"/>
                <w:color w:val="auto"/>
                <w:szCs w:val="21"/>
                <w:highlight w:val="none"/>
              </w:rPr>
              <w:t>发票金额（单位：万元）</w:t>
            </w:r>
          </w:p>
        </w:tc>
        <w:tc>
          <w:tcPr>
            <w:tcW w:w="1274" w:type="dxa"/>
            <w:vAlign w:val="center"/>
          </w:tcPr>
          <w:p w14:paraId="5494B7E3">
            <w:pPr>
              <w:pStyle w:val="3"/>
              <w:snapToGrid w:val="0"/>
              <w:spacing w:before="120" w:beforeLines="50" w:line="360" w:lineRule="auto"/>
              <w:ind w:left="0" w:leftChars="0"/>
              <w:jc w:val="center"/>
              <w:rPr>
                <w:rFonts w:hint="eastAsia" w:ascii="宋体" w:hAnsi="宋体" w:cs="宋体"/>
                <w:color w:val="auto"/>
                <w:szCs w:val="21"/>
                <w:highlight w:val="none"/>
              </w:rPr>
            </w:pPr>
            <w:r>
              <w:rPr>
                <w:rFonts w:hint="eastAsia" w:ascii="宋体" w:hAnsi="宋体" w:cs="宋体"/>
                <w:color w:val="auto"/>
                <w:szCs w:val="21"/>
                <w:highlight w:val="none"/>
              </w:rPr>
              <w:t>发票号码</w:t>
            </w:r>
          </w:p>
        </w:tc>
        <w:tc>
          <w:tcPr>
            <w:tcW w:w="1558" w:type="dxa"/>
            <w:vAlign w:val="center"/>
          </w:tcPr>
          <w:p w14:paraId="228BF1EC">
            <w:pPr>
              <w:pStyle w:val="3"/>
              <w:snapToGrid w:val="0"/>
              <w:spacing w:before="120" w:beforeLines="50" w:line="360" w:lineRule="auto"/>
              <w:ind w:left="0" w:leftChars="0"/>
              <w:jc w:val="center"/>
              <w:rPr>
                <w:rFonts w:hint="eastAsia" w:ascii="宋体" w:hAnsi="宋体" w:cs="宋体"/>
                <w:color w:val="auto"/>
                <w:szCs w:val="21"/>
                <w:highlight w:val="none"/>
              </w:rPr>
            </w:pPr>
            <w:r>
              <w:rPr>
                <w:rFonts w:hint="eastAsia" w:ascii="宋体" w:hAnsi="宋体" w:cs="宋体"/>
                <w:color w:val="auto"/>
                <w:szCs w:val="21"/>
                <w:highlight w:val="none"/>
              </w:rPr>
              <w:t>发票所属时期</w:t>
            </w:r>
          </w:p>
        </w:tc>
        <w:tc>
          <w:tcPr>
            <w:tcW w:w="1241" w:type="dxa"/>
            <w:vAlign w:val="center"/>
          </w:tcPr>
          <w:p w14:paraId="7B8F6EA6">
            <w:pPr>
              <w:pStyle w:val="3"/>
              <w:snapToGrid w:val="0"/>
              <w:spacing w:before="120" w:beforeLines="50" w:line="360" w:lineRule="auto"/>
              <w:ind w:left="0" w:leftChars="0"/>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3E4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vAlign w:val="center"/>
          </w:tcPr>
          <w:p w14:paraId="177063E3">
            <w:pPr>
              <w:pStyle w:val="3"/>
              <w:snapToGrid w:val="0"/>
              <w:spacing w:line="360" w:lineRule="auto"/>
              <w:ind w:left="0" w:leftChars="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202" w:type="dxa"/>
            <w:vAlign w:val="center"/>
          </w:tcPr>
          <w:p w14:paraId="21D66F47">
            <w:pPr>
              <w:pStyle w:val="3"/>
              <w:snapToGrid w:val="0"/>
              <w:spacing w:line="360" w:lineRule="auto"/>
              <w:ind w:left="0" w:leftChars="0"/>
              <w:jc w:val="center"/>
              <w:rPr>
                <w:rFonts w:hint="eastAsia" w:ascii="宋体" w:hAnsi="宋体" w:cs="宋体"/>
                <w:color w:val="auto"/>
                <w:szCs w:val="21"/>
                <w:highlight w:val="none"/>
              </w:rPr>
            </w:pPr>
          </w:p>
        </w:tc>
        <w:tc>
          <w:tcPr>
            <w:tcW w:w="1416" w:type="dxa"/>
            <w:vAlign w:val="center"/>
          </w:tcPr>
          <w:p w14:paraId="7AB8541F">
            <w:pPr>
              <w:pStyle w:val="3"/>
              <w:snapToGrid w:val="0"/>
              <w:spacing w:line="360" w:lineRule="auto"/>
              <w:ind w:left="0" w:leftChars="0"/>
              <w:jc w:val="center"/>
              <w:rPr>
                <w:rFonts w:hint="eastAsia" w:ascii="宋体" w:hAnsi="宋体" w:cs="宋体"/>
                <w:color w:val="auto"/>
                <w:szCs w:val="21"/>
                <w:highlight w:val="none"/>
              </w:rPr>
            </w:pPr>
          </w:p>
        </w:tc>
        <w:tc>
          <w:tcPr>
            <w:tcW w:w="1274" w:type="dxa"/>
            <w:vAlign w:val="center"/>
          </w:tcPr>
          <w:p w14:paraId="7AB0E10E">
            <w:pPr>
              <w:pStyle w:val="3"/>
              <w:snapToGrid w:val="0"/>
              <w:spacing w:line="360" w:lineRule="auto"/>
              <w:ind w:left="0" w:leftChars="0"/>
              <w:jc w:val="center"/>
              <w:rPr>
                <w:rFonts w:hint="eastAsia" w:ascii="宋体" w:hAnsi="宋体" w:cs="宋体"/>
                <w:color w:val="auto"/>
                <w:szCs w:val="21"/>
                <w:highlight w:val="none"/>
              </w:rPr>
            </w:pPr>
          </w:p>
        </w:tc>
        <w:tc>
          <w:tcPr>
            <w:tcW w:w="1558" w:type="dxa"/>
            <w:vAlign w:val="center"/>
          </w:tcPr>
          <w:p w14:paraId="4D96A2A5">
            <w:pPr>
              <w:pStyle w:val="3"/>
              <w:snapToGrid w:val="0"/>
              <w:spacing w:line="360" w:lineRule="auto"/>
              <w:ind w:left="0" w:leftChars="0"/>
              <w:jc w:val="center"/>
              <w:rPr>
                <w:rFonts w:hint="eastAsia" w:ascii="宋体" w:hAnsi="宋体" w:cs="宋体"/>
                <w:color w:val="auto"/>
                <w:szCs w:val="21"/>
                <w:highlight w:val="none"/>
              </w:rPr>
            </w:pPr>
          </w:p>
        </w:tc>
        <w:tc>
          <w:tcPr>
            <w:tcW w:w="1241" w:type="dxa"/>
            <w:vAlign w:val="center"/>
          </w:tcPr>
          <w:p w14:paraId="66C136BB">
            <w:pPr>
              <w:pStyle w:val="3"/>
              <w:snapToGrid w:val="0"/>
              <w:spacing w:line="360" w:lineRule="auto"/>
              <w:ind w:left="0" w:leftChars="0"/>
              <w:jc w:val="center"/>
              <w:rPr>
                <w:rFonts w:hint="eastAsia" w:ascii="宋体" w:hAnsi="宋体" w:cs="宋体"/>
                <w:color w:val="auto"/>
                <w:szCs w:val="21"/>
                <w:highlight w:val="none"/>
              </w:rPr>
            </w:pPr>
          </w:p>
        </w:tc>
      </w:tr>
      <w:tr w14:paraId="3DA6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vAlign w:val="center"/>
          </w:tcPr>
          <w:p w14:paraId="617A7775">
            <w:pPr>
              <w:pStyle w:val="3"/>
              <w:snapToGrid w:val="0"/>
              <w:spacing w:line="360" w:lineRule="auto"/>
              <w:ind w:left="0" w:leftChars="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202" w:type="dxa"/>
            <w:vAlign w:val="center"/>
          </w:tcPr>
          <w:p w14:paraId="079A44D8">
            <w:pPr>
              <w:pStyle w:val="3"/>
              <w:snapToGrid w:val="0"/>
              <w:spacing w:line="360" w:lineRule="auto"/>
              <w:ind w:left="0" w:leftChars="0"/>
              <w:jc w:val="center"/>
              <w:rPr>
                <w:rFonts w:hint="eastAsia" w:ascii="宋体" w:hAnsi="宋体" w:cs="宋体"/>
                <w:color w:val="auto"/>
                <w:szCs w:val="21"/>
                <w:highlight w:val="none"/>
              </w:rPr>
            </w:pPr>
          </w:p>
        </w:tc>
        <w:tc>
          <w:tcPr>
            <w:tcW w:w="1416" w:type="dxa"/>
            <w:vAlign w:val="center"/>
          </w:tcPr>
          <w:p w14:paraId="590FB058">
            <w:pPr>
              <w:pStyle w:val="3"/>
              <w:snapToGrid w:val="0"/>
              <w:spacing w:line="360" w:lineRule="auto"/>
              <w:ind w:left="0" w:leftChars="0"/>
              <w:jc w:val="center"/>
              <w:rPr>
                <w:rFonts w:hint="eastAsia" w:ascii="宋体" w:hAnsi="宋体" w:cs="宋体"/>
                <w:color w:val="auto"/>
                <w:szCs w:val="21"/>
                <w:highlight w:val="none"/>
              </w:rPr>
            </w:pPr>
          </w:p>
        </w:tc>
        <w:tc>
          <w:tcPr>
            <w:tcW w:w="1274" w:type="dxa"/>
            <w:vAlign w:val="center"/>
          </w:tcPr>
          <w:p w14:paraId="28984E14">
            <w:pPr>
              <w:pStyle w:val="3"/>
              <w:snapToGrid w:val="0"/>
              <w:spacing w:line="360" w:lineRule="auto"/>
              <w:ind w:left="0" w:leftChars="0"/>
              <w:jc w:val="center"/>
              <w:rPr>
                <w:rFonts w:hint="eastAsia" w:ascii="宋体" w:hAnsi="宋体" w:cs="宋体"/>
                <w:color w:val="auto"/>
                <w:szCs w:val="21"/>
                <w:highlight w:val="none"/>
              </w:rPr>
            </w:pPr>
          </w:p>
        </w:tc>
        <w:tc>
          <w:tcPr>
            <w:tcW w:w="1558" w:type="dxa"/>
            <w:vAlign w:val="center"/>
          </w:tcPr>
          <w:p w14:paraId="10C2E3F2">
            <w:pPr>
              <w:pStyle w:val="3"/>
              <w:snapToGrid w:val="0"/>
              <w:spacing w:line="360" w:lineRule="auto"/>
              <w:ind w:left="0" w:leftChars="0"/>
              <w:jc w:val="center"/>
              <w:rPr>
                <w:rFonts w:hint="eastAsia" w:ascii="宋体" w:hAnsi="宋体" w:cs="宋体"/>
                <w:color w:val="auto"/>
                <w:szCs w:val="21"/>
                <w:highlight w:val="none"/>
              </w:rPr>
            </w:pPr>
          </w:p>
        </w:tc>
        <w:tc>
          <w:tcPr>
            <w:tcW w:w="1241" w:type="dxa"/>
            <w:vAlign w:val="center"/>
          </w:tcPr>
          <w:p w14:paraId="37FFFE3D">
            <w:pPr>
              <w:pStyle w:val="3"/>
              <w:snapToGrid w:val="0"/>
              <w:spacing w:line="360" w:lineRule="auto"/>
              <w:ind w:left="0" w:leftChars="0"/>
              <w:jc w:val="center"/>
              <w:rPr>
                <w:rFonts w:hint="eastAsia" w:ascii="宋体" w:hAnsi="宋体" w:cs="宋体"/>
                <w:color w:val="auto"/>
                <w:szCs w:val="21"/>
                <w:highlight w:val="none"/>
              </w:rPr>
            </w:pPr>
          </w:p>
        </w:tc>
      </w:tr>
      <w:tr w14:paraId="2C58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vAlign w:val="center"/>
          </w:tcPr>
          <w:p w14:paraId="7CCBF2B7">
            <w:pPr>
              <w:pStyle w:val="3"/>
              <w:snapToGrid w:val="0"/>
              <w:spacing w:line="360" w:lineRule="auto"/>
              <w:ind w:left="0" w:leftChars="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202" w:type="dxa"/>
            <w:vAlign w:val="center"/>
          </w:tcPr>
          <w:p w14:paraId="6AEC8697">
            <w:pPr>
              <w:pStyle w:val="3"/>
              <w:snapToGrid w:val="0"/>
              <w:spacing w:line="360" w:lineRule="auto"/>
              <w:ind w:left="0" w:leftChars="0"/>
              <w:jc w:val="center"/>
              <w:rPr>
                <w:rFonts w:hint="eastAsia" w:ascii="宋体" w:hAnsi="宋体" w:cs="宋体"/>
                <w:color w:val="auto"/>
                <w:szCs w:val="21"/>
                <w:highlight w:val="none"/>
              </w:rPr>
            </w:pPr>
          </w:p>
        </w:tc>
        <w:tc>
          <w:tcPr>
            <w:tcW w:w="1416" w:type="dxa"/>
            <w:vAlign w:val="center"/>
          </w:tcPr>
          <w:p w14:paraId="5B8BE5B5">
            <w:pPr>
              <w:pStyle w:val="3"/>
              <w:snapToGrid w:val="0"/>
              <w:spacing w:line="360" w:lineRule="auto"/>
              <w:ind w:left="0" w:leftChars="0"/>
              <w:jc w:val="center"/>
              <w:rPr>
                <w:rFonts w:hint="eastAsia" w:ascii="宋体" w:hAnsi="宋体" w:cs="宋体"/>
                <w:color w:val="auto"/>
                <w:szCs w:val="21"/>
                <w:highlight w:val="none"/>
              </w:rPr>
            </w:pPr>
          </w:p>
        </w:tc>
        <w:tc>
          <w:tcPr>
            <w:tcW w:w="1274" w:type="dxa"/>
            <w:vAlign w:val="center"/>
          </w:tcPr>
          <w:p w14:paraId="202CFB79">
            <w:pPr>
              <w:pStyle w:val="3"/>
              <w:snapToGrid w:val="0"/>
              <w:spacing w:line="360" w:lineRule="auto"/>
              <w:ind w:left="0" w:leftChars="0"/>
              <w:jc w:val="center"/>
              <w:rPr>
                <w:rFonts w:hint="eastAsia" w:ascii="宋体" w:hAnsi="宋体" w:cs="宋体"/>
                <w:color w:val="auto"/>
                <w:szCs w:val="21"/>
                <w:highlight w:val="none"/>
              </w:rPr>
            </w:pPr>
          </w:p>
        </w:tc>
        <w:tc>
          <w:tcPr>
            <w:tcW w:w="1558" w:type="dxa"/>
            <w:vAlign w:val="center"/>
          </w:tcPr>
          <w:p w14:paraId="4D716103">
            <w:pPr>
              <w:pStyle w:val="3"/>
              <w:snapToGrid w:val="0"/>
              <w:spacing w:line="360" w:lineRule="auto"/>
              <w:ind w:left="0" w:leftChars="0"/>
              <w:jc w:val="center"/>
              <w:rPr>
                <w:rFonts w:hint="eastAsia" w:ascii="宋体" w:hAnsi="宋体" w:cs="宋体"/>
                <w:color w:val="auto"/>
                <w:szCs w:val="21"/>
                <w:highlight w:val="none"/>
              </w:rPr>
            </w:pPr>
          </w:p>
        </w:tc>
        <w:tc>
          <w:tcPr>
            <w:tcW w:w="1241" w:type="dxa"/>
            <w:vAlign w:val="center"/>
          </w:tcPr>
          <w:p w14:paraId="58061A0D">
            <w:pPr>
              <w:pStyle w:val="3"/>
              <w:snapToGrid w:val="0"/>
              <w:spacing w:line="360" w:lineRule="auto"/>
              <w:ind w:left="0" w:leftChars="0"/>
              <w:jc w:val="center"/>
              <w:rPr>
                <w:rFonts w:hint="eastAsia" w:ascii="宋体" w:hAnsi="宋体" w:cs="宋体"/>
                <w:color w:val="auto"/>
                <w:szCs w:val="21"/>
                <w:highlight w:val="none"/>
              </w:rPr>
            </w:pPr>
          </w:p>
        </w:tc>
      </w:tr>
      <w:tr w14:paraId="3E52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vAlign w:val="center"/>
          </w:tcPr>
          <w:p w14:paraId="0BE4AC49">
            <w:pPr>
              <w:pStyle w:val="3"/>
              <w:snapToGrid w:val="0"/>
              <w:spacing w:line="360" w:lineRule="auto"/>
              <w:ind w:left="0" w:leftChars="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3202" w:type="dxa"/>
            <w:vAlign w:val="center"/>
          </w:tcPr>
          <w:p w14:paraId="3076C1A0">
            <w:pPr>
              <w:pStyle w:val="3"/>
              <w:snapToGrid w:val="0"/>
              <w:spacing w:line="360" w:lineRule="auto"/>
              <w:ind w:left="0" w:leftChars="0"/>
              <w:jc w:val="center"/>
              <w:rPr>
                <w:rFonts w:hint="eastAsia" w:ascii="宋体" w:hAnsi="宋体" w:cs="宋体"/>
                <w:color w:val="auto"/>
                <w:szCs w:val="21"/>
                <w:highlight w:val="none"/>
              </w:rPr>
            </w:pPr>
          </w:p>
        </w:tc>
        <w:tc>
          <w:tcPr>
            <w:tcW w:w="1416" w:type="dxa"/>
            <w:vAlign w:val="center"/>
          </w:tcPr>
          <w:p w14:paraId="6B946A30">
            <w:pPr>
              <w:pStyle w:val="3"/>
              <w:snapToGrid w:val="0"/>
              <w:spacing w:line="360" w:lineRule="auto"/>
              <w:ind w:left="0" w:leftChars="0"/>
              <w:jc w:val="center"/>
              <w:rPr>
                <w:rFonts w:hint="eastAsia" w:ascii="宋体" w:hAnsi="宋体" w:cs="宋体"/>
                <w:color w:val="auto"/>
                <w:szCs w:val="21"/>
                <w:highlight w:val="none"/>
              </w:rPr>
            </w:pPr>
          </w:p>
        </w:tc>
        <w:tc>
          <w:tcPr>
            <w:tcW w:w="1274" w:type="dxa"/>
            <w:vAlign w:val="center"/>
          </w:tcPr>
          <w:p w14:paraId="48CF6890">
            <w:pPr>
              <w:pStyle w:val="3"/>
              <w:snapToGrid w:val="0"/>
              <w:spacing w:line="360" w:lineRule="auto"/>
              <w:ind w:left="0" w:leftChars="0"/>
              <w:jc w:val="center"/>
              <w:rPr>
                <w:rFonts w:hint="eastAsia" w:ascii="宋体" w:hAnsi="宋体" w:cs="宋体"/>
                <w:color w:val="auto"/>
                <w:szCs w:val="21"/>
                <w:highlight w:val="none"/>
              </w:rPr>
            </w:pPr>
          </w:p>
        </w:tc>
        <w:tc>
          <w:tcPr>
            <w:tcW w:w="1558" w:type="dxa"/>
            <w:vAlign w:val="center"/>
          </w:tcPr>
          <w:p w14:paraId="53CBAFA2">
            <w:pPr>
              <w:pStyle w:val="3"/>
              <w:snapToGrid w:val="0"/>
              <w:spacing w:line="360" w:lineRule="auto"/>
              <w:ind w:left="0" w:leftChars="0"/>
              <w:jc w:val="center"/>
              <w:rPr>
                <w:rFonts w:hint="eastAsia" w:ascii="宋体" w:hAnsi="宋体" w:cs="宋体"/>
                <w:color w:val="auto"/>
                <w:szCs w:val="21"/>
                <w:highlight w:val="none"/>
              </w:rPr>
            </w:pPr>
          </w:p>
        </w:tc>
        <w:tc>
          <w:tcPr>
            <w:tcW w:w="1241" w:type="dxa"/>
            <w:vAlign w:val="center"/>
          </w:tcPr>
          <w:p w14:paraId="6DF16EEE">
            <w:pPr>
              <w:pStyle w:val="3"/>
              <w:snapToGrid w:val="0"/>
              <w:spacing w:line="360" w:lineRule="auto"/>
              <w:ind w:left="0" w:leftChars="0"/>
              <w:jc w:val="center"/>
              <w:rPr>
                <w:rFonts w:hint="eastAsia" w:ascii="宋体" w:hAnsi="宋体" w:cs="宋体"/>
                <w:color w:val="auto"/>
                <w:szCs w:val="21"/>
                <w:highlight w:val="none"/>
              </w:rPr>
            </w:pPr>
          </w:p>
        </w:tc>
      </w:tr>
      <w:tr w14:paraId="6ECD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vAlign w:val="center"/>
          </w:tcPr>
          <w:p w14:paraId="1F8CEF08">
            <w:pPr>
              <w:pStyle w:val="3"/>
              <w:snapToGrid w:val="0"/>
              <w:spacing w:before="120" w:beforeLines="50" w:line="360" w:lineRule="auto"/>
              <w:ind w:left="0" w:leftChars="0"/>
              <w:jc w:val="center"/>
              <w:rPr>
                <w:rFonts w:hint="eastAsia" w:ascii="宋体" w:hAnsi="宋体" w:cs="宋体"/>
                <w:color w:val="auto"/>
                <w:szCs w:val="21"/>
                <w:highlight w:val="none"/>
              </w:rPr>
            </w:pPr>
            <w:r>
              <w:rPr>
                <w:rFonts w:hint="eastAsia" w:ascii="宋体" w:hAnsi="宋体" w:cs="宋体"/>
                <w:color w:val="auto"/>
                <w:szCs w:val="21"/>
                <w:highlight w:val="none"/>
              </w:rPr>
              <w:t>发票金额合计（单位：万元）</w:t>
            </w:r>
          </w:p>
        </w:tc>
        <w:tc>
          <w:tcPr>
            <w:tcW w:w="5489" w:type="dxa"/>
            <w:gridSpan w:val="4"/>
            <w:vAlign w:val="center"/>
          </w:tcPr>
          <w:p w14:paraId="0808EAC9">
            <w:pPr>
              <w:pStyle w:val="3"/>
              <w:snapToGrid w:val="0"/>
              <w:spacing w:line="360" w:lineRule="auto"/>
              <w:ind w:left="0" w:leftChars="0"/>
              <w:jc w:val="center"/>
              <w:rPr>
                <w:rFonts w:hint="eastAsia" w:ascii="宋体" w:hAnsi="宋体" w:cs="宋体"/>
                <w:color w:val="auto"/>
                <w:szCs w:val="21"/>
                <w:highlight w:val="none"/>
              </w:rPr>
            </w:pPr>
          </w:p>
        </w:tc>
      </w:tr>
    </w:tbl>
    <w:p w14:paraId="2E8791AE">
      <w:pPr>
        <w:snapToGrid w:val="0"/>
        <w:spacing w:line="360" w:lineRule="auto"/>
        <w:ind w:left="491" w:leftChars="-57" w:hanging="611" w:hangingChars="291"/>
        <w:rPr>
          <w:rFonts w:hint="eastAsia" w:ascii="宋体" w:hAnsi="宋体" w:eastAsia="宋体" w:cs="宋体"/>
          <w:color w:val="auto"/>
          <w:highlight w:val="none"/>
        </w:rPr>
      </w:pPr>
    </w:p>
    <w:p w14:paraId="3A7093D5">
      <w:pPr>
        <w:snapToGrid w:val="0"/>
        <w:spacing w:line="360" w:lineRule="auto"/>
        <w:ind w:left="491" w:leftChars="-57" w:hanging="611" w:hangingChars="291"/>
        <w:rPr>
          <w:rFonts w:hint="eastAsia" w:ascii="宋体" w:hAnsi="宋体" w:eastAsia="宋体" w:cs="宋体"/>
          <w:color w:val="auto"/>
          <w:highlight w:val="none"/>
        </w:rPr>
      </w:pPr>
      <w:r>
        <w:rPr>
          <w:rFonts w:hint="eastAsia" w:ascii="宋体" w:hAnsi="宋体" w:eastAsia="宋体" w:cs="宋体"/>
          <w:color w:val="auto"/>
          <w:highlight w:val="none"/>
        </w:rPr>
        <w:t>备注：</w:t>
      </w:r>
    </w:p>
    <w:p w14:paraId="1ECEA9B0">
      <w:pPr>
        <w:snapToGrid w:val="0"/>
        <w:spacing w:line="360" w:lineRule="auto"/>
        <w:ind w:left="396" w:leftChars="-58" w:hanging="518" w:hangingChars="247"/>
        <w:rPr>
          <w:rFonts w:hint="eastAsia" w:ascii="宋体" w:hAnsi="宋体" w:eastAsia="宋体" w:cs="宋体"/>
          <w:color w:val="auto"/>
          <w:highlight w:val="none"/>
        </w:rPr>
      </w:pPr>
      <w:bookmarkStart w:id="702" w:name="_Toc19437"/>
      <w:r>
        <w:rPr>
          <w:rFonts w:hint="eastAsia" w:ascii="宋体" w:hAnsi="宋体" w:eastAsia="宋体" w:cs="宋体"/>
          <w:color w:val="auto"/>
          <w:highlight w:val="none"/>
        </w:rPr>
        <w:t>（1）本统计表及供货发票复印件应后附于合同复印件；</w:t>
      </w:r>
      <w:bookmarkEnd w:id="702"/>
    </w:p>
    <w:p w14:paraId="19D6E7FF">
      <w:pPr>
        <w:snapToGrid w:val="0"/>
        <w:spacing w:line="360" w:lineRule="auto"/>
        <w:ind w:left="396" w:leftChars="-58" w:hanging="518" w:hangingChars="247"/>
        <w:rPr>
          <w:rFonts w:hint="eastAsia" w:ascii="宋体" w:hAnsi="宋体" w:eastAsia="宋体" w:cs="宋体"/>
          <w:color w:val="auto"/>
          <w:highlight w:val="none"/>
        </w:rPr>
      </w:pPr>
      <w:r>
        <w:rPr>
          <w:rFonts w:hint="eastAsia" w:ascii="宋体" w:hAnsi="宋体" w:eastAsia="宋体" w:cs="宋体"/>
          <w:color w:val="auto"/>
          <w:highlight w:val="none"/>
        </w:rPr>
        <w:t>（2）发票抬头应为合同购买方，销售方应为投标人，且发票名目、所属时期应与合同约定内容一致，否则不计分。</w:t>
      </w:r>
    </w:p>
    <w:p w14:paraId="146F8E8F">
      <w:pPr>
        <w:autoSpaceDE w:val="0"/>
        <w:autoSpaceDN w:val="0"/>
        <w:adjustRightInd w:val="0"/>
        <w:spacing w:line="360" w:lineRule="auto"/>
        <w:rPr>
          <w:rFonts w:hint="eastAsia" w:ascii="宋体" w:hAnsi="宋体" w:eastAsia="宋体" w:cs="Times New Roman"/>
          <w:b/>
          <w:bCs/>
          <w:color w:val="auto"/>
          <w:sz w:val="30"/>
          <w:szCs w:val="30"/>
          <w:highlight w:val="none"/>
          <w:lang w:val="zh-CN"/>
        </w:rPr>
      </w:pPr>
    </w:p>
    <w:bookmarkEnd w:id="697"/>
    <w:bookmarkEnd w:id="698"/>
    <w:p w14:paraId="78E301A1">
      <w:pPr>
        <w:pageBreakBefore/>
        <w:spacing w:before="120" w:after="120" w:line="360" w:lineRule="auto"/>
        <w:jc w:val="left"/>
        <w:outlineLvl w:val="2"/>
        <w:rPr>
          <w:rFonts w:hint="eastAsia" w:ascii="宋体" w:hAnsi="宋体" w:eastAsia="宋体" w:cs="宋体"/>
          <w:b/>
          <w:bCs/>
          <w:color w:val="auto"/>
          <w:kern w:val="0"/>
          <w:sz w:val="32"/>
          <w:szCs w:val="32"/>
          <w:highlight w:val="none"/>
          <w:lang w:val="zh-CN"/>
        </w:rPr>
      </w:pPr>
      <w:bookmarkStart w:id="703" w:name="_Toc142508378"/>
      <w:bookmarkStart w:id="704" w:name="_Toc1977737"/>
      <w:bookmarkStart w:id="705" w:name="_Toc13822"/>
      <w:bookmarkStart w:id="706" w:name="_Toc11745"/>
      <w:bookmarkStart w:id="707" w:name="_Toc18175_WPSOffice_Level2"/>
      <w:bookmarkStart w:id="708" w:name="_Toc486167719"/>
      <w:bookmarkStart w:id="709" w:name="_Toc102860427"/>
      <w:bookmarkStart w:id="710" w:name="_Toc533708132"/>
      <w:bookmarkStart w:id="711" w:name="_Toc94107220"/>
      <w:bookmarkStart w:id="712" w:name="_Toc102860083"/>
      <w:bookmarkStart w:id="713" w:name="_Toc140596938"/>
      <w:bookmarkStart w:id="714" w:name="_Toc2281"/>
      <w:bookmarkStart w:id="715" w:name="_Toc104991885"/>
      <w:r>
        <w:rPr>
          <w:rFonts w:hint="eastAsia" w:ascii="宋体" w:hAnsi="宋体" w:eastAsia="宋体" w:cs="宋体"/>
          <w:b/>
          <w:bCs/>
          <w:color w:val="auto"/>
          <w:kern w:val="0"/>
          <w:sz w:val="32"/>
          <w:szCs w:val="32"/>
          <w:highlight w:val="none"/>
          <w:lang w:val="zh-CN"/>
        </w:rPr>
        <w:t>十、投标保证金汇入情况说明</w:t>
      </w:r>
      <w:bookmarkEnd w:id="703"/>
      <w:bookmarkEnd w:id="704"/>
      <w:bookmarkEnd w:id="705"/>
      <w:bookmarkEnd w:id="706"/>
      <w:bookmarkEnd w:id="707"/>
      <w:bookmarkEnd w:id="708"/>
      <w:bookmarkEnd w:id="709"/>
      <w:bookmarkEnd w:id="710"/>
      <w:bookmarkEnd w:id="711"/>
      <w:bookmarkEnd w:id="712"/>
      <w:bookmarkEnd w:id="713"/>
      <w:bookmarkEnd w:id="714"/>
      <w:bookmarkEnd w:id="715"/>
    </w:p>
    <w:p w14:paraId="41B50E13">
      <w:pPr>
        <w:autoSpaceDE w:val="0"/>
        <w:autoSpaceDN w:val="0"/>
        <w:adjustRightInd w:val="0"/>
        <w:spacing w:line="360" w:lineRule="auto"/>
        <w:jc w:val="left"/>
        <w:rPr>
          <w:rFonts w:hint="eastAsia" w:ascii="宋体" w:hAnsi="宋体" w:eastAsia="宋体" w:cs="宋体"/>
          <w:color w:val="auto"/>
          <w:szCs w:val="24"/>
          <w:highlight w:val="none"/>
        </w:rPr>
      </w:pPr>
    </w:p>
    <w:p w14:paraId="18C2B7DA">
      <w:pPr>
        <w:autoSpaceDE w:val="0"/>
        <w:autoSpaceDN w:val="0"/>
        <w:adjustRightInd w:val="0"/>
        <w:spacing w:line="360" w:lineRule="auto"/>
        <w:jc w:val="center"/>
        <w:outlineLvl w:val="0"/>
        <w:rPr>
          <w:rFonts w:hint="eastAsia" w:ascii="宋体" w:hAnsi="宋体" w:eastAsia="宋体" w:cs="宋体"/>
          <w:b/>
          <w:bCs/>
          <w:color w:val="auto"/>
          <w:kern w:val="0"/>
          <w:sz w:val="24"/>
          <w:szCs w:val="24"/>
          <w:highlight w:val="none"/>
        </w:rPr>
      </w:pPr>
      <w:bookmarkStart w:id="716" w:name="_Toc31832_WPSOffice_Level3"/>
      <w:bookmarkStart w:id="717" w:name="_Toc24034"/>
      <w:r>
        <w:rPr>
          <w:rFonts w:hint="eastAsia" w:ascii="宋体" w:hAnsi="宋体" w:eastAsia="宋体" w:cs="宋体"/>
          <w:b/>
          <w:bCs/>
          <w:color w:val="auto"/>
          <w:kern w:val="0"/>
          <w:sz w:val="24"/>
          <w:szCs w:val="24"/>
          <w:highlight w:val="none"/>
        </w:rPr>
        <w:t>投标保证金汇入情况说明</w:t>
      </w:r>
      <w:bookmarkEnd w:id="716"/>
      <w:bookmarkEnd w:id="717"/>
    </w:p>
    <w:p w14:paraId="129F5308">
      <w:pPr>
        <w:autoSpaceDE w:val="0"/>
        <w:autoSpaceDN w:val="0"/>
        <w:adjustRightInd w:val="0"/>
        <w:spacing w:line="360" w:lineRule="auto"/>
        <w:jc w:val="center"/>
        <w:rPr>
          <w:rFonts w:hint="eastAsia" w:ascii="宋体" w:hAnsi="宋体" w:eastAsia="宋体" w:cs="宋体"/>
          <w:b/>
          <w:bCs/>
          <w:color w:val="auto"/>
          <w:kern w:val="0"/>
          <w:szCs w:val="24"/>
          <w:highlight w:val="none"/>
        </w:rPr>
      </w:pPr>
    </w:p>
    <w:p w14:paraId="109B7995">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东莞市水务集团有限公司：</w:t>
      </w:r>
    </w:p>
    <w:p w14:paraId="571CA955">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rPr>
        <w:t>东莞市水务集团有限公司2025年度液态次氯酸钠采购项目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rPr>
        <w:t>YDZB25DGQY0005</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439FE534">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本单位投标保证金的汇款情况：（详见附件－投标保证金进账单）</w:t>
      </w:r>
    </w:p>
    <w:p w14:paraId="58DCBE78">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64FE38CB">
      <w:pPr>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rPr>
        <w:t>（大写）人民币      元（小写：¥      元）</w:t>
      </w:r>
    </w:p>
    <w:p w14:paraId="46E4363C">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216946AB">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37E1E9F3">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77E12A7D">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353B59C8">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14:paraId="6951BF8B">
      <w:pPr>
        <w:spacing w:line="360" w:lineRule="auto"/>
        <w:ind w:right="844" w:rightChars="402" w:firstLine="424" w:firstLineChars="202"/>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2B732786">
      <w:pPr>
        <w:spacing w:line="360" w:lineRule="auto"/>
        <w:ind w:right="628" w:rightChars="299" w:firstLine="7774" w:firstLineChars="3702"/>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4BB8376A">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744DD89C">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0281A4BE">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5E073BFE">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1C4E782B">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6CC3F777">
      <w:pPr>
        <w:spacing w:line="360" w:lineRule="auto"/>
        <w:ind w:left="340" w:leftChars="162" w:firstLine="425"/>
        <w:rPr>
          <w:rFonts w:hint="eastAsia" w:ascii="宋体" w:hAnsi="宋体" w:eastAsia="宋体" w:cs="宋体"/>
          <w:b/>
          <w:bCs/>
          <w:color w:val="auto"/>
          <w:szCs w:val="21"/>
          <w:highlight w:val="none"/>
        </w:rPr>
      </w:pPr>
      <w:bookmarkStart w:id="718" w:name="_Toc26208_WPSOffice_Level3"/>
      <w:r>
        <w:rPr>
          <w:rFonts w:hint="eastAsia" w:ascii="宋体" w:hAnsi="宋体" w:eastAsia="宋体" w:cs="宋体"/>
          <w:b/>
          <w:bCs/>
          <w:color w:val="auto"/>
          <w:szCs w:val="21"/>
          <w:highlight w:val="none"/>
        </w:rPr>
        <w:t>附：1、我方投标保证金汇款凭证（复印件）</w:t>
      </w:r>
      <w:bookmarkEnd w:id="718"/>
    </w:p>
    <w:p w14:paraId="6EDA62EB">
      <w:pPr>
        <w:spacing w:line="360" w:lineRule="auto"/>
        <w:ind w:left="340" w:leftChars="162" w:firstLine="839" w:firstLineChars="398"/>
        <w:outlineLvl w:val="0"/>
        <w:rPr>
          <w:rFonts w:hint="eastAsia" w:ascii="宋体" w:hAnsi="宋体" w:eastAsia="宋体" w:cs="宋体"/>
          <w:b/>
          <w:bCs/>
          <w:color w:val="auto"/>
          <w:szCs w:val="21"/>
          <w:highlight w:val="none"/>
        </w:rPr>
      </w:pPr>
      <w:bookmarkStart w:id="719" w:name="_Toc12992_WPSOffice_Level3"/>
      <w:bookmarkStart w:id="720" w:name="_Toc8220"/>
      <w:r>
        <w:rPr>
          <w:rFonts w:hint="eastAsia" w:ascii="宋体" w:hAnsi="宋体" w:eastAsia="宋体" w:cs="宋体"/>
          <w:b/>
          <w:bCs/>
          <w:color w:val="auto"/>
          <w:szCs w:val="21"/>
          <w:highlight w:val="none"/>
        </w:rPr>
        <w:t>2、我方基本账户开户许可证（复印件）</w:t>
      </w:r>
      <w:bookmarkEnd w:id="719"/>
      <w:bookmarkEnd w:id="720"/>
    </w:p>
    <w:p w14:paraId="74F4AAC7">
      <w:pPr>
        <w:spacing w:line="360" w:lineRule="auto"/>
        <w:ind w:left="340" w:leftChars="162" w:firstLine="736" w:firstLineChars="34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27714E54">
      <w:pPr>
        <w:autoSpaceDE w:val="0"/>
        <w:autoSpaceDN w:val="0"/>
        <w:adjustRightInd w:val="0"/>
        <w:spacing w:line="360" w:lineRule="auto"/>
        <w:ind w:firstLine="5145" w:firstLineChars="2450"/>
        <w:rPr>
          <w:rFonts w:hint="eastAsia" w:ascii="宋体" w:hAnsi="宋体" w:eastAsia="宋体" w:cs="宋体"/>
          <w:color w:val="auto"/>
          <w:szCs w:val="24"/>
          <w:highlight w:val="none"/>
          <w:lang w:val="zh-CN"/>
        </w:rPr>
      </w:pPr>
    </w:p>
    <w:p w14:paraId="734D2A70">
      <w:pPr>
        <w:spacing w:line="360" w:lineRule="auto"/>
        <w:ind w:firstLine="424" w:firstLineChars="202"/>
        <w:rPr>
          <w:rFonts w:hint="eastAsia" w:ascii="宋体" w:hAnsi="宋体" w:eastAsia="宋体" w:cs="宋体"/>
          <w:color w:val="auto"/>
          <w:szCs w:val="24"/>
          <w:highlight w:val="none"/>
        </w:rPr>
      </w:pPr>
      <w:bookmarkStart w:id="721" w:name="_Toc486167721"/>
    </w:p>
    <w:p w14:paraId="1577DD23">
      <w:pPr>
        <w:spacing w:line="360" w:lineRule="auto"/>
        <w:ind w:firstLine="424" w:firstLineChars="202"/>
        <w:rPr>
          <w:rFonts w:hint="eastAsia" w:ascii="宋体" w:hAnsi="宋体" w:eastAsia="宋体" w:cs="宋体"/>
          <w:color w:val="auto"/>
          <w:szCs w:val="24"/>
          <w:highlight w:val="none"/>
        </w:rPr>
      </w:pPr>
      <w:bookmarkStart w:id="722" w:name="_Toc533708134"/>
    </w:p>
    <w:p w14:paraId="0E41DDB4">
      <w:pPr>
        <w:widowControl/>
        <w:jc w:val="left"/>
        <w:rPr>
          <w:rFonts w:hint="eastAsia"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3F8EE2D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723" w:name="_Toc102860084"/>
      <w:bookmarkStart w:id="724" w:name="_Toc16292"/>
      <w:bookmarkStart w:id="725" w:name="_Toc142508379"/>
      <w:bookmarkStart w:id="726" w:name="_Toc140596939"/>
      <w:bookmarkStart w:id="727" w:name="_Toc102860428"/>
      <w:bookmarkStart w:id="728" w:name="_Toc1977738"/>
      <w:bookmarkStart w:id="729" w:name="_Toc18032"/>
      <w:bookmarkStart w:id="730" w:name="_Toc94107221"/>
      <w:bookmarkStart w:id="731" w:name="_Toc104991886"/>
      <w:bookmarkStart w:id="732" w:name="_Toc11759"/>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723"/>
      <w:bookmarkEnd w:id="724"/>
      <w:bookmarkEnd w:id="725"/>
      <w:bookmarkEnd w:id="726"/>
      <w:bookmarkEnd w:id="727"/>
      <w:bookmarkEnd w:id="728"/>
      <w:bookmarkEnd w:id="729"/>
      <w:bookmarkEnd w:id="730"/>
      <w:bookmarkEnd w:id="731"/>
      <w:bookmarkEnd w:id="732"/>
    </w:p>
    <w:p w14:paraId="0C9D9851">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bookmarkStart w:id="733" w:name="_Toc102860429"/>
      <w:bookmarkStart w:id="734" w:name="_Toc15051"/>
      <w:bookmarkStart w:id="735" w:name="_Toc104991887"/>
      <w:bookmarkStart w:id="736" w:name="_Toc1977739"/>
      <w:bookmarkStart w:id="737" w:name="_Toc14341"/>
      <w:bookmarkStart w:id="738" w:name="_Toc94107222"/>
      <w:bookmarkStart w:id="739" w:name="_Toc32548"/>
      <w:bookmarkStart w:id="740" w:name="_Toc142508380"/>
      <w:bookmarkStart w:id="741" w:name="_Toc102860085"/>
      <w:bookmarkStart w:id="742" w:name="_Toc140596940"/>
      <w:r>
        <w:rPr>
          <w:rFonts w:hint="eastAsia" w:ascii="宋体" w:hAnsi="宋体" w:eastAsia="宋体" w:cs="宋体"/>
          <w:b/>
          <w:color w:val="auto"/>
          <w:kern w:val="0"/>
          <w:sz w:val="32"/>
          <w:szCs w:val="32"/>
          <w:highlight w:val="none"/>
        </w:rPr>
        <w:t>十二、技术响应文件格式</w:t>
      </w:r>
      <w:bookmarkEnd w:id="722"/>
      <w:bookmarkEnd w:id="733"/>
      <w:bookmarkEnd w:id="734"/>
      <w:bookmarkEnd w:id="735"/>
      <w:bookmarkEnd w:id="736"/>
      <w:bookmarkEnd w:id="737"/>
      <w:bookmarkEnd w:id="738"/>
      <w:bookmarkEnd w:id="739"/>
      <w:bookmarkEnd w:id="740"/>
      <w:bookmarkEnd w:id="741"/>
      <w:bookmarkEnd w:id="742"/>
    </w:p>
    <w:p w14:paraId="09CB93E7">
      <w:pPr>
        <w:tabs>
          <w:tab w:val="left" w:pos="864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368BB6FE">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77A488FD">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2、投标产品技术指标承诺书（格式见1</w:t>
      </w: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val="zh-CN"/>
        </w:rPr>
        <w:t>投标产品技术指标承诺书格式）；</w:t>
      </w:r>
    </w:p>
    <w:p w14:paraId="4AF64E0D">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3、第三方检测机构出具的检验报告复印件（须为202</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zh-CN"/>
        </w:rPr>
        <w:t>年</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zh-CN"/>
        </w:rPr>
        <w:t>月1日以后出具的投标产品检验报告）；</w:t>
      </w:r>
    </w:p>
    <w:p w14:paraId="3B021E9F">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w:t>
      </w:r>
      <w:r>
        <w:rPr>
          <w:rFonts w:hint="eastAsia" w:ascii="宋体" w:hAnsi="宋体" w:eastAsia="宋体" w:cs="宋体"/>
          <w:color w:val="auto"/>
          <w:kern w:val="0"/>
          <w:szCs w:val="21"/>
          <w:highlight w:val="none"/>
        </w:rPr>
        <w:t>生产规模及技术力量</w:t>
      </w:r>
      <w:r>
        <w:rPr>
          <w:rFonts w:hint="eastAsia" w:ascii="宋体" w:hAnsi="宋体" w:eastAsia="宋体" w:cs="宋体"/>
          <w:color w:val="auto"/>
          <w:kern w:val="0"/>
          <w:szCs w:val="21"/>
          <w:highlight w:val="none"/>
          <w:lang w:val="zh-CN"/>
        </w:rPr>
        <w:t>；</w:t>
      </w:r>
    </w:p>
    <w:p w14:paraId="5E108087">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zh-CN"/>
        </w:rPr>
        <w:t>、供货</w:t>
      </w:r>
      <w:r>
        <w:rPr>
          <w:rFonts w:hint="eastAsia" w:ascii="宋体" w:hAnsi="宋体" w:eastAsia="宋体" w:cs="宋体"/>
          <w:color w:val="auto"/>
          <w:kern w:val="0"/>
          <w:szCs w:val="21"/>
          <w:highlight w:val="none"/>
        </w:rPr>
        <w:t>运输</w:t>
      </w:r>
      <w:r>
        <w:rPr>
          <w:rFonts w:hint="eastAsia" w:ascii="宋体" w:hAnsi="宋体" w:eastAsia="宋体" w:cs="宋体"/>
          <w:color w:val="auto"/>
          <w:kern w:val="0"/>
          <w:szCs w:val="21"/>
          <w:highlight w:val="none"/>
          <w:lang w:val="zh-CN"/>
        </w:rPr>
        <w:t>保障；</w:t>
      </w:r>
    </w:p>
    <w:p w14:paraId="0DE8F8EA">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6、投标人认为有必要提供的其它材料（不做强制要求）。</w:t>
      </w:r>
    </w:p>
    <w:p w14:paraId="680468E8">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2BA08238">
      <w:pPr>
        <w:pStyle w:val="3"/>
        <w:spacing w:line="360" w:lineRule="auto"/>
        <w:jc w:val="center"/>
        <w:rPr>
          <w:rFonts w:hint="eastAsia" w:ascii="宋体" w:hAnsi="宋体" w:cs="宋体"/>
          <w:color w:val="auto"/>
          <w:sz w:val="84"/>
          <w:highlight w:val="none"/>
        </w:rPr>
      </w:pPr>
    </w:p>
    <w:p w14:paraId="22AD7CEB">
      <w:pPr>
        <w:pStyle w:val="3"/>
        <w:spacing w:line="360" w:lineRule="auto"/>
        <w:jc w:val="center"/>
        <w:rPr>
          <w:rFonts w:hint="eastAsia" w:ascii="宋体" w:hAnsi="宋体" w:cs="宋体"/>
          <w:color w:val="auto"/>
          <w:sz w:val="84"/>
          <w:highlight w:val="none"/>
        </w:rPr>
      </w:pPr>
    </w:p>
    <w:p w14:paraId="645E75F8">
      <w:pPr>
        <w:pStyle w:val="3"/>
        <w:spacing w:line="360" w:lineRule="auto"/>
        <w:jc w:val="center"/>
        <w:rPr>
          <w:rFonts w:hint="eastAsia" w:ascii="宋体" w:hAnsi="宋体" w:cs="宋体"/>
          <w:color w:val="auto"/>
          <w:sz w:val="84"/>
          <w:highlight w:val="none"/>
        </w:rPr>
      </w:pPr>
      <w:r>
        <w:rPr>
          <w:rFonts w:hint="eastAsia" w:ascii="宋体" w:hAnsi="宋体" w:cs="宋体"/>
          <w:color w:val="auto"/>
          <w:sz w:val="84"/>
          <w:highlight w:val="none"/>
        </w:rPr>
        <w:t>投 标 文 件</w:t>
      </w:r>
    </w:p>
    <w:p w14:paraId="2E88324D">
      <w:pPr>
        <w:pStyle w:val="3"/>
        <w:spacing w:line="360" w:lineRule="auto"/>
        <w:rPr>
          <w:rFonts w:hint="eastAsia" w:ascii="宋体" w:hAnsi="宋体" w:cs="宋体"/>
          <w:color w:val="auto"/>
          <w:highlight w:val="none"/>
        </w:rPr>
      </w:pPr>
    </w:p>
    <w:p w14:paraId="4B11A04F">
      <w:pPr>
        <w:pStyle w:val="3"/>
        <w:spacing w:line="360" w:lineRule="auto"/>
        <w:rPr>
          <w:rFonts w:hint="eastAsia" w:ascii="宋体" w:hAnsi="宋体" w:cs="宋体"/>
          <w:color w:val="auto"/>
          <w:highlight w:val="none"/>
        </w:rPr>
      </w:pPr>
    </w:p>
    <w:p w14:paraId="093FA9B6">
      <w:pPr>
        <w:pStyle w:val="3"/>
        <w:spacing w:line="360" w:lineRule="auto"/>
        <w:rPr>
          <w:rFonts w:hint="eastAsia" w:ascii="宋体" w:hAnsi="宋体" w:cs="宋体"/>
          <w:color w:val="auto"/>
          <w:highlight w:val="none"/>
        </w:rPr>
      </w:pPr>
    </w:p>
    <w:p w14:paraId="7032E65C">
      <w:pPr>
        <w:pStyle w:val="3"/>
        <w:spacing w:line="360" w:lineRule="auto"/>
        <w:rPr>
          <w:rFonts w:hint="eastAsia" w:ascii="宋体" w:hAnsi="宋体" w:cs="宋体"/>
          <w:color w:val="auto"/>
          <w:highlight w:val="none"/>
        </w:rPr>
      </w:pPr>
    </w:p>
    <w:p w14:paraId="6E8161F6">
      <w:pPr>
        <w:pStyle w:val="3"/>
        <w:spacing w:line="360" w:lineRule="auto"/>
        <w:rPr>
          <w:rFonts w:hint="eastAsia" w:ascii="宋体" w:hAnsi="宋体" w:cs="宋体"/>
          <w:color w:val="auto"/>
          <w:highlight w:val="none"/>
        </w:rPr>
      </w:pPr>
    </w:p>
    <w:p w14:paraId="22DF71B3">
      <w:pPr>
        <w:pStyle w:val="3"/>
        <w:spacing w:line="360" w:lineRule="auto"/>
        <w:rPr>
          <w:rFonts w:hint="eastAsia" w:ascii="宋体" w:hAnsi="宋体" w:cs="宋体"/>
          <w:color w:val="auto"/>
          <w:highlight w:val="none"/>
        </w:rPr>
      </w:pPr>
    </w:p>
    <w:p w14:paraId="6679D767">
      <w:pPr>
        <w:pStyle w:val="3"/>
        <w:spacing w:line="360" w:lineRule="auto"/>
        <w:ind w:firstLine="1875" w:firstLineChars="625"/>
        <w:rPr>
          <w:rFonts w:hint="eastAsia"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4F93C49B">
      <w:pPr>
        <w:pStyle w:val="3"/>
        <w:spacing w:line="360" w:lineRule="auto"/>
        <w:ind w:firstLine="1875" w:firstLineChars="625"/>
        <w:rPr>
          <w:rFonts w:hint="eastAsia"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517F4327">
      <w:pPr>
        <w:pStyle w:val="3"/>
        <w:spacing w:line="360" w:lineRule="auto"/>
        <w:ind w:firstLine="1875" w:firstLineChars="625"/>
        <w:outlineLvl w:val="1"/>
        <w:rPr>
          <w:rFonts w:hint="eastAsia" w:ascii="宋体" w:hAnsi="宋体" w:cs="宋体"/>
          <w:color w:val="auto"/>
          <w:sz w:val="30"/>
          <w:highlight w:val="none"/>
          <w:u w:val="single"/>
        </w:rPr>
      </w:pPr>
      <w:bookmarkStart w:id="743" w:name="_Toc10945"/>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投标文件技术部分</w:t>
      </w:r>
      <w:bookmarkEnd w:id="743"/>
      <w:r>
        <w:rPr>
          <w:rFonts w:hint="eastAsia" w:ascii="宋体" w:hAnsi="宋体" w:cs="宋体"/>
          <w:color w:val="auto"/>
          <w:sz w:val="30"/>
          <w:highlight w:val="none"/>
          <w:u w:val="single"/>
        </w:rPr>
        <w:t xml:space="preserve"> </w:t>
      </w:r>
    </w:p>
    <w:p w14:paraId="61DCE3CF">
      <w:pPr>
        <w:pStyle w:val="3"/>
        <w:spacing w:line="360" w:lineRule="auto"/>
        <w:ind w:firstLine="1875" w:firstLineChars="625"/>
        <w:rPr>
          <w:rFonts w:hint="eastAsia"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2D7FD97F">
      <w:pPr>
        <w:pStyle w:val="3"/>
        <w:spacing w:line="360" w:lineRule="auto"/>
        <w:ind w:firstLine="1875" w:firstLineChars="625"/>
        <w:rPr>
          <w:rFonts w:hint="eastAsia"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14:paraId="44CA644C">
      <w:pPr>
        <w:pStyle w:val="3"/>
        <w:spacing w:line="360" w:lineRule="auto"/>
        <w:ind w:firstLine="1875" w:firstLineChars="625"/>
        <w:rPr>
          <w:rFonts w:hint="eastAsia"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2DD83BAA">
      <w:pPr>
        <w:pStyle w:val="3"/>
        <w:spacing w:line="360" w:lineRule="auto"/>
        <w:rPr>
          <w:rFonts w:hint="eastAsia" w:ascii="宋体" w:hAnsi="宋体" w:cs="宋体"/>
          <w:color w:val="auto"/>
          <w:highlight w:val="none"/>
        </w:rPr>
      </w:pPr>
    </w:p>
    <w:p w14:paraId="761BCF68">
      <w:pPr>
        <w:pStyle w:val="3"/>
        <w:spacing w:line="360" w:lineRule="auto"/>
        <w:rPr>
          <w:rFonts w:hint="eastAsia" w:ascii="宋体" w:hAnsi="宋体" w:cs="宋体"/>
          <w:color w:val="auto"/>
          <w:highlight w:val="none"/>
        </w:rPr>
      </w:pPr>
      <w:r>
        <w:rPr>
          <w:rFonts w:hint="eastAsia" w:ascii="宋体" w:hAnsi="宋体" w:cs="宋体"/>
          <w:color w:val="auto"/>
          <w:highlight w:val="none"/>
        </w:rPr>
        <w:br w:type="page"/>
      </w:r>
    </w:p>
    <w:p w14:paraId="2D464F2E">
      <w:pPr>
        <w:pStyle w:val="3"/>
        <w:spacing w:line="360" w:lineRule="auto"/>
        <w:rPr>
          <w:rFonts w:hint="eastAsia" w:ascii="宋体" w:hAnsi="宋体" w:cs="宋体"/>
          <w:color w:val="auto"/>
          <w:highlight w:val="none"/>
        </w:rPr>
      </w:pPr>
    </w:p>
    <w:p w14:paraId="7F0C704A">
      <w:pP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投标文件技术评审部分索引表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4B473E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55251B5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419C0B6">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1EB8142E">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2136" w:type="pct"/>
            <w:tcBorders>
              <w:left w:val="single" w:color="auto" w:sz="4" w:space="0"/>
            </w:tcBorders>
            <w:vAlign w:val="center"/>
          </w:tcPr>
          <w:p w14:paraId="22C1AA1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3D4CAF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F87955B">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497B41C">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6EEAF7AE">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B8225AD">
            <w:pPr>
              <w:adjustRightInd w:val="0"/>
              <w:snapToGrid w:val="0"/>
              <w:spacing w:line="360" w:lineRule="auto"/>
              <w:rPr>
                <w:rFonts w:hint="eastAsia" w:ascii="宋体" w:hAnsi="宋体" w:eastAsia="宋体" w:cs="宋体"/>
                <w:bCs/>
                <w:color w:val="auto"/>
                <w:szCs w:val="21"/>
                <w:highlight w:val="none"/>
              </w:rPr>
            </w:pPr>
          </w:p>
        </w:tc>
      </w:tr>
      <w:tr w14:paraId="7CF387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2D0874A">
            <w:pPr>
              <w:rPr>
                <w:rFonts w:hint="eastAsia" w:ascii="宋体" w:hAnsi="宋体" w:eastAsia="宋体" w:cs="宋体"/>
                <w:bCs/>
                <w:color w:val="auto"/>
                <w:szCs w:val="21"/>
                <w:highlight w:val="none"/>
              </w:rPr>
            </w:pPr>
          </w:p>
        </w:tc>
        <w:tc>
          <w:tcPr>
            <w:tcW w:w="1337" w:type="pct"/>
            <w:vAlign w:val="center"/>
          </w:tcPr>
          <w:p w14:paraId="3A62E78D">
            <w:pPr>
              <w:rPr>
                <w:rFonts w:hint="eastAsia" w:ascii="宋体" w:hAnsi="宋体" w:eastAsia="宋体" w:cs="宋体"/>
                <w:bCs/>
                <w:color w:val="auto"/>
                <w:szCs w:val="21"/>
                <w:highlight w:val="none"/>
              </w:rPr>
            </w:pPr>
          </w:p>
        </w:tc>
        <w:tc>
          <w:tcPr>
            <w:tcW w:w="861" w:type="pct"/>
            <w:vAlign w:val="center"/>
          </w:tcPr>
          <w:p w14:paraId="1D6741F4">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E16D05F">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2A8E66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1C93F16">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6145292A">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6250AC0E">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85CB594">
            <w:pPr>
              <w:spacing w:line="360" w:lineRule="auto"/>
              <w:ind w:firstLine="8" w:firstLineChars="4"/>
              <w:rPr>
                <w:rFonts w:hint="eastAsia" w:ascii="宋体" w:hAnsi="宋体" w:eastAsia="宋体" w:cs="宋体"/>
                <w:bCs/>
                <w:color w:val="auto"/>
                <w:szCs w:val="21"/>
                <w:highlight w:val="none"/>
              </w:rPr>
            </w:pPr>
          </w:p>
        </w:tc>
      </w:tr>
      <w:tr w14:paraId="191C28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814A2FC">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2592F8B8">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77E42E73">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59B7E79D">
            <w:pPr>
              <w:adjustRightInd w:val="0"/>
              <w:snapToGrid w:val="0"/>
              <w:spacing w:line="360" w:lineRule="auto"/>
              <w:rPr>
                <w:rFonts w:hint="eastAsia" w:ascii="宋体" w:hAnsi="宋体" w:eastAsia="宋体" w:cs="宋体"/>
                <w:bCs/>
                <w:color w:val="auto"/>
                <w:szCs w:val="21"/>
                <w:highlight w:val="none"/>
              </w:rPr>
            </w:pPr>
          </w:p>
        </w:tc>
      </w:tr>
      <w:tr w14:paraId="63122F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477CBD6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5053A65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1DDD6A96">
            <w:pPr>
              <w:spacing w:line="360" w:lineRule="auto"/>
              <w:jc w:val="center"/>
              <w:rPr>
                <w:rFonts w:hint="eastAsia" w:ascii="宋体" w:hAnsi="宋体" w:eastAsia="宋体" w:cs="宋体"/>
                <w:bCs/>
                <w:color w:val="auto"/>
                <w:szCs w:val="21"/>
                <w:highlight w:val="none"/>
              </w:rPr>
            </w:pPr>
          </w:p>
        </w:tc>
      </w:tr>
    </w:tbl>
    <w:p w14:paraId="4EBA3D28">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721"/>
      <w:bookmarkStart w:id="744" w:name="_Toc102860430"/>
      <w:bookmarkStart w:id="745" w:name="_Toc104991888"/>
      <w:bookmarkStart w:id="746" w:name="_Toc1558"/>
      <w:bookmarkStart w:id="747" w:name="_Toc20630"/>
      <w:bookmarkStart w:id="748" w:name="_Toc533708135"/>
      <w:bookmarkStart w:id="749" w:name="_Toc142508381"/>
      <w:bookmarkStart w:id="750" w:name="_Toc94107223"/>
      <w:bookmarkStart w:id="751" w:name="_Toc27162"/>
      <w:bookmarkStart w:id="752" w:name="_Toc140596941"/>
      <w:bookmarkStart w:id="753" w:name="_Toc102860086"/>
      <w:bookmarkStart w:id="754" w:name="_Toc1977740"/>
      <w:r>
        <w:rPr>
          <w:rFonts w:hint="eastAsia" w:ascii="宋体" w:hAnsi="宋体" w:eastAsia="宋体" w:cs="宋体"/>
          <w:b/>
          <w:color w:val="auto"/>
          <w:kern w:val="0"/>
          <w:sz w:val="30"/>
          <w:szCs w:val="30"/>
          <w:highlight w:val="none"/>
        </w:rPr>
        <w:t>12.1 用户需求偏离表格式</w:t>
      </w:r>
      <w:bookmarkEnd w:id="744"/>
      <w:bookmarkEnd w:id="745"/>
      <w:bookmarkEnd w:id="746"/>
      <w:bookmarkEnd w:id="747"/>
      <w:bookmarkEnd w:id="748"/>
      <w:bookmarkEnd w:id="749"/>
      <w:bookmarkEnd w:id="750"/>
      <w:bookmarkEnd w:id="751"/>
      <w:bookmarkEnd w:id="752"/>
      <w:bookmarkEnd w:id="753"/>
      <w:bookmarkEnd w:id="754"/>
    </w:p>
    <w:p w14:paraId="6099591A">
      <w:pPr>
        <w:spacing w:before="120" w:after="120" w:line="360" w:lineRule="auto"/>
        <w:jc w:val="center"/>
        <w:outlineLvl w:val="2"/>
        <w:rPr>
          <w:rFonts w:hint="eastAsia" w:ascii="宋体" w:hAnsi="宋体" w:eastAsia="宋体" w:cs="Times New Roman"/>
          <w:color w:val="auto"/>
          <w:kern w:val="0"/>
          <w:szCs w:val="21"/>
          <w:highlight w:val="none"/>
        </w:rPr>
      </w:pPr>
      <w:bookmarkStart w:id="755" w:name="_Toc17449_WPSOffice_Level3"/>
      <w:bookmarkStart w:id="756" w:name="_Toc3079"/>
      <w:r>
        <w:rPr>
          <w:rFonts w:hint="eastAsia" w:ascii="宋体" w:hAnsi="宋体" w:eastAsia="宋体" w:cs="宋体"/>
          <w:b/>
          <w:color w:val="auto"/>
          <w:kern w:val="0"/>
          <w:sz w:val="30"/>
          <w:szCs w:val="30"/>
          <w:highlight w:val="none"/>
          <w:lang w:val="zh-CN"/>
        </w:rPr>
        <w:t>用户需求偏离表</w:t>
      </w:r>
      <w:bookmarkEnd w:id="755"/>
      <w:bookmarkEnd w:id="756"/>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726"/>
        <w:gridCol w:w="6585"/>
        <w:gridCol w:w="975"/>
        <w:gridCol w:w="900"/>
        <w:gridCol w:w="709"/>
      </w:tblGrid>
      <w:tr w14:paraId="1C9D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9" w:type="pct"/>
            <w:vMerge w:val="restart"/>
            <w:vAlign w:val="center"/>
          </w:tcPr>
          <w:p w14:paraId="4B0D5C97">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25" w:type="pct"/>
            <w:gridSpan w:val="2"/>
            <w:vAlign w:val="center"/>
          </w:tcPr>
          <w:p w14:paraId="4C7BB39E">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245" w:type="pct"/>
            <w:gridSpan w:val="3"/>
            <w:vAlign w:val="center"/>
          </w:tcPr>
          <w:p w14:paraId="5A83DDBB">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736E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29" w:type="pct"/>
            <w:vMerge w:val="continue"/>
            <w:vAlign w:val="center"/>
          </w:tcPr>
          <w:p w14:paraId="0FF1A8B5">
            <w:pPr>
              <w:keepNext/>
              <w:keepLines/>
              <w:spacing w:line="400" w:lineRule="exact"/>
              <w:jc w:val="center"/>
              <w:rPr>
                <w:rFonts w:hint="eastAsia" w:ascii="宋体" w:hAnsi="宋体" w:eastAsia="宋体" w:cs="宋体"/>
                <w:color w:val="auto"/>
                <w:kern w:val="0"/>
                <w:sz w:val="18"/>
                <w:szCs w:val="18"/>
                <w:highlight w:val="none"/>
              </w:rPr>
            </w:pPr>
          </w:p>
        </w:tc>
        <w:tc>
          <w:tcPr>
            <w:tcW w:w="350" w:type="pct"/>
            <w:vAlign w:val="center"/>
          </w:tcPr>
          <w:p w14:paraId="12610EEB">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175" w:type="pct"/>
            <w:vAlign w:val="center"/>
          </w:tcPr>
          <w:p w14:paraId="66D3FCF4">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470" w:type="pct"/>
            <w:vAlign w:val="center"/>
          </w:tcPr>
          <w:p w14:paraId="4DE32BB7">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33" w:type="pct"/>
            <w:vAlign w:val="center"/>
          </w:tcPr>
          <w:p w14:paraId="6A0313EC">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41" w:type="pct"/>
            <w:vAlign w:val="center"/>
          </w:tcPr>
          <w:p w14:paraId="3ECD6091">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2CE7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29" w:type="pct"/>
            <w:vAlign w:val="center"/>
          </w:tcPr>
          <w:p w14:paraId="0033C394">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350" w:type="pct"/>
            <w:vAlign w:val="center"/>
          </w:tcPr>
          <w:p w14:paraId="535461CA">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一</w:t>
            </w:r>
          </w:p>
        </w:tc>
        <w:tc>
          <w:tcPr>
            <w:tcW w:w="3175" w:type="pct"/>
            <w:vAlign w:val="center"/>
          </w:tcPr>
          <w:p w14:paraId="4BE22339">
            <w:pPr>
              <w:widowControl/>
              <w:spacing w:line="400" w:lineRule="exact"/>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基本</w:t>
            </w:r>
            <w:r>
              <w:rPr>
                <w:rFonts w:hint="eastAsia" w:ascii="宋体" w:hAnsi="宋体" w:eastAsia="宋体" w:cs="宋体"/>
                <w:b/>
                <w:color w:val="auto"/>
                <w:kern w:val="0"/>
                <w:szCs w:val="21"/>
                <w:highlight w:val="none"/>
                <w:lang w:val="en-US" w:eastAsia="zh-CN"/>
              </w:rPr>
              <w:t>招标</w:t>
            </w:r>
            <w:r>
              <w:rPr>
                <w:rFonts w:hint="eastAsia" w:ascii="宋体" w:hAnsi="宋体" w:eastAsia="宋体" w:cs="宋体"/>
                <w:b/>
                <w:color w:val="auto"/>
                <w:kern w:val="0"/>
                <w:szCs w:val="21"/>
                <w:highlight w:val="none"/>
              </w:rPr>
              <w:t>要求</w:t>
            </w:r>
          </w:p>
        </w:tc>
        <w:tc>
          <w:tcPr>
            <w:tcW w:w="470" w:type="pct"/>
            <w:vAlign w:val="center"/>
          </w:tcPr>
          <w:p w14:paraId="32800831">
            <w:pPr>
              <w:keepNext/>
              <w:keepLines/>
              <w:spacing w:line="400" w:lineRule="exact"/>
              <w:jc w:val="center"/>
              <w:rPr>
                <w:rFonts w:hint="eastAsia" w:ascii="宋体" w:hAnsi="宋体" w:eastAsia="宋体" w:cs="宋体"/>
                <w:color w:val="auto"/>
                <w:kern w:val="0"/>
                <w:sz w:val="18"/>
                <w:szCs w:val="18"/>
                <w:highlight w:val="none"/>
              </w:rPr>
            </w:pPr>
          </w:p>
        </w:tc>
        <w:tc>
          <w:tcPr>
            <w:tcW w:w="433" w:type="pct"/>
            <w:vAlign w:val="center"/>
          </w:tcPr>
          <w:p w14:paraId="4841D13B">
            <w:pPr>
              <w:keepNext/>
              <w:keepLines/>
              <w:spacing w:line="400" w:lineRule="exact"/>
              <w:jc w:val="center"/>
              <w:rPr>
                <w:rFonts w:hint="eastAsia" w:ascii="宋体" w:hAnsi="宋体" w:eastAsia="宋体" w:cs="宋体"/>
                <w:color w:val="auto"/>
                <w:kern w:val="0"/>
                <w:sz w:val="18"/>
                <w:szCs w:val="18"/>
                <w:highlight w:val="none"/>
              </w:rPr>
            </w:pPr>
          </w:p>
        </w:tc>
        <w:tc>
          <w:tcPr>
            <w:tcW w:w="341" w:type="pct"/>
            <w:vAlign w:val="center"/>
          </w:tcPr>
          <w:p w14:paraId="54DD5EAB">
            <w:pPr>
              <w:keepNext/>
              <w:keepLines/>
              <w:spacing w:line="400" w:lineRule="exact"/>
              <w:jc w:val="center"/>
              <w:rPr>
                <w:rFonts w:hint="eastAsia" w:ascii="宋体" w:hAnsi="宋体" w:eastAsia="宋体" w:cs="宋体"/>
                <w:color w:val="auto"/>
                <w:kern w:val="0"/>
                <w:sz w:val="18"/>
                <w:szCs w:val="18"/>
                <w:highlight w:val="none"/>
              </w:rPr>
            </w:pPr>
          </w:p>
        </w:tc>
      </w:tr>
      <w:tr w14:paraId="71D5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9" w:type="pct"/>
            <w:vAlign w:val="center"/>
          </w:tcPr>
          <w:p w14:paraId="528A9EFA">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350" w:type="pct"/>
            <w:vAlign w:val="center"/>
          </w:tcPr>
          <w:p w14:paraId="6830653D">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二</w:t>
            </w:r>
          </w:p>
        </w:tc>
        <w:tc>
          <w:tcPr>
            <w:tcW w:w="3175" w:type="pct"/>
            <w:vAlign w:val="center"/>
          </w:tcPr>
          <w:p w14:paraId="4F44D0C8">
            <w:pPr>
              <w:widowControl/>
              <w:spacing w:line="400" w:lineRule="exact"/>
              <w:jc w:val="left"/>
              <w:rPr>
                <w:rFonts w:hint="eastAsia" w:ascii="宋体" w:hAnsi="宋体" w:eastAsia="宋体" w:cs="宋体"/>
                <w:color w:val="auto"/>
                <w:sz w:val="18"/>
                <w:szCs w:val="18"/>
                <w:highlight w:val="none"/>
              </w:rPr>
            </w:pPr>
            <w:r>
              <w:rPr>
                <w:rFonts w:hint="eastAsia" w:ascii="宋体" w:hAnsi="宋体" w:eastAsia="宋体" w:cs="宋体"/>
                <w:b/>
                <w:color w:val="auto"/>
                <w:kern w:val="0"/>
                <w:szCs w:val="21"/>
                <w:highlight w:val="none"/>
              </w:rPr>
              <w:t>标的物</w:t>
            </w:r>
          </w:p>
        </w:tc>
        <w:tc>
          <w:tcPr>
            <w:tcW w:w="470" w:type="pct"/>
            <w:vAlign w:val="center"/>
          </w:tcPr>
          <w:p w14:paraId="5EC2B9ED">
            <w:pPr>
              <w:keepNext/>
              <w:keepLines/>
              <w:spacing w:line="400" w:lineRule="exact"/>
              <w:jc w:val="center"/>
              <w:rPr>
                <w:rFonts w:hint="eastAsia" w:ascii="宋体" w:hAnsi="宋体" w:eastAsia="宋体" w:cs="宋体"/>
                <w:color w:val="auto"/>
                <w:kern w:val="0"/>
                <w:sz w:val="18"/>
                <w:szCs w:val="18"/>
                <w:highlight w:val="none"/>
              </w:rPr>
            </w:pPr>
          </w:p>
        </w:tc>
        <w:tc>
          <w:tcPr>
            <w:tcW w:w="433" w:type="pct"/>
            <w:vAlign w:val="center"/>
          </w:tcPr>
          <w:p w14:paraId="5E5C086B">
            <w:pPr>
              <w:keepNext/>
              <w:keepLines/>
              <w:spacing w:line="400" w:lineRule="exact"/>
              <w:jc w:val="center"/>
              <w:rPr>
                <w:rFonts w:hint="eastAsia" w:ascii="宋体" w:hAnsi="宋体" w:eastAsia="宋体" w:cs="宋体"/>
                <w:color w:val="auto"/>
                <w:kern w:val="0"/>
                <w:sz w:val="18"/>
                <w:szCs w:val="18"/>
                <w:highlight w:val="none"/>
              </w:rPr>
            </w:pPr>
          </w:p>
        </w:tc>
        <w:tc>
          <w:tcPr>
            <w:tcW w:w="341" w:type="pct"/>
            <w:vAlign w:val="center"/>
          </w:tcPr>
          <w:p w14:paraId="63C21640">
            <w:pPr>
              <w:keepNext/>
              <w:keepLines/>
              <w:spacing w:line="400" w:lineRule="exact"/>
              <w:jc w:val="center"/>
              <w:rPr>
                <w:rFonts w:hint="eastAsia" w:ascii="宋体" w:hAnsi="宋体" w:eastAsia="宋体" w:cs="宋体"/>
                <w:color w:val="auto"/>
                <w:kern w:val="0"/>
                <w:sz w:val="18"/>
                <w:szCs w:val="18"/>
                <w:highlight w:val="none"/>
              </w:rPr>
            </w:pPr>
          </w:p>
        </w:tc>
      </w:tr>
      <w:tr w14:paraId="0BB4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9" w:type="pct"/>
            <w:vAlign w:val="center"/>
          </w:tcPr>
          <w:p w14:paraId="2134F0BF">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350" w:type="pct"/>
            <w:vAlign w:val="center"/>
          </w:tcPr>
          <w:p w14:paraId="6C213479">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三</w:t>
            </w:r>
          </w:p>
        </w:tc>
        <w:tc>
          <w:tcPr>
            <w:tcW w:w="3175" w:type="pct"/>
            <w:vAlign w:val="center"/>
          </w:tcPr>
          <w:p w14:paraId="480B02CE">
            <w:pPr>
              <w:widowControl/>
              <w:spacing w:line="400" w:lineRule="exact"/>
              <w:jc w:val="left"/>
              <w:rPr>
                <w:rFonts w:hint="eastAsia" w:ascii="宋体" w:hAnsi="宋体" w:eastAsia="宋体" w:cs="宋体"/>
                <w:color w:val="auto"/>
                <w:sz w:val="18"/>
                <w:szCs w:val="18"/>
                <w:highlight w:val="none"/>
              </w:rPr>
            </w:pPr>
            <w:r>
              <w:rPr>
                <w:rFonts w:hint="eastAsia" w:ascii="宋体" w:hAnsi="宋体" w:eastAsia="宋体" w:cs="宋体"/>
                <w:b/>
                <w:color w:val="auto"/>
                <w:kern w:val="0"/>
                <w:szCs w:val="21"/>
                <w:highlight w:val="none"/>
              </w:rPr>
              <w:t>交货要求</w:t>
            </w:r>
          </w:p>
        </w:tc>
        <w:tc>
          <w:tcPr>
            <w:tcW w:w="470" w:type="pct"/>
            <w:vAlign w:val="center"/>
          </w:tcPr>
          <w:p w14:paraId="4F05B968">
            <w:pPr>
              <w:keepNext/>
              <w:keepLines/>
              <w:spacing w:line="400" w:lineRule="exact"/>
              <w:jc w:val="center"/>
              <w:rPr>
                <w:rFonts w:hint="eastAsia" w:ascii="宋体" w:hAnsi="宋体" w:eastAsia="宋体" w:cs="宋体"/>
                <w:color w:val="auto"/>
                <w:kern w:val="0"/>
                <w:sz w:val="18"/>
                <w:szCs w:val="18"/>
                <w:highlight w:val="none"/>
              </w:rPr>
            </w:pPr>
          </w:p>
        </w:tc>
        <w:tc>
          <w:tcPr>
            <w:tcW w:w="433" w:type="pct"/>
            <w:vAlign w:val="center"/>
          </w:tcPr>
          <w:p w14:paraId="14ACCF95">
            <w:pPr>
              <w:keepNext/>
              <w:keepLines/>
              <w:spacing w:line="400" w:lineRule="exact"/>
              <w:jc w:val="center"/>
              <w:rPr>
                <w:rFonts w:hint="eastAsia" w:ascii="宋体" w:hAnsi="宋体" w:eastAsia="宋体" w:cs="宋体"/>
                <w:color w:val="auto"/>
                <w:kern w:val="0"/>
                <w:sz w:val="18"/>
                <w:szCs w:val="18"/>
                <w:highlight w:val="none"/>
              </w:rPr>
            </w:pPr>
          </w:p>
        </w:tc>
        <w:tc>
          <w:tcPr>
            <w:tcW w:w="341" w:type="pct"/>
            <w:vAlign w:val="center"/>
          </w:tcPr>
          <w:p w14:paraId="2A5EB459">
            <w:pPr>
              <w:keepNext/>
              <w:keepLines/>
              <w:spacing w:line="400" w:lineRule="exact"/>
              <w:jc w:val="center"/>
              <w:rPr>
                <w:rFonts w:hint="eastAsia" w:ascii="宋体" w:hAnsi="宋体" w:eastAsia="宋体" w:cs="宋体"/>
                <w:color w:val="auto"/>
                <w:kern w:val="0"/>
                <w:sz w:val="18"/>
                <w:szCs w:val="18"/>
                <w:highlight w:val="none"/>
              </w:rPr>
            </w:pPr>
          </w:p>
        </w:tc>
      </w:tr>
      <w:tr w14:paraId="310A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9" w:type="pct"/>
            <w:vAlign w:val="center"/>
          </w:tcPr>
          <w:p w14:paraId="2F90BC57">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350" w:type="pct"/>
            <w:vAlign w:val="center"/>
          </w:tcPr>
          <w:p w14:paraId="4F56040A">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四</w:t>
            </w:r>
          </w:p>
        </w:tc>
        <w:tc>
          <w:tcPr>
            <w:tcW w:w="3175" w:type="pct"/>
            <w:vAlign w:val="center"/>
          </w:tcPr>
          <w:p w14:paraId="0040BB40">
            <w:pPr>
              <w:widowControl/>
              <w:spacing w:line="400" w:lineRule="exact"/>
              <w:jc w:val="left"/>
              <w:rPr>
                <w:rFonts w:hint="eastAsia" w:ascii="宋体" w:hAnsi="宋体" w:eastAsia="宋体" w:cs="宋体"/>
                <w:color w:val="auto"/>
                <w:sz w:val="18"/>
                <w:szCs w:val="18"/>
                <w:highlight w:val="none"/>
              </w:rPr>
            </w:pPr>
            <w:r>
              <w:rPr>
                <w:rFonts w:hint="eastAsia" w:ascii="宋体" w:hAnsi="宋体" w:eastAsia="宋体" w:cs="宋体"/>
                <w:b/>
                <w:color w:val="auto"/>
                <w:kern w:val="0"/>
                <w:szCs w:val="21"/>
                <w:highlight w:val="none"/>
              </w:rPr>
              <w:t>验收要求</w:t>
            </w:r>
          </w:p>
        </w:tc>
        <w:tc>
          <w:tcPr>
            <w:tcW w:w="470" w:type="pct"/>
            <w:vAlign w:val="center"/>
          </w:tcPr>
          <w:p w14:paraId="36EEF68B">
            <w:pPr>
              <w:keepNext/>
              <w:keepLines/>
              <w:spacing w:line="400" w:lineRule="exact"/>
              <w:jc w:val="center"/>
              <w:rPr>
                <w:rFonts w:hint="eastAsia" w:ascii="宋体" w:hAnsi="宋体" w:eastAsia="宋体" w:cs="宋体"/>
                <w:color w:val="auto"/>
                <w:kern w:val="0"/>
                <w:sz w:val="18"/>
                <w:szCs w:val="18"/>
                <w:highlight w:val="none"/>
              </w:rPr>
            </w:pPr>
          </w:p>
        </w:tc>
        <w:tc>
          <w:tcPr>
            <w:tcW w:w="433" w:type="pct"/>
            <w:vAlign w:val="center"/>
          </w:tcPr>
          <w:p w14:paraId="1D60187A">
            <w:pPr>
              <w:keepNext/>
              <w:keepLines/>
              <w:spacing w:line="400" w:lineRule="exact"/>
              <w:jc w:val="center"/>
              <w:rPr>
                <w:rFonts w:hint="eastAsia" w:ascii="宋体" w:hAnsi="宋体" w:eastAsia="宋体" w:cs="宋体"/>
                <w:color w:val="auto"/>
                <w:kern w:val="0"/>
                <w:sz w:val="18"/>
                <w:szCs w:val="18"/>
                <w:highlight w:val="none"/>
              </w:rPr>
            </w:pPr>
          </w:p>
        </w:tc>
        <w:tc>
          <w:tcPr>
            <w:tcW w:w="341" w:type="pct"/>
            <w:vAlign w:val="center"/>
          </w:tcPr>
          <w:p w14:paraId="37E5F211">
            <w:pPr>
              <w:keepNext/>
              <w:keepLines/>
              <w:spacing w:line="400" w:lineRule="exact"/>
              <w:jc w:val="center"/>
              <w:rPr>
                <w:rFonts w:hint="eastAsia" w:ascii="宋体" w:hAnsi="宋体" w:eastAsia="宋体" w:cs="宋体"/>
                <w:color w:val="auto"/>
                <w:kern w:val="0"/>
                <w:sz w:val="18"/>
                <w:szCs w:val="18"/>
                <w:highlight w:val="none"/>
              </w:rPr>
            </w:pPr>
          </w:p>
        </w:tc>
      </w:tr>
      <w:tr w14:paraId="4DB8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9" w:type="pct"/>
            <w:vAlign w:val="center"/>
          </w:tcPr>
          <w:p w14:paraId="16A054A8">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350" w:type="pct"/>
            <w:vAlign w:val="center"/>
          </w:tcPr>
          <w:p w14:paraId="384453D6">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五</w:t>
            </w:r>
          </w:p>
        </w:tc>
        <w:tc>
          <w:tcPr>
            <w:tcW w:w="3175" w:type="pct"/>
            <w:vAlign w:val="center"/>
          </w:tcPr>
          <w:p w14:paraId="13661F87">
            <w:pPr>
              <w:widowControl/>
              <w:spacing w:line="400" w:lineRule="exact"/>
              <w:jc w:val="left"/>
              <w:rPr>
                <w:rFonts w:hint="eastAsia" w:ascii="宋体" w:hAnsi="宋体" w:eastAsia="宋体" w:cs="宋体"/>
                <w:color w:val="auto"/>
                <w:sz w:val="18"/>
                <w:szCs w:val="18"/>
                <w:highlight w:val="none"/>
              </w:rPr>
            </w:pPr>
            <w:r>
              <w:rPr>
                <w:rFonts w:hint="eastAsia" w:ascii="宋体" w:hAnsi="宋体" w:eastAsia="宋体" w:cs="宋体"/>
                <w:b/>
                <w:color w:val="auto"/>
                <w:kern w:val="0"/>
                <w:szCs w:val="21"/>
                <w:highlight w:val="none"/>
              </w:rPr>
              <w:t>资料要求</w:t>
            </w:r>
          </w:p>
        </w:tc>
        <w:tc>
          <w:tcPr>
            <w:tcW w:w="470" w:type="pct"/>
            <w:vAlign w:val="center"/>
          </w:tcPr>
          <w:p w14:paraId="35689F00">
            <w:pPr>
              <w:keepNext/>
              <w:keepLines/>
              <w:spacing w:line="400" w:lineRule="exact"/>
              <w:jc w:val="center"/>
              <w:rPr>
                <w:rFonts w:hint="eastAsia" w:ascii="宋体" w:hAnsi="宋体" w:eastAsia="宋体" w:cs="宋体"/>
                <w:color w:val="auto"/>
                <w:kern w:val="0"/>
                <w:sz w:val="18"/>
                <w:szCs w:val="18"/>
                <w:highlight w:val="none"/>
              </w:rPr>
            </w:pPr>
          </w:p>
        </w:tc>
        <w:tc>
          <w:tcPr>
            <w:tcW w:w="433" w:type="pct"/>
            <w:vAlign w:val="center"/>
          </w:tcPr>
          <w:p w14:paraId="7E034CC4">
            <w:pPr>
              <w:keepNext/>
              <w:keepLines/>
              <w:spacing w:line="400" w:lineRule="exact"/>
              <w:jc w:val="center"/>
              <w:rPr>
                <w:rFonts w:hint="eastAsia" w:ascii="宋体" w:hAnsi="宋体" w:eastAsia="宋体" w:cs="宋体"/>
                <w:color w:val="auto"/>
                <w:kern w:val="0"/>
                <w:sz w:val="18"/>
                <w:szCs w:val="18"/>
                <w:highlight w:val="none"/>
              </w:rPr>
            </w:pPr>
          </w:p>
        </w:tc>
        <w:tc>
          <w:tcPr>
            <w:tcW w:w="341" w:type="pct"/>
            <w:vAlign w:val="center"/>
          </w:tcPr>
          <w:p w14:paraId="13E9174D">
            <w:pPr>
              <w:keepNext/>
              <w:keepLines/>
              <w:spacing w:line="400" w:lineRule="exact"/>
              <w:jc w:val="center"/>
              <w:rPr>
                <w:rFonts w:hint="eastAsia" w:ascii="宋体" w:hAnsi="宋体" w:eastAsia="宋体" w:cs="宋体"/>
                <w:color w:val="auto"/>
                <w:kern w:val="0"/>
                <w:sz w:val="18"/>
                <w:szCs w:val="18"/>
                <w:highlight w:val="none"/>
              </w:rPr>
            </w:pPr>
          </w:p>
        </w:tc>
      </w:tr>
      <w:tr w14:paraId="240B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9" w:type="pct"/>
            <w:vAlign w:val="center"/>
          </w:tcPr>
          <w:p w14:paraId="429A95C3">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350" w:type="pct"/>
            <w:vAlign w:val="center"/>
          </w:tcPr>
          <w:p w14:paraId="4C4E5724">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六</w:t>
            </w:r>
          </w:p>
        </w:tc>
        <w:tc>
          <w:tcPr>
            <w:tcW w:w="3175" w:type="pct"/>
            <w:vAlign w:val="center"/>
          </w:tcPr>
          <w:p w14:paraId="34454E8F">
            <w:pPr>
              <w:widowControl/>
              <w:spacing w:line="400" w:lineRule="exact"/>
              <w:jc w:val="left"/>
              <w:rPr>
                <w:rFonts w:hint="default" w:ascii="宋体" w:hAnsi="宋体" w:eastAsia="宋体" w:cs="宋体"/>
                <w:color w:val="auto"/>
                <w:sz w:val="18"/>
                <w:szCs w:val="18"/>
                <w:highlight w:val="none"/>
                <w:lang w:val="en-US" w:eastAsia="zh-CN"/>
              </w:rPr>
            </w:pPr>
            <w:r>
              <w:rPr>
                <w:rFonts w:hint="eastAsia" w:ascii="宋体" w:hAnsi="宋体" w:eastAsia="宋体" w:cs="宋体"/>
                <w:b/>
                <w:bCs/>
                <w:color w:val="auto"/>
                <w:szCs w:val="21"/>
                <w:highlight w:val="none"/>
                <w:lang w:bidi="ar"/>
              </w:rPr>
              <w:t>售后</w:t>
            </w:r>
            <w:r>
              <w:rPr>
                <w:rFonts w:hint="eastAsia" w:ascii="宋体" w:hAnsi="宋体" w:eastAsia="宋体" w:cs="宋体"/>
                <w:b/>
                <w:bCs/>
                <w:color w:val="auto"/>
                <w:szCs w:val="21"/>
                <w:highlight w:val="none"/>
                <w:lang w:val="en-US" w:eastAsia="zh-CN" w:bidi="ar"/>
              </w:rPr>
              <w:t>服务及要求</w:t>
            </w:r>
          </w:p>
        </w:tc>
        <w:tc>
          <w:tcPr>
            <w:tcW w:w="470" w:type="pct"/>
            <w:vAlign w:val="center"/>
          </w:tcPr>
          <w:p w14:paraId="0AF706D3">
            <w:pPr>
              <w:keepNext/>
              <w:keepLines/>
              <w:spacing w:line="400" w:lineRule="exact"/>
              <w:jc w:val="center"/>
              <w:rPr>
                <w:rFonts w:hint="eastAsia" w:ascii="宋体" w:hAnsi="宋体" w:eastAsia="宋体" w:cs="宋体"/>
                <w:color w:val="auto"/>
                <w:kern w:val="0"/>
                <w:sz w:val="18"/>
                <w:szCs w:val="18"/>
                <w:highlight w:val="none"/>
              </w:rPr>
            </w:pPr>
          </w:p>
        </w:tc>
        <w:tc>
          <w:tcPr>
            <w:tcW w:w="433" w:type="pct"/>
            <w:vAlign w:val="center"/>
          </w:tcPr>
          <w:p w14:paraId="39667E06">
            <w:pPr>
              <w:keepNext/>
              <w:keepLines/>
              <w:spacing w:line="400" w:lineRule="exact"/>
              <w:jc w:val="center"/>
              <w:rPr>
                <w:rFonts w:hint="eastAsia" w:ascii="宋体" w:hAnsi="宋体" w:eastAsia="宋体" w:cs="宋体"/>
                <w:color w:val="auto"/>
                <w:kern w:val="0"/>
                <w:sz w:val="18"/>
                <w:szCs w:val="18"/>
                <w:highlight w:val="none"/>
              </w:rPr>
            </w:pPr>
          </w:p>
        </w:tc>
        <w:tc>
          <w:tcPr>
            <w:tcW w:w="341" w:type="pct"/>
            <w:vAlign w:val="center"/>
          </w:tcPr>
          <w:p w14:paraId="741ED07F">
            <w:pPr>
              <w:keepNext/>
              <w:keepLines/>
              <w:spacing w:line="400" w:lineRule="exact"/>
              <w:jc w:val="center"/>
              <w:rPr>
                <w:rFonts w:hint="eastAsia" w:ascii="宋体" w:hAnsi="宋体" w:eastAsia="宋体" w:cs="宋体"/>
                <w:color w:val="auto"/>
                <w:kern w:val="0"/>
                <w:sz w:val="18"/>
                <w:szCs w:val="18"/>
                <w:highlight w:val="none"/>
              </w:rPr>
            </w:pPr>
          </w:p>
        </w:tc>
      </w:tr>
      <w:tr w14:paraId="2F13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9" w:type="pct"/>
            <w:vAlign w:val="center"/>
          </w:tcPr>
          <w:p w14:paraId="2FA75A06">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p>
        </w:tc>
        <w:tc>
          <w:tcPr>
            <w:tcW w:w="350" w:type="pct"/>
            <w:vAlign w:val="center"/>
          </w:tcPr>
          <w:p w14:paraId="272C2B4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w:t>
            </w:r>
          </w:p>
        </w:tc>
        <w:tc>
          <w:tcPr>
            <w:tcW w:w="3175" w:type="pct"/>
            <w:vAlign w:val="center"/>
          </w:tcPr>
          <w:p w14:paraId="12E94557">
            <w:pPr>
              <w:widowControl/>
              <w:spacing w:line="400" w:lineRule="exact"/>
              <w:jc w:val="left"/>
              <w:rPr>
                <w:rFonts w:hint="eastAsia" w:ascii="宋体" w:hAnsi="宋体" w:eastAsia="宋体" w:cs="宋体"/>
                <w:color w:val="auto"/>
                <w:sz w:val="18"/>
                <w:szCs w:val="18"/>
                <w:highlight w:val="none"/>
              </w:rPr>
            </w:pPr>
            <w:r>
              <w:rPr>
                <w:rFonts w:hint="eastAsia" w:ascii="宋体" w:hAnsi="宋体" w:eastAsia="宋体" w:cs="宋体"/>
                <w:b/>
                <w:bCs/>
                <w:color w:val="auto"/>
                <w:szCs w:val="21"/>
                <w:highlight w:val="none"/>
                <w:lang w:bidi="ar"/>
              </w:rPr>
              <w:t>货物的结算</w:t>
            </w:r>
          </w:p>
        </w:tc>
        <w:tc>
          <w:tcPr>
            <w:tcW w:w="470" w:type="pct"/>
            <w:vAlign w:val="center"/>
          </w:tcPr>
          <w:p w14:paraId="78888F66">
            <w:pPr>
              <w:keepNext/>
              <w:keepLines/>
              <w:spacing w:line="400" w:lineRule="exact"/>
              <w:jc w:val="center"/>
              <w:rPr>
                <w:rFonts w:hint="eastAsia" w:ascii="宋体" w:hAnsi="宋体" w:eastAsia="宋体" w:cs="宋体"/>
                <w:color w:val="auto"/>
                <w:kern w:val="0"/>
                <w:sz w:val="18"/>
                <w:szCs w:val="18"/>
                <w:highlight w:val="none"/>
              </w:rPr>
            </w:pPr>
          </w:p>
        </w:tc>
        <w:tc>
          <w:tcPr>
            <w:tcW w:w="433" w:type="pct"/>
            <w:vAlign w:val="center"/>
          </w:tcPr>
          <w:p w14:paraId="7CA38C37">
            <w:pPr>
              <w:keepNext/>
              <w:keepLines/>
              <w:spacing w:line="400" w:lineRule="exact"/>
              <w:jc w:val="center"/>
              <w:rPr>
                <w:rFonts w:hint="eastAsia" w:ascii="宋体" w:hAnsi="宋体" w:eastAsia="宋体" w:cs="宋体"/>
                <w:color w:val="auto"/>
                <w:kern w:val="0"/>
                <w:sz w:val="18"/>
                <w:szCs w:val="18"/>
                <w:highlight w:val="none"/>
              </w:rPr>
            </w:pPr>
          </w:p>
        </w:tc>
        <w:tc>
          <w:tcPr>
            <w:tcW w:w="341" w:type="pct"/>
            <w:vAlign w:val="center"/>
          </w:tcPr>
          <w:p w14:paraId="558B89E3">
            <w:pPr>
              <w:keepNext/>
              <w:keepLines/>
              <w:spacing w:line="400" w:lineRule="exact"/>
              <w:jc w:val="center"/>
              <w:rPr>
                <w:rFonts w:hint="eastAsia" w:ascii="宋体" w:hAnsi="宋体" w:eastAsia="宋体" w:cs="宋体"/>
                <w:color w:val="auto"/>
                <w:kern w:val="0"/>
                <w:sz w:val="18"/>
                <w:szCs w:val="18"/>
                <w:highlight w:val="none"/>
              </w:rPr>
            </w:pPr>
          </w:p>
        </w:tc>
      </w:tr>
      <w:tr w14:paraId="56FE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9" w:type="pct"/>
            <w:vAlign w:val="center"/>
          </w:tcPr>
          <w:p w14:paraId="29972E7D">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w:t>
            </w:r>
          </w:p>
        </w:tc>
        <w:tc>
          <w:tcPr>
            <w:tcW w:w="350" w:type="pct"/>
            <w:vAlign w:val="center"/>
          </w:tcPr>
          <w:p w14:paraId="6EA3730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w:t>
            </w:r>
          </w:p>
        </w:tc>
        <w:tc>
          <w:tcPr>
            <w:tcW w:w="3175" w:type="pct"/>
            <w:vAlign w:val="center"/>
          </w:tcPr>
          <w:p w14:paraId="6AD352F3">
            <w:pPr>
              <w:widowControl/>
              <w:spacing w:line="400" w:lineRule="exact"/>
              <w:jc w:val="left"/>
              <w:rPr>
                <w:rFonts w:hint="eastAsia" w:ascii="宋体" w:hAnsi="宋体" w:eastAsia="宋体" w:cs="宋体"/>
                <w:color w:val="auto"/>
                <w:sz w:val="18"/>
                <w:szCs w:val="18"/>
                <w:highlight w:val="none"/>
              </w:rPr>
            </w:pPr>
            <w:r>
              <w:rPr>
                <w:rFonts w:hint="eastAsia" w:ascii="宋体" w:hAnsi="宋体" w:eastAsia="宋体" w:cs="宋体"/>
                <w:b/>
                <w:bCs/>
                <w:color w:val="auto"/>
                <w:szCs w:val="21"/>
                <w:highlight w:val="none"/>
                <w:lang w:bidi="ar"/>
              </w:rPr>
              <w:t>其它要求</w:t>
            </w:r>
          </w:p>
        </w:tc>
        <w:tc>
          <w:tcPr>
            <w:tcW w:w="470" w:type="pct"/>
            <w:vAlign w:val="center"/>
          </w:tcPr>
          <w:p w14:paraId="2851D1A9">
            <w:pPr>
              <w:keepNext/>
              <w:keepLines/>
              <w:spacing w:line="400" w:lineRule="exact"/>
              <w:jc w:val="center"/>
              <w:rPr>
                <w:rFonts w:hint="eastAsia" w:ascii="宋体" w:hAnsi="宋体" w:eastAsia="宋体" w:cs="宋体"/>
                <w:color w:val="auto"/>
                <w:kern w:val="0"/>
                <w:sz w:val="18"/>
                <w:szCs w:val="18"/>
                <w:highlight w:val="none"/>
              </w:rPr>
            </w:pPr>
          </w:p>
        </w:tc>
        <w:tc>
          <w:tcPr>
            <w:tcW w:w="433" w:type="pct"/>
            <w:vAlign w:val="center"/>
          </w:tcPr>
          <w:p w14:paraId="22702F6B">
            <w:pPr>
              <w:keepNext/>
              <w:keepLines/>
              <w:spacing w:line="400" w:lineRule="exact"/>
              <w:jc w:val="center"/>
              <w:rPr>
                <w:rFonts w:hint="eastAsia" w:ascii="宋体" w:hAnsi="宋体" w:eastAsia="宋体" w:cs="宋体"/>
                <w:color w:val="auto"/>
                <w:kern w:val="0"/>
                <w:sz w:val="18"/>
                <w:szCs w:val="18"/>
                <w:highlight w:val="none"/>
              </w:rPr>
            </w:pPr>
          </w:p>
        </w:tc>
        <w:tc>
          <w:tcPr>
            <w:tcW w:w="341" w:type="pct"/>
            <w:vAlign w:val="center"/>
          </w:tcPr>
          <w:p w14:paraId="0E98F8FC">
            <w:pPr>
              <w:keepNext/>
              <w:keepLines/>
              <w:spacing w:line="400" w:lineRule="exact"/>
              <w:jc w:val="center"/>
              <w:rPr>
                <w:rFonts w:hint="eastAsia" w:ascii="宋体" w:hAnsi="宋体" w:eastAsia="宋体" w:cs="宋体"/>
                <w:color w:val="auto"/>
                <w:kern w:val="0"/>
                <w:sz w:val="18"/>
                <w:szCs w:val="18"/>
                <w:highlight w:val="none"/>
              </w:rPr>
            </w:pPr>
          </w:p>
        </w:tc>
      </w:tr>
      <w:tr w14:paraId="4D32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9" w:type="pct"/>
            <w:vAlign w:val="center"/>
          </w:tcPr>
          <w:p w14:paraId="038DD291">
            <w:pPr>
              <w:jc w:val="center"/>
              <w:rPr>
                <w:rFonts w:hint="eastAsia" w:ascii="宋体" w:hAnsi="宋体" w:eastAsia="宋体" w:cs="宋体"/>
                <w:color w:val="auto"/>
                <w:kern w:val="0"/>
                <w:sz w:val="18"/>
                <w:szCs w:val="18"/>
                <w:highlight w:val="none"/>
              </w:rPr>
            </w:pPr>
            <w:r>
              <w:rPr>
                <w:rFonts w:hint="eastAsia" w:ascii="宋体" w:hAnsi="宋体" w:eastAsia="宋体" w:cs="宋体"/>
                <w:color w:val="auto"/>
                <w:szCs w:val="21"/>
                <w:highlight w:val="none"/>
              </w:rPr>
              <w:t>9</w:t>
            </w:r>
          </w:p>
        </w:tc>
        <w:tc>
          <w:tcPr>
            <w:tcW w:w="350" w:type="pct"/>
            <w:vAlign w:val="center"/>
          </w:tcPr>
          <w:p w14:paraId="7450C8E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p>
        </w:tc>
        <w:tc>
          <w:tcPr>
            <w:tcW w:w="3175" w:type="pct"/>
            <w:vAlign w:val="center"/>
          </w:tcPr>
          <w:p w14:paraId="15B5C8FE">
            <w:pPr>
              <w:rPr>
                <w:rFonts w:hint="eastAsia" w:ascii="宋体" w:hAnsi="宋体" w:eastAsia="宋体" w:cs="宋体"/>
                <w:b/>
                <w:bCs/>
                <w:color w:val="auto"/>
                <w:sz w:val="18"/>
                <w:szCs w:val="18"/>
                <w:highlight w:val="none"/>
              </w:rPr>
            </w:pPr>
            <w:r>
              <w:rPr>
                <w:rFonts w:hint="eastAsia" w:ascii="宋体" w:hAnsi="宋体" w:eastAsia="宋体" w:cs="宋体"/>
                <w:b/>
                <w:bCs/>
                <w:color w:val="auto"/>
                <w:szCs w:val="21"/>
                <w:highlight w:val="none"/>
              </w:rPr>
              <w:t>招标人权属子公司供水公司运营项目相关信息</w:t>
            </w:r>
          </w:p>
        </w:tc>
        <w:tc>
          <w:tcPr>
            <w:tcW w:w="470" w:type="pct"/>
            <w:vAlign w:val="center"/>
          </w:tcPr>
          <w:p w14:paraId="5F362A51">
            <w:pPr>
              <w:keepNext/>
              <w:keepLines/>
              <w:spacing w:line="400" w:lineRule="exact"/>
              <w:jc w:val="center"/>
              <w:rPr>
                <w:rFonts w:hint="eastAsia" w:ascii="宋体" w:hAnsi="宋体" w:eastAsia="宋体" w:cs="宋体"/>
                <w:color w:val="auto"/>
                <w:kern w:val="0"/>
                <w:sz w:val="18"/>
                <w:szCs w:val="18"/>
                <w:highlight w:val="none"/>
              </w:rPr>
            </w:pPr>
          </w:p>
        </w:tc>
        <w:tc>
          <w:tcPr>
            <w:tcW w:w="433" w:type="pct"/>
            <w:vAlign w:val="center"/>
          </w:tcPr>
          <w:p w14:paraId="64AF64D9">
            <w:pPr>
              <w:keepNext/>
              <w:keepLines/>
              <w:spacing w:line="400" w:lineRule="exact"/>
              <w:jc w:val="center"/>
              <w:rPr>
                <w:rFonts w:hint="eastAsia" w:ascii="宋体" w:hAnsi="宋体" w:eastAsia="宋体" w:cs="宋体"/>
                <w:color w:val="auto"/>
                <w:kern w:val="0"/>
                <w:sz w:val="18"/>
                <w:szCs w:val="18"/>
                <w:highlight w:val="none"/>
              </w:rPr>
            </w:pPr>
          </w:p>
        </w:tc>
        <w:tc>
          <w:tcPr>
            <w:tcW w:w="341" w:type="pct"/>
            <w:vAlign w:val="center"/>
          </w:tcPr>
          <w:p w14:paraId="506859F5">
            <w:pPr>
              <w:keepNext/>
              <w:keepLines/>
              <w:spacing w:line="400" w:lineRule="exact"/>
              <w:jc w:val="center"/>
              <w:rPr>
                <w:rFonts w:hint="eastAsia" w:ascii="宋体" w:hAnsi="宋体" w:eastAsia="宋体" w:cs="宋体"/>
                <w:color w:val="auto"/>
                <w:kern w:val="0"/>
                <w:sz w:val="18"/>
                <w:szCs w:val="18"/>
                <w:highlight w:val="none"/>
              </w:rPr>
            </w:pPr>
          </w:p>
        </w:tc>
      </w:tr>
      <w:tr w14:paraId="43AA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9" w:type="pct"/>
            <w:vAlign w:val="center"/>
          </w:tcPr>
          <w:p w14:paraId="743412A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350" w:type="pct"/>
            <w:vAlign w:val="center"/>
          </w:tcPr>
          <w:p w14:paraId="056779F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p>
        </w:tc>
        <w:tc>
          <w:tcPr>
            <w:tcW w:w="3175" w:type="pct"/>
            <w:vAlign w:val="center"/>
          </w:tcPr>
          <w:p w14:paraId="4DE4CE48">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招标人权属子公司净水公司运营项目相关信息</w:t>
            </w:r>
          </w:p>
        </w:tc>
        <w:tc>
          <w:tcPr>
            <w:tcW w:w="470" w:type="pct"/>
            <w:vAlign w:val="center"/>
          </w:tcPr>
          <w:p w14:paraId="3CA05230">
            <w:pPr>
              <w:keepNext/>
              <w:keepLines/>
              <w:spacing w:line="400" w:lineRule="exact"/>
              <w:jc w:val="center"/>
              <w:rPr>
                <w:rFonts w:hint="eastAsia" w:ascii="宋体" w:hAnsi="宋体" w:eastAsia="宋体" w:cs="宋体"/>
                <w:color w:val="auto"/>
                <w:kern w:val="0"/>
                <w:sz w:val="18"/>
                <w:szCs w:val="18"/>
                <w:highlight w:val="none"/>
              </w:rPr>
            </w:pPr>
          </w:p>
        </w:tc>
        <w:tc>
          <w:tcPr>
            <w:tcW w:w="433" w:type="pct"/>
            <w:vAlign w:val="center"/>
          </w:tcPr>
          <w:p w14:paraId="30576951">
            <w:pPr>
              <w:keepNext/>
              <w:keepLines/>
              <w:spacing w:line="400" w:lineRule="exact"/>
              <w:jc w:val="center"/>
              <w:rPr>
                <w:rFonts w:hint="eastAsia" w:ascii="宋体" w:hAnsi="宋体" w:eastAsia="宋体" w:cs="宋体"/>
                <w:color w:val="auto"/>
                <w:kern w:val="0"/>
                <w:sz w:val="18"/>
                <w:szCs w:val="18"/>
                <w:highlight w:val="none"/>
              </w:rPr>
            </w:pPr>
          </w:p>
        </w:tc>
        <w:tc>
          <w:tcPr>
            <w:tcW w:w="341" w:type="pct"/>
            <w:vAlign w:val="center"/>
          </w:tcPr>
          <w:p w14:paraId="59897842">
            <w:pPr>
              <w:keepNext/>
              <w:keepLines/>
              <w:spacing w:line="400" w:lineRule="exact"/>
              <w:jc w:val="center"/>
              <w:rPr>
                <w:rFonts w:hint="eastAsia" w:ascii="宋体" w:hAnsi="宋体" w:eastAsia="宋体" w:cs="宋体"/>
                <w:color w:val="auto"/>
                <w:kern w:val="0"/>
                <w:sz w:val="18"/>
                <w:szCs w:val="18"/>
                <w:highlight w:val="none"/>
              </w:rPr>
            </w:pPr>
          </w:p>
        </w:tc>
      </w:tr>
      <w:tr w14:paraId="2BA9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719EB674">
            <w:pPr>
              <w:keepNext/>
              <w:keepLines/>
              <w:spacing w:line="400" w:lineRule="exact"/>
              <w:jc w:val="left"/>
              <w:rPr>
                <w:rFonts w:hint="eastAsia" w:ascii="宋体" w:hAnsi="宋体" w:eastAsia="宋体" w:cs="宋体"/>
                <w:color w:val="auto"/>
                <w:kern w:val="0"/>
                <w:sz w:val="18"/>
                <w:szCs w:val="18"/>
                <w:highlight w:val="none"/>
              </w:rPr>
            </w:pPr>
            <w:r>
              <w:rPr>
                <w:rFonts w:hint="eastAsia" w:ascii="宋体" w:hAnsi="宋体" w:eastAsia="宋体" w:cs="宋体"/>
                <w:b/>
                <w:bCs/>
                <w:color w:val="auto"/>
                <w:szCs w:val="21"/>
                <w:highlight w:val="none"/>
                <w:lang w:bidi="ar"/>
              </w:rPr>
              <w:t>用户需求书“★”条款汇总</w:t>
            </w:r>
          </w:p>
        </w:tc>
      </w:tr>
      <w:tr w14:paraId="0ACC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9" w:type="pct"/>
            <w:vAlign w:val="center"/>
          </w:tcPr>
          <w:p w14:paraId="0AF9A6D1">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350" w:type="pct"/>
            <w:vAlign w:val="center"/>
          </w:tcPr>
          <w:p w14:paraId="0E04E3F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b/>
                <w:color w:val="auto"/>
                <w:szCs w:val="21"/>
                <w:highlight w:val="none"/>
              </w:rPr>
              <w:t>标的物</w:t>
            </w:r>
          </w:p>
        </w:tc>
        <w:tc>
          <w:tcPr>
            <w:tcW w:w="6585" w:type="dxa"/>
            <w:vAlign w:val="center"/>
          </w:tcPr>
          <w:p w14:paraId="566B6030">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.2液态次氯酸钠必须符合《次氯酸钠》（GB 19106—2013）A型Ⅱ类产品质量及检测标准，包括下表技术指标：</w:t>
            </w:r>
          </w:p>
          <w:p w14:paraId="3DCC86AE">
            <w:pPr>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表1  液态次氯酸钠主要技术指标</w:t>
            </w:r>
          </w:p>
          <w:tbl>
            <w:tblPr>
              <w:tblStyle w:val="38"/>
              <w:tblW w:w="6197"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5"/>
              <w:gridCol w:w="2502"/>
            </w:tblGrid>
            <w:tr w14:paraId="333F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5" w:type="dxa"/>
                  <w:vAlign w:val="center"/>
                </w:tcPr>
                <w:p w14:paraId="18C4A63A">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指标项目</w:t>
                  </w:r>
                </w:p>
              </w:tc>
              <w:tc>
                <w:tcPr>
                  <w:tcW w:w="2502" w:type="dxa"/>
                  <w:vAlign w:val="center"/>
                </w:tcPr>
                <w:p w14:paraId="01F2E94D">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指标</w:t>
                  </w:r>
                </w:p>
              </w:tc>
            </w:tr>
            <w:tr w14:paraId="391C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5" w:type="dxa"/>
                  <w:vAlign w:val="center"/>
                </w:tcPr>
                <w:p w14:paraId="2174987C">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有效氯（以Cl计）  ω/% </w:t>
                  </w:r>
                </w:p>
              </w:tc>
              <w:tc>
                <w:tcPr>
                  <w:tcW w:w="2502" w:type="dxa"/>
                  <w:vAlign w:val="center"/>
                </w:tcPr>
                <w:p w14:paraId="11E3D9FC">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≥10.0</w:t>
                  </w:r>
                </w:p>
              </w:tc>
            </w:tr>
            <w:tr w14:paraId="72FD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5" w:type="dxa"/>
                  <w:vAlign w:val="center"/>
                </w:tcPr>
                <w:p w14:paraId="34A9BD82">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游离碱（以NaOH计）ω/% </w:t>
                  </w:r>
                </w:p>
              </w:tc>
              <w:tc>
                <w:tcPr>
                  <w:tcW w:w="2502" w:type="dxa"/>
                  <w:vAlign w:val="center"/>
                </w:tcPr>
                <w:p w14:paraId="71A51197">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0.1~1.0</w:t>
                  </w:r>
                </w:p>
              </w:tc>
            </w:tr>
            <w:tr w14:paraId="00B6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695" w:type="dxa"/>
                  <w:vAlign w:val="center"/>
                </w:tcPr>
                <w:p w14:paraId="42102C93">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铁（Fe）           ω/% </w:t>
                  </w:r>
                </w:p>
              </w:tc>
              <w:tc>
                <w:tcPr>
                  <w:tcW w:w="2502" w:type="dxa"/>
                  <w:vAlign w:val="center"/>
                </w:tcPr>
                <w:p w14:paraId="2300A53A">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≤0.005</w:t>
                  </w:r>
                </w:p>
              </w:tc>
            </w:tr>
            <w:tr w14:paraId="5FBA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5" w:type="dxa"/>
                  <w:vAlign w:val="center"/>
                </w:tcPr>
                <w:p w14:paraId="7E420474">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重金属（以Pb计）  ω/% </w:t>
                  </w:r>
                </w:p>
              </w:tc>
              <w:tc>
                <w:tcPr>
                  <w:tcW w:w="2502" w:type="dxa"/>
                  <w:vAlign w:val="center"/>
                </w:tcPr>
                <w:p w14:paraId="725E5AD4">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≤0.001</w:t>
                  </w:r>
                </w:p>
              </w:tc>
            </w:tr>
            <w:tr w14:paraId="0F24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5" w:type="dxa"/>
                  <w:vAlign w:val="center"/>
                </w:tcPr>
                <w:p w14:paraId="151D988D">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砷（As）           ω/% </w:t>
                  </w:r>
                </w:p>
              </w:tc>
              <w:tc>
                <w:tcPr>
                  <w:tcW w:w="2502" w:type="dxa"/>
                  <w:vAlign w:val="center"/>
                </w:tcPr>
                <w:p w14:paraId="7E2A8B28">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≤0.0001</w:t>
                  </w:r>
                </w:p>
              </w:tc>
            </w:tr>
          </w:tbl>
          <w:p w14:paraId="3D3B30AF">
            <w:pPr>
              <w:widowControl/>
              <w:spacing w:line="360" w:lineRule="auto"/>
              <w:ind w:firstLine="420" w:firstLineChars="200"/>
              <w:jc w:val="left"/>
              <w:rPr>
                <w:rFonts w:hint="eastAsia" w:ascii="宋体" w:hAnsi="宋体" w:eastAsia="宋体" w:cs="宋体"/>
                <w:color w:val="auto"/>
                <w:szCs w:val="21"/>
                <w:highlight w:val="none"/>
              </w:rPr>
            </w:pPr>
          </w:p>
        </w:tc>
        <w:tc>
          <w:tcPr>
            <w:tcW w:w="470" w:type="pct"/>
            <w:vAlign w:val="center"/>
          </w:tcPr>
          <w:p w14:paraId="1A60D9B0">
            <w:pPr>
              <w:keepNext/>
              <w:keepLines/>
              <w:spacing w:line="400" w:lineRule="exact"/>
              <w:jc w:val="center"/>
              <w:rPr>
                <w:rFonts w:hint="eastAsia" w:ascii="宋体" w:hAnsi="宋体" w:eastAsia="宋体" w:cs="宋体"/>
                <w:color w:val="auto"/>
                <w:kern w:val="0"/>
                <w:sz w:val="18"/>
                <w:szCs w:val="18"/>
                <w:highlight w:val="none"/>
              </w:rPr>
            </w:pPr>
          </w:p>
        </w:tc>
        <w:tc>
          <w:tcPr>
            <w:tcW w:w="433" w:type="pct"/>
            <w:vAlign w:val="center"/>
          </w:tcPr>
          <w:p w14:paraId="6D59945E">
            <w:pPr>
              <w:keepNext/>
              <w:keepLines/>
              <w:spacing w:line="400" w:lineRule="exact"/>
              <w:jc w:val="center"/>
              <w:rPr>
                <w:rFonts w:hint="eastAsia" w:ascii="宋体" w:hAnsi="宋体" w:eastAsia="宋体" w:cs="宋体"/>
                <w:color w:val="auto"/>
                <w:kern w:val="0"/>
                <w:sz w:val="18"/>
                <w:szCs w:val="18"/>
                <w:highlight w:val="none"/>
              </w:rPr>
            </w:pPr>
          </w:p>
        </w:tc>
        <w:tc>
          <w:tcPr>
            <w:tcW w:w="341" w:type="pct"/>
            <w:vAlign w:val="center"/>
          </w:tcPr>
          <w:p w14:paraId="4B255296">
            <w:pPr>
              <w:keepNext/>
              <w:keepLines/>
              <w:spacing w:line="400" w:lineRule="exact"/>
              <w:jc w:val="center"/>
              <w:rPr>
                <w:rFonts w:hint="eastAsia" w:ascii="宋体" w:hAnsi="宋体" w:eastAsia="宋体" w:cs="宋体"/>
                <w:color w:val="auto"/>
                <w:kern w:val="0"/>
                <w:sz w:val="18"/>
                <w:szCs w:val="18"/>
                <w:highlight w:val="none"/>
              </w:rPr>
            </w:pPr>
          </w:p>
        </w:tc>
      </w:tr>
      <w:tr w14:paraId="236B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9" w:type="pct"/>
            <w:vAlign w:val="center"/>
          </w:tcPr>
          <w:p w14:paraId="0E461C7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350" w:type="pct"/>
            <w:vAlign w:val="center"/>
          </w:tcPr>
          <w:p w14:paraId="6F333CC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b/>
                <w:color w:val="auto"/>
                <w:szCs w:val="21"/>
                <w:highlight w:val="none"/>
              </w:rPr>
              <w:t>标的物</w:t>
            </w:r>
          </w:p>
        </w:tc>
        <w:tc>
          <w:tcPr>
            <w:tcW w:w="3175" w:type="pct"/>
            <w:vAlign w:val="center"/>
          </w:tcPr>
          <w:p w14:paraId="2CE3D06C">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w:t>
            </w:r>
            <w:r>
              <w:rPr>
                <w:rFonts w:hint="default" w:ascii="宋体" w:hAnsi="宋体" w:eastAsia="宋体" w:cs="宋体"/>
                <w:b/>
                <w:bCs/>
                <w:color w:val="auto"/>
                <w:szCs w:val="21"/>
                <w:highlight w:val="none"/>
                <w:lang w:val="en-US"/>
              </w:rPr>
              <w:t>5</w:t>
            </w:r>
            <w:r>
              <w:rPr>
                <w:rFonts w:hint="eastAsia" w:ascii="宋体" w:hAnsi="宋体" w:eastAsia="宋体" w:cs="宋体"/>
                <w:b/>
                <w:bCs/>
                <w:color w:val="auto"/>
                <w:szCs w:val="21"/>
                <w:highlight w:val="none"/>
              </w:rPr>
              <w:t>投标人投标时须提供投标人委托的反映报价产品性能参数的具有资质的第三方检测机构出具的符合表1《液态次氯酸钠液态次氯酸钠主要技术指标》要求的检验报告，检验报告上的标徽应包括但不限于CMA认证标徽，报告日期为2024年1月1日以后，检验报告中检验指标为表1《液态次氯酸钠主要技术指标》中各指标项目，检验报告使用的检测方法需符合《次氯酸钠》（GB19106—2013）</w:t>
            </w:r>
            <w:r>
              <w:rPr>
                <w:rFonts w:hint="eastAsia" w:ascii="宋体" w:hAnsi="宋体" w:eastAsia="宋体" w:cs="宋体"/>
                <w:b/>
                <w:color w:val="auto"/>
                <w:szCs w:val="21"/>
                <w:highlight w:val="none"/>
              </w:rPr>
              <w:t>。</w:t>
            </w:r>
          </w:p>
        </w:tc>
        <w:tc>
          <w:tcPr>
            <w:tcW w:w="470" w:type="pct"/>
            <w:vAlign w:val="center"/>
          </w:tcPr>
          <w:p w14:paraId="00E32119">
            <w:pPr>
              <w:keepNext/>
              <w:keepLines/>
              <w:spacing w:line="400" w:lineRule="exact"/>
              <w:jc w:val="center"/>
              <w:rPr>
                <w:rFonts w:hint="eastAsia" w:ascii="宋体" w:hAnsi="宋体" w:eastAsia="宋体" w:cs="宋体"/>
                <w:color w:val="auto"/>
                <w:kern w:val="0"/>
                <w:sz w:val="18"/>
                <w:szCs w:val="18"/>
                <w:highlight w:val="none"/>
              </w:rPr>
            </w:pPr>
          </w:p>
        </w:tc>
        <w:tc>
          <w:tcPr>
            <w:tcW w:w="433" w:type="pct"/>
            <w:vAlign w:val="center"/>
          </w:tcPr>
          <w:p w14:paraId="2B7504C5">
            <w:pPr>
              <w:keepNext/>
              <w:keepLines/>
              <w:spacing w:line="400" w:lineRule="exact"/>
              <w:jc w:val="center"/>
              <w:rPr>
                <w:rFonts w:hint="eastAsia" w:ascii="宋体" w:hAnsi="宋体" w:eastAsia="宋体" w:cs="宋体"/>
                <w:color w:val="auto"/>
                <w:kern w:val="0"/>
                <w:sz w:val="18"/>
                <w:szCs w:val="18"/>
                <w:highlight w:val="none"/>
              </w:rPr>
            </w:pPr>
          </w:p>
        </w:tc>
        <w:tc>
          <w:tcPr>
            <w:tcW w:w="341" w:type="pct"/>
            <w:vAlign w:val="center"/>
          </w:tcPr>
          <w:p w14:paraId="0CF9174F">
            <w:pPr>
              <w:keepNext/>
              <w:keepLines/>
              <w:spacing w:line="400" w:lineRule="exact"/>
              <w:jc w:val="center"/>
              <w:rPr>
                <w:rFonts w:hint="eastAsia" w:ascii="宋体" w:hAnsi="宋体" w:eastAsia="宋体" w:cs="宋体"/>
                <w:color w:val="auto"/>
                <w:kern w:val="0"/>
                <w:sz w:val="18"/>
                <w:szCs w:val="18"/>
                <w:highlight w:val="none"/>
              </w:rPr>
            </w:pPr>
          </w:p>
        </w:tc>
      </w:tr>
      <w:tr w14:paraId="071D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9" w:type="pct"/>
            <w:vAlign w:val="center"/>
          </w:tcPr>
          <w:p w14:paraId="2D06412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350" w:type="pct"/>
            <w:vAlign w:val="center"/>
          </w:tcPr>
          <w:p w14:paraId="01A8CCA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b/>
                <w:color w:val="auto"/>
                <w:szCs w:val="21"/>
                <w:highlight w:val="none"/>
              </w:rPr>
              <w:t>标的物</w:t>
            </w:r>
          </w:p>
        </w:tc>
        <w:tc>
          <w:tcPr>
            <w:tcW w:w="3175" w:type="pct"/>
            <w:vAlign w:val="center"/>
          </w:tcPr>
          <w:p w14:paraId="654FB87D">
            <w:pPr>
              <w:spacing w:line="360" w:lineRule="auto"/>
              <w:rPr>
                <w:rFonts w:hint="eastAsia" w:ascii="宋体" w:hAnsi="宋体" w:eastAsia="宋体" w:cs="宋体"/>
                <w:color w:val="auto"/>
                <w:szCs w:val="21"/>
                <w:highlight w:val="none"/>
                <w:lang w:bidi="ar"/>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投标人所提供液态次氯酸产品若是供应给东莞市水务集团供水有限公司（含子公司、分公司）的必须为适用于饮用水处理的液态次氯酸，须提供所供产品制造商有效的涉及饮用水卫生安全产品卫生许可批件。（注：须提供所供产品制造商有效的涉及饮用水卫生安全产品卫生许可批件复印件加盖投标人公章）。</w:t>
            </w:r>
          </w:p>
        </w:tc>
        <w:tc>
          <w:tcPr>
            <w:tcW w:w="470" w:type="pct"/>
            <w:vAlign w:val="center"/>
          </w:tcPr>
          <w:p w14:paraId="16717F8A">
            <w:pPr>
              <w:keepNext/>
              <w:keepLines/>
              <w:spacing w:line="400" w:lineRule="exact"/>
              <w:jc w:val="center"/>
              <w:rPr>
                <w:rFonts w:hint="eastAsia" w:ascii="宋体" w:hAnsi="宋体" w:eastAsia="宋体" w:cs="宋体"/>
                <w:color w:val="auto"/>
                <w:kern w:val="0"/>
                <w:sz w:val="18"/>
                <w:szCs w:val="18"/>
                <w:highlight w:val="none"/>
              </w:rPr>
            </w:pPr>
          </w:p>
        </w:tc>
        <w:tc>
          <w:tcPr>
            <w:tcW w:w="433" w:type="pct"/>
            <w:vAlign w:val="center"/>
          </w:tcPr>
          <w:p w14:paraId="086E378C">
            <w:pPr>
              <w:keepNext/>
              <w:keepLines/>
              <w:spacing w:line="400" w:lineRule="exact"/>
              <w:jc w:val="center"/>
              <w:rPr>
                <w:rFonts w:hint="eastAsia" w:ascii="宋体" w:hAnsi="宋体" w:eastAsia="宋体" w:cs="宋体"/>
                <w:color w:val="auto"/>
                <w:kern w:val="0"/>
                <w:sz w:val="18"/>
                <w:szCs w:val="18"/>
                <w:highlight w:val="none"/>
              </w:rPr>
            </w:pPr>
          </w:p>
        </w:tc>
        <w:tc>
          <w:tcPr>
            <w:tcW w:w="341" w:type="pct"/>
            <w:vAlign w:val="center"/>
          </w:tcPr>
          <w:p w14:paraId="60762FB9">
            <w:pPr>
              <w:keepNext/>
              <w:keepLines/>
              <w:spacing w:line="400" w:lineRule="exact"/>
              <w:jc w:val="center"/>
              <w:rPr>
                <w:rFonts w:hint="eastAsia" w:ascii="宋体" w:hAnsi="宋体" w:eastAsia="宋体" w:cs="宋体"/>
                <w:color w:val="auto"/>
                <w:kern w:val="0"/>
                <w:sz w:val="18"/>
                <w:szCs w:val="18"/>
                <w:highlight w:val="none"/>
              </w:rPr>
            </w:pPr>
          </w:p>
        </w:tc>
      </w:tr>
    </w:tbl>
    <w:p w14:paraId="1E2A4B67">
      <w:pPr>
        <w:spacing w:line="360" w:lineRule="auto"/>
        <w:rPr>
          <w:rFonts w:hint="eastAsia" w:ascii="宋体" w:hAnsi="宋体" w:eastAsia="宋体" w:cs="宋体"/>
          <w:color w:val="auto"/>
          <w:szCs w:val="21"/>
          <w:highlight w:val="none"/>
        </w:rPr>
      </w:pPr>
    </w:p>
    <w:p w14:paraId="2FF5421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04C2353E">
      <w:pPr>
        <w:spacing w:line="360" w:lineRule="auto"/>
        <w:ind w:left="605" w:leftChars="18" w:hanging="567" w:hangingChars="27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5193624B">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EF1D8CE">
      <w:pPr>
        <w:spacing w:line="360" w:lineRule="auto"/>
        <w:ind w:left="607" w:leftChars="18" w:hanging="569" w:hangingChars="270"/>
        <w:rPr>
          <w:rFonts w:hint="eastAsia"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3CC18306">
      <w:pPr>
        <w:spacing w:line="360" w:lineRule="auto"/>
        <w:ind w:left="607" w:leftChars="18" w:hanging="569" w:hangingChars="270"/>
        <w:rPr>
          <w:rFonts w:hint="eastAsia"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7B327FA2">
      <w:pPr>
        <w:spacing w:line="360" w:lineRule="auto"/>
        <w:rPr>
          <w:rFonts w:hint="eastAsia" w:ascii="宋体" w:hAnsi="宋体" w:eastAsia="宋体" w:cs="宋体"/>
          <w:color w:val="auto"/>
          <w:szCs w:val="21"/>
          <w:highlight w:val="none"/>
        </w:rPr>
      </w:pPr>
    </w:p>
    <w:p w14:paraId="4FBE3E71">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0FCFA760">
      <w:pPr>
        <w:autoSpaceDE w:val="0"/>
        <w:autoSpaceDN w:val="0"/>
        <w:adjustRightInd w:val="0"/>
        <w:ind w:left="15" w:leftChars="-50" w:hanging="1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29BBEEF9">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rPr>
        <w:br w:type="page"/>
      </w:r>
      <w:bookmarkStart w:id="757" w:name="_Toc142508382"/>
      <w:bookmarkStart w:id="758" w:name="_Toc104991889"/>
      <w:bookmarkStart w:id="759" w:name="_Toc102860087"/>
      <w:bookmarkStart w:id="760" w:name="_Toc28623"/>
      <w:bookmarkStart w:id="761" w:name="_Toc94107224"/>
      <w:bookmarkStart w:id="762" w:name="_Toc102860431"/>
      <w:bookmarkStart w:id="763" w:name="_Toc140596942"/>
      <w:bookmarkStart w:id="764" w:name="_Toc20665"/>
      <w:bookmarkStart w:id="765" w:name="_Toc18181"/>
      <w:r>
        <w:rPr>
          <w:rFonts w:hint="eastAsia" w:ascii="宋体" w:hAnsi="宋体" w:eastAsia="宋体" w:cs="宋体"/>
          <w:b/>
          <w:color w:val="auto"/>
          <w:kern w:val="0"/>
          <w:sz w:val="30"/>
          <w:szCs w:val="30"/>
          <w:highlight w:val="none"/>
        </w:rPr>
        <w:t>12.2</w:t>
      </w:r>
      <w:r>
        <w:rPr>
          <w:rFonts w:ascii="宋体" w:hAnsi="宋体" w:eastAsia="宋体" w:cs="宋体"/>
          <w:b/>
          <w:color w:val="auto"/>
          <w:kern w:val="0"/>
          <w:sz w:val="30"/>
          <w:szCs w:val="30"/>
          <w:highlight w:val="none"/>
        </w:rPr>
        <w:t xml:space="preserve"> </w:t>
      </w:r>
      <w:bookmarkEnd w:id="757"/>
      <w:bookmarkEnd w:id="758"/>
      <w:bookmarkEnd w:id="759"/>
      <w:bookmarkEnd w:id="760"/>
      <w:bookmarkEnd w:id="761"/>
      <w:bookmarkEnd w:id="762"/>
      <w:bookmarkEnd w:id="763"/>
      <w:bookmarkEnd w:id="764"/>
      <w:bookmarkEnd w:id="765"/>
      <w:bookmarkStart w:id="766" w:name="_Toc12490"/>
      <w:bookmarkStart w:id="767" w:name="_Toc31571"/>
      <w:bookmarkStart w:id="768" w:name="_Toc22884"/>
      <w:bookmarkStart w:id="769" w:name="_Toc78709794"/>
      <w:r>
        <w:rPr>
          <w:rFonts w:hint="eastAsia" w:ascii="宋体" w:hAnsi="宋体" w:eastAsia="宋体" w:cs="宋体"/>
          <w:b/>
          <w:color w:val="auto"/>
          <w:kern w:val="0"/>
          <w:sz w:val="30"/>
          <w:szCs w:val="30"/>
          <w:highlight w:val="none"/>
          <w:lang w:val="zh-CN"/>
        </w:rPr>
        <w:t>投标产品技术指标承诺书格式</w:t>
      </w:r>
      <w:bookmarkEnd w:id="766"/>
      <w:bookmarkEnd w:id="767"/>
      <w:bookmarkEnd w:id="768"/>
      <w:bookmarkEnd w:id="769"/>
    </w:p>
    <w:p w14:paraId="5616BD89">
      <w:pPr>
        <w:spacing w:line="360" w:lineRule="auto"/>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2"/>
          <w:szCs w:val="32"/>
          <w:highlight w:val="none"/>
          <w:lang w:val="zh-CN"/>
        </w:rPr>
        <w:t>投标产品</w:t>
      </w:r>
      <w:r>
        <w:rPr>
          <w:rFonts w:hint="eastAsia" w:ascii="宋体" w:hAnsi="宋体" w:eastAsia="宋体" w:cs="宋体"/>
          <w:b/>
          <w:bCs/>
          <w:color w:val="auto"/>
          <w:sz w:val="30"/>
          <w:szCs w:val="30"/>
          <w:highlight w:val="none"/>
          <w:lang w:val="zh-CN"/>
        </w:rPr>
        <w:t>技术指标承诺书</w:t>
      </w:r>
    </w:p>
    <w:p w14:paraId="7E06B52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致：东莞市水务集团有限公司</w:t>
      </w:r>
    </w:p>
    <w:p w14:paraId="22C56D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我方已详细研究了本项目招标文件</w:t>
      </w:r>
      <w:r>
        <w:rPr>
          <w:rFonts w:hint="eastAsia" w:ascii="宋体" w:hAnsi="宋体" w:eastAsia="宋体" w:cs="宋体"/>
          <w:b/>
          <w:color w:val="auto"/>
          <w:szCs w:val="21"/>
          <w:highlight w:val="none"/>
        </w:rPr>
        <w:t>用户需求书主要技术指标</w:t>
      </w:r>
      <w:r>
        <w:rPr>
          <w:rFonts w:hint="eastAsia" w:ascii="宋体" w:hAnsi="宋体" w:eastAsia="宋体" w:cs="宋体"/>
          <w:color w:val="auto"/>
          <w:szCs w:val="21"/>
          <w:highlight w:val="none"/>
        </w:rPr>
        <w:t>的所有内容包括相关资料及修正文（如有），完全理解并接受上述内容所有条款及要求。</w:t>
      </w:r>
    </w:p>
    <w:p w14:paraId="71EF66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我方承诺在履行合同过程中按本项目招标文件</w:t>
      </w:r>
      <w:r>
        <w:rPr>
          <w:rFonts w:hint="eastAsia" w:ascii="宋体" w:hAnsi="宋体" w:eastAsia="宋体" w:cs="宋体"/>
          <w:b/>
          <w:color w:val="auto"/>
          <w:szCs w:val="21"/>
          <w:highlight w:val="none"/>
        </w:rPr>
        <w:t>用户需求书主要技术指标</w:t>
      </w:r>
      <w:r>
        <w:rPr>
          <w:rFonts w:hint="eastAsia" w:ascii="宋体" w:hAnsi="宋体" w:eastAsia="宋体" w:cs="宋体"/>
          <w:color w:val="auto"/>
          <w:szCs w:val="21"/>
          <w:highlight w:val="none"/>
        </w:rPr>
        <w:t>的所有内容包括相关资料及修正文（如有）的条款和要求提供货物和相关的服务。</w:t>
      </w:r>
    </w:p>
    <w:p w14:paraId="31DAD194">
      <w:pPr>
        <w:snapToGrid w:val="0"/>
        <w:spacing w:line="360" w:lineRule="auto"/>
        <w:ind w:left="399" w:leftChars="-58" w:hanging="521" w:hangingChars="247"/>
        <w:rPr>
          <w:rFonts w:hint="eastAsia" w:ascii="宋体" w:hAnsi="宋体" w:eastAsia="宋体" w:cs="宋体"/>
          <w:b/>
          <w:color w:val="auto"/>
          <w:szCs w:val="21"/>
          <w:highlight w:val="none"/>
        </w:rPr>
      </w:pPr>
    </w:p>
    <w:p w14:paraId="3E29AE1F">
      <w:pPr>
        <w:snapToGrid w:val="0"/>
        <w:spacing w:line="360" w:lineRule="auto"/>
        <w:ind w:left="380" w:hanging="519"/>
        <w:rPr>
          <w:rFonts w:hint="eastAsia" w:ascii="宋体" w:hAnsi="宋体" w:eastAsia="宋体" w:cs="宋体"/>
          <w:b/>
          <w:color w:val="auto"/>
          <w:szCs w:val="21"/>
          <w:highlight w:val="none"/>
        </w:rPr>
      </w:pPr>
    </w:p>
    <w:p w14:paraId="22059FB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6297FE51">
      <w:pPr>
        <w:spacing w:line="360" w:lineRule="auto"/>
        <w:ind w:firstLine="422" w:firstLineChars="200"/>
        <w:rPr>
          <w:rFonts w:hint="eastAsia" w:ascii="宋体" w:hAnsi="宋体" w:eastAsia="宋体" w:cs="宋体"/>
          <w:b/>
          <w:bCs/>
          <w:color w:val="auto"/>
          <w:szCs w:val="21"/>
          <w:highlight w:val="none"/>
        </w:rPr>
      </w:pPr>
      <w:r>
        <w:rPr>
          <w:rFonts w:ascii="宋体" w:hAnsi="宋体" w:eastAsia="宋体" w:cs="宋体"/>
          <w:b/>
          <w:color w:val="auto"/>
          <w:szCs w:val="21"/>
          <w:highlight w:val="none"/>
        </w:rPr>
        <w:t>提供投标人委托的反映报价产品性能参数的具有资质的第三方检测机构出具</w:t>
      </w:r>
      <w:r>
        <w:rPr>
          <w:rFonts w:hint="eastAsia" w:ascii="宋体" w:hAnsi="宋体" w:eastAsia="宋体" w:cs="宋体"/>
          <w:b/>
          <w:color w:val="auto"/>
          <w:szCs w:val="21"/>
          <w:highlight w:val="none"/>
        </w:rPr>
        <w:t>的</w:t>
      </w:r>
      <w:r>
        <w:rPr>
          <w:rFonts w:hint="eastAsia" w:ascii="宋体" w:hAnsi="宋体" w:eastAsia="宋体" w:cs="宋体"/>
          <w:b/>
          <w:bCs/>
          <w:color w:val="auto"/>
          <w:szCs w:val="21"/>
          <w:highlight w:val="none"/>
        </w:rPr>
        <w:t>反映报价产品性能参数（须包含</w:t>
      </w:r>
      <w:r>
        <w:rPr>
          <w:rFonts w:ascii="宋体" w:hAnsi="宋体" w:eastAsia="宋体" w:cs="宋体"/>
          <w:b/>
          <w:bCs/>
          <w:color w:val="auto"/>
          <w:szCs w:val="21"/>
          <w:highlight w:val="none"/>
        </w:rPr>
        <w:t>用户需求书表1《</w:t>
      </w:r>
      <w:r>
        <w:rPr>
          <w:rFonts w:hint="eastAsia" w:ascii="宋体" w:hAnsi="宋体" w:eastAsia="宋体" w:cs="宋体"/>
          <w:b/>
          <w:bCs/>
          <w:color w:val="auto"/>
          <w:szCs w:val="21"/>
          <w:highlight w:val="none"/>
        </w:rPr>
        <w:t>液态次氯酸钠</w:t>
      </w:r>
      <w:r>
        <w:rPr>
          <w:rFonts w:ascii="宋体" w:hAnsi="宋体" w:eastAsia="宋体" w:cs="宋体"/>
          <w:b/>
          <w:bCs/>
          <w:color w:val="auto"/>
          <w:szCs w:val="21"/>
          <w:highlight w:val="none"/>
        </w:rPr>
        <w:t>主要技术指标》中各指标项目</w:t>
      </w:r>
      <w:r>
        <w:rPr>
          <w:rFonts w:hint="eastAsia" w:ascii="宋体" w:hAnsi="宋体" w:eastAsia="宋体" w:cs="宋体"/>
          <w:b/>
          <w:bCs/>
          <w:color w:val="auto"/>
          <w:szCs w:val="21"/>
          <w:highlight w:val="none"/>
        </w:rPr>
        <w:t>）的检验报告，报告日期为2024年1月1日以后。</w:t>
      </w:r>
    </w:p>
    <w:p w14:paraId="44869796">
      <w:pPr>
        <w:pStyle w:val="21"/>
        <w:spacing w:line="360" w:lineRule="auto"/>
        <w:ind w:firstLine="4200" w:firstLineChars="2000"/>
        <w:rPr>
          <w:rFonts w:hint="eastAsia" w:hAnsi="宋体" w:cs="宋体"/>
          <w:color w:val="auto"/>
          <w:kern w:val="3"/>
          <w:szCs w:val="21"/>
          <w:highlight w:val="none"/>
        </w:rPr>
      </w:pPr>
    </w:p>
    <w:p w14:paraId="1A76DCF3">
      <w:pPr>
        <w:pStyle w:val="21"/>
        <w:spacing w:line="360" w:lineRule="auto"/>
        <w:ind w:firstLine="4200" w:firstLineChars="2000"/>
        <w:rPr>
          <w:rFonts w:hint="eastAsia" w:hAnsi="宋体" w:cs="宋体"/>
          <w:color w:val="auto"/>
          <w:szCs w:val="21"/>
          <w:highlight w:val="none"/>
        </w:rPr>
      </w:pPr>
      <w:r>
        <w:rPr>
          <w:rFonts w:hint="eastAsia" w:hAnsi="宋体" w:cs="宋体"/>
          <w:color w:val="auto"/>
          <w:kern w:val="3"/>
          <w:szCs w:val="21"/>
          <w:highlight w:val="none"/>
        </w:rPr>
        <w:t>投 标 人（加盖投标人法人公章）：</w:t>
      </w:r>
      <w:r>
        <w:rPr>
          <w:rFonts w:hint="eastAsia" w:hAnsi="宋体" w:cs="宋体"/>
          <w:color w:val="auto"/>
          <w:kern w:val="3"/>
          <w:szCs w:val="21"/>
          <w:highlight w:val="none"/>
          <w:u w:val="single"/>
        </w:rPr>
        <w:t xml:space="preserve">               </w:t>
      </w:r>
    </w:p>
    <w:p w14:paraId="63C21448">
      <w:pPr>
        <w:pStyle w:val="21"/>
        <w:spacing w:line="360" w:lineRule="auto"/>
        <w:ind w:firstLine="4200" w:firstLineChars="2000"/>
        <w:rPr>
          <w:rFonts w:hint="eastAsia" w:hAnsi="宋体" w:cs="宋体"/>
          <w:color w:val="auto"/>
          <w:szCs w:val="21"/>
          <w:highlight w:val="none"/>
        </w:rPr>
      </w:pPr>
      <w:r>
        <w:rPr>
          <w:rFonts w:hint="eastAsia" w:hAnsi="宋体" w:cs="宋体"/>
          <w:color w:val="auto"/>
          <w:szCs w:val="21"/>
          <w:highlight w:val="none"/>
        </w:rPr>
        <w:t>日  期：</w:t>
      </w:r>
      <w:r>
        <w:rPr>
          <w:rFonts w:hint="eastAsia" w:hAnsi="宋体" w:cs="宋体"/>
          <w:color w:val="auto"/>
          <w:szCs w:val="21"/>
          <w:highlight w:val="none"/>
          <w:u w:val="single"/>
        </w:rPr>
        <w:t xml:space="preserve">        </w:t>
      </w:r>
      <w:r>
        <w:rPr>
          <w:rFonts w:hint="eastAsia" w:hAnsi="宋体" w:cs="宋体"/>
          <w:color w:val="auto"/>
          <w:szCs w:val="21"/>
          <w:highlight w:val="none"/>
        </w:rPr>
        <w:t>年</w:t>
      </w:r>
      <w:r>
        <w:rPr>
          <w:rFonts w:hint="eastAsia" w:hAnsi="宋体" w:cs="宋体"/>
          <w:color w:val="auto"/>
          <w:szCs w:val="21"/>
          <w:highlight w:val="none"/>
          <w:u w:val="single"/>
        </w:rPr>
        <w:t xml:space="preserve">     </w:t>
      </w:r>
      <w:r>
        <w:rPr>
          <w:rFonts w:hint="eastAsia" w:hAnsi="宋体" w:cs="宋体"/>
          <w:color w:val="auto"/>
          <w:szCs w:val="21"/>
          <w:highlight w:val="none"/>
        </w:rPr>
        <w:t>月</w:t>
      </w:r>
      <w:r>
        <w:rPr>
          <w:rFonts w:hint="eastAsia" w:hAnsi="宋体" w:cs="宋体"/>
          <w:color w:val="auto"/>
          <w:szCs w:val="21"/>
          <w:highlight w:val="none"/>
          <w:u w:val="single"/>
        </w:rPr>
        <w:t xml:space="preserve">     </w:t>
      </w:r>
      <w:r>
        <w:rPr>
          <w:rFonts w:hint="eastAsia" w:hAnsi="宋体" w:cs="宋体"/>
          <w:color w:val="auto"/>
          <w:szCs w:val="21"/>
          <w:highlight w:val="none"/>
        </w:rPr>
        <w:t>日</w:t>
      </w:r>
    </w:p>
    <w:p w14:paraId="1582B991">
      <w:pPr>
        <w:spacing w:line="360" w:lineRule="auto"/>
        <w:ind w:firstLine="4200" w:firstLineChars="2000"/>
        <w:rPr>
          <w:rFonts w:hint="eastAsia" w:ascii="宋体" w:hAnsi="宋体" w:eastAsia="宋体" w:cs="Times New Roman"/>
          <w:color w:val="auto"/>
          <w:kern w:val="0"/>
          <w:szCs w:val="21"/>
          <w:highlight w:val="none"/>
        </w:rPr>
      </w:pPr>
    </w:p>
    <w:p w14:paraId="33A8941B">
      <w:pPr>
        <w:widowControl/>
        <w:jc w:val="left"/>
        <w:rPr>
          <w:rFonts w:hint="eastAsia" w:ascii="宋体" w:hAnsi="宋体" w:eastAsia="宋体" w:cs="Times New Roman"/>
          <w:color w:val="auto"/>
          <w:kern w:val="0"/>
          <w:szCs w:val="21"/>
          <w:highlight w:val="none"/>
        </w:rPr>
      </w:pPr>
      <w:bookmarkStart w:id="770" w:name="_Toc94107225"/>
      <w:r>
        <w:rPr>
          <w:rFonts w:ascii="宋体" w:hAnsi="宋体" w:eastAsia="宋体" w:cs="Times New Roman"/>
          <w:color w:val="auto"/>
          <w:kern w:val="0"/>
          <w:szCs w:val="21"/>
          <w:highlight w:val="none"/>
        </w:rPr>
        <w:br w:type="page"/>
      </w:r>
    </w:p>
    <w:bookmarkEnd w:id="770"/>
    <w:p w14:paraId="491F625B">
      <w:pPr>
        <w:pStyle w:val="129"/>
        <w:pageBreakBefore/>
        <w:spacing w:after="120" w:afterLines="50" w:line="360" w:lineRule="auto"/>
        <w:ind w:firstLine="0" w:firstLineChars="0"/>
        <w:outlineLvl w:val="2"/>
        <w:rPr>
          <w:rFonts w:hint="eastAsia" w:ascii="宋体" w:hAnsi="宋体" w:eastAsia="宋体" w:cs="宋体"/>
          <w:b/>
          <w:color w:val="auto"/>
          <w:sz w:val="32"/>
          <w:szCs w:val="32"/>
          <w:highlight w:val="none"/>
        </w:rPr>
      </w:pPr>
      <w:bookmarkStart w:id="771" w:name="_Toc24088"/>
      <w:bookmarkStart w:id="772" w:name="_Toc102860438"/>
      <w:bookmarkStart w:id="773" w:name="_Toc102860094"/>
      <w:bookmarkStart w:id="774" w:name="_Toc140596949"/>
      <w:bookmarkStart w:id="775" w:name="_Toc142508389"/>
      <w:bookmarkStart w:id="776" w:name="_Toc104991896"/>
      <w:bookmarkStart w:id="777" w:name="_Toc533708139"/>
      <w:r>
        <w:rPr>
          <w:rFonts w:hint="eastAsia" w:ascii="宋体" w:hAnsi="宋体" w:eastAsia="宋体" w:cs="宋体"/>
          <w:b/>
          <w:color w:val="auto"/>
          <w:kern w:val="0"/>
          <w:sz w:val="30"/>
          <w:szCs w:val="30"/>
          <w:highlight w:val="none"/>
        </w:rPr>
        <w:t xml:space="preserve">12.3 </w:t>
      </w:r>
      <w:r>
        <w:rPr>
          <w:rFonts w:hint="eastAsia" w:ascii="宋体" w:hAnsi="宋体" w:eastAsia="宋体" w:cs="宋体"/>
          <w:b/>
          <w:color w:val="auto"/>
          <w:sz w:val="32"/>
          <w:szCs w:val="32"/>
          <w:highlight w:val="none"/>
        </w:rPr>
        <w:t>第三方检测机构出具的检验报告复印件（须为2024年1月1日以后出具的投标产品检验报告）</w:t>
      </w:r>
    </w:p>
    <w:p w14:paraId="2CE93ABA">
      <w:pPr>
        <w:outlineLvl w:val="1"/>
        <w:rPr>
          <w:rFonts w:hint="eastAsia" w:ascii="宋体" w:hAnsi="宋体" w:eastAsia="宋体" w:cs="宋体"/>
          <w:b/>
          <w:color w:val="auto"/>
          <w:szCs w:val="21"/>
          <w:highlight w:val="none"/>
        </w:rPr>
      </w:pPr>
    </w:p>
    <w:p w14:paraId="4C13AD89">
      <w:pPr>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3F6AAA27">
      <w:pPr>
        <w:spacing w:line="360" w:lineRule="auto"/>
        <w:ind w:firstLine="422" w:firstLineChars="200"/>
        <w:outlineLvl w:val="1"/>
        <w:rPr>
          <w:rFonts w:hint="eastAsia" w:ascii="宋体" w:hAnsi="宋体" w:eastAsia="宋体" w:cs="宋体"/>
          <w:b/>
          <w:color w:val="auto"/>
          <w:szCs w:val="21"/>
          <w:highlight w:val="none"/>
        </w:rPr>
      </w:pPr>
      <w:r>
        <w:rPr>
          <w:rFonts w:ascii="宋体" w:hAnsi="宋体" w:eastAsia="宋体" w:cs="宋体"/>
          <w:b/>
          <w:color w:val="auto"/>
          <w:szCs w:val="21"/>
          <w:highlight w:val="none"/>
        </w:rPr>
        <w:t>投标人投标时须提供投标人委托的反映报价产品性能参数的具有资质的第三方检测机构出具的符合表1《</w:t>
      </w:r>
      <w:r>
        <w:rPr>
          <w:rFonts w:hint="eastAsia" w:ascii="宋体" w:hAnsi="宋体" w:eastAsia="宋体" w:cs="宋体"/>
          <w:b/>
          <w:color w:val="auto"/>
          <w:szCs w:val="21"/>
          <w:highlight w:val="none"/>
        </w:rPr>
        <w:t>液态次氯酸钠</w:t>
      </w:r>
      <w:r>
        <w:rPr>
          <w:rFonts w:ascii="宋体" w:hAnsi="宋体" w:eastAsia="宋体" w:cs="宋体"/>
          <w:b/>
          <w:color w:val="auto"/>
          <w:szCs w:val="21"/>
          <w:highlight w:val="none"/>
        </w:rPr>
        <w:t>主要技术指标》要求的检验报告，检验报告上的标徽应包括但不限于CMA认证标徽，报告日期为202</w:t>
      </w:r>
      <w:r>
        <w:rPr>
          <w:rFonts w:hint="eastAsia" w:ascii="宋体" w:hAnsi="宋体" w:eastAsia="宋体" w:cs="宋体"/>
          <w:b/>
          <w:color w:val="auto"/>
          <w:szCs w:val="21"/>
          <w:highlight w:val="none"/>
        </w:rPr>
        <w:t>4</w:t>
      </w:r>
      <w:r>
        <w:rPr>
          <w:rFonts w:ascii="宋体" w:hAnsi="宋体" w:eastAsia="宋体" w:cs="宋体"/>
          <w:b/>
          <w:color w:val="auto"/>
          <w:szCs w:val="21"/>
          <w:highlight w:val="none"/>
        </w:rPr>
        <w:t>年1月1日以后，检验报告中检验指标为用户需求书表1《</w:t>
      </w:r>
      <w:r>
        <w:rPr>
          <w:rFonts w:hint="eastAsia" w:ascii="宋体" w:hAnsi="宋体" w:eastAsia="宋体" w:cs="宋体"/>
          <w:b/>
          <w:color w:val="auto"/>
          <w:szCs w:val="21"/>
          <w:highlight w:val="none"/>
        </w:rPr>
        <w:t>液态次氯酸钠</w:t>
      </w:r>
      <w:r>
        <w:rPr>
          <w:rFonts w:ascii="宋体" w:hAnsi="宋体" w:eastAsia="宋体" w:cs="宋体"/>
          <w:b/>
          <w:color w:val="auto"/>
          <w:szCs w:val="21"/>
          <w:highlight w:val="none"/>
        </w:rPr>
        <w:t>主要技术指标》中各指标项目，检验报告使用的检测方法需符合《次氯酸钠》（GB19106—2013）</w:t>
      </w:r>
      <w:r>
        <w:rPr>
          <w:rFonts w:hint="eastAsia" w:ascii="宋体" w:hAnsi="宋体" w:eastAsia="宋体" w:cs="宋体"/>
          <w:b/>
          <w:color w:val="auto"/>
          <w:szCs w:val="21"/>
          <w:highlight w:val="none"/>
        </w:rPr>
        <w:t>。</w:t>
      </w:r>
    </w:p>
    <w:p w14:paraId="74B66AC8">
      <w:pPr>
        <w:spacing w:line="360" w:lineRule="auto"/>
        <w:ind w:firstLine="602" w:firstLineChars="200"/>
        <w:outlineLvl w:val="1"/>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End w:id="771"/>
    </w:p>
    <w:p w14:paraId="6B344CD2">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12.4 生产规模及技术力量</w:t>
      </w:r>
      <w:r>
        <w:rPr>
          <w:rFonts w:hint="eastAsia" w:ascii="宋体" w:hAnsi="宋体" w:eastAsia="宋体" w:cs="宋体"/>
          <w:b/>
          <w:color w:val="auto"/>
          <w:kern w:val="0"/>
          <w:sz w:val="30"/>
          <w:szCs w:val="30"/>
          <w:highlight w:val="none"/>
        </w:rPr>
        <w:br w:type="page"/>
      </w:r>
    </w:p>
    <w:p w14:paraId="34D95873">
      <w:pPr>
        <w:autoSpaceDE w:val="0"/>
        <w:autoSpaceDN w:val="0"/>
        <w:adjustRightInd w:val="0"/>
        <w:spacing w:line="360" w:lineRule="auto"/>
        <w:jc w:val="left"/>
        <w:outlineLvl w:val="1"/>
        <w:rPr>
          <w:rFonts w:hint="eastAsia" w:ascii="宋体" w:hAnsi="宋体" w:eastAsia="宋体" w:cs="宋体"/>
          <w:b/>
          <w:color w:val="auto"/>
          <w:sz w:val="32"/>
          <w:szCs w:val="32"/>
          <w:highlight w:val="none"/>
        </w:rPr>
      </w:pPr>
      <w:bookmarkStart w:id="778" w:name="_Toc12487"/>
      <w:bookmarkStart w:id="779" w:name="_Toc770"/>
      <w:bookmarkStart w:id="780" w:name="_Toc1222"/>
      <w:r>
        <w:rPr>
          <w:rFonts w:hint="eastAsia" w:ascii="宋体" w:hAnsi="宋体" w:eastAsia="宋体" w:cs="宋体"/>
          <w:b/>
          <w:color w:val="auto"/>
          <w:kern w:val="0"/>
          <w:sz w:val="30"/>
          <w:szCs w:val="30"/>
          <w:highlight w:val="none"/>
        </w:rPr>
        <w:t xml:space="preserve">12.5 </w:t>
      </w:r>
      <w:r>
        <w:rPr>
          <w:rFonts w:hint="eastAsia" w:ascii="宋体" w:hAnsi="宋体" w:eastAsia="宋体" w:cs="宋体"/>
          <w:b/>
          <w:color w:val="auto"/>
          <w:sz w:val="32"/>
          <w:szCs w:val="32"/>
          <w:highlight w:val="none"/>
        </w:rPr>
        <w:t>供货运输保障</w:t>
      </w:r>
    </w:p>
    <w:p w14:paraId="7C0F7837">
      <w:pPr>
        <w:pStyle w:val="6"/>
        <w:rPr>
          <w:color w:val="auto"/>
          <w:highlight w:val="none"/>
        </w:rPr>
      </w:pPr>
    </w:p>
    <w:p w14:paraId="4C2688B7">
      <w:pPr>
        <w:pageBreakBefore/>
        <w:autoSpaceDE w:val="0"/>
        <w:autoSpaceDN w:val="0"/>
        <w:adjustRightInd w:val="0"/>
        <w:spacing w:line="360" w:lineRule="auto"/>
        <w:jc w:val="left"/>
        <w:outlineLvl w:val="1"/>
        <w:rPr>
          <w:rFonts w:hint="eastAsia" w:ascii="宋体" w:hAnsi="宋体" w:eastAsia="宋体" w:cs="宋体"/>
          <w:b/>
          <w:color w:val="auto"/>
          <w:kern w:val="0"/>
          <w:sz w:val="30"/>
          <w:szCs w:val="30"/>
          <w:highlight w:val="none"/>
        </w:rPr>
      </w:pPr>
      <w:r>
        <w:rPr>
          <w:rFonts w:hint="eastAsia" w:ascii="宋体" w:hAnsi="宋体" w:eastAsia="宋体" w:cs="宋体"/>
          <w:b/>
          <w:color w:val="auto"/>
          <w:sz w:val="32"/>
          <w:szCs w:val="32"/>
          <w:highlight w:val="none"/>
        </w:rPr>
        <w:t xml:space="preserve">12.6 </w:t>
      </w:r>
      <w:r>
        <w:rPr>
          <w:rFonts w:hint="eastAsia" w:ascii="宋体" w:hAnsi="宋体" w:eastAsia="宋体" w:cs="宋体"/>
          <w:b/>
          <w:color w:val="auto"/>
          <w:kern w:val="0"/>
          <w:sz w:val="30"/>
          <w:szCs w:val="30"/>
          <w:highlight w:val="none"/>
        </w:rPr>
        <w:t>投标人认为有必要提供的其它材料（不做强制要求）</w:t>
      </w:r>
      <w:bookmarkEnd w:id="772"/>
      <w:bookmarkEnd w:id="773"/>
      <w:bookmarkEnd w:id="774"/>
      <w:bookmarkEnd w:id="775"/>
      <w:bookmarkEnd w:id="776"/>
      <w:bookmarkEnd w:id="778"/>
      <w:bookmarkEnd w:id="779"/>
      <w:bookmarkEnd w:id="780"/>
    </w:p>
    <w:p w14:paraId="4D47DF47">
      <w:pPr>
        <w:autoSpaceDE w:val="0"/>
        <w:autoSpaceDN w:val="0"/>
        <w:adjustRightInd w:val="0"/>
        <w:jc w:val="left"/>
        <w:rPr>
          <w:rFonts w:hint="eastAsia" w:ascii="宋体" w:hAnsi="宋体" w:eastAsia="宋体" w:cs="Times New Roman"/>
          <w:color w:val="auto"/>
          <w:kern w:val="0"/>
          <w:sz w:val="24"/>
          <w:szCs w:val="24"/>
          <w:highlight w:val="none"/>
        </w:rPr>
      </w:pPr>
    </w:p>
    <w:p w14:paraId="0553E6D0">
      <w:pPr>
        <w:autoSpaceDE w:val="0"/>
        <w:autoSpaceDN w:val="0"/>
        <w:adjustRightInd w:val="0"/>
        <w:jc w:val="left"/>
        <w:rPr>
          <w:rFonts w:hint="eastAsia" w:ascii="宋体" w:hAnsi="宋体" w:eastAsia="宋体" w:cs="Times New Roman"/>
          <w:color w:val="auto"/>
          <w:kern w:val="0"/>
          <w:sz w:val="24"/>
          <w:szCs w:val="24"/>
          <w:highlight w:val="none"/>
        </w:rPr>
      </w:pPr>
    </w:p>
    <w:p w14:paraId="329F4401">
      <w:pPr>
        <w:autoSpaceDE w:val="0"/>
        <w:autoSpaceDN w:val="0"/>
        <w:adjustRightInd w:val="0"/>
        <w:jc w:val="left"/>
        <w:rPr>
          <w:rFonts w:hint="eastAsia" w:ascii="宋体" w:hAnsi="宋体" w:eastAsia="宋体" w:cs="Times New Roman"/>
          <w:color w:val="auto"/>
          <w:kern w:val="0"/>
          <w:sz w:val="24"/>
          <w:szCs w:val="24"/>
          <w:highlight w:val="none"/>
        </w:rPr>
      </w:pPr>
    </w:p>
    <w:p w14:paraId="3FC8F3B1">
      <w:pPr>
        <w:autoSpaceDE w:val="0"/>
        <w:autoSpaceDN w:val="0"/>
        <w:adjustRightInd w:val="0"/>
        <w:jc w:val="left"/>
        <w:rPr>
          <w:rFonts w:hint="eastAsia" w:ascii="宋体" w:hAnsi="宋体" w:eastAsia="宋体" w:cs="Times New Roman"/>
          <w:color w:val="auto"/>
          <w:kern w:val="0"/>
          <w:sz w:val="24"/>
          <w:szCs w:val="24"/>
          <w:highlight w:val="none"/>
        </w:rPr>
      </w:pPr>
    </w:p>
    <w:p w14:paraId="0146B8F8">
      <w:pPr>
        <w:autoSpaceDE w:val="0"/>
        <w:autoSpaceDN w:val="0"/>
        <w:adjustRightInd w:val="0"/>
        <w:jc w:val="left"/>
        <w:rPr>
          <w:rFonts w:hint="eastAsia" w:ascii="宋体" w:hAnsi="宋体" w:eastAsia="宋体" w:cs="Times New Roman"/>
          <w:color w:val="auto"/>
          <w:kern w:val="0"/>
          <w:sz w:val="24"/>
          <w:szCs w:val="24"/>
          <w:highlight w:val="none"/>
        </w:rPr>
      </w:pPr>
    </w:p>
    <w:p w14:paraId="5E11C6D6">
      <w:pPr>
        <w:autoSpaceDE w:val="0"/>
        <w:autoSpaceDN w:val="0"/>
        <w:adjustRightInd w:val="0"/>
        <w:jc w:val="left"/>
        <w:rPr>
          <w:rFonts w:hint="eastAsia" w:ascii="宋体" w:hAnsi="宋体" w:eastAsia="宋体" w:cs="Times New Roman"/>
          <w:color w:val="auto"/>
          <w:kern w:val="0"/>
          <w:sz w:val="24"/>
          <w:szCs w:val="24"/>
          <w:highlight w:val="none"/>
        </w:rPr>
      </w:pPr>
    </w:p>
    <w:p w14:paraId="704A3010">
      <w:pPr>
        <w:widowControl/>
        <w:jc w:val="left"/>
        <w:rPr>
          <w:rFonts w:hint="eastAsia"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6FD1332C">
      <w:pPr>
        <w:autoSpaceDE w:val="0"/>
        <w:autoSpaceDN w:val="0"/>
        <w:adjustRightInd w:val="0"/>
        <w:jc w:val="left"/>
        <w:rPr>
          <w:rFonts w:hint="eastAsia" w:ascii="宋体" w:hAnsi="宋体" w:eastAsia="宋体" w:cs="Times New Roman"/>
          <w:color w:val="auto"/>
          <w:kern w:val="0"/>
          <w:sz w:val="24"/>
          <w:szCs w:val="24"/>
          <w:highlight w:val="none"/>
        </w:rPr>
      </w:pPr>
    </w:p>
    <w:p w14:paraId="48BEAC5F">
      <w:pPr>
        <w:tabs>
          <w:tab w:val="left" w:pos="1080"/>
        </w:tabs>
        <w:autoSpaceDE w:val="0"/>
        <w:autoSpaceDN w:val="0"/>
        <w:adjustRightInd w:val="0"/>
        <w:spacing w:line="360" w:lineRule="auto"/>
        <w:jc w:val="left"/>
        <w:outlineLvl w:val="0"/>
        <w:rPr>
          <w:rFonts w:hint="eastAsia" w:ascii="宋体" w:hAnsi="宋体" w:eastAsia="宋体" w:cs="宋体"/>
          <w:b/>
          <w:bCs/>
          <w:color w:val="auto"/>
          <w:kern w:val="44"/>
          <w:sz w:val="32"/>
          <w:szCs w:val="32"/>
          <w:highlight w:val="none"/>
          <w:lang w:val="zh-CN"/>
        </w:rPr>
      </w:pPr>
      <w:bookmarkStart w:id="781" w:name="_Toc142508390"/>
      <w:bookmarkStart w:id="782" w:name="_Toc22726"/>
      <w:bookmarkStart w:id="783" w:name="_Toc28845"/>
      <w:bookmarkStart w:id="784" w:name="_Toc521918141"/>
      <w:bookmarkStart w:id="785" w:name="_Toc522047402"/>
      <w:bookmarkStart w:id="786" w:name="_Toc22601_WPSOffice_Level1"/>
      <w:r>
        <w:rPr>
          <w:rFonts w:hint="eastAsia" w:ascii="宋体" w:hAnsi="宋体" w:eastAsia="宋体" w:cs="宋体"/>
          <w:b/>
          <w:bCs/>
          <w:color w:val="auto"/>
          <w:kern w:val="44"/>
          <w:sz w:val="32"/>
          <w:szCs w:val="32"/>
          <w:highlight w:val="none"/>
          <w:lang w:val="zh-CN"/>
        </w:rPr>
        <w:t>附件一：评标工作大纲</w:t>
      </w:r>
      <w:bookmarkEnd w:id="781"/>
      <w:bookmarkEnd w:id="782"/>
      <w:bookmarkEnd w:id="783"/>
    </w:p>
    <w:p w14:paraId="557C9BDA">
      <w:pPr>
        <w:autoSpaceDE w:val="0"/>
        <w:autoSpaceDN w:val="0"/>
        <w:adjustRightInd w:val="0"/>
        <w:spacing w:line="400" w:lineRule="atLeast"/>
        <w:jc w:val="center"/>
        <w:rPr>
          <w:rFonts w:hint="eastAsia" w:ascii="宋体" w:hAnsi="宋体" w:eastAsia="宋体" w:cs="宋体"/>
          <w:b/>
          <w:bCs/>
          <w:color w:val="auto"/>
          <w:szCs w:val="21"/>
          <w:highlight w:val="none"/>
        </w:rPr>
      </w:pPr>
    </w:p>
    <w:p w14:paraId="323247C5">
      <w:pPr>
        <w:autoSpaceDE w:val="0"/>
        <w:autoSpaceDN w:val="0"/>
        <w:adjustRightInd w:val="0"/>
        <w:spacing w:line="400" w:lineRule="atLeast"/>
        <w:jc w:val="center"/>
        <w:rPr>
          <w:rFonts w:hint="eastAsia" w:ascii="宋体" w:hAnsi="宋体" w:eastAsia="宋体" w:cs="宋体"/>
          <w:b/>
          <w:bCs/>
          <w:color w:val="auto"/>
          <w:szCs w:val="21"/>
          <w:highlight w:val="none"/>
        </w:rPr>
      </w:pPr>
    </w:p>
    <w:p w14:paraId="27A0B549">
      <w:pPr>
        <w:autoSpaceDE w:val="0"/>
        <w:autoSpaceDN w:val="0"/>
        <w:adjustRightInd w:val="0"/>
        <w:spacing w:line="400" w:lineRule="atLeast"/>
        <w:jc w:val="center"/>
        <w:rPr>
          <w:rFonts w:hint="eastAsia" w:ascii="宋体" w:hAnsi="宋体" w:eastAsia="宋体" w:cs="宋体"/>
          <w:b/>
          <w:bCs/>
          <w:color w:val="auto"/>
          <w:szCs w:val="21"/>
          <w:highlight w:val="none"/>
        </w:rPr>
      </w:pPr>
    </w:p>
    <w:p w14:paraId="7A682AE8">
      <w:pPr>
        <w:autoSpaceDE w:val="0"/>
        <w:autoSpaceDN w:val="0"/>
        <w:adjustRightInd w:val="0"/>
        <w:spacing w:line="400" w:lineRule="atLeast"/>
        <w:jc w:val="center"/>
        <w:rPr>
          <w:rFonts w:hint="eastAsia" w:ascii="宋体" w:hAnsi="宋体" w:eastAsia="宋体" w:cs="宋体"/>
          <w:b/>
          <w:bCs/>
          <w:color w:val="auto"/>
          <w:szCs w:val="21"/>
          <w:highlight w:val="none"/>
        </w:rPr>
      </w:pPr>
    </w:p>
    <w:p w14:paraId="13D67887">
      <w:pPr>
        <w:autoSpaceDE w:val="0"/>
        <w:autoSpaceDN w:val="0"/>
        <w:adjustRightInd w:val="0"/>
        <w:spacing w:line="360" w:lineRule="auto"/>
        <w:jc w:val="center"/>
        <w:rPr>
          <w:rFonts w:hint="eastAsia" w:ascii="宋体" w:hAnsi="宋体" w:eastAsia="宋体" w:cs="宋体"/>
          <w:b/>
          <w:bCs/>
          <w:color w:val="auto"/>
          <w:sz w:val="36"/>
          <w:szCs w:val="44"/>
          <w:highlight w:val="none"/>
        </w:rPr>
      </w:pPr>
      <w:r>
        <w:rPr>
          <w:rFonts w:hint="eastAsia" w:ascii="宋体" w:hAnsi="宋体" w:eastAsia="宋体" w:cs="宋体"/>
          <w:b/>
          <w:bCs/>
          <w:color w:val="auto"/>
          <w:sz w:val="40"/>
          <w:szCs w:val="36"/>
          <w:highlight w:val="none"/>
        </w:rPr>
        <w:t>东莞市水务集团有限公司2025年度液态次氯酸钠采购项目</w:t>
      </w:r>
    </w:p>
    <w:p w14:paraId="006496F4">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787" w:name="_Toc14752_WPSOffice_Level1"/>
      <w:r>
        <w:rPr>
          <w:rFonts w:hint="eastAsia" w:ascii="宋体" w:hAnsi="宋体" w:eastAsia="宋体" w:cs="宋体"/>
          <w:b/>
          <w:bCs/>
          <w:color w:val="auto"/>
          <w:sz w:val="36"/>
          <w:szCs w:val="36"/>
          <w:highlight w:val="none"/>
          <w:lang w:val="zh-CN"/>
        </w:rPr>
        <w:t>（招标编号：YDZB25DGQY0005）</w:t>
      </w:r>
      <w:bookmarkEnd w:id="787"/>
    </w:p>
    <w:p w14:paraId="1593D97D">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7FAEB534">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00B7ADF2">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4F03B731">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786E8011">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788" w:name="_Toc18947_WPSOffice_Level2"/>
      <w:r>
        <w:rPr>
          <w:rFonts w:hint="eastAsia" w:ascii="宋体" w:hAnsi="宋体" w:eastAsia="宋体" w:cs="宋体"/>
          <w:b/>
          <w:bCs/>
          <w:color w:val="auto"/>
          <w:sz w:val="72"/>
          <w:szCs w:val="72"/>
          <w:highlight w:val="none"/>
          <w:lang w:val="zh-CN"/>
        </w:rPr>
        <w:t>评标工作大纲</w:t>
      </w:r>
      <w:bookmarkEnd w:id="788"/>
    </w:p>
    <w:p w14:paraId="1CEB9A84">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BA8B98F">
      <w:pPr>
        <w:autoSpaceDE w:val="0"/>
        <w:autoSpaceDN w:val="0"/>
        <w:adjustRightInd w:val="0"/>
        <w:spacing w:line="400" w:lineRule="atLeast"/>
        <w:rPr>
          <w:rFonts w:hint="eastAsia" w:ascii="宋体" w:hAnsi="宋体" w:eastAsia="宋体" w:cs="宋体"/>
          <w:b/>
          <w:bCs/>
          <w:color w:val="auto"/>
          <w:sz w:val="36"/>
          <w:szCs w:val="36"/>
          <w:highlight w:val="none"/>
        </w:rPr>
      </w:pPr>
    </w:p>
    <w:p w14:paraId="4D5D90E0">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4EACB7DB">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E2C69CF">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9036E86">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广东有德招标采购有限公司</w:t>
      </w:r>
    </w:p>
    <w:p w14:paraId="73CC14D5">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89" w:name="_Toc32395_WPSOffice_Level1"/>
      <w:r>
        <w:rPr>
          <w:rFonts w:hint="eastAsia" w:ascii="宋体" w:hAnsi="宋体" w:eastAsia="宋体" w:cs="宋体"/>
          <w:b/>
          <w:bCs/>
          <w:color w:val="auto"/>
          <w:sz w:val="36"/>
          <w:szCs w:val="36"/>
          <w:highlight w:val="none"/>
          <w:lang w:val="zh-CN"/>
        </w:rPr>
        <w:t>目录</w:t>
      </w:r>
      <w:bookmarkEnd w:id="789"/>
    </w:p>
    <w:p w14:paraId="609D8DB2">
      <w:pPr>
        <w:autoSpaceDE w:val="0"/>
        <w:autoSpaceDN w:val="0"/>
        <w:adjustRightInd w:val="0"/>
        <w:spacing w:line="400" w:lineRule="atLeast"/>
        <w:jc w:val="center"/>
        <w:rPr>
          <w:rFonts w:hint="eastAsia" w:ascii="宋体" w:hAnsi="宋体" w:eastAsia="宋体" w:cs="宋体"/>
          <w:color w:val="auto"/>
          <w:sz w:val="44"/>
          <w:szCs w:val="44"/>
          <w:highlight w:val="none"/>
        </w:rPr>
      </w:pPr>
    </w:p>
    <w:p w14:paraId="524CFAC7">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90"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90"/>
    </w:p>
    <w:p w14:paraId="0BA0BEE5">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91"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91"/>
    </w:p>
    <w:p w14:paraId="5A54A5AC">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92"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92"/>
    </w:p>
    <w:p w14:paraId="022BF443">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93" w:name="_Toc1206_WPSOffice_Level1"/>
      <w:r>
        <w:rPr>
          <w:rFonts w:hint="eastAsia" w:ascii="宋体" w:hAnsi="宋体" w:eastAsia="宋体" w:cs="宋体"/>
          <w:color w:val="auto"/>
          <w:szCs w:val="30"/>
          <w:highlight w:val="none"/>
        </w:rPr>
        <w:t>四、 比较和评价</w:t>
      </w:r>
      <w:bookmarkEnd w:id="793"/>
    </w:p>
    <w:p w14:paraId="6CD04719">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94"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94"/>
    </w:p>
    <w:p w14:paraId="7E82BDE5">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95"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95"/>
    </w:p>
    <w:p w14:paraId="746E437A">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96"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96"/>
    </w:p>
    <w:p w14:paraId="26D68D96">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1089CEE0">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7BD7BB72">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14:paraId="14786DC0">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97"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97"/>
    </w:p>
    <w:p w14:paraId="166C9AEE">
      <w:pPr>
        <w:tabs>
          <w:tab w:val="left" w:pos="567"/>
          <w:tab w:val="left" w:pos="600"/>
        </w:tabs>
        <w:autoSpaceDE w:val="0"/>
        <w:autoSpaceDN w:val="0"/>
        <w:adjustRightInd w:val="0"/>
        <w:spacing w:line="360" w:lineRule="auto"/>
        <w:ind w:left="600" w:hanging="600"/>
        <w:outlineLvl w:val="0"/>
        <w:rPr>
          <w:rFonts w:hint="eastAsia" w:ascii="宋体" w:hAnsi="宋体" w:eastAsia="宋体" w:cs="宋体"/>
          <w:b/>
          <w:bCs/>
          <w:color w:val="auto"/>
          <w:szCs w:val="24"/>
          <w:highlight w:val="none"/>
          <w:lang w:val="zh-CN"/>
        </w:rPr>
      </w:pPr>
      <w:bookmarkStart w:id="798" w:name="_Toc13780"/>
      <w:r>
        <w:rPr>
          <w:rFonts w:hint="eastAsia" w:ascii="宋体" w:hAnsi="宋体" w:eastAsia="宋体" w:cs="宋体"/>
          <w:b/>
          <w:bCs/>
          <w:color w:val="auto"/>
          <w:szCs w:val="24"/>
          <w:highlight w:val="none"/>
          <w:lang w:val="zh-CN"/>
        </w:rPr>
        <w:t>1、一般规定</w:t>
      </w:r>
      <w:bookmarkEnd w:id="798"/>
    </w:p>
    <w:p w14:paraId="618233B4">
      <w:pPr>
        <w:autoSpaceDE w:val="0"/>
        <w:autoSpaceDN w:val="0"/>
        <w:adjustRightInd w:val="0"/>
        <w:spacing w:line="360" w:lineRule="auto"/>
        <w:ind w:left="567" w:hanging="567"/>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rPr>
        <w:t>东莞市水务集团有限公司2025年度液态次氯酸钠采购项目</w:t>
      </w:r>
      <w:r>
        <w:rPr>
          <w:rFonts w:hint="eastAsia" w:ascii="宋体" w:hAnsi="宋体" w:eastAsia="宋体" w:cs="宋体"/>
          <w:color w:val="auto"/>
          <w:szCs w:val="21"/>
          <w:highlight w:val="none"/>
          <w:lang w:val="zh-CN"/>
        </w:rPr>
        <w:t>(招标编号：YDZB25DGQY0005</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7183AEEF">
      <w:pPr>
        <w:autoSpaceDE w:val="0"/>
        <w:autoSpaceDN w:val="0"/>
        <w:adjustRightInd w:val="0"/>
        <w:spacing w:line="360" w:lineRule="auto"/>
        <w:ind w:left="567" w:hanging="567"/>
        <w:outlineLvl w:val="1"/>
        <w:rPr>
          <w:rFonts w:hint="eastAsia" w:ascii="宋体" w:hAnsi="宋体" w:eastAsia="宋体" w:cs="宋体"/>
          <w:color w:val="auto"/>
          <w:szCs w:val="24"/>
          <w:highlight w:val="none"/>
          <w:lang w:val="zh-CN"/>
        </w:rPr>
      </w:pPr>
      <w:bookmarkStart w:id="799" w:name="_Toc16370"/>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bookmarkEnd w:id="799"/>
    </w:p>
    <w:p w14:paraId="41908C3C">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(广东有德招标采购有限公司）组</w:t>
      </w:r>
      <w:r>
        <w:rPr>
          <w:rFonts w:hint="eastAsia" w:ascii="宋体" w:hAnsi="宋体" w:eastAsia="宋体" w:cs="宋体"/>
          <w:color w:val="auto"/>
          <w:szCs w:val="24"/>
          <w:highlight w:val="none"/>
          <w:lang w:val="zh-CN"/>
        </w:rPr>
        <w:t>织评标工作，全过程接受招标人及相关部门的监督、管理和指导。</w:t>
      </w:r>
    </w:p>
    <w:p w14:paraId="6E5B8268">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1661BD18">
      <w:pPr>
        <w:numPr>
          <w:ilvl w:val="1"/>
          <w:numId w:val="4"/>
        </w:numPr>
        <w:autoSpaceDE w:val="0"/>
        <w:autoSpaceDN w:val="0"/>
        <w:adjustRightInd w:val="0"/>
        <w:spacing w:line="360" w:lineRule="auto"/>
        <w:ind w:left="565" w:hanging="564" w:hangingChars="269"/>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65C1B943">
      <w:pPr>
        <w:autoSpaceDE w:val="0"/>
        <w:autoSpaceDN w:val="0"/>
        <w:adjustRightInd w:val="0"/>
        <w:spacing w:line="360" w:lineRule="auto"/>
        <w:rPr>
          <w:rFonts w:hint="eastAsia" w:ascii="宋体" w:hAnsi="宋体" w:eastAsia="宋体" w:cs="宋体"/>
          <w:color w:val="auto"/>
          <w:sz w:val="24"/>
          <w:szCs w:val="24"/>
          <w:highlight w:val="none"/>
          <w:lang w:val="zh-CN"/>
        </w:rPr>
      </w:pPr>
    </w:p>
    <w:p w14:paraId="2C02B94A">
      <w:pPr>
        <w:tabs>
          <w:tab w:val="left" w:pos="360"/>
          <w:tab w:val="left" w:pos="600"/>
        </w:tabs>
        <w:autoSpaceDE w:val="0"/>
        <w:autoSpaceDN w:val="0"/>
        <w:adjustRightInd w:val="0"/>
        <w:spacing w:line="360" w:lineRule="auto"/>
        <w:ind w:left="600" w:hanging="600"/>
        <w:outlineLvl w:val="0"/>
        <w:rPr>
          <w:rFonts w:hint="eastAsia" w:ascii="宋体" w:hAnsi="宋体" w:eastAsia="宋体" w:cs="宋体"/>
          <w:b/>
          <w:bCs/>
          <w:color w:val="auto"/>
          <w:szCs w:val="24"/>
          <w:highlight w:val="none"/>
          <w:lang w:val="zh-CN"/>
        </w:rPr>
      </w:pPr>
      <w:bookmarkStart w:id="800" w:name="_Toc7281"/>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bookmarkEnd w:id="800"/>
    </w:p>
    <w:p w14:paraId="0DF5D63D">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由招标人和技术、经济等方面的专家组成，成员为7</w:t>
      </w:r>
      <w:r>
        <w:rPr>
          <w:rFonts w:ascii="宋体" w:hAnsi="宋体" w:eastAsia="宋体" w:cs="宋体"/>
          <w:color w:val="auto"/>
          <w:kern w:val="0"/>
          <w:szCs w:val="24"/>
          <w:highlight w:val="none"/>
        </w:rPr>
        <w:t>人以上（含</w:t>
      </w:r>
      <w:r>
        <w:rPr>
          <w:rFonts w:hint="eastAsia" w:ascii="宋体" w:hAnsi="宋体" w:eastAsia="宋体" w:cs="宋体"/>
          <w:color w:val="auto"/>
          <w:kern w:val="0"/>
          <w:szCs w:val="24"/>
          <w:highlight w:val="none"/>
        </w:rPr>
        <w:t>7</w:t>
      </w:r>
      <w:r>
        <w:rPr>
          <w:rFonts w:ascii="宋体" w:hAnsi="宋体" w:eastAsia="宋体" w:cs="宋体"/>
          <w:color w:val="auto"/>
          <w:kern w:val="0"/>
          <w:szCs w:val="24"/>
          <w:highlight w:val="none"/>
        </w:rPr>
        <w:t>人）</w:t>
      </w:r>
      <w:r>
        <w:rPr>
          <w:rFonts w:hint="eastAsia" w:ascii="宋体" w:hAnsi="宋体" w:eastAsia="宋体" w:cs="宋体"/>
          <w:color w:val="auto"/>
          <w:kern w:val="0"/>
          <w:szCs w:val="24"/>
          <w:highlight w:val="none"/>
        </w:rPr>
        <w:t>单数，其中技术、经济等方面的专家不少于成员总数的三分之二。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3A6AAACC">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09C190F8">
      <w:pPr>
        <w:autoSpaceDE w:val="0"/>
        <w:autoSpaceDN w:val="0"/>
        <w:adjustRightInd w:val="0"/>
        <w:spacing w:line="360" w:lineRule="auto"/>
        <w:ind w:left="600" w:hanging="600"/>
        <w:outlineLvl w:val="1"/>
        <w:rPr>
          <w:rFonts w:hint="eastAsia" w:ascii="宋体" w:hAnsi="宋体" w:eastAsia="宋体" w:cs="宋体"/>
          <w:color w:val="auto"/>
          <w:szCs w:val="24"/>
          <w:highlight w:val="none"/>
          <w:lang w:val="zh-CN"/>
        </w:rPr>
      </w:pPr>
      <w:bookmarkStart w:id="801" w:name="_Toc14941"/>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bookmarkEnd w:id="801"/>
    </w:p>
    <w:p w14:paraId="12F3420E">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594D1EF6">
      <w:pPr>
        <w:autoSpaceDE w:val="0"/>
        <w:autoSpaceDN w:val="0"/>
        <w:adjustRightInd w:val="0"/>
        <w:spacing w:line="360" w:lineRule="auto"/>
        <w:rPr>
          <w:rFonts w:hint="eastAsia" w:ascii="宋体" w:hAnsi="宋体" w:eastAsia="宋体" w:cs="宋体"/>
          <w:color w:val="auto"/>
          <w:sz w:val="24"/>
          <w:szCs w:val="24"/>
          <w:highlight w:val="none"/>
          <w:lang w:val="zh-CN"/>
        </w:rPr>
      </w:pPr>
    </w:p>
    <w:p w14:paraId="17DE5D0E">
      <w:pPr>
        <w:autoSpaceDE w:val="0"/>
        <w:autoSpaceDN w:val="0"/>
        <w:adjustRightInd w:val="0"/>
        <w:spacing w:line="360" w:lineRule="auto"/>
        <w:outlineLvl w:val="0"/>
        <w:rPr>
          <w:rFonts w:hint="eastAsia" w:ascii="宋体" w:hAnsi="宋体" w:eastAsia="宋体" w:cs="宋体"/>
          <w:color w:val="auto"/>
          <w:sz w:val="24"/>
          <w:szCs w:val="24"/>
          <w:highlight w:val="none"/>
          <w:lang w:val="zh-CN"/>
        </w:rPr>
      </w:pPr>
      <w:bookmarkStart w:id="802" w:name="_Toc6802"/>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bookmarkEnd w:id="802"/>
    </w:p>
    <w:p w14:paraId="633973B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DEAFF16">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74AF933A">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3E9FACA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7E5949DB">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p>
    <w:p w14:paraId="7BF58833">
      <w:pPr>
        <w:tabs>
          <w:tab w:val="left" w:pos="720"/>
        </w:tabs>
        <w:autoSpaceDE w:val="0"/>
        <w:autoSpaceDN w:val="0"/>
        <w:adjustRightInd w:val="0"/>
        <w:spacing w:line="360" w:lineRule="auto"/>
        <w:outlineLvl w:val="0"/>
        <w:rPr>
          <w:rFonts w:hint="eastAsia" w:ascii="宋体" w:hAnsi="宋体" w:eastAsia="宋体" w:cs="宋体"/>
          <w:b/>
          <w:bCs/>
          <w:color w:val="auto"/>
          <w:szCs w:val="21"/>
          <w:highlight w:val="none"/>
          <w:lang w:val="zh-CN"/>
        </w:rPr>
      </w:pPr>
      <w:bookmarkStart w:id="803" w:name="_Toc3958"/>
      <w:r>
        <w:rPr>
          <w:rFonts w:hint="eastAsia" w:ascii="宋体" w:hAnsi="宋体" w:eastAsia="宋体" w:cs="宋体"/>
          <w:b/>
          <w:bCs/>
          <w:color w:val="auto"/>
          <w:szCs w:val="21"/>
          <w:highlight w:val="none"/>
          <w:lang w:val="zh-CN"/>
        </w:rPr>
        <w:t>4、评标委员会义务</w:t>
      </w:r>
      <w:bookmarkEnd w:id="803"/>
    </w:p>
    <w:p w14:paraId="1AFA7777">
      <w:pPr>
        <w:autoSpaceDE w:val="0"/>
        <w:autoSpaceDN w:val="0"/>
        <w:adjustRightInd w:val="0"/>
        <w:spacing w:line="360" w:lineRule="auto"/>
        <w:jc w:val="left"/>
        <w:outlineLvl w:val="1"/>
        <w:rPr>
          <w:rFonts w:hint="eastAsia" w:ascii="宋体" w:hAnsi="宋体" w:eastAsia="宋体" w:cs="宋体"/>
          <w:color w:val="auto"/>
          <w:kern w:val="0"/>
          <w:szCs w:val="24"/>
          <w:highlight w:val="none"/>
          <w:lang w:val="zh-CN"/>
        </w:rPr>
      </w:pPr>
      <w:bookmarkStart w:id="804" w:name="_Toc26099"/>
      <w:r>
        <w:rPr>
          <w:rFonts w:hint="eastAsia" w:ascii="宋体" w:hAnsi="宋体" w:eastAsia="宋体" w:cs="宋体"/>
          <w:color w:val="auto"/>
          <w:kern w:val="0"/>
          <w:szCs w:val="24"/>
          <w:highlight w:val="none"/>
          <w:lang w:val="zh-CN"/>
        </w:rPr>
        <w:t>4.1  遵纪守法，客观、公正、廉洁地履行职责；</w:t>
      </w:r>
      <w:bookmarkEnd w:id="804"/>
    </w:p>
    <w:p w14:paraId="3B26612C">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46992ACB">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6F798E8F">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5D5784E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5C7C6FE1">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5E1393A4">
      <w:pPr>
        <w:tabs>
          <w:tab w:val="left" w:pos="720"/>
        </w:tabs>
        <w:autoSpaceDE w:val="0"/>
        <w:autoSpaceDN w:val="0"/>
        <w:adjustRightInd w:val="0"/>
        <w:spacing w:line="360" w:lineRule="auto"/>
        <w:rPr>
          <w:rFonts w:hint="eastAsia" w:ascii="宋体" w:hAnsi="宋体" w:eastAsia="宋体" w:cs="宋体"/>
          <w:color w:val="auto"/>
          <w:sz w:val="24"/>
          <w:szCs w:val="24"/>
          <w:highlight w:val="none"/>
          <w:lang w:val="zh-CN"/>
        </w:rPr>
      </w:pPr>
    </w:p>
    <w:p w14:paraId="1EE49A36">
      <w:pPr>
        <w:tabs>
          <w:tab w:val="left" w:pos="1547"/>
        </w:tabs>
        <w:autoSpaceDE w:val="0"/>
        <w:autoSpaceDN w:val="0"/>
        <w:adjustRightInd w:val="0"/>
        <w:spacing w:line="360" w:lineRule="auto"/>
        <w:outlineLvl w:val="0"/>
        <w:rPr>
          <w:rFonts w:hint="eastAsia" w:ascii="宋体" w:hAnsi="宋体" w:eastAsia="宋体" w:cs="Times New Roman"/>
          <w:b/>
          <w:color w:val="auto"/>
          <w:szCs w:val="24"/>
          <w:highlight w:val="none"/>
          <w:lang w:val="zh-CN"/>
        </w:rPr>
      </w:pPr>
      <w:bookmarkStart w:id="805" w:name="_Toc8685"/>
      <w:r>
        <w:rPr>
          <w:rFonts w:hint="eastAsia" w:ascii="宋体" w:hAnsi="宋体" w:eastAsia="宋体" w:cs="宋体"/>
          <w:b/>
          <w:bCs/>
          <w:color w:val="auto"/>
          <w:szCs w:val="21"/>
          <w:highlight w:val="none"/>
          <w:lang w:val="zh-CN"/>
        </w:rPr>
        <w:t>5、评审程序</w:t>
      </w:r>
      <w:bookmarkEnd w:id="805"/>
    </w:p>
    <w:p w14:paraId="203BFD16">
      <w:pPr>
        <w:autoSpaceDE w:val="0"/>
        <w:autoSpaceDN w:val="0"/>
        <w:adjustRightInd w:val="0"/>
        <w:spacing w:line="360" w:lineRule="auto"/>
        <w:ind w:left="567" w:hanging="567"/>
        <w:rPr>
          <w:rFonts w:hint="eastAsia"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0CA9F8FC">
      <w:pPr>
        <w:autoSpaceDE w:val="0"/>
        <w:autoSpaceDN w:val="0"/>
        <w:adjustRightInd w:val="0"/>
        <w:spacing w:line="360" w:lineRule="auto"/>
        <w:ind w:left="567" w:hanging="567"/>
        <w:rPr>
          <w:rFonts w:hint="eastAsia"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198C6957">
      <w:pPr>
        <w:autoSpaceDE w:val="0"/>
        <w:autoSpaceDN w:val="0"/>
        <w:adjustRightInd w:val="0"/>
        <w:spacing w:line="360" w:lineRule="auto"/>
        <w:ind w:left="567" w:hanging="567"/>
        <w:rPr>
          <w:rFonts w:hint="eastAsia"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254EE2F2">
      <w:pPr>
        <w:autoSpaceDE w:val="0"/>
        <w:autoSpaceDN w:val="0"/>
        <w:adjustRightInd w:val="0"/>
        <w:spacing w:line="360" w:lineRule="auto"/>
        <w:ind w:left="567" w:hanging="567"/>
        <w:rPr>
          <w:rFonts w:hint="eastAsia"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32E92B04">
      <w:pPr>
        <w:autoSpaceDE w:val="0"/>
        <w:autoSpaceDN w:val="0"/>
        <w:adjustRightInd w:val="0"/>
        <w:spacing w:line="360" w:lineRule="auto"/>
        <w:ind w:left="567" w:hanging="567"/>
        <w:outlineLvl w:val="1"/>
        <w:rPr>
          <w:rFonts w:hint="eastAsia" w:ascii="宋体" w:hAnsi="宋体" w:eastAsia="宋体" w:cs="Times New Roman"/>
          <w:color w:val="auto"/>
          <w:szCs w:val="24"/>
          <w:highlight w:val="none"/>
          <w:lang w:val="zh-CN"/>
        </w:rPr>
      </w:pPr>
      <w:bookmarkStart w:id="806" w:name="_Toc21216"/>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bookmarkEnd w:id="806"/>
    </w:p>
    <w:p w14:paraId="0C91E41B">
      <w:pPr>
        <w:autoSpaceDE w:val="0"/>
        <w:autoSpaceDN w:val="0"/>
        <w:adjustRightInd w:val="0"/>
        <w:spacing w:line="360" w:lineRule="auto"/>
        <w:ind w:left="567" w:hanging="567"/>
        <w:rPr>
          <w:rFonts w:hint="eastAsia"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7BA3AC11">
      <w:pPr>
        <w:autoSpaceDE w:val="0"/>
        <w:autoSpaceDN w:val="0"/>
        <w:adjustRightInd w:val="0"/>
        <w:spacing w:line="360" w:lineRule="auto"/>
        <w:ind w:left="567" w:hanging="567"/>
        <w:rPr>
          <w:rFonts w:hint="eastAsia"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03B4E22A">
      <w:pPr>
        <w:autoSpaceDE w:val="0"/>
        <w:autoSpaceDN w:val="0"/>
        <w:adjustRightInd w:val="0"/>
        <w:spacing w:line="360" w:lineRule="auto"/>
        <w:ind w:left="525" w:hanging="525" w:hangingChars="250"/>
        <w:jc w:val="left"/>
        <w:outlineLvl w:val="1"/>
        <w:rPr>
          <w:rFonts w:hint="eastAsia" w:ascii="宋体" w:hAnsi="宋体" w:eastAsia="宋体" w:cs="Times New Roman"/>
          <w:color w:val="auto"/>
          <w:szCs w:val="24"/>
          <w:highlight w:val="none"/>
          <w:lang w:val="zh-CN"/>
        </w:rPr>
      </w:pPr>
      <w:bookmarkStart w:id="807" w:name="_Toc26576"/>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bookmarkEnd w:id="807"/>
    </w:p>
    <w:p w14:paraId="7DA41ABE">
      <w:pPr>
        <w:autoSpaceDE w:val="0"/>
        <w:autoSpaceDN w:val="0"/>
        <w:adjustRightInd w:val="0"/>
        <w:spacing w:line="360" w:lineRule="auto"/>
        <w:ind w:left="525" w:hanging="525" w:hangingChars="250"/>
        <w:jc w:val="left"/>
        <w:rPr>
          <w:rFonts w:hint="eastAsia" w:ascii="宋体" w:hAnsi="宋体" w:eastAsia="宋体" w:cs="Times New Roman"/>
          <w:color w:val="auto"/>
          <w:szCs w:val="24"/>
          <w:highlight w:val="none"/>
          <w:lang w:val="zh-CN"/>
        </w:rPr>
      </w:pPr>
    </w:p>
    <w:p w14:paraId="28860939">
      <w:pPr>
        <w:tabs>
          <w:tab w:val="left" w:pos="1140"/>
        </w:tabs>
        <w:autoSpaceDE w:val="0"/>
        <w:autoSpaceDN w:val="0"/>
        <w:adjustRightInd w:val="0"/>
        <w:spacing w:line="360" w:lineRule="auto"/>
        <w:jc w:val="center"/>
        <w:outlineLvl w:val="2"/>
        <w:rPr>
          <w:rFonts w:hint="eastAsia" w:ascii="宋体" w:hAnsi="宋体" w:eastAsia="宋体" w:cs="宋体"/>
          <w:b/>
          <w:bCs/>
          <w:color w:val="auto"/>
          <w:sz w:val="28"/>
          <w:szCs w:val="28"/>
          <w:highlight w:val="none"/>
        </w:rPr>
      </w:pPr>
      <w:bookmarkStart w:id="808" w:name="_Toc28250"/>
      <w:bookmarkStart w:id="809" w:name="_Toc19435_WPSOffice_Level1"/>
      <w:r>
        <w:rPr>
          <w:rFonts w:hint="eastAsia" w:ascii="宋体" w:hAnsi="宋体" w:eastAsia="宋体" w:cs="宋体"/>
          <w:b/>
          <w:bCs/>
          <w:color w:val="auto"/>
          <w:sz w:val="28"/>
          <w:szCs w:val="28"/>
          <w:highlight w:val="none"/>
          <w:lang w:val="zh-CN"/>
        </w:rPr>
        <w:t>二、投标文件的初审</w:t>
      </w:r>
      <w:bookmarkEnd w:id="808"/>
      <w:bookmarkEnd w:id="809"/>
    </w:p>
    <w:p w14:paraId="7114B5BE">
      <w:pPr>
        <w:autoSpaceDE w:val="0"/>
        <w:autoSpaceDN w:val="0"/>
        <w:adjustRightInd w:val="0"/>
        <w:spacing w:line="360" w:lineRule="auto"/>
        <w:outlineLvl w:val="0"/>
        <w:rPr>
          <w:rFonts w:hint="eastAsia" w:ascii="宋体" w:hAnsi="宋体" w:eastAsia="宋体" w:cs="宋体"/>
          <w:b/>
          <w:color w:val="auto"/>
          <w:szCs w:val="24"/>
          <w:highlight w:val="none"/>
          <w:lang w:val="zh-CN"/>
        </w:rPr>
      </w:pPr>
      <w:bookmarkStart w:id="810" w:name="_Toc5277"/>
      <w:r>
        <w:rPr>
          <w:rFonts w:hint="eastAsia" w:ascii="宋体" w:hAnsi="宋体" w:eastAsia="宋体" w:cs="宋体"/>
          <w:b/>
          <w:color w:val="auto"/>
          <w:szCs w:val="24"/>
          <w:highlight w:val="none"/>
          <w:lang w:val="zh-CN"/>
        </w:rPr>
        <w:t>6、投标文件的初审分为资格性检查和符合性检查。</w:t>
      </w:r>
      <w:bookmarkEnd w:id="810"/>
    </w:p>
    <w:p w14:paraId="4F0A3ADA">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0A14BF35">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0699A3D2">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5B349045">
      <w:pPr>
        <w:autoSpaceDE w:val="0"/>
        <w:autoSpaceDN w:val="0"/>
        <w:adjustRightInd w:val="0"/>
        <w:spacing w:line="360" w:lineRule="auto"/>
        <w:ind w:firstLine="840" w:firstLine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73A09969">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0EB43900">
      <w:pPr>
        <w:autoSpaceDE w:val="0"/>
        <w:autoSpaceDN w:val="0"/>
        <w:adjustRightInd w:val="0"/>
        <w:spacing w:line="360" w:lineRule="auto"/>
        <w:outlineLvl w:val="0"/>
        <w:rPr>
          <w:rFonts w:hint="eastAsia" w:ascii="宋体" w:hAnsi="宋体" w:eastAsia="宋体" w:cs="宋体"/>
          <w:b/>
          <w:color w:val="auto"/>
          <w:szCs w:val="21"/>
          <w:highlight w:val="none"/>
          <w:lang w:val="zh-CN"/>
        </w:rPr>
      </w:pPr>
      <w:bookmarkStart w:id="811" w:name="_Toc5724"/>
      <w:r>
        <w:rPr>
          <w:rFonts w:hint="eastAsia" w:ascii="宋体" w:hAnsi="宋体" w:eastAsia="宋体" w:cs="宋体"/>
          <w:b/>
          <w:color w:val="auto"/>
          <w:szCs w:val="21"/>
          <w:highlight w:val="none"/>
          <w:lang w:val="zh-CN"/>
        </w:rPr>
        <w:t>7、投标文件出现下列情况之一的，被认定为无效投标：</w:t>
      </w:r>
      <w:bookmarkEnd w:id="811"/>
    </w:p>
    <w:p w14:paraId="5B1F12B5">
      <w:pPr>
        <w:autoSpaceDE w:val="0"/>
        <w:autoSpaceDN w:val="0"/>
        <w:adjustRightInd w:val="0"/>
        <w:spacing w:line="360" w:lineRule="auto"/>
        <w:outlineLvl w:val="1"/>
        <w:rPr>
          <w:rFonts w:hint="eastAsia" w:ascii="宋体" w:hAnsi="宋体" w:eastAsia="宋体" w:cs="宋体"/>
          <w:b/>
          <w:color w:val="auto"/>
          <w:szCs w:val="21"/>
          <w:highlight w:val="none"/>
          <w:lang w:val="zh-CN"/>
        </w:rPr>
      </w:pPr>
      <w:bookmarkStart w:id="812" w:name="_Toc3320"/>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bookmarkEnd w:id="812"/>
    </w:p>
    <w:p w14:paraId="42EB36BC">
      <w:pPr>
        <w:tabs>
          <w:tab w:val="left" w:pos="567"/>
        </w:tabs>
        <w:spacing w:line="360" w:lineRule="auto"/>
        <w:ind w:left="632" w:hanging="632" w:hangingChars="3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szCs w:val="21"/>
          <w:highlight w:val="none"/>
        </w:rPr>
        <w:t>投标文件中的投标报价或综合单价高于不含税最高投标限价或不含税预算综合单价的；</w:t>
      </w:r>
    </w:p>
    <w:p w14:paraId="1D7183AB">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2C1E19F2">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64295E37">
      <w:pPr>
        <w:tabs>
          <w:tab w:val="left" w:pos="567"/>
        </w:tabs>
        <w:spacing w:line="360" w:lineRule="auto"/>
        <w:ind w:left="632" w:hanging="632" w:hangingChars="3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7095668B">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364426E6">
      <w:pPr>
        <w:spacing w:line="360" w:lineRule="auto"/>
        <w:ind w:left="527" w:hanging="527" w:hangingChars="250"/>
        <w:outlineLvl w:val="1"/>
        <w:rPr>
          <w:rFonts w:hint="eastAsia" w:ascii="宋体" w:hAnsi="宋体" w:eastAsia="宋体" w:cs="宋体"/>
          <w:b/>
          <w:bCs/>
          <w:color w:val="auto"/>
          <w:kern w:val="0"/>
          <w:szCs w:val="21"/>
          <w:highlight w:val="none"/>
        </w:rPr>
      </w:pPr>
      <w:bookmarkStart w:id="813" w:name="_Toc26952"/>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bookmarkEnd w:id="813"/>
    </w:p>
    <w:p w14:paraId="4692664B">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577878A8">
      <w:pPr>
        <w:spacing w:line="360" w:lineRule="auto"/>
        <w:ind w:left="413" w:hanging="413" w:hangingChars="196"/>
        <w:rPr>
          <w:rFonts w:hint="eastAsia"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0A4C4547">
      <w:pPr>
        <w:spacing w:line="360" w:lineRule="auto"/>
        <w:ind w:left="413" w:hanging="413" w:hangingChars="196"/>
        <w:outlineLvl w:val="1"/>
        <w:rPr>
          <w:rFonts w:hint="eastAsia" w:ascii="宋体" w:hAnsi="宋体" w:eastAsia="宋体" w:cs="Times New Roman"/>
          <w:b/>
          <w:color w:val="auto"/>
          <w:kern w:val="0"/>
          <w:szCs w:val="21"/>
          <w:highlight w:val="none"/>
        </w:rPr>
      </w:pPr>
      <w:bookmarkStart w:id="814" w:name="_Toc14556"/>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bookmarkEnd w:id="814"/>
    </w:p>
    <w:p w14:paraId="2F66E7AF">
      <w:pPr>
        <w:spacing w:line="360" w:lineRule="auto"/>
        <w:ind w:left="413" w:hanging="413" w:hangingChars="196"/>
        <w:rPr>
          <w:rFonts w:hint="eastAsia"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2FFF22A5">
      <w:pPr>
        <w:spacing w:line="360" w:lineRule="auto"/>
        <w:ind w:left="413" w:hanging="413" w:hangingChars="196"/>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7.12  投标产品的制造商及取得投标产品制造商就本次投标独家授权的经销商同时参与本项目投标</w:t>
      </w:r>
      <w:r>
        <w:rPr>
          <w:rFonts w:hint="eastAsia" w:ascii="宋体" w:hAnsi="宋体" w:eastAsia="宋体" w:cs="Times New Roman"/>
          <w:b/>
          <w:color w:val="auto"/>
          <w:kern w:val="0"/>
          <w:szCs w:val="21"/>
          <w:highlight w:val="none"/>
          <w:lang w:eastAsia="zh-CN"/>
        </w:rPr>
        <w:t>，</w:t>
      </w:r>
      <w:r>
        <w:rPr>
          <w:rFonts w:hint="eastAsia" w:ascii="宋体" w:hAnsi="宋体" w:eastAsia="宋体" w:cs="Times New Roman"/>
          <w:b/>
          <w:color w:val="auto"/>
          <w:kern w:val="0"/>
          <w:szCs w:val="21"/>
          <w:highlight w:val="none"/>
          <w:lang w:val="en-US" w:eastAsia="zh-CN"/>
        </w:rPr>
        <w:t>或供给供水公司和净水公司的次氯酸钠不是同一制造商生产的产品</w:t>
      </w:r>
      <w:r>
        <w:rPr>
          <w:rFonts w:hint="eastAsia" w:ascii="宋体" w:hAnsi="宋体" w:eastAsia="宋体" w:cs="Times New Roman"/>
          <w:b/>
          <w:color w:val="auto"/>
          <w:kern w:val="0"/>
          <w:szCs w:val="21"/>
          <w:highlight w:val="none"/>
        </w:rPr>
        <w:t>的。</w:t>
      </w:r>
    </w:p>
    <w:p w14:paraId="344969AF">
      <w:pPr>
        <w:autoSpaceDE w:val="0"/>
        <w:autoSpaceDN w:val="0"/>
        <w:adjustRightInd w:val="0"/>
        <w:spacing w:line="360" w:lineRule="auto"/>
        <w:ind w:left="315" w:hanging="315" w:hangingChars="150"/>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28A58256">
      <w:pPr>
        <w:spacing w:line="360" w:lineRule="auto"/>
        <w:ind w:left="480"/>
        <w:rPr>
          <w:rFonts w:hint="eastAsia" w:ascii="宋体" w:hAnsi="宋体" w:eastAsia="宋体" w:cs="宋体"/>
          <w:b/>
          <w:color w:val="auto"/>
          <w:kern w:val="0"/>
          <w:szCs w:val="21"/>
          <w:highlight w:val="none"/>
        </w:rPr>
      </w:pPr>
    </w:p>
    <w:p w14:paraId="7F927A52">
      <w:pPr>
        <w:tabs>
          <w:tab w:val="left" w:pos="1140"/>
        </w:tabs>
        <w:autoSpaceDE w:val="0"/>
        <w:autoSpaceDN w:val="0"/>
        <w:adjustRightInd w:val="0"/>
        <w:spacing w:line="360" w:lineRule="auto"/>
        <w:ind w:firstLine="3528" w:firstLineChars="1255"/>
        <w:jc w:val="left"/>
        <w:outlineLvl w:val="2"/>
        <w:rPr>
          <w:rFonts w:hint="eastAsia" w:ascii="宋体" w:hAnsi="宋体" w:eastAsia="宋体" w:cs="宋体"/>
          <w:b/>
          <w:bCs/>
          <w:color w:val="auto"/>
          <w:sz w:val="28"/>
          <w:szCs w:val="28"/>
          <w:highlight w:val="none"/>
        </w:rPr>
      </w:pPr>
      <w:bookmarkStart w:id="815" w:name="_Toc4109_WPSOffice_Level1"/>
      <w:bookmarkStart w:id="816" w:name="_Toc28103"/>
      <w:r>
        <w:rPr>
          <w:rFonts w:hint="eastAsia" w:ascii="宋体" w:hAnsi="宋体" w:eastAsia="宋体" w:cs="宋体"/>
          <w:b/>
          <w:bCs/>
          <w:color w:val="auto"/>
          <w:sz w:val="28"/>
          <w:szCs w:val="28"/>
          <w:highlight w:val="none"/>
          <w:lang w:val="zh-CN"/>
        </w:rPr>
        <w:t>三、澄清有关问题</w:t>
      </w:r>
      <w:bookmarkEnd w:id="815"/>
      <w:bookmarkEnd w:id="816"/>
    </w:p>
    <w:p w14:paraId="49FE840F">
      <w:pPr>
        <w:autoSpaceDE w:val="0"/>
        <w:autoSpaceDN w:val="0"/>
        <w:adjustRightInd w:val="0"/>
        <w:spacing w:line="360" w:lineRule="auto"/>
        <w:ind w:left="315" w:hanging="315" w:hangingChars="15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31D3DBBB">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1F455996">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58504A5B">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1F4A9A11">
      <w:pPr>
        <w:spacing w:line="360" w:lineRule="auto"/>
        <w:ind w:left="424" w:hanging="424" w:hangingChars="202"/>
        <w:outlineLvl w:val="1"/>
        <w:rPr>
          <w:rFonts w:hint="eastAsia" w:ascii="宋体" w:hAnsi="宋体" w:eastAsia="宋体" w:cs="宋体"/>
          <w:color w:val="auto"/>
          <w:kern w:val="0"/>
          <w:szCs w:val="21"/>
          <w:highlight w:val="none"/>
        </w:rPr>
      </w:pPr>
      <w:bookmarkStart w:id="817" w:name="_Toc12415"/>
      <w:r>
        <w:rPr>
          <w:rFonts w:hint="eastAsia" w:ascii="宋体" w:hAnsi="宋体" w:eastAsia="宋体" w:cs="宋体"/>
          <w:color w:val="auto"/>
          <w:kern w:val="0"/>
          <w:szCs w:val="21"/>
          <w:highlight w:val="none"/>
        </w:rPr>
        <w:t>9.4  投标文件报价计算错误的修正</w:t>
      </w:r>
      <w:bookmarkEnd w:id="817"/>
    </w:p>
    <w:p w14:paraId="4A74EB4F">
      <w:pPr>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76C84E28">
      <w:pPr>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0D2F1200">
      <w:pPr>
        <w:spacing w:line="360" w:lineRule="auto"/>
        <w:ind w:left="420" w:left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00979645">
      <w:pPr>
        <w:spacing w:line="360" w:lineRule="auto"/>
        <w:ind w:firstLine="420" w:firstLineChars="200"/>
        <w:jc w:val="left"/>
        <w:rPr>
          <w:rFonts w:hint="eastAsia"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494868AE">
      <w:pPr>
        <w:spacing w:line="360" w:lineRule="auto"/>
        <w:ind w:left="567" w:hanging="567" w:hangingChars="270"/>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D8E8474">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39AA0935">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bookmarkStart w:id="818" w:name="_Toc8518_WPSOffice_Level1"/>
    </w:p>
    <w:p w14:paraId="50974D73">
      <w:pPr>
        <w:autoSpaceDE w:val="0"/>
        <w:autoSpaceDN w:val="0"/>
        <w:adjustRightInd w:val="0"/>
        <w:spacing w:line="360" w:lineRule="auto"/>
        <w:jc w:val="center"/>
        <w:outlineLvl w:val="2"/>
        <w:rPr>
          <w:rFonts w:hint="eastAsia" w:ascii="宋体" w:hAnsi="宋体" w:eastAsia="宋体" w:cs="宋体"/>
          <w:b/>
          <w:bCs/>
          <w:color w:val="auto"/>
          <w:sz w:val="28"/>
          <w:szCs w:val="28"/>
          <w:highlight w:val="none"/>
        </w:rPr>
      </w:pPr>
      <w:bookmarkStart w:id="819" w:name="_Toc7841"/>
      <w:r>
        <w:rPr>
          <w:rFonts w:hint="eastAsia" w:ascii="宋体" w:hAnsi="宋体" w:eastAsia="宋体" w:cs="宋体"/>
          <w:b/>
          <w:bCs/>
          <w:color w:val="auto"/>
          <w:sz w:val="28"/>
          <w:szCs w:val="28"/>
          <w:highlight w:val="none"/>
          <w:lang w:val="zh-CN"/>
        </w:rPr>
        <w:t>四、比较和评价</w:t>
      </w:r>
      <w:bookmarkEnd w:id="818"/>
      <w:bookmarkEnd w:id="819"/>
    </w:p>
    <w:p w14:paraId="3D9C8BAA">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6F202F94">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p>
    <w:p w14:paraId="6F98E320">
      <w:pPr>
        <w:tabs>
          <w:tab w:val="left" w:pos="1701"/>
        </w:tabs>
        <w:autoSpaceDE w:val="0"/>
        <w:autoSpaceDN w:val="0"/>
        <w:adjustRightInd w:val="0"/>
        <w:spacing w:line="360" w:lineRule="auto"/>
        <w:outlineLvl w:val="0"/>
        <w:rPr>
          <w:rFonts w:hint="eastAsia" w:ascii="宋体" w:hAnsi="宋体" w:eastAsia="宋体" w:cs="宋体"/>
          <w:b/>
          <w:color w:val="auto"/>
          <w:szCs w:val="24"/>
          <w:highlight w:val="none"/>
          <w:lang w:val="zh-CN"/>
        </w:rPr>
      </w:pPr>
      <w:bookmarkStart w:id="820" w:name="_Toc24904"/>
      <w:r>
        <w:rPr>
          <w:rFonts w:hint="eastAsia" w:ascii="宋体" w:hAnsi="宋体" w:eastAsia="宋体" w:cs="宋体"/>
          <w:b/>
          <w:color w:val="auto"/>
          <w:szCs w:val="24"/>
          <w:highlight w:val="none"/>
          <w:lang w:val="zh-CN"/>
        </w:rPr>
        <w:t>11、评委打分办法</w:t>
      </w:r>
      <w:bookmarkEnd w:id="820"/>
    </w:p>
    <w:p w14:paraId="763D4EEC">
      <w:pPr>
        <w:autoSpaceDE w:val="0"/>
        <w:autoSpaceDN w:val="0"/>
        <w:adjustRightInd w:val="0"/>
        <w:spacing w:line="360" w:lineRule="auto"/>
        <w:rPr>
          <w:rFonts w:hint="eastAsia"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65C8492F">
      <w:pPr>
        <w:autoSpaceDE w:val="0"/>
        <w:autoSpaceDN w:val="0"/>
        <w:adjustRightInd w:val="0"/>
        <w:spacing w:line="360" w:lineRule="auto"/>
        <w:ind w:left="565" w:leftChars="-1" w:hanging="567" w:hangingChars="270"/>
        <w:rPr>
          <w:rFonts w:hint="eastAsia"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04A63B5A">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16D38681">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27528F0A">
      <w:pPr>
        <w:autoSpaceDE w:val="0"/>
        <w:autoSpaceDN w:val="0"/>
        <w:adjustRightInd w:val="0"/>
        <w:spacing w:line="360" w:lineRule="auto"/>
        <w:ind w:left="565" w:leftChars="-1" w:hanging="567" w:hangingChars="27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15710078">
      <w:pPr>
        <w:autoSpaceDE w:val="0"/>
        <w:autoSpaceDN w:val="0"/>
        <w:adjustRightInd w:val="0"/>
        <w:spacing w:line="360" w:lineRule="auto"/>
        <w:ind w:left="565" w:leftChars="-1" w:hanging="567" w:hangingChars="270"/>
        <w:rPr>
          <w:rFonts w:hint="eastAsia"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14:paraId="437CAB9C">
      <w:pPr>
        <w:tabs>
          <w:tab w:val="left" w:pos="600"/>
        </w:tabs>
        <w:autoSpaceDE w:val="0"/>
        <w:autoSpaceDN w:val="0"/>
        <w:adjustRightInd w:val="0"/>
        <w:spacing w:line="360" w:lineRule="auto"/>
        <w:outlineLvl w:val="1"/>
        <w:rPr>
          <w:rFonts w:hint="eastAsia" w:ascii="宋体" w:hAnsi="宋体" w:eastAsia="宋体" w:cs="Times New Roman"/>
          <w:color w:val="auto"/>
          <w:szCs w:val="24"/>
          <w:highlight w:val="none"/>
          <w:lang w:val="zh-CN"/>
        </w:rPr>
      </w:pPr>
      <w:bookmarkStart w:id="821" w:name="_Toc8793"/>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bookmarkEnd w:id="821"/>
    </w:p>
    <w:p w14:paraId="4888BE97">
      <w:pPr>
        <w:autoSpaceDE w:val="0"/>
        <w:autoSpaceDN w:val="0"/>
        <w:adjustRightInd w:val="0"/>
        <w:spacing w:line="360" w:lineRule="auto"/>
        <w:ind w:left="565" w:leftChars="-1" w:hanging="567" w:hangingChars="270"/>
        <w:rPr>
          <w:rFonts w:hint="eastAsia"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478EC819">
      <w:pPr>
        <w:autoSpaceDE w:val="0"/>
        <w:autoSpaceDN w:val="0"/>
        <w:adjustRightInd w:val="0"/>
        <w:spacing w:line="360" w:lineRule="auto"/>
        <w:ind w:left="426" w:hanging="426"/>
        <w:rPr>
          <w:rFonts w:hint="eastAsia"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23631D3B">
      <w:pPr>
        <w:tabs>
          <w:tab w:val="left" w:pos="600"/>
        </w:tabs>
        <w:autoSpaceDE w:val="0"/>
        <w:autoSpaceDN w:val="0"/>
        <w:adjustRightInd w:val="0"/>
        <w:spacing w:line="360" w:lineRule="auto"/>
        <w:outlineLvl w:val="1"/>
        <w:rPr>
          <w:rFonts w:hint="eastAsia" w:ascii="宋体" w:hAnsi="宋体" w:eastAsia="宋体" w:cs="Times New Roman"/>
          <w:color w:val="auto"/>
          <w:szCs w:val="24"/>
          <w:highlight w:val="none"/>
          <w:lang w:val="zh-CN"/>
        </w:rPr>
      </w:pPr>
      <w:bookmarkStart w:id="822" w:name="_Toc29576"/>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bookmarkEnd w:id="822"/>
    </w:p>
    <w:p w14:paraId="616224C9">
      <w:pPr>
        <w:tabs>
          <w:tab w:val="left" w:pos="1134"/>
        </w:tabs>
        <w:autoSpaceDE w:val="0"/>
        <w:autoSpaceDN w:val="0"/>
        <w:adjustRightInd w:val="0"/>
        <w:spacing w:line="360" w:lineRule="auto"/>
        <w:ind w:left="565" w:leftChars="-1" w:hanging="567" w:hangingChars="270"/>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61531434">
      <w:pPr>
        <w:tabs>
          <w:tab w:val="left" w:pos="1134"/>
        </w:tabs>
        <w:autoSpaceDE w:val="0"/>
        <w:autoSpaceDN w:val="0"/>
        <w:adjustRightInd w:val="0"/>
        <w:spacing w:line="360" w:lineRule="auto"/>
        <w:ind w:left="565" w:leftChars="-1" w:hanging="567" w:hangingChars="270"/>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71553944">
      <w:pPr>
        <w:tabs>
          <w:tab w:val="left" w:pos="1134"/>
        </w:tabs>
        <w:autoSpaceDE w:val="0"/>
        <w:autoSpaceDN w:val="0"/>
        <w:adjustRightInd w:val="0"/>
        <w:spacing w:line="360" w:lineRule="auto"/>
        <w:ind w:left="565" w:leftChars="-1" w:hanging="567" w:hangingChars="270"/>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3817846D">
      <w:pPr>
        <w:autoSpaceDE w:val="0"/>
        <w:autoSpaceDN w:val="0"/>
        <w:adjustRightInd w:val="0"/>
        <w:spacing w:line="360" w:lineRule="auto"/>
        <w:rPr>
          <w:rFonts w:hint="eastAsia" w:ascii="宋体" w:hAnsi="宋体" w:eastAsia="宋体" w:cs="宋体"/>
          <w:color w:val="auto"/>
          <w:szCs w:val="24"/>
          <w:highlight w:val="none"/>
          <w:lang w:val="zh-CN"/>
        </w:rPr>
      </w:pPr>
    </w:p>
    <w:p w14:paraId="2139A308">
      <w:pPr>
        <w:tabs>
          <w:tab w:val="left" w:pos="1701"/>
        </w:tabs>
        <w:autoSpaceDE w:val="0"/>
        <w:autoSpaceDN w:val="0"/>
        <w:adjustRightInd w:val="0"/>
        <w:spacing w:line="360" w:lineRule="auto"/>
        <w:outlineLvl w:val="0"/>
        <w:rPr>
          <w:rFonts w:hint="eastAsia" w:ascii="宋体" w:hAnsi="宋体" w:eastAsia="宋体" w:cs="宋体"/>
          <w:b/>
          <w:color w:val="auto"/>
          <w:szCs w:val="24"/>
          <w:highlight w:val="none"/>
          <w:lang w:val="zh-CN"/>
        </w:rPr>
      </w:pPr>
      <w:bookmarkStart w:id="823" w:name="_Toc29832"/>
      <w:r>
        <w:rPr>
          <w:rFonts w:hint="eastAsia" w:ascii="宋体" w:hAnsi="宋体" w:eastAsia="宋体" w:cs="宋体"/>
          <w:b/>
          <w:color w:val="auto"/>
          <w:szCs w:val="24"/>
          <w:highlight w:val="none"/>
          <w:lang w:val="zh-CN"/>
        </w:rPr>
        <w:t>12、评分因素及分值</w:t>
      </w:r>
      <w:bookmarkEnd w:id="823"/>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70841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21C980E">
            <w:pPr>
              <w:spacing w:line="400" w:lineRule="exact"/>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799135B8">
            <w:pPr>
              <w:spacing w:line="400" w:lineRule="exact"/>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0A361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DA04308">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3CE07451">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rPr>
              <w:t>24</w:t>
            </w:r>
            <w:r>
              <w:rPr>
                <w:rFonts w:hint="eastAsia" w:ascii="宋体" w:hAnsi="宋体" w:eastAsia="宋体" w:cs="宋体"/>
                <w:b/>
                <w:color w:val="auto"/>
                <w:szCs w:val="21"/>
                <w:highlight w:val="none"/>
                <w:lang w:val="zh-CN"/>
              </w:rPr>
              <w:t>分</w:t>
            </w:r>
          </w:p>
        </w:tc>
      </w:tr>
      <w:tr w14:paraId="53CA50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08CE407">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56426759">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rPr>
              <w:t>16</w:t>
            </w:r>
            <w:r>
              <w:rPr>
                <w:rFonts w:hint="eastAsia" w:ascii="宋体" w:hAnsi="宋体" w:eastAsia="宋体" w:cs="宋体"/>
                <w:b/>
                <w:color w:val="auto"/>
                <w:szCs w:val="21"/>
                <w:highlight w:val="none"/>
                <w:lang w:val="zh-CN"/>
              </w:rPr>
              <w:t>分</w:t>
            </w:r>
          </w:p>
        </w:tc>
      </w:tr>
      <w:tr w14:paraId="48F27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01A8B9A">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564ED3F7">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rPr>
              <w:t>60</w:t>
            </w:r>
            <w:r>
              <w:rPr>
                <w:rFonts w:hint="eastAsia" w:ascii="宋体" w:hAnsi="宋体" w:eastAsia="宋体" w:cs="宋体"/>
                <w:b/>
                <w:color w:val="auto"/>
                <w:szCs w:val="21"/>
                <w:highlight w:val="none"/>
                <w:lang w:val="zh-CN"/>
              </w:rPr>
              <w:t>分</w:t>
            </w:r>
          </w:p>
        </w:tc>
      </w:tr>
    </w:tbl>
    <w:p w14:paraId="577A240B">
      <w:pPr>
        <w:tabs>
          <w:tab w:val="left" w:pos="585"/>
        </w:tabs>
        <w:autoSpaceDE w:val="0"/>
        <w:autoSpaceDN w:val="0"/>
        <w:adjustRightInd w:val="0"/>
        <w:spacing w:line="360" w:lineRule="auto"/>
        <w:rPr>
          <w:rFonts w:hint="eastAsia" w:ascii="宋体" w:hAnsi="宋体" w:eastAsia="宋体" w:cs="宋体"/>
          <w:b/>
          <w:color w:val="auto"/>
          <w:szCs w:val="21"/>
          <w:highlight w:val="none"/>
        </w:rPr>
      </w:pPr>
      <w:bookmarkStart w:id="824" w:name="_Toc18349_WPSOffice_Level2"/>
    </w:p>
    <w:p w14:paraId="0AB66E5A">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rPr>
        <w:t>24</w:t>
      </w:r>
      <w:r>
        <w:rPr>
          <w:rFonts w:hint="eastAsia" w:ascii="宋体" w:hAnsi="宋体" w:eastAsia="宋体" w:cs="宋体"/>
          <w:b/>
          <w:color w:val="auto"/>
          <w:szCs w:val="21"/>
          <w:highlight w:val="none"/>
          <w:lang w:val="zh-CN"/>
        </w:rPr>
        <w:t>分</w:t>
      </w:r>
      <w:bookmarkEnd w:id="824"/>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8"/>
        <w:gridCol w:w="907"/>
      </w:tblGrid>
      <w:tr w14:paraId="4CB5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172AD042">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453BB19F">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2143B214">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4F229369">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28C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02CE30C1">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55FB1588">
            <w:pPr>
              <w:autoSpaceDE w:val="0"/>
              <w:autoSpaceDN w:val="0"/>
              <w:spacing w:line="360" w:lineRule="auto"/>
              <w:jc w:val="center"/>
              <w:rPr>
                <w:rFonts w:hint="eastAsia" w:ascii="宋体" w:hAnsi="宋体" w:eastAsia="宋体" w:cs="Times New Roman"/>
                <w:bCs/>
                <w:color w:val="auto"/>
                <w:kern w:val="0"/>
                <w:sz w:val="24"/>
                <w:szCs w:val="21"/>
                <w:highlight w:val="none"/>
              </w:rPr>
            </w:pPr>
            <w:r>
              <w:rPr>
                <w:rFonts w:hint="eastAsia" w:ascii="宋体" w:hAnsi="宋体" w:eastAsia="宋体" w:cs="宋体"/>
                <w:color w:val="auto"/>
                <w:szCs w:val="21"/>
                <w:highlight w:val="none"/>
                <w:lang w:val="zh-CN"/>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26CCA4AB">
            <w:pPr>
              <w:autoSpaceDE w:val="0"/>
              <w:autoSpaceDN w:val="0"/>
              <w:spacing w:line="360" w:lineRule="auto"/>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投标人2021年-2023年三个年度，每具有1个年度盈利的得1分，满分3分。</w:t>
            </w:r>
          </w:p>
          <w:p w14:paraId="7F770D82">
            <w:pPr>
              <w:autoSpaceDE w:val="0"/>
              <w:autoSpaceDN w:val="0"/>
              <w:spacing w:line="360" w:lineRule="auto"/>
              <w:jc w:val="left"/>
              <w:rPr>
                <w:rFonts w:hint="eastAsia"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rPr>
              <w:t>备</w:t>
            </w:r>
            <w:r>
              <w:rPr>
                <w:rFonts w:hint="eastAsia" w:ascii="宋体" w:hAnsi="宋体" w:eastAsia="宋体" w:cs="宋体"/>
                <w:b/>
                <w:color w:val="auto"/>
                <w:kern w:val="0"/>
                <w:szCs w:val="21"/>
                <w:highlight w:val="none"/>
                <w:lang w:val="zh-CN"/>
              </w:rPr>
              <w:t>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70758EFB">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3分</w:t>
            </w:r>
          </w:p>
        </w:tc>
      </w:tr>
      <w:tr w14:paraId="401C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582410B">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546" w:type="pct"/>
            <w:tcBorders>
              <w:top w:val="single" w:color="auto" w:sz="4" w:space="0"/>
              <w:left w:val="single" w:color="auto" w:sz="4" w:space="0"/>
              <w:bottom w:val="single" w:color="auto" w:sz="4" w:space="0"/>
              <w:right w:val="single" w:color="auto" w:sz="4" w:space="0"/>
            </w:tcBorders>
            <w:vAlign w:val="center"/>
          </w:tcPr>
          <w:p w14:paraId="11C006A8">
            <w:pPr>
              <w:autoSpaceDE w:val="0"/>
              <w:autoSpaceDN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标准化程度   </w:t>
            </w:r>
          </w:p>
        </w:tc>
        <w:tc>
          <w:tcPr>
            <w:tcW w:w="3691" w:type="pct"/>
            <w:tcBorders>
              <w:top w:val="single" w:color="auto" w:sz="4" w:space="0"/>
              <w:left w:val="single" w:color="auto" w:sz="4" w:space="0"/>
              <w:bottom w:val="single" w:color="auto" w:sz="4" w:space="0"/>
              <w:right w:val="single" w:color="auto" w:sz="4" w:space="0"/>
            </w:tcBorders>
            <w:vAlign w:val="center"/>
          </w:tcPr>
          <w:p w14:paraId="46F2FF11">
            <w:pPr>
              <w:autoSpaceDE w:val="0"/>
              <w:autoSpaceDN w:val="0"/>
              <w:snapToGrid/>
              <w:spacing w:line="360" w:lineRule="auto"/>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（1）投标人具有有效期内的ISO9001质量管理体系认证证书得1分；</w:t>
            </w:r>
          </w:p>
          <w:p w14:paraId="639F9041">
            <w:pPr>
              <w:autoSpaceDE w:val="0"/>
              <w:autoSpaceDN w:val="0"/>
              <w:snapToGrid/>
              <w:spacing w:line="360" w:lineRule="auto"/>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（2）投标人具有有效期内的ISO14001环境管理体系认证证书得1分；</w:t>
            </w:r>
          </w:p>
          <w:p w14:paraId="630E3961">
            <w:pPr>
              <w:autoSpaceDE w:val="0"/>
              <w:autoSpaceDN w:val="0"/>
              <w:snapToGrid/>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（3）投标人具有有效期内的OHSAS18001（或GB/T</w:t>
            </w:r>
            <w:r>
              <w:rPr>
                <w:rFonts w:hint="eastAsia" w:ascii="宋体" w:hAnsi="宋体" w:eastAsia="宋体" w:cs="宋体"/>
                <w:color w:val="auto"/>
                <w:szCs w:val="21"/>
                <w:highlight w:val="none"/>
              </w:rPr>
              <w:t>45001</w:t>
            </w:r>
            <w:r>
              <w:rPr>
                <w:rFonts w:hint="eastAsia" w:ascii="宋体" w:hAnsi="宋体" w:eastAsia="宋体" w:cs="宋体"/>
                <w:color w:val="auto"/>
                <w:szCs w:val="21"/>
                <w:highlight w:val="none"/>
                <w:lang w:val="zh-CN"/>
              </w:rPr>
              <w:t>-20</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，或ISO45001）职业健康安全管理体系认证证书得1分。</w:t>
            </w:r>
          </w:p>
          <w:p w14:paraId="50FE7495">
            <w:pPr>
              <w:autoSpaceDE w:val="0"/>
              <w:autoSpaceDN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备注：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38FB302A">
            <w:pPr>
              <w:autoSpaceDE w:val="0"/>
              <w:autoSpaceDN w:val="0"/>
              <w:adjustRightInd w:val="0"/>
              <w:spacing w:line="360" w:lineRule="auto"/>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3分</w:t>
            </w:r>
          </w:p>
        </w:tc>
      </w:tr>
      <w:tr w14:paraId="577C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02FE790">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4D01A352">
            <w:pPr>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业绩</w:t>
            </w:r>
          </w:p>
        </w:tc>
        <w:tc>
          <w:tcPr>
            <w:tcW w:w="3691" w:type="pct"/>
            <w:tcBorders>
              <w:top w:val="single" w:color="auto" w:sz="4" w:space="0"/>
              <w:left w:val="single" w:color="auto" w:sz="4" w:space="0"/>
              <w:bottom w:val="single" w:color="auto" w:sz="4" w:space="0"/>
              <w:right w:val="single" w:color="auto" w:sz="4" w:space="0"/>
            </w:tcBorders>
            <w:vAlign w:val="center"/>
          </w:tcPr>
          <w:p w14:paraId="0A95D65F">
            <w:pPr>
              <w:pStyle w:val="21"/>
              <w:spacing w:line="360" w:lineRule="auto"/>
              <w:rPr>
                <w:rFonts w:hint="eastAsia" w:hAnsi="宋体" w:cs="宋体"/>
                <w:color w:val="auto"/>
                <w:szCs w:val="21"/>
                <w:highlight w:val="none"/>
              </w:rPr>
            </w:pPr>
            <w:r>
              <w:rPr>
                <w:rFonts w:hint="eastAsia" w:hAnsi="宋体" w:cs="宋体"/>
                <w:color w:val="auto"/>
                <w:szCs w:val="21"/>
                <w:highlight w:val="none"/>
              </w:rPr>
              <w:t>投标人2022年以来具有的投标品牌液态次氯酸钠供货业绩（合同签订日期为2022年1月1日或以后），按下列情况评分：</w:t>
            </w:r>
          </w:p>
          <w:p w14:paraId="41814BAD">
            <w:pPr>
              <w:pStyle w:val="21"/>
              <w:spacing w:line="360" w:lineRule="auto"/>
              <w:rPr>
                <w:rFonts w:hint="eastAsia" w:hAnsi="宋体" w:cs="宋体"/>
                <w:color w:val="auto"/>
                <w:szCs w:val="21"/>
                <w:highlight w:val="none"/>
              </w:rPr>
            </w:pPr>
            <w:r>
              <w:rPr>
                <w:rFonts w:hint="eastAsia" w:hAnsi="宋体" w:cs="宋体"/>
                <w:color w:val="auto"/>
                <w:szCs w:val="21"/>
                <w:highlight w:val="none"/>
              </w:rPr>
              <w:t>（1）单项合同金额≥1</w:t>
            </w:r>
            <w:r>
              <w:rPr>
                <w:rFonts w:hint="eastAsia" w:hAnsi="宋体" w:cs="宋体"/>
                <w:color w:val="auto"/>
                <w:szCs w:val="21"/>
                <w:highlight w:val="none"/>
                <w:lang w:val="en-US" w:eastAsia="zh-CN"/>
              </w:rPr>
              <w:t>5</w:t>
            </w:r>
            <w:r>
              <w:rPr>
                <w:rFonts w:hint="eastAsia" w:hAnsi="宋体" w:cs="宋体"/>
                <w:color w:val="auto"/>
                <w:szCs w:val="21"/>
                <w:highlight w:val="none"/>
              </w:rPr>
              <w:t>00万元的前述业绩的，每项得1分。</w:t>
            </w:r>
          </w:p>
          <w:p w14:paraId="660B3928">
            <w:pPr>
              <w:pStyle w:val="21"/>
              <w:spacing w:line="360" w:lineRule="auto"/>
              <w:rPr>
                <w:rFonts w:hint="eastAsia"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val="en-US" w:eastAsia="zh-CN"/>
              </w:rPr>
              <w:t>10</w:t>
            </w:r>
            <w:r>
              <w:rPr>
                <w:rFonts w:hint="eastAsia" w:hAnsi="宋体" w:cs="宋体"/>
                <w:color w:val="auto"/>
                <w:szCs w:val="21"/>
                <w:highlight w:val="none"/>
              </w:rPr>
              <w:t>00万元≤单项合同金额＜1</w:t>
            </w:r>
            <w:r>
              <w:rPr>
                <w:rFonts w:hint="eastAsia" w:hAnsi="宋体" w:cs="宋体"/>
                <w:color w:val="auto"/>
                <w:szCs w:val="21"/>
                <w:highlight w:val="none"/>
                <w:lang w:val="en-US" w:eastAsia="zh-CN"/>
              </w:rPr>
              <w:t>5</w:t>
            </w:r>
            <w:r>
              <w:rPr>
                <w:rFonts w:hint="eastAsia" w:hAnsi="宋体" w:cs="宋体"/>
                <w:color w:val="auto"/>
                <w:szCs w:val="21"/>
                <w:highlight w:val="none"/>
              </w:rPr>
              <w:t>00万元的前述业绩的，每项得0.8分。</w:t>
            </w:r>
          </w:p>
          <w:p w14:paraId="71A4B8B4">
            <w:pPr>
              <w:pStyle w:val="21"/>
              <w:spacing w:line="360" w:lineRule="auto"/>
              <w:rPr>
                <w:rFonts w:hint="eastAsia" w:hAnsi="宋体" w:cs="宋体"/>
                <w:color w:val="auto"/>
                <w:szCs w:val="21"/>
                <w:highlight w:val="none"/>
              </w:rPr>
            </w:pPr>
            <w:r>
              <w:rPr>
                <w:rFonts w:hint="eastAsia" w:hAnsi="宋体" w:cs="宋体"/>
                <w:color w:val="auto"/>
                <w:szCs w:val="21"/>
                <w:highlight w:val="none"/>
              </w:rPr>
              <w:t>（3）</w:t>
            </w:r>
            <w:r>
              <w:rPr>
                <w:rFonts w:hint="eastAsia" w:hAnsi="宋体" w:cs="宋体"/>
                <w:color w:val="auto"/>
                <w:szCs w:val="21"/>
                <w:highlight w:val="none"/>
                <w:lang w:val="en-US" w:eastAsia="zh-CN"/>
              </w:rPr>
              <w:t>5</w:t>
            </w:r>
            <w:r>
              <w:rPr>
                <w:rFonts w:hint="eastAsia" w:hAnsi="宋体" w:cs="宋体"/>
                <w:color w:val="auto"/>
                <w:szCs w:val="21"/>
                <w:highlight w:val="none"/>
              </w:rPr>
              <w:t>00万元≤单项合同金额＜</w:t>
            </w:r>
            <w:r>
              <w:rPr>
                <w:rFonts w:hint="eastAsia" w:hAnsi="宋体" w:cs="宋体"/>
                <w:color w:val="auto"/>
                <w:szCs w:val="21"/>
                <w:highlight w:val="none"/>
                <w:lang w:val="en-US" w:eastAsia="zh-CN"/>
              </w:rPr>
              <w:t>10</w:t>
            </w:r>
            <w:r>
              <w:rPr>
                <w:rFonts w:hint="eastAsia" w:hAnsi="宋体" w:cs="宋体"/>
                <w:color w:val="auto"/>
                <w:szCs w:val="21"/>
                <w:highlight w:val="none"/>
              </w:rPr>
              <w:t>00万元的前述业绩的，每项得0.5分，本子项满分</w:t>
            </w:r>
            <w:r>
              <w:rPr>
                <w:rFonts w:hint="eastAsia" w:hAnsi="宋体" w:cs="宋体"/>
                <w:color w:val="auto"/>
                <w:szCs w:val="21"/>
                <w:highlight w:val="none"/>
                <w:lang w:val="en-US" w:eastAsia="zh-CN"/>
              </w:rPr>
              <w:t>12</w:t>
            </w:r>
            <w:r>
              <w:rPr>
                <w:rFonts w:hint="eastAsia" w:hAnsi="宋体" w:cs="宋体"/>
                <w:color w:val="auto"/>
                <w:szCs w:val="21"/>
                <w:highlight w:val="none"/>
              </w:rPr>
              <w:t>分。</w:t>
            </w:r>
          </w:p>
          <w:p w14:paraId="61237A8A">
            <w:pPr>
              <w:pStyle w:val="21"/>
              <w:spacing w:line="360" w:lineRule="auto"/>
              <w:rPr>
                <w:rFonts w:hint="eastAsia" w:hAnsi="宋体" w:cs="宋体"/>
                <w:b/>
                <w:color w:val="auto"/>
                <w:szCs w:val="21"/>
                <w:highlight w:val="none"/>
              </w:rPr>
            </w:pPr>
            <w:r>
              <w:rPr>
                <w:rFonts w:hint="eastAsia" w:hAnsi="宋体" w:cs="宋体"/>
                <w:b/>
                <w:color w:val="auto"/>
                <w:szCs w:val="21"/>
                <w:highlight w:val="none"/>
              </w:rPr>
              <w:t>备注：</w:t>
            </w:r>
          </w:p>
          <w:p w14:paraId="1E8C18AC">
            <w:pPr>
              <w:pStyle w:val="21"/>
              <w:spacing w:line="360" w:lineRule="auto"/>
              <w:rPr>
                <w:rFonts w:hint="eastAsia" w:hAnsi="宋体" w:cs="宋体"/>
                <w:b/>
                <w:bCs/>
                <w:color w:val="auto"/>
                <w:szCs w:val="21"/>
                <w:highlight w:val="none"/>
              </w:rPr>
            </w:pPr>
            <w:r>
              <w:rPr>
                <w:rFonts w:hint="eastAsia" w:hAnsi="宋体" w:cs="宋体"/>
                <w:b/>
                <w:bCs/>
                <w:color w:val="auto"/>
                <w:szCs w:val="21"/>
                <w:highlight w:val="none"/>
              </w:rPr>
              <w:t>业绩按以下条款作为考评依据：</w:t>
            </w:r>
          </w:p>
          <w:p w14:paraId="70F8AECF">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1）须附合同复印件，否则不得分；</w:t>
            </w:r>
          </w:p>
          <w:p w14:paraId="49C19A14">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2）若业绩为框架式协议或资格入围等无明确金额的合同，必须同时提供合同期限内已供货产品发票金额统计表和供货发票复印件，否则，视为无效业绩；</w:t>
            </w:r>
          </w:p>
          <w:p w14:paraId="75DAFE3A">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若合同无法反映评分条件（卖方为投标人、合同签订日期为2022年1月1日或以后、金额、合同标的必须包含投标品牌液态次氯酸钠）的，还需提供产品购买方出具的书面补充说明文件复印件作为辅助证明（补充说明文件复印件能显示购买方公章），否则不得分；</w:t>
            </w:r>
          </w:p>
          <w:p w14:paraId="36C33239">
            <w:pPr>
              <w:spacing w:line="360" w:lineRule="auto"/>
              <w:rPr>
                <w:rFonts w:hint="eastAsia" w:ascii="宋体" w:hAnsi="宋体" w:eastAsia="宋体" w:cs="Times New Roman"/>
                <w:b/>
                <w:color w:val="auto"/>
                <w:kern w:val="0"/>
                <w:sz w:val="24"/>
                <w:szCs w:val="24"/>
                <w:highlight w:val="none"/>
              </w:rPr>
            </w:pPr>
            <w:r>
              <w:rPr>
                <w:rFonts w:hint="eastAsia" w:ascii="宋体" w:hAnsi="宋体" w:eastAsia="宋体" w:cs="宋体"/>
                <w:b/>
                <w:bCs/>
                <w:color w:val="auto"/>
                <w:szCs w:val="21"/>
                <w:highlight w:val="none"/>
              </w:rPr>
              <w:t>4）未按上述要求提供证明材料的业绩，或所附材料无法证明填报项目符合本项评分要求的业绩，在评标时将不予考虑。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31D3BFE3">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18分</w:t>
            </w:r>
          </w:p>
        </w:tc>
      </w:tr>
    </w:tbl>
    <w:p w14:paraId="7CBF317B">
      <w:pPr>
        <w:autoSpaceDE w:val="0"/>
        <w:autoSpaceDN w:val="0"/>
        <w:adjustRightInd w:val="0"/>
        <w:ind w:right="-26" w:firstLine="480"/>
        <w:jc w:val="center"/>
        <w:rPr>
          <w:rFonts w:hint="eastAsia" w:ascii="宋体" w:hAnsi="宋体" w:eastAsia="宋体" w:cs="Times New Roman"/>
          <w:b/>
          <w:bCs/>
          <w:color w:val="auto"/>
          <w:kern w:val="0"/>
          <w:sz w:val="24"/>
          <w:szCs w:val="24"/>
          <w:highlight w:val="none"/>
        </w:rPr>
      </w:pPr>
      <w:bookmarkStart w:id="825" w:name="_Toc11639_WPSOffice_Level2"/>
    </w:p>
    <w:p w14:paraId="63FFB2E6">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rPr>
        <w:t>16</w:t>
      </w:r>
      <w:r>
        <w:rPr>
          <w:rFonts w:hint="eastAsia" w:ascii="宋体" w:hAnsi="宋体" w:eastAsia="宋体" w:cs="宋体"/>
          <w:b/>
          <w:color w:val="auto"/>
          <w:szCs w:val="21"/>
          <w:highlight w:val="none"/>
          <w:lang w:val="zh-CN"/>
        </w:rPr>
        <w:t>分</w:t>
      </w:r>
      <w:bookmarkEnd w:id="825"/>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133"/>
        <w:gridCol w:w="1429"/>
        <w:gridCol w:w="6256"/>
        <w:gridCol w:w="911"/>
      </w:tblGrid>
      <w:tr w14:paraId="3DC5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09" w:type="pct"/>
            <w:tcBorders>
              <w:top w:val="single" w:color="auto" w:sz="4" w:space="0"/>
              <w:left w:val="single" w:color="auto" w:sz="4" w:space="0"/>
              <w:bottom w:val="single" w:color="auto" w:sz="4" w:space="0"/>
              <w:right w:val="single" w:color="auto" w:sz="4" w:space="0"/>
            </w:tcBorders>
            <w:vAlign w:val="center"/>
          </w:tcPr>
          <w:p w14:paraId="1AC7D02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34D9AAE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评审内容</w:t>
            </w:r>
          </w:p>
        </w:tc>
        <w:tc>
          <w:tcPr>
            <w:tcW w:w="3705" w:type="pct"/>
            <w:gridSpan w:val="2"/>
            <w:tcBorders>
              <w:top w:val="single" w:color="auto" w:sz="4" w:space="0"/>
              <w:left w:val="single" w:color="auto" w:sz="4" w:space="0"/>
              <w:bottom w:val="single" w:color="auto" w:sz="4" w:space="0"/>
              <w:right w:val="single" w:color="auto" w:sz="4" w:space="0"/>
            </w:tcBorders>
            <w:vAlign w:val="center"/>
          </w:tcPr>
          <w:p w14:paraId="7489388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评审细则</w:t>
            </w:r>
          </w:p>
        </w:tc>
        <w:tc>
          <w:tcPr>
            <w:tcW w:w="439" w:type="pct"/>
            <w:tcBorders>
              <w:top w:val="single" w:color="auto" w:sz="4" w:space="0"/>
              <w:left w:val="single" w:color="auto" w:sz="4" w:space="0"/>
              <w:bottom w:val="single" w:color="auto" w:sz="4" w:space="0"/>
              <w:right w:val="single" w:color="auto" w:sz="4" w:space="0"/>
            </w:tcBorders>
            <w:vAlign w:val="center"/>
          </w:tcPr>
          <w:p w14:paraId="0B5A280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满分值</w:t>
            </w:r>
          </w:p>
        </w:tc>
      </w:tr>
      <w:tr w14:paraId="6225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09" w:type="pct"/>
            <w:tcBorders>
              <w:top w:val="single" w:color="auto" w:sz="4" w:space="0"/>
              <w:left w:val="single" w:color="auto" w:sz="4" w:space="0"/>
              <w:right w:val="single" w:color="auto" w:sz="4" w:space="0"/>
            </w:tcBorders>
            <w:vAlign w:val="center"/>
          </w:tcPr>
          <w:p w14:paraId="05CD699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46" w:type="pct"/>
            <w:tcBorders>
              <w:top w:val="single" w:color="auto" w:sz="4" w:space="0"/>
              <w:left w:val="single" w:color="auto" w:sz="4" w:space="0"/>
              <w:right w:val="single" w:color="auto" w:sz="4" w:space="0"/>
            </w:tcBorders>
            <w:vAlign w:val="center"/>
          </w:tcPr>
          <w:p w14:paraId="6C839DAE">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用户需求的响应程度</w:t>
            </w:r>
          </w:p>
        </w:tc>
        <w:tc>
          <w:tcPr>
            <w:tcW w:w="3705" w:type="pct"/>
            <w:gridSpan w:val="2"/>
            <w:tcBorders>
              <w:top w:val="single" w:color="auto" w:sz="4" w:space="0"/>
              <w:left w:val="single" w:color="auto" w:sz="4" w:space="0"/>
              <w:bottom w:val="single" w:color="auto" w:sz="4" w:space="0"/>
              <w:right w:val="single" w:color="auto" w:sz="4" w:space="0"/>
            </w:tcBorders>
            <w:vAlign w:val="center"/>
          </w:tcPr>
          <w:p w14:paraId="7A9881A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用户需求偏离表的偏离情况进行评审计分，完全满足用户需求的要求得满分，每一处负偏离，扣2分；同时参照其投标文件中产品技术性能说明等技术资料的内容进行对比，每发现一处投标人填写为无偏离或正偏离，但评标委员会评审认定其为负偏离的，每处扣3分；本项最低分为0分。</w:t>
            </w:r>
          </w:p>
        </w:tc>
        <w:tc>
          <w:tcPr>
            <w:tcW w:w="439" w:type="pct"/>
            <w:tcBorders>
              <w:top w:val="single" w:color="auto" w:sz="4" w:space="0"/>
              <w:left w:val="single" w:color="auto" w:sz="4" w:space="0"/>
              <w:bottom w:val="single" w:color="auto" w:sz="4" w:space="0"/>
              <w:right w:val="single" w:color="auto" w:sz="4" w:space="0"/>
            </w:tcBorders>
            <w:vAlign w:val="center"/>
          </w:tcPr>
          <w:p w14:paraId="18C01CBF">
            <w:pPr>
              <w:pStyle w:val="194"/>
              <w:keepNext w:val="0"/>
              <w:tabs>
                <w:tab w:val="left" w:pos="585"/>
                <w:tab w:val="left" w:pos="680"/>
              </w:tabs>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6分</w:t>
            </w:r>
          </w:p>
        </w:tc>
      </w:tr>
      <w:tr w14:paraId="743B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09" w:type="pct"/>
            <w:vMerge w:val="restart"/>
            <w:tcBorders>
              <w:top w:val="single" w:color="auto" w:sz="4" w:space="0"/>
              <w:left w:val="single" w:color="auto" w:sz="4" w:space="0"/>
              <w:right w:val="single" w:color="auto" w:sz="4" w:space="0"/>
            </w:tcBorders>
            <w:vAlign w:val="center"/>
          </w:tcPr>
          <w:p w14:paraId="3187C1AD">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w:t>
            </w:r>
          </w:p>
        </w:tc>
        <w:tc>
          <w:tcPr>
            <w:tcW w:w="546" w:type="pct"/>
            <w:vMerge w:val="restart"/>
            <w:tcBorders>
              <w:top w:val="single" w:color="auto" w:sz="4" w:space="0"/>
              <w:left w:val="single" w:color="auto" w:sz="4" w:space="0"/>
              <w:right w:val="single" w:color="auto" w:sz="4" w:space="0"/>
            </w:tcBorders>
            <w:vAlign w:val="center"/>
          </w:tcPr>
          <w:p w14:paraId="0F5AB871">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zh-CN"/>
              </w:rPr>
              <w:t>生产</w:t>
            </w:r>
            <w:r>
              <w:rPr>
                <w:rFonts w:hint="eastAsia" w:ascii="宋体" w:hAnsi="宋体" w:eastAsia="宋体" w:cs="宋体"/>
                <w:color w:val="auto"/>
                <w:szCs w:val="21"/>
                <w:highlight w:val="none"/>
              </w:rPr>
              <w:t>规模及技术力量</w:t>
            </w:r>
          </w:p>
        </w:tc>
        <w:tc>
          <w:tcPr>
            <w:tcW w:w="4144" w:type="pct"/>
            <w:gridSpan w:val="3"/>
            <w:tcBorders>
              <w:top w:val="single" w:color="auto" w:sz="4" w:space="0"/>
              <w:left w:val="single" w:color="auto" w:sz="4" w:space="0"/>
              <w:bottom w:val="single" w:color="auto" w:sz="4" w:space="0"/>
              <w:right w:val="single" w:color="auto" w:sz="4" w:space="0"/>
            </w:tcBorders>
            <w:vAlign w:val="center"/>
          </w:tcPr>
          <w:p w14:paraId="5255DA6D">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横向比较</w:t>
            </w:r>
            <w:r>
              <w:rPr>
                <w:rFonts w:hint="eastAsia" w:ascii="宋体" w:hAnsi="宋体" w:eastAsia="宋体" w:cs="宋体"/>
                <w:b/>
                <w:bCs/>
                <w:color w:val="auto"/>
                <w:szCs w:val="21"/>
                <w:highlight w:val="none"/>
                <w:lang w:val="zh-CN"/>
              </w:rPr>
              <w:t>制造商生产液态次氯酸钠产品的生产环境、设施设备资料、产能证明资料</w:t>
            </w:r>
            <w:r>
              <w:rPr>
                <w:rFonts w:hint="eastAsia" w:ascii="宋体" w:hAnsi="宋体" w:eastAsia="宋体" w:cs="宋体"/>
                <w:b/>
                <w:bCs/>
                <w:color w:val="auto"/>
                <w:szCs w:val="21"/>
                <w:highlight w:val="none"/>
              </w:rPr>
              <w:t>及</w:t>
            </w:r>
            <w:r>
              <w:rPr>
                <w:rFonts w:hint="eastAsia" w:ascii="宋体" w:hAnsi="宋体" w:eastAsia="宋体" w:cs="宋体"/>
                <w:b/>
                <w:bCs/>
                <w:color w:val="auto"/>
                <w:szCs w:val="21"/>
                <w:highlight w:val="none"/>
                <w:lang w:val="zh-CN"/>
              </w:rPr>
              <w:t>服务团队</w:t>
            </w:r>
            <w:r>
              <w:rPr>
                <w:rFonts w:hint="eastAsia" w:ascii="宋体" w:hAnsi="宋体" w:eastAsia="宋体" w:cs="宋体"/>
                <w:b/>
                <w:bCs/>
                <w:color w:val="auto"/>
                <w:szCs w:val="21"/>
                <w:highlight w:val="none"/>
              </w:rPr>
              <w:t>等进行评审：</w:t>
            </w:r>
          </w:p>
        </w:tc>
      </w:tr>
      <w:tr w14:paraId="4109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09" w:type="pct"/>
            <w:vMerge w:val="continue"/>
            <w:tcBorders>
              <w:left w:val="single" w:color="auto" w:sz="4" w:space="0"/>
              <w:right w:val="single" w:color="auto" w:sz="4" w:space="0"/>
            </w:tcBorders>
            <w:vAlign w:val="center"/>
          </w:tcPr>
          <w:p w14:paraId="0F50260B">
            <w:pPr>
              <w:spacing w:line="360" w:lineRule="auto"/>
              <w:rPr>
                <w:rFonts w:hint="eastAsia" w:ascii="宋体" w:hAnsi="宋体" w:eastAsia="宋体" w:cs="宋体"/>
                <w:color w:val="auto"/>
                <w:szCs w:val="21"/>
                <w:highlight w:val="none"/>
              </w:rPr>
            </w:pPr>
          </w:p>
        </w:tc>
        <w:tc>
          <w:tcPr>
            <w:tcW w:w="546" w:type="pct"/>
            <w:vMerge w:val="continue"/>
            <w:tcBorders>
              <w:left w:val="single" w:color="auto" w:sz="4" w:space="0"/>
              <w:right w:val="single" w:color="auto" w:sz="4" w:space="0"/>
            </w:tcBorders>
            <w:vAlign w:val="center"/>
          </w:tcPr>
          <w:p w14:paraId="2CF0CF9D">
            <w:pPr>
              <w:spacing w:line="360" w:lineRule="auto"/>
              <w:rPr>
                <w:rFonts w:hint="eastAsia" w:ascii="宋体" w:hAnsi="宋体" w:eastAsia="宋体" w:cs="宋体"/>
                <w:color w:val="auto"/>
                <w:szCs w:val="21"/>
                <w:highlight w:val="none"/>
              </w:rPr>
            </w:pPr>
          </w:p>
        </w:tc>
        <w:tc>
          <w:tcPr>
            <w:tcW w:w="689" w:type="pct"/>
            <w:tcBorders>
              <w:top w:val="single" w:color="auto" w:sz="4" w:space="0"/>
              <w:left w:val="single" w:color="auto" w:sz="4" w:space="0"/>
              <w:bottom w:val="single" w:color="auto" w:sz="4" w:space="0"/>
              <w:right w:val="single" w:color="auto" w:sz="4" w:space="0"/>
            </w:tcBorders>
            <w:vAlign w:val="center"/>
          </w:tcPr>
          <w:p w14:paraId="728BA6C6">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zh-CN"/>
              </w:rPr>
              <w:t>产</w:t>
            </w:r>
            <w:r>
              <w:rPr>
                <w:rFonts w:hint="eastAsia" w:ascii="宋体" w:hAnsi="宋体" w:eastAsia="宋体" w:cs="宋体"/>
                <w:b/>
                <w:color w:val="auto"/>
                <w:szCs w:val="21"/>
                <w:highlight w:val="none"/>
              </w:rPr>
              <w:t>能</w:t>
            </w:r>
          </w:p>
        </w:tc>
        <w:tc>
          <w:tcPr>
            <w:tcW w:w="3016" w:type="pct"/>
            <w:tcBorders>
              <w:top w:val="single" w:color="auto" w:sz="4" w:space="0"/>
              <w:left w:val="single" w:color="auto" w:sz="4" w:space="0"/>
              <w:bottom w:val="single" w:color="auto" w:sz="4" w:space="0"/>
              <w:right w:val="single" w:color="auto" w:sz="4" w:space="0"/>
            </w:tcBorders>
            <w:vAlign w:val="center"/>
          </w:tcPr>
          <w:p w14:paraId="47B03FB2">
            <w:pPr>
              <w:spacing w:before="120" w:beforeLines="50"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根据投标人所投产品制造商生产产能进行横向对比，提供的生产产能最大的为基准值，得2分；其他投标人得分=（其生产产能/基准值）×2。</w:t>
            </w:r>
          </w:p>
          <w:p w14:paraId="447481E6">
            <w:pPr>
              <w:spacing w:line="360" w:lineRule="auto"/>
              <w:rPr>
                <w:rFonts w:hint="default" w:ascii="宋体" w:hAnsi="宋体" w:eastAsia="宋体" w:cs="宋体"/>
                <w:bCs/>
                <w:color w:val="auto"/>
                <w:szCs w:val="21"/>
                <w:highlight w:val="none"/>
                <w:lang w:val="en-US" w:eastAsia="zh-CN"/>
              </w:rPr>
            </w:pPr>
            <w:r>
              <w:rPr>
                <w:rFonts w:hint="eastAsia" w:ascii="宋体" w:hAnsi="宋体" w:eastAsia="宋体" w:cs="宋体"/>
                <w:b/>
                <w:color w:val="auto"/>
                <w:szCs w:val="21"/>
                <w:highlight w:val="none"/>
              </w:rPr>
              <w:t>备注：须提供能证明所投产品制造商生产能力的环评报告或安全生产许可证或其他生产能力证明资料，否则不得分。如其他生产能力证明资料与安全生产许可证的产能不一致的，以安全生产许可证显示的产能为准。</w:t>
            </w:r>
          </w:p>
        </w:tc>
        <w:tc>
          <w:tcPr>
            <w:tcW w:w="439" w:type="pct"/>
            <w:tcBorders>
              <w:left w:val="single" w:color="auto" w:sz="4" w:space="0"/>
              <w:right w:val="single" w:color="auto" w:sz="4" w:space="0"/>
            </w:tcBorders>
            <w:vAlign w:val="center"/>
          </w:tcPr>
          <w:p w14:paraId="3B20521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w:t>
            </w:r>
          </w:p>
        </w:tc>
      </w:tr>
      <w:tr w14:paraId="443E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09" w:type="pct"/>
            <w:vMerge w:val="continue"/>
            <w:tcBorders>
              <w:left w:val="single" w:color="auto" w:sz="4" w:space="0"/>
              <w:right w:val="single" w:color="auto" w:sz="4" w:space="0"/>
            </w:tcBorders>
            <w:vAlign w:val="center"/>
          </w:tcPr>
          <w:p w14:paraId="29E7BBBB">
            <w:pPr>
              <w:spacing w:line="360" w:lineRule="auto"/>
              <w:rPr>
                <w:rFonts w:hint="eastAsia" w:ascii="宋体" w:hAnsi="宋体" w:eastAsia="宋体" w:cs="宋体"/>
                <w:color w:val="auto"/>
                <w:szCs w:val="21"/>
                <w:highlight w:val="none"/>
              </w:rPr>
            </w:pPr>
          </w:p>
        </w:tc>
        <w:tc>
          <w:tcPr>
            <w:tcW w:w="546" w:type="pct"/>
            <w:vMerge w:val="continue"/>
            <w:tcBorders>
              <w:left w:val="single" w:color="auto" w:sz="4" w:space="0"/>
              <w:right w:val="single" w:color="auto" w:sz="4" w:space="0"/>
            </w:tcBorders>
            <w:vAlign w:val="center"/>
          </w:tcPr>
          <w:p w14:paraId="50069689">
            <w:pPr>
              <w:spacing w:line="360" w:lineRule="auto"/>
              <w:rPr>
                <w:rFonts w:hint="eastAsia" w:ascii="宋体" w:hAnsi="宋体" w:eastAsia="宋体" w:cs="宋体"/>
                <w:color w:val="auto"/>
                <w:szCs w:val="21"/>
                <w:highlight w:val="none"/>
              </w:rPr>
            </w:pPr>
          </w:p>
        </w:tc>
        <w:tc>
          <w:tcPr>
            <w:tcW w:w="689" w:type="pct"/>
            <w:tcBorders>
              <w:top w:val="single" w:color="auto" w:sz="4" w:space="0"/>
              <w:left w:val="single" w:color="auto" w:sz="4" w:space="0"/>
              <w:bottom w:val="single" w:color="auto" w:sz="4" w:space="0"/>
              <w:right w:val="single" w:color="auto" w:sz="4" w:space="0"/>
            </w:tcBorders>
            <w:vAlign w:val="center"/>
          </w:tcPr>
          <w:p w14:paraId="0E7D30C7">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专业技术人员</w:t>
            </w:r>
          </w:p>
        </w:tc>
        <w:tc>
          <w:tcPr>
            <w:tcW w:w="3016" w:type="pct"/>
            <w:tcBorders>
              <w:top w:val="single" w:color="auto" w:sz="4" w:space="0"/>
              <w:left w:val="single" w:color="auto" w:sz="4" w:space="0"/>
              <w:bottom w:val="single" w:color="auto" w:sz="4" w:space="0"/>
              <w:right w:val="single" w:color="auto" w:sz="4" w:space="0"/>
            </w:tcBorders>
            <w:vAlign w:val="center"/>
          </w:tcPr>
          <w:p w14:paraId="024B940D">
            <w:pPr>
              <w:spacing w:before="120" w:beforeLines="50"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根据投标人所投产品制造商取得化学专业</w:t>
            </w:r>
            <w:r>
              <w:rPr>
                <w:rFonts w:hint="eastAsia" w:ascii="宋体" w:hAnsi="宋体" w:eastAsia="宋体" w:cs="宋体"/>
                <w:color w:val="auto"/>
                <w:szCs w:val="21"/>
                <w:highlight w:val="none"/>
              </w:rPr>
              <w:t>相关的职称证书（</w:t>
            </w:r>
            <w:r>
              <w:rPr>
                <w:rFonts w:hint="eastAsia" w:ascii="宋体" w:hAnsi="宋体" w:eastAsia="宋体" w:cs="宋体"/>
                <w:bCs/>
                <w:color w:val="auto"/>
                <w:szCs w:val="21"/>
                <w:highlight w:val="none"/>
              </w:rPr>
              <w:t>初、中、高级</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的人员数量进行横向对比，提供人员数量最多的为基准值（均按照折算为初级职称计算，其中：1名高级=2名中级=6名初级），得</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分；其他投标人得分=（其人员数量/基准值）×2。</w:t>
            </w:r>
          </w:p>
          <w:p w14:paraId="6EFBFB86">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备注：须提供人员身份证、职称证书</w:t>
            </w:r>
            <w:r>
              <w:rPr>
                <w:rFonts w:hint="eastAsia" w:ascii="宋体" w:hAnsi="宋体" w:eastAsia="宋体" w:cs="宋体"/>
                <w:b/>
                <w:color w:val="auto"/>
                <w:szCs w:val="21"/>
                <w:highlight w:val="none"/>
                <w:lang w:val="zh-CN"/>
              </w:rPr>
              <w:t>及人力资源和社会保障部门（或税务部门）出具的202</w:t>
            </w: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zh-CN"/>
              </w:rPr>
              <w:t>年</w:t>
            </w: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月制造商为其缴纳的社保证明复印件，否则</w:t>
            </w:r>
            <w:r>
              <w:rPr>
                <w:rFonts w:hint="eastAsia" w:ascii="宋体" w:hAnsi="宋体" w:eastAsia="宋体" w:cs="宋体"/>
                <w:b/>
                <w:color w:val="auto"/>
                <w:szCs w:val="21"/>
                <w:highlight w:val="none"/>
              </w:rPr>
              <w:t>不得分。</w:t>
            </w:r>
          </w:p>
          <w:p w14:paraId="3825085E">
            <w:pPr>
              <w:spacing w:line="360" w:lineRule="auto"/>
              <w:rPr>
                <w:rFonts w:hint="default" w:ascii="宋体" w:hAnsi="宋体" w:eastAsia="宋体" w:cs="宋体"/>
                <w:bCs/>
                <w:color w:val="auto"/>
                <w:szCs w:val="21"/>
                <w:highlight w:val="none"/>
                <w:lang w:val="en-US" w:eastAsia="zh-CN"/>
              </w:rPr>
            </w:pPr>
            <w:r>
              <w:rPr>
                <w:rFonts w:hint="eastAsia" w:ascii="宋体" w:hAnsi="宋体" w:eastAsia="宋体" w:cs="宋体"/>
                <w:b/>
                <w:color w:val="auto"/>
                <w:szCs w:val="21"/>
                <w:highlight w:val="none"/>
              </w:rPr>
              <w:t>说明：</w:t>
            </w:r>
            <w:r>
              <w:rPr>
                <w:rFonts w:hint="eastAsia" w:ascii="宋体" w:hAnsi="宋体" w:eastAsia="宋体" w:cs="宋体"/>
                <w:b/>
                <w:bCs w:val="0"/>
                <w:color w:val="auto"/>
                <w:szCs w:val="21"/>
                <w:highlight w:val="none"/>
              </w:rPr>
              <w:t>化学专业</w:t>
            </w:r>
            <w:r>
              <w:rPr>
                <w:rFonts w:hint="eastAsia" w:ascii="宋体" w:hAnsi="宋体" w:eastAsia="宋体" w:cs="宋体"/>
                <w:b/>
                <w:color w:val="auto"/>
                <w:szCs w:val="21"/>
                <w:highlight w:val="none"/>
              </w:rPr>
              <w:t>相关</w:t>
            </w:r>
            <w:r>
              <w:rPr>
                <w:rFonts w:hint="eastAsia" w:ascii="宋体" w:hAnsi="宋体" w:eastAsia="宋体" w:cs="宋体"/>
                <w:b/>
                <w:color w:val="auto"/>
                <w:szCs w:val="21"/>
                <w:highlight w:val="none"/>
                <w:lang w:val="en-US" w:eastAsia="zh-CN"/>
              </w:rPr>
              <w:t>是指包括但不限于</w:t>
            </w:r>
            <w:r>
              <w:rPr>
                <w:rFonts w:hint="eastAsia" w:ascii="宋体" w:hAnsi="宋体" w:eastAsia="宋体" w:cs="宋体"/>
                <w:b/>
                <w:i w:val="0"/>
                <w:iCs w:val="0"/>
                <w:caps w:val="0"/>
                <w:color w:val="auto"/>
                <w:spacing w:val="0"/>
                <w:sz w:val="21"/>
                <w:szCs w:val="21"/>
                <w:highlight w:val="none"/>
              </w:rPr>
              <w:t>化工、制药、材料科学、环境监测</w:t>
            </w:r>
            <w:r>
              <w:rPr>
                <w:rFonts w:hint="eastAsia" w:ascii="宋体" w:hAnsi="宋体" w:eastAsia="宋体" w:cs="宋体"/>
                <w:b/>
                <w:i w:val="0"/>
                <w:iCs w:val="0"/>
                <w:caps w:val="0"/>
                <w:color w:val="auto"/>
                <w:spacing w:val="0"/>
                <w:sz w:val="21"/>
                <w:szCs w:val="21"/>
                <w:highlight w:val="none"/>
                <w:lang w:val="en-US" w:eastAsia="zh-CN"/>
              </w:rPr>
              <w:t>等的方面相关专业。</w:t>
            </w:r>
          </w:p>
        </w:tc>
        <w:tc>
          <w:tcPr>
            <w:tcW w:w="439" w:type="pct"/>
            <w:tcBorders>
              <w:left w:val="single" w:color="auto" w:sz="4" w:space="0"/>
              <w:right w:val="single" w:color="auto" w:sz="4" w:space="0"/>
            </w:tcBorders>
            <w:vAlign w:val="center"/>
          </w:tcPr>
          <w:p w14:paraId="1B806D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w:t>
            </w:r>
          </w:p>
        </w:tc>
      </w:tr>
      <w:tr w14:paraId="2B3A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09" w:type="pct"/>
            <w:vMerge w:val="continue"/>
            <w:tcBorders>
              <w:left w:val="single" w:color="auto" w:sz="4" w:space="0"/>
              <w:right w:val="single" w:color="auto" w:sz="4" w:space="0"/>
            </w:tcBorders>
            <w:vAlign w:val="center"/>
          </w:tcPr>
          <w:p w14:paraId="10E95C26">
            <w:pPr>
              <w:spacing w:line="360" w:lineRule="auto"/>
              <w:rPr>
                <w:rFonts w:hint="eastAsia" w:ascii="宋体" w:hAnsi="宋体" w:eastAsia="宋体" w:cs="宋体"/>
                <w:color w:val="auto"/>
                <w:szCs w:val="21"/>
                <w:highlight w:val="none"/>
              </w:rPr>
            </w:pPr>
          </w:p>
        </w:tc>
        <w:tc>
          <w:tcPr>
            <w:tcW w:w="546" w:type="pct"/>
            <w:vMerge w:val="continue"/>
            <w:tcBorders>
              <w:left w:val="single" w:color="auto" w:sz="4" w:space="0"/>
              <w:right w:val="single" w:color="auto" w:sz="4" w:space="0"/>
            </w:tcBorders>
            <w:vAlign w:val="center"/>
          </w:tcPr>
          <w:p w14:paraId="0859D818">
            <w:pPr>
              <w:spacing w:line="360" w:lineRule="auto"/>
              <w:rPr>
                <w:rFonts w:hint="eastAsia" w:ascii="宋体" w:hAnsi="宋体" w:eastAsia="宋体" w:cs="宋体"/>
                <w:color w:val="auto"/>
                <w:szCs w:val="21"/>
                <w:highlight w:val="none"/>
              </w:rPr>
            </w:pPr>
          </w:p>
        </w:tc>
        <w:tc>
          <w:tcPr>
            <w:tcW w:w="689" w:type="pct"/>
            <w:tcBorders>
              <w:top w:val="single" w:color="auto" w:sz="4" w:space="0"/>
              <w:left w:val="single" w:color="auto" w:sz="4" w:space="0"/>
              <w:bottom w:val="single" w:color="auto" w:sz="4" w:space="0"/>
              <w:right w:val="single" w:color="auto" w:sz="4" w:space="0"/>
            </w:tcBorders>
            <w:vAlign w:val="center"/>
          </w:tcPr>
          <w:p w14:paraId="50702A3D">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zh-CN"/>
              </w:rPr>
              <w:t>安生生产</w:t>
            </w:r>
            <w:r>
              <w:rPr>
                <w:rFonts w:hint="eastAsia" w:ascii="宋体" w:hAnsi="宋体" w:eastAsia="宋体" w:cs="宋体"/>
                <w:b/>
                <w:color w:val="auto"/>
                <w:szCs w:val="21"/>
                <w:highlight w:val="none"/>
              </w:rPr>
              <w:t>人员</w:t>
            </w:r>
          </w:p>
        </w:tc>
        <w:tc>
          <w:tcPr>
            <w:tcW w:w="3016" w:type="pct"/>
            <w:tcBorders>
              <w:top w:val="single" w:color="auto" w:sz="4" w:space="0"/>
              <w:left w:val="single" w:color="auto" w:sz="4" w:space="0"/>
              <w:bottom w:val="single" w:color="auto" w:sz="4" w:space="0"/>
              <w:right w:val="single" w:color="auto" w:sz="4" w:space="0"/>
            </w:tcBorders>
            <w:vAlign w:val="center"/>
          </w:tcPr>
          <w:p w14:paraId="523984F7">
            <w:pPr>
              <w:spacing w:before="120" w:beforeLines="50"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根据投标人所投产品制造商取得由应急管理部门颁发的特种作业操作证（作业类别：危险化学品安全作业）或安全生产知识和管理能力考核合格证（作业类别：危险化学品生产单位或危险化学品经营单位）的人员数量进行横向对比，提供的人员数量最多的为基准值，得2分；其他投标人得分=（其人员数量/基准值）×2。</w:t>
            </w:r>
          </w:p>
          <w:p w14:paraId="28EF4125">
            <w:pPr>
              <w:spacing w:before="120" w:beforeLines="50" w:line="360" w:lineRule="auto"/>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备注：须提供人员身份证、有效期内的证书</w:t>
            </w:r>
            <w:r>
              <w:rPr>
                <w:rFonts w:hint="eastAsia" w:ascii="宋体" w:hAnsi="宋体" w:eastAsia="宋体" w:cs="宋体"/>
                <w:b/>
                <w:color w:val="auto"/>
                <w:szCs w:val="21"/>
                <w:highlight w:val="none"/>
                <w:lang w:val="zh-CN"/>
              </w:rPr>
              <w:t>及人力资源和社会保障部门（或税务部门）出具的202</w:t>
            </w: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zh-CN"/>
              </w:rPr>
              <w:t>年</w:t>
            </w: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月制造商为其缴纳的社保证明复印件，否则</w:t>
            </w:r>
            <w:r>
              <w:rPr>
                <w:rFonts w:hint="eastAsia" w:ascii="宋体" w:hAnsi="宋体" w:eastAsia="宋体" w:cs="宋体"/>
                <w:b/>
                <w:color w:val="auto"/>
                <w:szCs w:val="21"/>
                <w:highlight w:val="none"/>
              </w:rPr>
              <w:t>不得分。</w:t>
            </w:r>
          </w:p>
        </w:tc>
        <w:tc>
          <w:tcPr>
            <w:tcW w:w="439" w:type="pct"/>
            <w:tcBorders>
              <w:left w:val="single" w:color="auto" w:sz="4" w:space="0"/>
              <w:right w:val="single" w:color="auto" w:sz="4" w:space="0"/>
            </w:tcBorders>
            <w:vAlign w:val="center"/>
          </w:tcPr>
          <w:p w14:paraId="4D04547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w:t>
            </w:r>
          </w:p>
        </w:tc>
      </w:tr>
      <w:tr w14:paraId="058E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49F73367">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w:t>
            </w:r>
          </w:p>
        </w:tc>
        <w:tc>
          <w:tcPr>
            <w:tcW w:w="546" w:type="pct"/>
            <w:tcBorders>
              <w:top w:val="single" w:color="auto" w:sz="4" w:space="0"/>
              <w:left w:val="single" w:color="auto" w:sz="4" w:space="0"/>
              <w:right w:val="single" w:color="auto" w:sz="4" w:space="0"/>
            </w:tcBorders>
            <w:shd w:val="clear" w:color="auto" w:fill="auto"/>
            <w:vAlign w:val="center"/>
          </w:tcPr>
          <w:p w14:paraId="6B97F95F">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供货运输保障</w:t>
            </w:r>
          </w:p>
        </w:tc>
        <w:tc>
          <w:tcPr>
            <w:tcW w:w="370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CDA1A7">
            <w:pPr>
              <w:pStyle w:val="21"/>
              <w:spacing w:line="360" w:lineRule="auto"/>
              <w:rPr>
                <w:rFonts w:hint="eastAsia" w:hAnsi="宋体" w:cs="宋体"/>
                <w:color w:val="auto"/>
                <w:szCs w:val="21"/>
                <w:highlight w:val="none"/>
              </w:rPr>
            </w:pPr>
            <w:r>
              <w:rPr>
                <w:rFonts w:hint="eastAsia" w:hAnsi="宋体" w:cs="宋体"/>
                <w:color w:val="auto"/>
                <w:szCs w:val="21"/>
                <w:highlight w:val="none"/>
              </w:rPr>
              <w:t>根据投标人拟为本项目投入的运输专用车进行评审：</w:t>
            </w:r>
          </w:p>
          <w:p w14:paraId="49E7663C">
            <w:pPr>
              <w:pStyle w:val="21"/>
              <w:numPr>
                <w:ilvl w:val="0"/>
                <w:numId w:val="5"/>
              </w:numPr>
              <w:spacing w:line="360" w:lineRule="auto"/>
              <w:rPr>
                <w:rFonts w:hint="eastAsia" w:hAnsi="宋体" w:cs="宋体"/>
                <w:color w:val="auto"/>
                <w:szCs w:val="21"/>
                <w:highlight w:val="none"/>
              </w:rPr>
            </w:pPr>
            <w:r>
              <w:rPr>
                <w:rFonts w:hint="eastAsia" w:hAnsi="宋体" w:cs="宋体"/>
                <w:color w:val="auto"/>
                <w:szCs w:val="21"/>
                <w:highlight w:val="none"/>
              </w:rPr>
              <w:t>每提供1台自有车辆得0.5分；</w:t>
            </w:r>
          </w:p>
          <w:p w14:paraId="238A2D03">
            <w:pPr>
              <w:rPr>
                <w:rFonts w:hint="eastAsia" w:ascii="宋体" w:hAnsi="宋体" w:eastAsia="宋体" w:cs="宋体"/>
                <w:color w:val="auto"/>
                <w:highlight w:val="none"/>
              </w:rPr>
            </w:pPr>
            <w:r>
              <w:rPr>
                <w:rFonts w:hint="eastAsia" w:ascii="宋体" w:hAnsi="宋体" w:eastAsia="宋体" w:cs="宋体"/>
                <w:color w:val="auto"/>
                <w:szCs w:val="21"/>
                <w:highlight w:val="none"/>
              </w:rPr>
              <w:t>2、每提供1台租赁或委托运输车辆得0.3分，本子项满分1.5分。</w:t>
            </w:r>
          </w:p>
          <w:p w14:paraId="27C4E967">
            <w:pPr>
              <w:numPr>
                <w:ilvl w:val="255"/>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5F1D2DE3">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1）自有的运输专用车的须提供：①行驶证复印件；②车辆照片/图片打印件（照片/图片须清晰显示拍摄时间为2024年10月1日或以后）。</w:t>
            </w:r>
          </w:p>
          <w:p w14:paraId="498AD630">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2）租赁的运输专用车的须提供：①租赁合同复印件；②车辆行驶证复印件；③车辆照片/图片打印件（照片/图片须清晰显示拍摄时间为2024年10月1日或以后）。</w:t>
            </w:r>
          </w:p>
          <w:p w14:paraId="395A436F">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委托第三方运输的须提供：①运输合同复印件；②受托方道路运输经营许可证复印件；③车辆道路运输证复印件；④车辆行驶证复印件；⑤车辆照片/图片打印件（照片/图片须清晰显示拍摄时间为2024年10月1日或以后）。</w:t>
            </w:r>
          </w:p>
          <w:p w14:paraId="20E93D85">
            <w:pPr>
              <w:spacing w:line="360" w:lineRule="auto"/>
              <w:rPr>
                <w:rFonts w:hint="eastAsia" w:ascii="宋体" w:hAnsi="宋体" w:eastAsia="宋体" w:cs="宋体"/>
                <w:b/>
                <w:color w:val="auto"/>
                <w:kern w:val="0"/>
                <w:szCs w:val="21"/>
                <w:highlight w:val="none"/>
              </w:rPr>
            </w:pPr>
            <w:r>
              <w:rPr>
                <w:rFonts w:hint="eastAsia" w:ascii="宋体" w:hAnsi="宋体" w:eastAsia="宋体" w:cs="宋体"/>
                <w:b/>
                <w:bCs/>
                <w:color w:val="auto"/>
                <w:szCs w:val="21"/>
                <w:highlight w:val="none"/>
              </w:rPr>
              <w:t>3）未提供或者提供信息不全或证件无效的相应车辆不得分。</w:t>
            </w:r>
          </w:p>
        </w:tc>
        <w:tc>
          <w:tcPr>
            <w:tcW w:w="439" w:type="pct"/>
            <w:tcBorders>
              <w:top w:val="single" w:color="auto" w:sz="4" w:space="0"/>
              <w:left w:val="single" w:color="auto" w:sz="4" w:space="0"/>
              <w:right w:val="single" w:color="auto" w:sz="4" w:space="0"/>
            </w:tcBorders>
            <w:shd w:val="clear" w:color="auto" w:fill="auto"/>
            <w:vAlign w:val="center"/>
          </w:tcPr>
          <w:p w14:paraId="1AA350A9">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1"/>
                <w:highlight w:val="none"/>
              </w:rPr>
              <w:t>4分</w:t>
            </w:r>
          </w:p>
        </w:tc>
      </w:tr>
    </w:tbl>
    <w:p w14:paraId="4C04DA82">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p>
    <w:p w14:paraId="730AA8AC">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56829F8A">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7DFF8BBC">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56D7A19E">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6350B7F2">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rPr>
        <w:t>确定该项的评分。</w:t>
      </w:r>
    </w:p>
    <w:p w14:paraId="3F1D5813">
      <w:pPr>
        <w:tabs>
          <w:tab w:val="left" w:pos="1701"/>
        </w:tabs>
        <w:autoSpaceDE w:val="0"/>
        <w:autoSpaceDN w:val="0"/>
        <w:adjustRightInd w:val="0"/>
        <w:spacing w:line="360" w:lineRule="auto"/>
        <w:outlineLvl w:val="1"/>
        <w:rPr>
          <w:rFonts w:hint="eastAsia" w:ascii="宋体" w:hAnsi="宋体" w:eastAsia="宋体" w:cs="宋体"/>
          <w:b/>
          <w:color w:val="auto"/>
          <w:szCs w:val="24"/>
          <w:highlight w:val="none"/>
          <w:lang w:val="zh-CN"/>
        </w:rPr>
      </w:pPr>
      <w:bookmarkStart w:id="826" w:name="_Toc16079"/>
      <w:r>
        <w:rPr>
          <w:rFonts w:hint="eastAsia" w:ascii="宋体" w:hAnsi="宋体" w:eastAsia="宋体" w:cs="宋体"/>
          <w:b/>
          <w:color w:val="auto"/>
          <w:szCs w:val="24"/>
          <w:highlight w:val="none"/>
          <w:lang w:val="zh-CN"/>
        </w:rPr>
        <w:t>（3）价格评分方法</w:t>
      </w:r>
      <w:bookmarkEnd w:id="826"/>
    </w:p>
    <w:p w14:paraId="6CC730C6">
      <w:pPr>
        <w:spacing w:line="360" w:lineRule="auto"/>
        <w:ind w:left="480" w:firstLine="211" w:firstLineChars="100"/>
        <w:outlineLvl w:val="2"/>
        <w:rPr>
          <w:rFonts w:hint="eastAsia" w:ascii="宋体" w:hAnsi="宋体" w:eastAsia="宋体" w:cs="宋体"/>
          <w:b/>
          <w:bCs/>
          <w:color w:val="auto"/>
          <w:kern w:val="0"/>
          <w:szCs w:val="21"/>
          <w:highlight w:val="none"/>
          <w:lang w:val="zh-CN"/>
        </w:rPr>
      </w:pPr>
      <w:bookmarkStart w:id="827" w:name="_Toc14167"/>
      <w:r>
        <w:rPr>
          <w:rFonts w:hint="eastAsia" w:ascii="宋体" w:hAnsi="宋体" w:eastAsia="宋体" w:cs="宋体"/>
          <w:b/>
          <w:bCs/>
          <w:color w:val="auto"/>
          <w:kern w:val="0"/>
          <w:szCs w:val="28"/>
          <w:highlight w:val="none"/>
          <w:lang w:val="zh-CN"/>
        </w:rPr>
        <w:t>1）经济文件的符合性审查</w:t>
      </w:r>
      <w:bookmarkEnd w:id="827"/>
      <w:r>
        <w:rPr>
          <w:rFonts w:hint="eastAsia" w:ascii="宋体" w:hAnsi="宋体" w:eastAsia="宋体" w:cs="宋体"/>
          <w:b/>
          <w:bCs/>
          <w:color w:val="auto"/>
          <w:kern w:val="0"/>
          <w:szCs w:val="28"/>
          <w:highlight w:val="none"/>
          <w:lang w:val="zh-CN"/>
        </w:rPr>
        <w:t xml:space="preserve"> </w:t>
      </w:r>
    </w:p>
    <w:p w14:paraId="5E64CA19">
      <w:pPr>
        <w:spacing w:line="360" w:lineRule="auto"/>
        <w:ind w:left="420" w:leftChars="200"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ED76A15">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7CC94A82">
      <w:pPr>
        <w:spacing w:line="360" w:lineRule="auto"/>
        <w:ind w:left="420" w:leftChars="200" w:firstLine="422" w:firstLineChars="200"/>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18CE0CF8">
      <w:pPr>
        <w:spacing w:line="360" w:lineRule="auto"/>
        <w:ind w:left="420" w:leftChars="200" w:firstLine="420" w:firstLineChars="200"/>
        <w:rPr>
          <w:rFonts w:hint="eastAsia" w:ascii="宋体" w:hAnsi="宋体" w:eastAsia="宋体" w:cs="宋体"/>
          <w:color w:val="auto"/>
          <w:kern w:val="0"/>
          <w:szCs w:val="21"/>
          <w:highlight w:val="none"/>
          <w:lang w:val="zh-CN"/>
        </w:rPr>
      </w:pPr>
    </w:p>
    <w:p w14:paraId="596F4810">
      <w:pPr>
        <w:spacing w:line="360" w:lineRule="auto"/>
        <w:ind w:left="480" w:firstLine="211" w:firstLineChars="100"/>
        <w:outlineLvl w:val="2"/>
        <w:rPr>
          <w:rFonts w:hint="eastAsia" w:ascii="宋体" w:hAnsi="宋体" w:eastAsia="宋体" w:cs="宋体"/>
          <w:b/>
          <w:bCs/>
          <w:color w:val="auto"/>
          <w:kern w:val="0"/>
          <w:szCs w:val="21"/>
          <w:highlight w:val="none"/>
        </w:rPr>
      </w:pPr>
      <w:bookmarkStart w:id="828" w:name="_Toc18965"/>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rPr>
        <w:t>60</w:t>
      </w:r>
      <w:r>
        <w:rPr>
          <w:rFonts w:hint="eastAsia" w:ascii="宋体" w:hAnsi="宋体" w:eastAsia="宋体" w:cs="宋体"/>
          <w:b/>
          <w:bCs/>
          <w:color w:val="auto"/>
          <w:kern w:val="0"/>
          <w:szCs w:val="21"/>
          <w:highlight w:val="none"/>
          <w:lang w:val="zh-CN"/>
        </w:rPr>
        <w:t>分</w:t>
      </w:r>
      <w:bookmarkEnd w:id="828"/>
    </w:p>
    <w:p w14:paraId="7E05B1BF">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A、根据有效投标人的投标报价，最低价作为基准价（Y）。投标人报价（X）等于基准价的得满分60分，其他投标人的价格得分统一按照下列公式计算：</w:t>
      </w:r>
    </w:p>
    <w:p w14:paraId="588DEA12">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价格得分=(基准价／投标报价)×60</w:t>
      </w:r>
    </w:p>
    <w:p w14:paraId="3226816C">
      <w:pPr>
        <w:autoSpaceDN w:val="0"/>
        <w:adjustRightInd w:val="0"/>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4041381D">
      <w:pPr>
        <w:tabs>
          <w:tab w:val="left" w:pos="585"/>
        </w:tabs>
        <w:autoSpaceDE w:val="0"/>
        <w:autoSpaceDN w:val="0"/>
        <w:adjustRightInd w:val="0"/>
        <w:spacing w:line="400" w:lineRule="exact"/>
        <w:outlineLvl w:val="1"/>
        <w:rPr>
          <w:rFonts w:hint="eastAsia" w:ascii="宋体" w:hAnsi="宋体" w:eastAsia="宋体" w:cs="宋体"/>
          <w:b/>
          <w:color w:val="auto"/>
          <w:szCs w:val="21"/>
          <w:highlight w:val="none"/>
          <w:lang w:val="zh-CN"/>
        </w:rPr>
      </w:pPr>
      <w:bookmarkStart w:id="829" w:name="_Toc21898"/>
      <w:r>
        <w:rPr>
          <w:rFonts w:hint="eastAsia" w:ascii="宋体" w:hAnsi="宋体" w:eastAsia="宋体" w:cs="宋体"/>
          <w:b/>
          <w:color w:val="auto"/>
          <w:szCs w:val="21"/>
          <w:highlight w:val="none"/>
          <w:lang w:val="zh-CN"/>
        </w:rPr>
        <w:t>（4）综合得分</w:t>
      </w:r>
      <w:bookmarkEnd w:id="829"/>
    </w:p>
    <w:p w14:paraId="510C1375">
      <w:pPr>
        <w:spacing w:line="400" w:lineRule="exact"/>
        <w:ind w:firstLine="848" w:firstLineChars="404"/>
        <w:rPr>
          <w:rFonts w:hint="eastAsia" w:ascii="宋体" w:hAnsi="宋体" w:eastAsia="宋体" w:cs="宋体"/>
          <w:color w:val="auto"/>
          <w:kern w:val="0"/>
          <w:szCs w:val="28"/>
          <w:highlight w:val="none"/>
          <w:lang w:val="zh-CN"/>
        </w:rPr>
      </w:pPr>
      <w:bookmarkStart w:id="830" w:name="_Toc31624_WPSOffice_Level2"/>
      <w:r>
        <w:rPr>
          <w:rFonts w:hint="eastAsia" w:ascii="宋体" w:hAnsi="宋体" w:eastAsia="宋体" w:cs="宋体"/>
          <w:color w:val="auto"/>
          <w:kern w:val="0"/>
          <w:szCs w:val="28"/>
          <w:highlight w:val="none"/>
          <w:lang w:val="zh-CN"/>
        </w:rPr>
        <w:t>评标总得分=F1＋F2＋……+Fn</w:t>
      </w:r>
      <w:bookmarkEnd w:id="830"/>
    </w:p>
    <w:p w14:paraId="4387490A">
      <w:pPr>
        <w:widowControl/>
        <w:autoSpaceDE w:val="0"/>
        <w:autoSpaceDN w:val="0"/>
        <w:adjustRightInd w:val="0"/>
        <w:spacing w:line="400" w:lineRule="exact"/>
        <w:ind w:firstLine="840" w:firstLineChars="400"/>
        <w:jc w:val="left"/>
        <w:rPr>
          <w:rFonts w:hint="eastAsia" w:ascii="宋体" w:hAnsi="宋体" w:eastAsia="宋体" w:cs="宋体"/>
          <w:color w:val="auto"/>
          <w:kern w:val="0"/>
          <w:szCs w:val="21"/>
          <w:highlight w:val="none"/>
        </w:rPr>
      </w:pPr>
      <w:bookmarkStart w:id="831" w:name="_Toc13236_WPSOffice_Level2"/>
      <w:r>
        <w:rPr>
          <w:rFonts w:hint="eastAsia" w:ascii="宋体" w:hAnsi="宋体" w:eastAsia="宋体" w:cs="宋体"/>
          <w:color w:val="auto"/>
          <w:kern w:val="0"/>
          <w:szCs w:val="21"/>
          <w:highlight w:val="none"/>
        </w:rPr>
        <w:t>F1、F2、……Fn分别为各项评分因素的得分</w:t>
      </w:r>
      <w:bookmarkEnd w:id="831"/>
      <w:r>
        <w:rPr>
          <w:rFonts w:hint="eastAsia" w:ascii="宋体" w:hAnsi="宋体" w:eastAsia="宋体" w:cs="宋体"/>
          <w:color w:val="auto"/>
          <w:kern w:val="0"/>
          <w:szCs w:val="21"/>
          <w:highlight w:val="none"/>
        </w:rPr>
        <w:t>。</w:t>
      </w:r>
    </w:p>
    <w:p w14:paraId="13B91D4A">
      <w:pPr>
        <w:autoSpaceDE w:val="0"/>
        <w:autoSpaceDN w:val="0"/>
        <w:adjustRightInd w:val="0"/>
        <w:spacing w:line="360" w:lineRule="auto"/>
        <w:ind w:left="564" w:leftChars="1" w:hanging="562" w:hangingChars="200"/>
        <w:rPr>
          <w:rFonts w:hint="eastAsia" w:ascii="宋体" w:hAnsi="宋体" w:eastAsia="宋体" w:cs="宋体"/>
          <w:b/>
          <w:bCs/>
          <w:color w:val="auto"/>
          <w:sz w:val="28"/>
          <w:szCs w:val="28"/>
          <w:highlight w:val="none"/>
        </w:rPr>
      </w:pPr>
    </w:p>
    <w:p w14:paraId="6859717E">
      <w:pPr>
        <w:autoSpaceDE w:val="0"/>
        <w:autoSpaceDN w:val="0"/>
        <w:adjustRightInd w:val="0"/>
        <w:spacing w:line="360" w:lineRule="auto"/>
        <w:jc w:val="center"/>
        <w:outlineLvl w:val="2"/>
        <w:rPr>
          <w:rFonts w:hint="eastAsia" w:ascii="宋体" w:hAnsi="宋体" w:eastAsia="宋体" w:cs="宋体"/>
          <w:b/>
          <w:bCs/>
          <w:color w:val="auto"/>
          <w:sz w:val="28"/>
          <w:szCs w:val="28"/>
          <w:highlight w:val="none"/>
        </w:rPr>
      </w:pPr>
      <w:bookmarkStart w:id="832" w:name="_Toc32276"/>
      <w:bookmarkStart w:id="833" w:name="_Toc518_WPSOffice_Level1"/>
      <w:r>
        <w:rPr>
          <w:rFonts w:hint="eastAsia" w:ascii="宋体" w:hAnsi="宋体" w:eastAsia="宋体" w:cs="宋体"/>
          <w:b/>
          <w:bCs/>
          <w:color w:val="auto"/>
          <w:sz w:val="28"/>
          <w:szCs w:val="28"/>
          <w:highlight w:val="none"/>
          <w:lang w:val="zh-CN"/>
        </w:rPr>
        <w:t>五、推荐中标人</w:t>
      </w:r>
      <w:bookmarkEnd w:id="832"/>
      <w:bookmarkEnd w:id="833"/>
    </w:p>
    <w:p w14:paraId="3239D8F5">
      <w:pPr>
        <w:autoSpaceDE w:val="0"/>
        <w:autoSpaceDN w:val="0"/>
        <w:adjustRightInd w:val="0"/>
        <w:spacing w:line="360" w:lineRule="auto"/>
        <w:ind w:left="420" w:hanging="420" w:hangingChars="200"/>
        <w:jc w:val="left"/>
        <w:rPr>
          <w:rFonts w:hint="eastAsia"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394CA84B">
      <w:pPr>
        <w:autoSpaceDE w:val="0"/>
        <w:autoSpaceDN w:val="0"/>
        <w:adjustRightInd w:val="0"/>
        <w:spacing w:line="360" w:lineRule="auto"/>
        <w:ind w:left="420" w:leftChars="200" w:firstLine="420" w:firstLineChars="200"/>
        <w:jc w:val="left"/>
        <w:rPr>
          <w:rFonts w:hint="eastAsia"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5FCF4C7E">
      <w:pPr>
        <w:widowControl/>
        <w:spacing w:line="360" w:lineRule="auto"/>
        <w:jc w:val="left"/>
        <w:rPr>
          <w:rFonts w:hint="eastAsia" w:ascii="宋体" w:hAnsi="宋体" w:eastAsia="宋体" w:cs="宋体"/>
          <w:color w:val="auto"/>
          <w:kern w:val="0"/>
          <w:szCs w:val="21"/>
          <w:highlight w:val="none"/>
        </w:rPr>
      </w:pPr>
    </w:p>
    <w:p w14:paraId="27B859FB">
      <w:pPr>
        <w:autoSpaceDE w:val="0"/>
        <w:autoSpaceDN w:val="0"/>
        <w:adjustRightInd w:val="0"/>
        <w:spacing w:line="360" w:lineRule="auto"/>
        <w:ind w:left="185" w:leftChars="88" w:firstLine="3443" w:firstLineChars="1225"/>
        <w:outlineLvl w:val="2"/>
        <w:rPr>
          <w:rFonts w:hint="eastAsia" w:ascii="宋体" w:hAnsi="宋体" w:eastAsia="宋体" w:cs="宋体"/>
          <w:b/>
          <w:bCs/>
          <w:color w:val="auto"/>
          <w:sz w:val="28"/>
          <w:szCs w:val="28"/>
          <w:highlight w:val="none"/>
          <w:lang w:val="zh-CN"/>
        </w:rPr>
      </w:pPr>
      <w:bookmarkStart w:id="834" w:name="_Toc8680"/>
      <w:bookmarkStart w:id="835" w:name="_Toc22724_WPSOffice_Level1"/>
      <w:r>
        <w:rPr>
          <w:rFonts w:hint="eastAsia" w:ascii="宋体" w:hAnsi="宋体" w:eastAsia="宋体" w:cs="宋体"/>
          <w:b/>
          <w:bCs/>
          <w:color w:val="auto"/>
          <w:sz w:val="28"/>
          <w:szCs w:val="28"/>
          <w:highlight w:val="none"/>
          <w:lang w:val="zh-CN"/>
        </w:rPr>
        <w:t>六、编写评标报告</w:t>
      </w:r>
      <w:bookmarkEnd w:id="834"/>
      <w:bookmarkEnd w:id="835"/>
    </w:p>
    <w:p w14:paraId="512B54B3">
      <w:pPr>
        <w:autoSpaceDE w:val="0"/>
        <w:autoSpaceDN w:val="0"/>
        <w:adjustRightInd w:val="0"/>
        <w:spacing w:line="360" w:lineRule="auto"/>
        <w:ind w:left="420" w:hanging="420" w:hangingChars="200"/>
        <w:jc w:val="left"/>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1E72030B">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03B52742">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w:t>
      </w:r>
      <w:r>
        <w:rPr>
          <w:rFonts w:hint="eastAsia" w:ascii="宋体" w:hAnsi="宋体" w:eastAsia="宋体" w:cs="宋体"/>
          <w:color w:val="auto"/>
          <w:kern w:val="0"/>
          <w:szCs w:val="24"/>
          <w:highlight w:val="none"/>
        </w:rPr>
        <w:t>递交投标文件</w:t>
      </w:r>
      <w:r>
        <w:rPr>
          <w:rFonts w:hint="eastAsia" w:ascii="宋体" w:hAnsi="宋体" w:eastAsia="宋体" w:cs="宋体"/>
          <w:color w:val="auto"/>
          <w:kern w:val="0"/>
          <w:szCs w:val="24"/>
          <w:highlight w:val="none"/>
          <w:lang w:val="zh-CN"/>
        </w:rPr>
        <w:t>的投标人名单和评标委员会成员名单；</w:t>
      </w:r>
    </w:p>
    <w:p w14:paraId="2F297012">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239DF79A">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70E918D9">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4C11815E">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0C489A07">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3A9B3709">
      <w:pPr>
        <w:autoSpaceDE w:val="0"/>
        <w:autoSpaceDN w:val="0"/>
        <w:adjustRightInd w:val="0"/>
        <w:spacing w:line="360" w:lineRule="auto"/>
        <w:jc w:val="center"/>
        <w:outlineLvl w:val="2"/>
        <w:rPr>
          <w:rFonts w:hint="eastAsia" w:ascii="宋体" w:hAnsi="宋体" w:eastAsia="宋体" w:cs="宋体"/>
          <w:b/>
          <w:bCs/>
          <w:color w:val="auto"/>
          <w:sz w:val="30"/>
          <w:szCs w:val="30"/>
          <w:highlight w:val="none"/>
          <w:lang w:val="zh-CN"/>
        </w:rPr>
      </w:pPr>
      <w:bookmarkStart w:id="836" w:name="_Toc9092"/>
      <w:bookmarkStart w:id="837" w:name="_Toc23773_WPSOffice_Level1"/>
      <w:r>
        <w:rPr>
          <w:rFonts w:hint="eastAsia" w:ascii="宋体" w:hAnsi="宋体" w:eastAsia="宋体" w:cs="宋体"/>
          <w:b/>
          <w:bCs/>
          <w:color w:val="auto"/>
          <w:sz w:val="28"/>
          <w:szCs w:val="28"/>
          <w:highlight w:val="none"/>
          <w:lang w:val="zh-CN"/>
        </w:rPr>
        <w:t>七、注意事项</w:t>
      </w:r>
      <w:bookmarkEnd w:id="836"/>
      <w:bookmarkEnd w:id="837"/>
    </w:p>
    <w:p w14:paraId="06813EDC">
      <w:pPr>
        <w:autoSpaceDE w:val="0"/>
        <w:autoSpaceDN w:val="0"/>
        <w:adjustRightInd w:val="0"/>
        <w:spacing w:line="360" w:lineRule="auto"/>
        <w:ind w:left="420" w:hanging="420" w:hanging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091790F6">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302E0A77">
      <w:pPr>
        <w:autoSpaceDE w:val="0"/>
        <w:autoSpaceDN w:val="0"/>
        <w:adjustRightInd w:val="0"/>
        <w:spacing w:line="360" w:lineRule="auto"/>
        <w:ind w:left="436" w:leftChars="-59" w:hanging="560" w:hangingChars="267"/>
        <w:outlineLvl w:val="1"/>
        <w:rPr>
          <w:rFonts w:hint="eastAsia" w:ascii="宋体" w:hAnsi="宋体" w:eastAsia="宋体" w:cs="宋体"/>
          <w:color w:val="auto"/>
          <w:szCs w:val="24"/>
          <w:highlight w:val="none"/>
          <w:lang w:val="zh-CN"/>
        </w:rPr>
      </w:pPr>
      <w:bookmarkStart w:id="838" w:name="_Toc18200"/>
      <w:r>
        <w:rPr>
          <w:rFonts w:hint="eastAsia" w:ascii="宋体" w:hAnsi="宋体" w:eastAsia="宋体" w:cs="宋体"/>
          <w:color w:val="auto"/>
          <w:szCs w:val="24"/>
          <w:highlight w:val="none"/>
          <w:lang w:val="zh-CN"/>
        </w:rPr>
        <w:t>（2）评审人员及工作人员不得在公共场合谈论有关评审内容；</w:t>
      </w:r>
      <w:bookmarkEnd w:id="838"/>
    </w:p>
    <w:p w14:paraId="6D90F029">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45FBFA5B">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0655F25C">
      <w:pPr>
        <w:widowControl/>
        <w:jc w:val="left"/>
        <w:outlineLvl w:val="1"/>
        <w:rPr>
          <w:rFonts w:hint="eastAsia" w:ascii="宋体" w:hAnsi="宋体" w:eastAsia="宋体" w:cs="Times New Roman"/>
          <w:b/>
          <w:bCs/>
          <w:color w:val="auto"/>
          <w:kern w:val="0"/>
          <w:szCs w:val="21"/>
          <w:highlight w:val="none"/>
        </w:rPr>
      </w:pPr>
      <w:bookmarkStart w:id="839" w:name="_Toc21524"/>
      <w:r>
        <w:rPr>
          <w:rFonts w:hint="eastAsia" w:ascii="宋体" w:hAnsi="宋体" w:eastAsia="宋体" w:cs="宋体"/>
          <w:color w:val="auto"/>
          <w:szCs w:val="24"/>
          <w:highlight w:val="none"/>
          <w:lang w:val="zh-CN"/>
        </w:rPr>
        <w:t>（5）任何评审人员和工作人员不得对外公布评审的一切内容。</w:t>
      </w:r>
      <w:bookmarkEnd w:id="839"/>
    </w:p>
    <w:bookmarkEnd w:id="777"/>
    <w:bookmarkEnd w:id="784"/>
    <w:bookmarkEnd w:id="785"/>
    <w:bookmarkEnd w:id="786"/>
    <w:p w14:paraId="37471E06">
      <w:pPr>
        <w:widowControl/>
        <w:jc w:val="left"/>
        <w:rPr>
          <w:rFonts w:hint="eastAsia"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0CB71">
    <w:pPr>
      <w:pStyle w:val="25"/>
      <w:jc w:val="center"/>
      <w:rPr>
        <w:rFonts w:hint="eastAsia"/>
      </w:rPr>
    </w:pPr>
    <w:r>
      <w:rPr>
        <w:rFonts w:hint="eastAsia"/>
      </w:rPr>
      <w:t>第</w:t>
    </w:r>
    <w:r>
      <w:fldChar w:fldCharType="begin"/>
    </w:r>
    <w:r>
      <w:rPr>
        <w:rStyle w:val="41"/>
      </w:rPr>
      <w:instrText xml:space="preserve"> PAGE </w:instrText>
    </w:r>
    <w:r>
      <w:fldChar w:fldCharType="separate"/>
    </w:r>
    <w:r>
      <w:rPr>
        <w:rStyle w:val="41"/>
      </w:rPr>
      <w:t>35</w:t>
    </w:r>
    <w:r>
      <w:fldChar w:fldCharType="end"/>
    </w:r>
    <w:r>
      <w:rPr>
        <w:rStyle w:val="41"/>
        <w:rFonts w:hint="eastAsia"/>
      </w:rPr>
      <w:t>页，共</w:t>
    </w:r>
    <w:r>
      <w:fldChar w:fldCharType="begin"/>
    </w:r>
    <w:r>
      <w:rPr>
        <w:rStyle w:val="41"/>
      </w:rPr>
      <w:instrText xml:space="preserve"> NUMPAGES </w:instrText>
    </w:r>
    <w:r>
      <w:fldChar w:fldCharType="separate"/>
    </w:r>
    <w:r>
      <w:rPr>
        <w:rStyle w:val="41"/>
      </w:rPr>
      <w:t>115</w:t>
    </w:r>
    <w:r>
      <w:fldChar w:fldCharType="end"/>
    </w:r>
    <w:r>
      <w:rPr>
        <w:rStyle w:val="41"/>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F42AB">
    <w:pPr>
      <w:pStyle w:val="25"/>
      <w:jc w:val="center"/>
      <w:rPr>
        <w:rFonts w:hint="eastAsia"/>
      </w:rP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7614D">
    <w:pPr>
      <w:pStyle w:val="25"/>
      <w:jc w:val="center"/>
      <w:rPr>
        <w:rFonts w:hint="eastAsia"/>
      </w:rP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14100">
    <w:pPr>
      <w:pStyle w:val="25"/>
      <w:jc w:val="center"/>
      <w:rPr>
        <w:rFonts w:hint="eastAsia"/>
      </w:rP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FADED">
    <w:pPr>
      <w:pStyle w:val="25"/>
      <w:jc w:val="center"/>
      <w:rPr>
        <w:rFonts w:hint="eastAsia"/>
      </w:rP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9EFA2">
    <w:pPr>
      <w:pStyle w:val="25"/>
      <w:jc w:val="center"/>
      <w:rPr>
        <w:rFonts w:hint="eastAsia"/>
      </w:rP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0B002D41">
    <w:pPr>
      <w:pStyle w:val="25"/>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06BCF1"/>
    <w:multiLevelType w:val="singleLevel"/>
    <w:tmpl w:val="C006BCF1"/>
    <w:lvl w:ilvl="0" w:tentative="0">
      <w:start w:val="2"/>
      <w:numFmt w:val="decimal"/>
      <w:suff w:val="nothing"/>
      <w:lvlText w:val="%1、"/>
      <w:lvlJc w:val="left"/>
    </w:lvl>
  </w:abstractNum>
  <w:abstractNum w:abstractNumId="1">
    <w:nsid w:val="C0D46B4F"/>
    <w:multiLevelType w:val="singleLevel"/>
    <w:tmpl w:val="C0D46B4F"/>
    <w:lvl w:ilvl="0" w:tentative="0">
      <w:start w:val="1"/>
      <w:numFmt w:val="decimal"/>
      <w:suff w:val="nothing"/>
      <w:lvlText w:val="%1、"/>
      <w:lvlJc w:val="left"/>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E6A04C0"/>
    <w:multiLevelType w:val="singleLevel"/>
    <w:tmpl w:val="6E6A04C0"/>
    <w:lvl w:ilvl="0" w:tentative="0">
      <w:start w:val="1"/>
      <w:numFmt w:val="decimal"/>
      <w:suff w:val="nothing"/>
      <w:lvlText w:val="（%1）"/>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3MDlmZjc5NjhlNzcxODhhNDYyMDVhNmE1MTU0Nzg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2D64"/>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54BA"/>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A7703"/>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040"/>
    <w:rsid w:val="00630B61"/>
    <w:rsid w:val="006402A6"/>
    <w:rsid w:val="00644B65"/>
    <w:rsid w:val="006530F8"/>
    <w:rsid w:val="006537BE"/>
    <w:rsid w:val="006654C0"/>
    <w:rsid w:val="00681997"/>
    <w:rsid w:val="0068405C"/>
    <w:rsid w:val="00691017"/>
    <w:rsid w:val="0069152C"/>
    <w:rsid w:val="006976AA"/>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549E1"/>
    <w:rsid w:val="007730C9"/>
    <w:rsid w:val="00775150"/>
    <w:rsid w:val="00776B48"/>
    <w:rsid w:val="0078099D"/>
    <w:rsid w:val="00787DE8"/>
    <w:rsid w:val="007942D8"/>
    <w:rsid w:val="00794983"/>
    <w:rsid w:val="00796ED7"/>
    <w:rsid w:val="007A7740"/>
    <w:rsid w:val="007B05E3"/>
    <w:rsid w:val="007B2738"/>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4E10"/>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23D4"/>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7F5647"/>
    <w:rsid w:val="02FE5AC7"/>
    <w:rsid w:val="03C45E94"/>
    <w:rsid w:val="04B14F1D"/>
    <w:rsid w:val="04D855D4"/>
    <w:rsid w:val="052102F4"/>
    <w:rsid w:val="058F7720"/>
    <w:rsid w:val="05A60905"/>
    <w:rsid w:val="06447858"/>
    <w:rsid w:val="06A75D00"/>
    <w:rsid w:val="0708176C"/>
    <w:rsid w:val="07873521"/>
    <w:rsid w:val="07B40FAC"/>
    <w:rsid w:val="09387EEE"/>
    <w:rsid w:val="0BC938A3"/>
    <w:rsid w:val="0CF103CF"/>
    <w:rsid w:val="0D701E19"/>
    <w:rsid w:val="0D9C4E0B"/>
    <w:rsid w:val="0E755979"/>
    <w:rsid w:val="0F241091"/>
    <w:rsid w:val="116F480B"/>
    <w:rsid w:val="11E64458"/>
    <w:rsid w:val="120E1C01"/>
    <w:rsid w:val="127C6B6A"/>
    <w:rsid w:val="12E85A12"/>
    <w:rsid w:val="130F4A87"/>
    <w:rsid w:val="15190595"/>
    <w:rsid w:val="16105F47"/>
    <w:rsid w:val="1A864A2A"/>
    <w:rsid w:val="1A93020C"/>
    <w:rsid w:val="1B0940FF"/>
    <w:rsid w:val="1DF93765"/>
    <w:rsid w:val="1E246838"/>
    <w:rsid w:val="1E2471AC"/>
    <w:rsid w:val="20167F3D"/>
    <w:rsid w:val="205E0089"/>
    <w:rsid w:val="207A1985"/>
    <w:rsid w:val="20EA3839"/>
    <w:rsid w:val="21937A2C"/>
    <w:rsid w:val="22B97967"/>
    <w:rsid w:val="22C67208"/>
    <w:rsid w:val="23111CBC"/>
    <w:rsid w:val="24F45147"/>
    <w:rsid w:val="255C2C0B"/>
    <w:rsid w:val="25A96EF4"/>
    <w:rsid w:val="25DE1BBE"/>
    <w:rsid w:val="26DE174A"/>
    <w:rsid w:val="286E02B3"/>
    <w:rsid w:val="28A56114"/>
    <w:rsid w:val="28CD7B64"/>
    <w:rsid w:val="28DA73F5"/>
    <w:rsid w:val="29203830"/>
    <w:rsid w:val="2A1A0CEB"/>
    <w:rsid w:val="2C471B3F"/>
    <w:rsid w:val="2C85114F"/>
    <w:rsid w:val="2CF91F8B"/>
    <w:rsid w:val="2CFC2BFE"/>
    <w:rsid w:val="2D2A3C3C"/>
    <w:rsid w:val="2DB11966"/>
    <w:rsid w:val="2E62055B"/>
    <w:rsid w:val="2FB41BE1"/>
    <w:rsid w:val="300D4E4E"/>
    <w:rsid w:val="305A54BE"/>
    <w:rsid w:val="30BD39F7"/>
    <w:rsid w:val="310E70CF"/>
    <w:rsid w:val="314D028A"/>
    <w:rsid w:val="31B1682E"/>
    <w:rsid w:val="355530AA"/>
    <w:rsid w:val="35700359"/>
    <w:rsid w:val="364631D7"/>
    <w:rsid w:val="368928C2"/>
    <w:rsid w:val="36CF7301"/>
    <w:rsid w:val="37A733B1"/>
    <w:rsid w:val="383B4C4E"/>
    <w:rsid w:val="397A6507"/>
    <w:rsid w:val="3A3E4582"/>
    <w:rsid w:val="3A5C534F"/>
    <w:rsid w:val="3B194FEF"/>
    <w:rsid w:val="3B1F29B6"/>
    <w:rsid w:val="3B8E088C"/>
    <w:rsid w:val="3B9971A7"/>
    <w:rsid w:val="3BC627D6"/>
    <w:rsid w:val="3C0F72EA"/>
    <w:rsid w:val="3C145EE2"/>
    <w:rsid w:val="3C2932E2"/>
    <w:rsid w:val="3F5B255F"/>
    <w:rsid w:val="3FB53538"/>
    <w:rsid w:val="425F3C1F"/>
    <w:rsid w:val="42862F6A"/>
    <w:rsid w:val="436F1C50"/>
    <w:rsid w:val="43B50E83"/>
    <w:rsid w:val="43BE3B2F"/>
    <w:rsid w:val="44A02DC8"/>
    <w:rsid w:val="45435142"/>
    <w:rsid w:val="458F65D9"/>
    <w:rsid w:val="46364CA7"/>
    <w:rsid w:val="468058B1"/>
    <w:rsid w:val="46B401F5"/>
    <w:rsid w:val="477C2B8D"/>
    <w:rsid w:val="487927D0"/>
    <w:rsid w:val="49A42E68"/>
    <w:rsid w:val="4A1C7526"/>
    <w:rsid w:val="4A6D496B"/>
    <w:rsid w:val="4AB210AC"/>
    <w:rsid w:val="4B9E1324"/>
    <w:rsid w:val="4C567E51"/>
    <w:rsid w:val="4C9D3107"/>
    <w:rsid w:val="4D1F14F3"/>
    <w:rsid w:val="4D64659D"/>
    <w:rsid w:val="4DD224F9"/>
    <w:rsid w:val="4F0A4599"/>
    <w:rsid w:val="4F195165"/>
    <w:rsid w:val="4FCD1AFA"/>
    <w:rsid w:val="50E3126A"/>
    <w:rsid w:val="52F80915"/>
    <w:rsid w:val="53626BE1"/>
    <w:rsid w:val="536746F1"/>
    <w:rsid w:val="54C47921"/>
    <w:rsid w:val="568802DB"/>
    <w:rsid w:val="56B37004"/>
    <w:rsid w:val="59633BAD"/>
    <w:rsid w:val="59C22B9A"/>
    <w:rsid w:val="5A1522A3"/>
    <w:rsid w:val="5BBD4C82"/>
    <w:rsid w:val="5BE12FA3"/>
    <w:rsid w:val="5C730ABA"/>
    <w:rsid w:val="5D8747BB"/>
    <w:rsid w:val="5D8866EC"/>
    <w:rsid w:val="5DA56542"/>
    <w:rsid w:val="5DCF1811"/>
    <w:rsid w:val="5EBF421E"/>
    <w:rsid w:val="60327E35"/>
    <w:rsid w:val="608E59B3"/>
    <w:rsid w:val="60A305BA"/>
    <w:rsid w:val="60AF08C6"/>
    <w:rsid w:val="610C68D8"/>
    <w:rsid w:val="6189617B"/>
    <w:rsid w:val="62B13874"/>
    <w:rsid w:val="62EF200D"/>
    <w:rsid w:val="634E365D"/>
    <w:rsid w:val="63672753"/>
    <w:rsid w:val="645779AB"/>
    <w:rsid w:val="65E62E7A"/>
    <w:rsid w:val="669A3257"/>
    <w:rsid w:val="67000C8D"/>
    <w:rsid w:val="67BB5990"/>
    <w:rsid w:val="67FC1454"/>
    <w:rsid w:val="69F04FE9"/>
    <w:rsid w:val="6A2E5D35"/>
    <w:rsid w:val="6A6B466F"/>
    <w:rsid w:val="6AAD178D"/>
    <w:rsid w:val="6AE606B8"/>
    <w:rsid w:val="6B5F5727"/>
    <w:rsid w:val="6BF33F2A"/>
    <w:rsid w:val="6C9B3DA2"/>
    <w:rsid w:val="6CC649E7"/>
    <w:rsid w:val="6CF35EC2"/>
    <w:rsid w:val="6F5F71DE"/>
    <w:rsid w:val="6F6F261D"/>
    <w:rsid w:val="6FF7415E"/>
    <w:rsid w:val="70645DE9"/>
    <w:rsid w:val="725E4ABA"/>
    <w:rsid w:val="72A03F09"/>
    <w:rsid w:val="73166260"/>
    <w:rsid w:val="743D7CF2"/>
    <w:rsid w:val="75383CE8"/>
    <w:rsid w:val="7662101C"/>
    <w:rsid w:val="778841E4"/>
    <w:rsid w:val="78C22246"/>
    <w:rsid w:val="78D8750A"/>
    <w:rsid w:val="796E3EA9"/>
    <w:rsid w:val="79B73D64"/>
    <w:rsid w:val="7AA37E55"/>
    <w:rsid w:val="7C0E12FE"/>
    <w:rsid w:val="7C8617DD"/>
    <w:rsid w:val="7CB225D2"/>
    <w:rsid w:val="7CF130FA"/>
    <w:rsid w:val="7D060228"/>
    <w:rsid w:val="7D16490F"/>
    <w:rsid w:val="7D2D3171"/>
    <w:rsid w:val="7D6457E7"/>
    <w:rsid w:val="7E3239CA"/>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50"/>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32"/>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54"/>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55"/>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8"/>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Indent"/>
    <w:basedOn w:val="1"/>
    <w:next w:val="1"/>
    <w:link w:val="92"/>
    <w:qFormat/>
    <w:uiPriority w:val="0"/>
    <w:pPr>
      <w:ind w:left="567" w:leftChars="270"/>
    </w:pPr>
    <w:rPr>
      <w:rFonts w:ascii="Times New Roman" w:hAnsi="Times New Roman" w:eastAsia="宋体" w:cs="Times New Roman"/>
      <w:szCs w:val="20"/>
    </w:rPr>
  </w:style>
  <w:style w:type="paragraph" w:customStyle="1" w:styleId="10">
    <w:name w:val="模板正文"/>
    <w:basedOn w:val="1"/>
    <w:link w:val="94"/>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5">
    <w:name w:val="caption"/>
    <w:basedOn w:val="1"/>
    <w:next w:val="1"/>
    <w:link w:val="83"/>
    <w:qFormat/>
    <w:uiPriority w:val="0"/>
    <w:pPr>
      <w:autoSpaceDE w:val="0"/>
      <w:autoSpaceDN w:val="0"/>
      <w:adjustRightInd w:val="0"/>
      <w:spacing w:before="152" w:after="160"/>
      <w:jc w:val="left"/>
    </w:pPr>
    <w:rPr>
      <w:rFonts w:ascii="Arial" w:hAnsi="Arial" w:eastAsia="黑体" w:cs="Arial"/>
    </w:rPr>
  </w:style>
  <w:style w:type="paragraph" w:styleId="16">
    <w:name w:val="Document Map"/>
    <w:basedOn w:val="1"/>
    <w:link w:val="116"/>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163"/>
    <w:unhideWhenUsed/>
    <w:qFormat/>
    <w:uiPriority w:val="99"/>
    <w:pPr>
      <w:jc w:val="left"/>
    </w:pPr>
  </w:style>
  <w:style w:type="paragraph" w:styleId="19">
    <w:name w:val="Body Text 3"/>
    <w:basedOn w:val="1"/>
    <w:link w:val="156"/>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100"/>
    <w:qFormat/>
    <w:uiPriority w:val="0"/>
    <w:rPr>
      <w:rFonts w:ascii="宋体" w:hAnsi="Courier New" w:eastAsia="宋体"/>
    </w:rPr>
  </w:style>
  <w:style w:type="paragraph" w:styleId="22">
    <w:name w:val="Date"/>
    <w:basedOn w:val="1"/>
    <w:next w:val="1"/>
    <w:link w:val="10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1"/>
    <w:qFormat/>
    <w:uiPriority w:val="0"/>
    <w:pPr>
      <w:tabs>
        <w:tab w:val="left" w:pos="8640"/>
      </w:tabs>
      <w:ind w:left="1260"/>
    </w:pPr>
    <w:rPr>
      <w:rFonts w:ascii="宋体" w:hAnsi="Times New Roman" w:eastAsia="宋体" w:cs="Times New Roman"/>
      <w:szCs w:val="20"/>
    </w:rPr>
  </w:style>
  <w:style w:type="paragraph" w:styleId="24">
    <w:name w:val="Balloon Text"/>
    <w:basedOn w:val="1"/>
    <w:link w:val="74"/>
    <w:qFormat/>
    <w:uiPriority w:val="0"/>
    <w:rPr>
      <w:rFonts w:ascii="Times New Roman" w:hAnsi="Times New Roman" w:eastAsia="宋体" w:cs="Times New Roman"/>
      <w:sz w:val="18"/>
      <w:szCs w:val="18"/>
    </w:rPr>
  </w:style>
  <w:style w:type="paragraph" w:styleId="25">
    <w:name w:val="footer"/>
    <w:basedOn w:val="1"/>
    <w:link w:val="78"/>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20"/>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4"/>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3"/>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3"/>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8"/>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8"/>
    <w:next w:val="18"/>
    <w:link w:val="110"/>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2"/>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page number"/>
    <w:qFormat/>
    <w:uiPriority w:val="0"/>
  </w:style>
  <w:style w:type="character" w:styleId="42">
    <w:name w:val="FollowedHyperlink"/>
    <w:unhideWhenUsed/>
    <w:qFormat/>
    <w:uiPriority w:val="99"/>
    <w:rPr>
      <w:color w:val="954F72"/>
      <w:u w:val="single"/>
    </w:rPr>
  </w:style>
  <w:style w:type="character" w:styleId="43">
    <w:name w:val="Emphasis"/>
    <w:qFormat/>
    <w:uiPriority w:val="0"/>
    <w:rPr>
      <w:i/>
      <w:iCs/>
    </w:rPr>
  </w:style>
  <w:style w:type="character" w:styleId="44">
    <w:name w:val="Hyperlink"/>
    <w:qFormat/>
    <w:uiPriority w:val="99"/>
    <w:rPr>
      <w:rFonts w:hint="default" w:ascii="Arial" w:hAnsi="Arial" w:cs="Arial"/>
      <w:color w:val="000000"/>
      <w:sz w:val="20"/>
      <w:szCs w:val="20"/>
      <w:u w:val="none"/>
    </w:rPr>
  </w:style>
  <w:style w:type="character" w:styleId="45">
    <w:name w:val="annotation reference"/>
    <w:qFormat/>
    <w:uiPriority w:val="99"/>
    <w:rPr>
      <w:sz w:val="21"/>
      <w:szCs w:val="21"/>
    </w:rPr>
  </w:style>
  <w:style w:type="paragraph" w:customStyle="1" w:styleId="46">
    <w:name w:val="首行缩进"/>
    <w:basedOn w:val="1"/>
    <w:qFormat/>
    <w:uiPriority w:val="0"/>
    <w:pPr>
      <w:ind w:firstLine="480" w:firstLineChars="200"/>
    </w:pPr>
    <w:rPr>
      <w:lang w:val="zh-CN"/>
    </w:rPr>
  </w:style>
  <w:style w:type="character" w:customStyle="1" w:styleId="47">
    <w:name w:val="标题 1 字符"/>
    <w:basedOn w:val="39"/>
    <w:qFormat/>
    <w:uiPriority w:val="0"/>
    <w:rPr>
      <w:b/>
      <w:bCs/>
      <w:kern w:val="44"/>
      <w:sz w:val="44"/>
      <w:szCs w:val="44"/>
    </w:rPr>
  </w:style>
  <w:style w:type="character" w:customStyle="1" w:styleId="48">
    <w:name w:val="标题 2 字符"/>
    <w:basedOn w:val="39"/>
    <w:link w:val="5"/>
    <w:qFormat/>
    <w:uiPriority w:val="0"/>
    <w:rPr>
      <w:rFonts w:ascii="宋体" w:hAnsi="Calibri" w:eastAsia="宋体" w:cs="Times New Roman"/>
      <w:kern w:val="0"/>
      <w:sz w:val="24"/>
      <w:szCs w:val="24"/>
    </w:rPr>
  </w:style>
  <w:style w:type="character" w:customStyle="1" w:styleId="49">
    <w:name w:val="标题 3 字符"/>
    <w:basedOn w:val="39"/>
    <w:qFormat/>
    <w:uiPriority w:val="0"/>
    <w:rPr>
      <w:b/>
      <w:bCs/>
      <w:sz w:val="32"/>
      <w:szCs w:val="32"/>
    </w:rPr>
  </w:style>
  <w:style w:type="character" w:customStyle="1" w:styleId="50">
    <w:name w:val="标题 4 字符"/>
    <w:basedOn w:val="39"/>
    <w:link w:val="7"/>
    <w:qFormat/>
    <w:uiPriority w:val="9"/>
    <w:rPr>
      <w:rFonts w:ascii="Arial" w:hAnsi="Arial" w:eastAsia="黑体" w:cs="Times New Roman"/>
      <w:b/>
      <w:bCs/>
      <w:kern w:val="0"/>
      <w:sz w:val="28"/>
      <w:szCs w:val="28"/>
    </w:rPr>
  </w:style>
  <w:style w:type="character" w:customStyle="1" w:styleId="51">
    <w:name w:val="标题 5 字符"/>
    <w:basedOn w:val="39"/>
    <w:qFormat/>
    <w:uiPriority w:val="9"/>
    <w:rPr>
      <w:b/>
      <w:bCs/>
      <w:sz w:val="28"/>
      <w:szCs w:val="28"/>
    </w:rPr>
  </w:style>
  <w:style w:type="character" w:customStyle="1" w:styleId="52">
    <w:name w:val="标题 6 字符"/>
    <w:basedOn w:val="39"/>
    <w:qFormat/>
    <w:uiPriority w:val="0"/>
    <w:rPr>
      <w:rFonts w:asciiTheme="majorHAnsi" w:hAnsiTheme="majorHAnsi" w:eastAsiaTheme="majorEastAsia" w:cstheme="majorBidi"/>
      <w:b/>
      <w:bCs/>
      <w:sz w:val="24"/>
      <w:szCs w:val="24"/>
    </w:rPr>
  </w:style>
  <w:style w:type="character" w:customStyle="1" w:styleId="53">
    <w:name w:val="标题 7 字符"/>
    <w:basedOn w:val="39"/>
    <w:link w:val="11"/>
    <w:qFormat/>
    <w:uiPriority w:val="9"/>
    <w:rPr>
      <w:rFonts w:ascii="Times New Roman" w:hAnsi="Calibri" w:eastAsia="黑体" w:cs="Times New Roman"/>
      <w:b/>
      <w:bCs/>
      <w:kern w:val="0"/>
      <w:sz w:val="28"/>
      <w:szCs w:val="24"/>
    </w:rPr>
  </w:style>
  <w:style w:type="character" w:customStyle="1" w:styleId="54">
    <w:name w:val="标题 8 字符"/>
    <w:basedOn w:val="39"/>
    <w:link w:val="12"/>
    <w:qFormat/>
    <w:uiPriority w:val="9"/>
    <w:rPr>
      <w:rFonts w:ascii="Times New Roman" w:hAnsi="Calibri" w:eastAsia="黑体" w:cs="Times New Roman"/>
      <w:b/>
      <w:kern w:val="0"/>
      <w:sz w:val="28"/>
      <w:szCs w:val="24"/>
    </w:rPr>
  </w:style>
  <w:style w:type="character" w:customStyle="1" w:styleId="55">
    <w:name w:val="标题 9 字符"/>
    <w:basedOn w:val="39"/>
    <w:link w:val="13"/>
    <w:qFormat/>
    <w:uiPriority w:val="9"/>
    <w:rPr>
      <w:rFonts w:ascii="Times New Roman" w:hAnsi="Calibri" w:eastAsia="黑体" w:cs="Times New Roman"/>
      <w:b/>
      <w:kern w:val="0"/>
      <w:sz w:val="28"/>
      <w:szCs w:val="24"/>
    </w:rPr>
  </w:style>
  <w:style w:type="character" w:customStyle="1" w:styleId="56">
    <w:name w:val="正文文本缩进 字符"/>
    <w:qFormat/>
    <w:uiPriority w:val="0"/>
    <w:rPr>
      <w:rFonts w:ascii="Times New Roman" w:hAnsi="Times New Roman" w:eastAsia="宋体" w:cs="Times New Roman"/>
      <w:szCs w:val="20"/>
    </w:rPr>
  </w:style>
  <w:style w:type="character" w:customStyle="1" w:styleId="57">
    <w:name w:val="普通(网站) Char"/>
    <w:qFormat/>
    <w:locked/>
    <w:uiPriority w:val="0"/>
    <w:rPr>
      <w:rFonts w:ascii="宋体" w:hAnsi="宋体"/>
      <w:sz w:val="15"/>
      <w:szCs w:val="15"/>
    </w:rPr>
  </w:style>
  <w:style w:type="character" w:customStyle="1" w:styleId="58">
    <w:name w:val="标题 字符1"/>
    <w:link w:val="34"/>
    <w:qFormat/>
    <w:uiPriority w:val="10"/>
    <w:rPr>
      <w:rFonts w:ascii="等线 Light" w:hAnsi="等线 Light" w:eastAsia="仿宋"/>
      <w:b/>
      <w:bCs/>
      <w:sz w:val="28"/>
      <w:szCs w:val="32"/>
    </w:rPr>
  </w:style>
  <w:style w:type="character" w:customStyle="1" w:styleId="59">
    <w:name w:val="日期 Char"/>
    <w:semiHidden/>
    <w:qFormat/>
    <w:uiPriority w:val="99"/>
    <w:rPr>
      <w:kern w:val="2"/>
      <w:sz w:val="21"/>
    </w:rPr>
  </w:style>
  <w:style w:type="character" w:customStyle="1" w:styleId="60">
    <w:name w:val="文档结构图 字符1"/>
    <w:semiHidden/>
    <w:qFormat/>
    <w:uiPriority w:val="99"/>
    <w:rPr>
      <w:rFonts w:ascii="Microsoft YaHei UI" w:hAnsi="Calibri" w:eastAsia="Microsoft YaHei UI" w:cs="Times New Roman"/>
      <w:kern w:val="0"/>
      <w:sz w:val="18"/>
      <w:szCs w:val="18"/>
    </w:rPr>
  </w:style>
  <w:style w:type="character" w:customStyle="1" w:styleId="61">
    <w:name w:val="批注文字 Char"/>
    <w:semiHidden/>
    <w:qFormat/>
    <w:uiPriority w:val="99"/>
    <w:rPr>
      <w:kern w:val="2"/>
      <w:sz w:val="21"/>
    </w:rPr>
  </w:style>
  <w:style w:type="character" w:customStyle="1" w:styleId="62">
    <w:name w:val="正文缩进2格 Char"/>
    <w:link w:val="63"/>
    <w:qFormat/>
    <w:uiPriority w:val="0"/>
    <w:rPr>
      <w:rFonts w:ascii="仿宋_GB2312" w:hAnsi="宋体" w:eastAsia="仿宋_GB2312"/>
      <w:sz w:val="31"/>
      <w:szCs w:val="28"/>
    </w:rPr>
  </w:style>
  <w:style w:type="paragraph" w:customStyle="1" w:styleId="63">
    <w:name w:val="正文缩进2格"/>
    <w:basedOn w:val="1"/>
    <w:link w:val="62"/>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semiHidden/>
    <w:qFormat/>
    <w:uiPriority w:val="99"/>
    <w:rPr>
      <w:rFonts w:ascii="宋体" w:hAnsi="Calibri" w:eastAsia="宋体" w:cs="Times New Roman"/>
      <w:kern w:val="0"/>
      <w:sz w:val="18"/>
      <w:szCs w:val="18"/>
    </w:rPr>
  </w:style>
  <w:style w:type="character" w:customStyle="1" w:styleId="67">
    <w:name w:val="List Paragraph Char"/>
    <w:link w:val="68"/>
    <w:qFormat/>
    <w:uiPriority w:val="34"/>
    <w:rPr>
      <w:rFonts w:ascii="Calibri" w:hAnsi="Calibri"/>
    </w:rPr>
  </w:style>
  <w:style w:type="paragraph" w:customStyle="1" w:styleId="68">
    <w:name w:val="列出段落1"/>
    <w:basedOn w:val="1"/>
    <w:link w:val="67"/>
    <w:qFormat/>
    <w:uiPriority w:val="34"/>
    <w:pPr>
      <w:ind w:firstLine="420" w:firstLineChars="200"/>
    </w:pPr>
    <w:rPr>
      <w:rFonts w:ascii="Calibri" w:hAnsi="Calibri"/>
    </w:rPr>
  </w:style>
  <w:style w:type="character" w:customStyle="1" w:styleId="69">
    <w:name w:val="标书正文 字符"/>
    <w:link w:val="70"/>
    <w:qFormat/>
    <w:uiPriority w:val="0"/>
    <w:rPr>
      <w:rFonts w:ascii="Calibri" w:hAnsi="Calibri" w:eastAsia="仿宋"/>
      <w:sz w:val="24"/>
      <w:szCs w:val="21"/>
    </w:rPr>
  </w:style>
  <w:style w:type="paragraph" w:customStyle="1" w:styleId="70">
    <w:name w:val="标书正文"/>
    <w:basedOn w:val="1"/>
    <w:link w:val="69"/>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semiHidden/>
    <w:qFormat/>
    <w:uiPriority w:val="99"/>
    <w:rPr>
      <w:rFonts w:ascii="Times New Roman" w:hAnsi="Times New Roman"/>
      <w:kern w:val="2"/>
      <w:sz w:val="24"/>
      <w:szCs w:val="24"/>
    </w:rPr>
  </w:style>
  <w:style w:type="character" w:customStyle="1" w:styleId="72">
    <w:name w:val="页脚 Char"/>
    <w:qFormat/>
    <w:uiPriority w:val="0"/>
    <w:rPr>
      <w:kern w:val="2"/>
      <w:sz w:val="18"/>
      <w:szCs w:val="18"/>
    </w:rPr>
  </w:style>
  <w:style w:type="character" w:customStyle="1" w:styleId="73">
    <w:name w:val="neir1"/>
    <w:qFormat/>
    <w:uiPriority w:val="0"/>
    <w:rPr>
      <w:rFonts w:hint="default" w:ascii="ˎ̥" w:hAnsi="ˎ̥"/>
      <w:color w:val="333333"/>
      <w:sz w:val="21"/>
      <w:szCs w:val="21"/>
      <w:u w:val="none"/>
    </w:rPr>
  </w:style>
  <w:style w:type="character" w:customStyle="1" w:styleId="74">
    <w:name w:val="批注框文本 字符"/>
    <w:link w:val="24"/>
    <w:qFormat/>
    <w:uiPriority w:val="0"/>
    <w:rPr>
      <w:rFonts w:ascii="Times New Roman" w:hAnsi="Times New Roman" w:eastAsia="宋体" w:cs="Times New Roman"/>
      <w:sz w:val="18"/>
      <w:szCs w:val="18"/>
    </w:rPr>
  </w:style>
  <w:style w:type="character" w:customStyle="1" w:styleId="75">
    <w:name w:val="正文文本 3 字符1"/>
    <w:semiHidden/>
    <w:qFormat/>
    <w:uiPriority w:val="99"/>
    <w:rPr>
      <w:rFonts w:ascii="宋体" w:hAnsi="Calibri" w:eastAsia="宋体" w:cs="Times New Roman"/>
      <w:kern w:val="0"/>
      <w:sz w:val="16"/>
      <w:szCs w:val="16"/>
    </w:rPr>
  </w:style>
  <w:style w:type="character" w:customStyle="1" w:styleId="76">
    <w:name w:val="正文文本 字符3"/>
    <w:semiHidden/>
    <w:qFormat/>
    <w:uiPriority w:val="99"/>
    <w:rPr>
      <w:rFonts w:ascii="宋体" w:hAnsi="Calibri" w:eastAsia="宋体" w:cs="Times New Roman"/>
      <w:kern w:val="0"/>
      <w:sz w:val="24"/>
      <w:szCs w:val="24"/>
    </w:rPr>
  </w:style>
  <w:style w:type="character" w:customStyle="1" w:styleId="77">
    <w:name w:val="日期 字符1"/>
    <w:semiHidden/>
    <w:qFormat/>
    <w:uiPriority w:val="99"/>
    <w:rPr>
      <w:rFonts w:ascii="宋体" w:hAnsi="Calibri" w:eastAsia="宋体" w:cs="Times New Roman"/>
      <w:kern w:val="0"/>
      <w:sz w:val="24"/>
      <w:szCs w:val="24"/>
    </w:rPr>
  </w:style>
  <w:style w:type="character" w:customStyle="1" w:styleId="78">
    <w:name w:val="页脚 字符"/>
    <w:link w:val="25"/>
    <w:qFormat/>
    <w:uiPriority w:val="99"/>
    <w:rPr>
      <w:rFonts w:ascii="宋体" w:eastAsia="宋体"/>
      <w:sz w:val="18"/>
      <w:szCs w:val="18"/>
    </w:rPr>
  </w:style>
  <w:style w:type="character" w:customStyle="1" w:styleId="79">
    <w:name w:val="吉奥正文 Char"/>
    <w:link w:val="80"/>
    <w:qFormat/>
    <w:locked/>
    <w:uiPriority w:val="0"/>
    <w:rPr>
      <w:rFonts w:eastAsia="仿宋_GB2312"/>
      <w:sz w:val="28"/>
    </w:rPr>
  </w:style>
  <w:style w:type="paragraph" w:customStyle="1" w:styleId="80">
    <w:name w:val="吉奥正文"/>
    <w:basedOn w:val="1"/>
    <w:link w:val="7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qFormat/>
    <w:uiPriority w:val="99"/>
    <w:rPr>
      <w:rFonts w:ascii="宋体" w:hAnsi="Times New Roman" w:eastAsia="宋体" w:cs="Times New Roman"/>
      <w:kern w:val="0"/>
      <w:sz w:val="18"/>
      <w:szCs w:val="18"/>
    </w:rPr>
  </w:style>
  <w:style w:type="character" w:customStyle="1" w:styleId="82">
    <w:name w:val="标题 字符"/>
    <w:qFormat/>
    <w:uiPriority w:val="10"/>
    <w:rPr>
      <w:rFonts w:ascii="Cambria" w:hAnsi="Cambria" w:eastAsia="宋体" w:cs="Times New Roman"/>
      <w:b/>
      <w:bCs/>
      <w:kern w:val="0"/>
      <w:sz w:val="32"/>
      <w:szCs w:val="32"/>
      <w:lang w:val="en-US" w:eastAsia="zh-CN"/>
    </w:rPr>
  </w:style>
  <w:style w:type="character" w:customStyle="1" w:styleId="83">
    <w:name w:val="题注 字符1"/>
    <w:link w:val="15"/>
    <w:qFormat/>
    <w:uiPriority w:val="0"/>
    <w:rPr>
      <w:rFonts w:ascii="Arial" w:hAnsi="Arial" w:eastAsia="黑体" w:cs="Arial"/>
    </w:rPr>
  </w:style>
  <w:style w:type="character" w:customStyle="1" w:styleId="84">
    <w:name w:val="批注文字 字符2"/>
    <w:qFormat/>
    <w:uiPriority w:val="99"/>
    <w:rPr>
      <w:rFonts w:ascii="宋体" w:hAnsi="Times New Roman" w:eastAsia="宋体" w:cs="Times New Roman"/>
      <w:kern w:val="0"/>
      <w:sz w:val="24"/>
      <w:szCs w:val="24"/>
    </w:rPr>
  </w:style>
  <w:style w:type="character" w:customStyle="1" w:styleId="85">
    <w:name w:val="批注主题 字符1"/>
    <w:semiHidden/>
    <w:qFormat/>
    <w:uiPriority w:val="99"/>
    <w:rPr>
      <w:rFonts w:ascii="宋体" w:hAnsi="Calibri" w:eastAsia="宋体" w:cs="Times New Roman"/>
      <w:b/>
      <w:bCs/>
      <w:kern w:val="0"/>
      <w:sz w:val="24"/>
      <w:szCs w:val="24"/>
    </w:rPr>
  </w:style>
  <w:style w:type="character" w:customStyle="1" w:styleId="86">
    <w:name w:val="HTML 预设格式 字符"/>
    <w:link w:val="32"/>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6"/>
    <w:link w:val="87"/>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semiHidden/>
    <w:qFormat/>
    <w:uiPriority w:val="99"/>
    <w:rPr>
      <w:rFonts w:ascii="Courier New" w:hAnsi="Courier New" w:eastAsia="宋体" w:cs="Courier New"/>
      <w:kern w:val="0"/>
      <w:sz w:val="20"/>
      <w:szCs w:val="20"/>
    </w:rPr>
  </w:style>
  <w:style w:type="character" w:customStyle="1" w:styleId="90">
    <w:name w:val="批注文字 字符1"/>
    <w:qFormat/>
    <w:uiPriority w:val="0"/>
    <w:rPr>
      <w:rFonts w:eastAsia="宋体"/>
      <w:kern w:val="2"/>
      <w:sz w:val="24"/>
      <w:szCs w:val="24"/>
      <w:lang w:val="en-US" w:eastAsia="zh-CN" w:bidi="ar-SA"/>
    </w:rPr>
  </w:style>
  <w:style w:type="character" w:customStyle="1" w:styleId="91">
    <w:name w:val="正文文本缩进 字符2"/>
    <w:semiHidden/>
    <w:qFormat/>
    <w:uiPriority w:val="99"/>
    <w:rPr>
      <w:rFonts w:ascii="宋体" w:hAnsi="Calibri" w:eastAsia="宋体" w:cs="Times New Roman"/>
      <w:kern w:val="0"/>
      <w:sz w:val="24"/>
      <w:szCs w:val="24"/>
    </w:rPr>
  </w:style>
  <w:style w:type="character" w:customStyle="1" w:styleId="92">
    <w:name w:val="正文文本缩进 字符1"/>
    <w:link w:val="3"/>
    <w:qFormat/>
    <w:uiPriority w:val="0"/>
    <w:rPr>
      <w:rFonts w:ascii="Times New Roman" w:hAnsi="Times New Roman" w:eastAsia="宋体" w:cs="Times New Roman"/>
      <w:szCs w:val="20"/>
    </w:rPr>
  </w:style>
  <w:style w:type="character" w:customStyle="1" w:styleId="93">
    <w:name w:val="普通(网站) 字符2"/>
    <w:link w:val="33"/>
    <w:qFormat/>
    <w:locked/>
    <w:uiPriority w:val="0"/>
    <w:rPr>
      <w:rFonts w:ascii="宋体" w:hAnsi="宋体"/>
      <w:sz w:val="15"/>
      <w:szCs w:val="15"/>
    </w:rPr>
  </w:style>
  <w:style w:type="character" w:customStyle="1" w:styleId="94">
    <w:name w:val="模板正文 Char"/>
    <w:link w:val="10"/>
    <w:qFormat/>
    <w:uiPriority w:val="0"/>
    <w:rPr>
      <w:rFonts w:ascii="宋体" w:eastAsia="仿宋"/>
      <w:sz w:val="24"/>
      <w:szCs w:val="21"/>
    </w:rPr>
  </w:style>
  <w:style w:type="character" w:customStyle="1" w:styleId="95">
    <w:name w:val="批注主题 Char"/>
    <w:semiHidden/>
    <w:qFormat/>
    <w:uiPriority w:val="99"/>
    <w:rPr>
      <w:b/>
      <w:bCs/>
      <w:kern w:val="2"/>
      <w:sz w:val="21"/>
    </w:rPr>
  </w:style>
  <w:style w:type="character" w:customStyle="1" w:styleId="96">
    <w:name w:val="正文文本 Char1"/>
    <w:qFormat/>
    <w:uiPriority w:val="0"/>
    <w:rPr>
      <w:rFonts w:ascii="宋体" w:hAnsi="Times New Roman" w:eastAsia="宋体" w:cs="Times New Roman"/>
      <w:kern w:val="0"/>
      <w:sz w:val="24"/>
      <w:szCs w:val="24"/>
    </w:rPr>
  </w:style>
  <w:style w:type="character" w:customStyle="1" w:styleId="97">
    <w:name w:val="正文文本 字符1"/>
    <w:qFormat/>
    <w:uiPriority w:val="99"/>
    <w:rPr>
      <w:rFonts w:ascii="宋体" w:eastAsia="宋体"/>
      <w:b/>
      <w:bCs/>
      <w:sz w:val="84"/>
      <w:szCs w:val="84"/>
      <w:lang w:val="zh-CN"/>
    </w:rPr>
  </w:style>
  <w:style w:type="character" w:customStyle="1" w:styleId="98">
    <w:name w:val="标题 1 Char"/>
    <w:qFormat/>
    <w:uiPriority w:val="9"/>
    <w:rPr>
      <w:rFonts w:ascii="宋体" w:hAnsi="Times New Roman" w:eastAsia="宋体" w:cs="Times New Roman"/>
      <w:kern w:val="0"/>
      <w:sz w:val="24"/>
      <w:szCs w:val="24"/>
    </w:rPr>
  </w:style>
  <w:style w:type="character" w:customStyle="1" w:styleId="99">
    <w:name w:val="正文文本 Char2"/>
    <w:qFormat/>
    <w:uiPriority w:val="99"/>
    <w:rPr>
      <w:rFonts w:ascii="宋体" w:eastAsia="宋体"/>
      <w:b/>
      <w:bCs/>
      <w:sz w:val="84"/>
      <w:szCs w:val="84"/>
      <w:lang w:val="zh-CN"/>
    </w:rPr>
  </w:style>
  <w:style w:type="character" w:customStyle="1" w:styleId="100">
    <w:name w:val="纯文本 字符2"/>
    <w:link w:val="21"/>
    <w:qFormat/>
    <w:uiPriority w:val="0"/>
    <w:rPr>
      <w:rFonts w:ascii="宋体" w:hAnsi="Courier New" w:eastAsia="宋体"/>
    </w:rPr>
  </w:style>
  <w:style w:type="character" w:customStyle="1" w:styleId="101">
    <w:name w:val="正文文本缩进 2 字符"/>
    <w:link w:val="23"/>
    <w:qFormat/>
    <w:uiPriority w:val="0"/>
    <w:rPr>
      <w:rFonts w:ascii="宋体" w:hAnsi="Times New Roman" w:eastAsia="宋体" w:cs="Times New Roman"/>
      <w:szCs w:val="20"/>
    </w:rPr>
  </w:style>
  <w:style w:type="character" w:customStyle="1" w:styleId="102">
    <w:name w:val="HTML Markup"/>
    <w:qFormat/>
    <w:uiPriority w:val="0"/>
    <w:rPr>
      <w:vanish/>
      <w:color w:val="FF0000"/>
    </w:rPr>
  </w:style>
  <w:style w:type="character" w:customStyle="1" w:styleId="103">
    <w:name w:val="页眉 Char1"/>
    <w:qFormat/>
    <w:uiPriority w:val="0"/>
    <w:rPr>
      <w:rFonts w:ascii="宋体" w:hAnsi="Times New Roman" w:eastAsia="宋体" w:cs="Times New Roman"/>
      <w:kern w:val="0"/>
      <w:sz w:val="18"/>
      <w:szCs w:val="18"/>
    </w:rPr>
  </w:style>
  <w:style w:type="character" w:customStyle="1" w:styleId="104">
    <w:name w:val="font11"/>
    <w:qFormat/>
    <w:uiPriority w:val="0"/>
    <w:rPr>
      <w:rFonts w:hint="eastAsia" w:ascii="宋体" w:hAnsi="宋体" w:eastAsia="宋体" w:cs="宋体"/>
      <w:color w:val="FF0000"/>
      <w:sz w:val="22"/>
      <w:szCs w:val="22"/>
      <w:u w:val="none"/>
    </w:rPr>
  </w:style>
  <w:style w:type="character" w:customStyle="1" w:styleId="105">
    <w:name w:val="style61"/>
    <w:qFormat/>
    <w:uiPriority w:val="0"/>
    <w:rPr>
      <w:b/>
      <w:bCs/>
    </w:rPr>
  </w:style>
  <w:style w:type="character" w:customStyle="1" w:styleId="106">
    <w:name w:val="表头文字 Char"/>
    <w:link w:val="107"/>
    <w:qFormat/>
    <w:uiPriority w:val="0"/>
    <w:rPr>
      <w:rFonts w:eastAsia="仿宋_GB2312"/>
      <w:b/>
      <w:sz w:val="28"/>
      <w:szCs w:val="21"/>
    </w:rPr>
  </w:style>
  <w:style w:type="paragraph" w:customStyle="1" w:styleId="107">
    <w:name w:val="表头文字"/>
    <w:basedOn w:val="1"/>
    <w:link w:val="106"/>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字符"/>
    <w:link w:val="22"/>
    <w:qFormat/>
    <w:uiPriority w:val="99"/>
    <w:rPr>
      <w:rFonts w:ascii="宋体" w:hAnsi="Times New Roman" w:eastAsia="宋体" w:cs="Times New Roman"/>
      <w:b/>
      <w:bCs/>
      <w:szCs w:val="21"/>
      <w:lang w:val="zh-CN"/>
    </w:rPr>
  </w:style>
  <w:style w:type="character" w:customStyle="1" w:styleId="109">
    <w:name w:val="纯文本 Char1"/>
    <w:qFormat/>
    <w:uiPriority w:val="0"/>
    <w:rPr>
      <w:rFonts w:ascii="宋体" w:hAnsi="Courier New" w:eastAsia="宋体" w:cs="Courier New"/>
      <w:kern w:val="0"/>
      <w:szCs w:val="21"/>
    </w:rPr>
  </w:style>
  <w:style w:type="character" w:customStyle="1" w:styleId="110">
    <w:name w:val="批注主题 字符"/>
    <w:link w:val="35"/>
    <w:qFormat/>
    <w:uiPriority w:val="99"/>
    <w:rPr>
      <w:rFonts w:ascii="宋体" w:hAnsi="Times New Roman" w:eastAsia="宋体" w:cs="Times New Roman"/>
      <w:b/>
      <w:bCs/>
      <w:kern w:val="0"/>
      <w:sz w:val="24"/>
      <w:szCs w:val="24"/>
    </w:rPr>
  </w:style>
  <w:style w:type="character" w:customStyle="1" w:styleId="111">
    <w:name w:val="纯文本 字符"/>
    <w:qFormat/>
    <w:uiPriority w:val="99"/>
    <w:rPr>
      <w:rFonts w:ascii="宋体" w:hAnsi="Courier New" w:eastAsia="宋体" w:cs="Times New Roman"/>
      <w:szCs w:val="20"/>
      <w:lang w:val="en-US" w:eastAsia="zh-CN"/>
    </w:rPr>
  </w:style>
  <w:style w:type="character" w:customStyle="1" w:styleId="112">
    <w:name w:val="font71"/>
    <w:qFormat/>
    <w:uiPriority w:val="0"/>
    <w:rPr>
      <w:rFonts w:hint="eastAsia" w:ascii="宋体" w:hAnsi="宋体" w:eastAsia="宋体" w:cs="宋体"/>
      <w:color w:val="FF0000"/>
      <w:sz w:val="18"/>
      <w:szCs w:val="18"/>
      <w:u w:val="none"/>
    </w:rPr>
  </w:style>
  <w:style w:type="character" w:customStyle="1" w:styleId="113">
    <w:name w:val="font21"/>
    <w:qFormat/>
    <w:uiPriority w:val="0"/>
    <w:rPr>
      <w:rFonts w:hint="eastAsia" w:ascii="宋体" w:hAnsi="宋体" w:eastAsia="宋体" w:cs="宋体"/>
      <w:b/>
      <w:color w:val="000000"/>
      <w:sz w:val="21"/>
      <w:szCs w:val="21"/>
      <w:u w:val="none"/>
    </w:rPr>
  </w:style>
  <w:style w:type="character" w:customStyle="1" w:styleId="114">
    <w:name w:val="纯文本 字符3"/>
    <w:semiHidden/>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字符"/>
    <w:link w:val="16"/>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字符2"/>
    <w:link w:val="2"/>
    <w:qFormat/>
    <w:uiPriority w:val="99"/>
    <w:rPr>
      <w:rFonts w:ascii="宋体" w:eastAsia="宋体"/>
      <w:b/>
      <w:bCs/>
      <w:sz w:val="84"/>
      <w:szCs w:val="84"/>
      <w:lang w:val="zh-CN"/>
    </w:rPr>
  </w:style>
  <w:style w:type="character" w:customStyle="1" w:styleId="119">
    <w:name w:val="标题 5 Char"/>
    <w:semiHidden/>
    <w:qFormat/>
    <w:uiPriority w:val="9"/>
    <w:rPr>
      <w:b/>
      <w:bCs/>
      <w:kern w:val="2"/>
      <w:sz w:val="28"/>
      <w:szCs w:val="28"/>
    </w:rPr>
  </w:style>
  <w:style w:type="character" w:customStyle="1" w:styleId="120">
    <w:name w:val="页眉 字符"/>
    <w:link w:val="26"/>
    <w:qFormat/>
    <w:uiPriority w:val="99"/>
    <w:rPr>
      <w:rFonts w:ascii="宋体" w:eastAsia="宋体"/>
      <w:sz w:val="18"/>
      <w:szCs w:val="18"/>
    </w:rPr>
  </w:style>
  <w:style w:type="character" w:customStyle="1" w:styleId="121">
    <w:name w:val="表格文字 Char"/>
    <w:link w:val="122"/>
    <w:qFormat/>
    <w:uiPriority w:val="0"/>
    <w:rPr>
      <w:rFonts w:eastAsia="仿宋_GB2312"/>
      <w:sz w:val="28"/>
      <w:szCs w:val="24"/>
    </w:rPr>
  </w:style>
  <w:style w:type="paragraph" w:customStyle="1" w:styleId="122">
    <w:name w:val="表格文字"/>
    <w:basedOn w:val="1"/>
    <w:link w:val="121"/>
    <w:qFormat/>
    <w:uiPriority w:val="0"/>
    <w:rPr>
      <w:rFonts w:eastAsia="仿宋_GB2312"/>
      <w:sz w:val="28"/>
      <w:szCs w:val="24"/>
    </w:rPr>
  </w:style>
  <w:style w:type="character" w:customStyle="1" w:styleId="123">
    <w:name w:val="标题 字符2"/>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表段落 字符"/>
    <w:link w:val="129"/>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semiHidden/>
    <w:qFormat/>
    <w:uiPriority w:val="99"/>
    <w:rPr>
      <w:rFonts w:ascii="宋体" w:hAnsi="Calibri" w:eastAsia="宋体" w:cs="Times New Roman"/>
      <w:kern w:val="0"/>
      <w:sz w:val="18"/>
      <w:szCs w:val="18"/>
    </w:rPr>
  </w:style>
  <w:style w:type="character" w:customStyle="1" w:styleId="132">
    <w:name w:val="标题 5 字符1"/>
    <w:link w:val="8"/>
    <w:qFormat/>
    <w:uiPriority w:val="9"/>
    <w:rPr>
      <w:rFonts w:ascii="宋体" w:hAnsi="Calibri" w:eastAsia="宋体" w:cs="Times New Roman"/>
      <w:b/>
      <w:bCs/>
      <w:kern w:val="0"/>
      <w:sz w:val="28"/>
      <w:szCs w:val="28"/>
    </w:rPr>
  </w:style>
  <w:style w:type="character" w:customStyle="1" w:styleId="133">
    <w:name w:val="keyfeatures1"/>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qFormat/>
    <w:uiPriority w:val="0"/>
    <w:rPr>
      <w:rFonts w:ascii="宋体" w:hAnsi="宋体" w:eastAsia="宋体"/>
      <w:b/>
      <w:kern w:val="2"/>
      <w:sz w:val="21"/>
      <w:szCs w:val="24"/>
      <w:lang w:val="en-US" w:eastAsia="zh-CN" w:bidi="ar-SA"/>
    </w:rPr>
  </w:style>
  <w:style w:type="character" w:customStyle="1" w:styleId="136">
    <w:name w:val="批注文字 字符3"/>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qFormat/>
    <w:uiPriority w:val="0"/>
    <w:rPr>
      <w:rFonts w:ascii="宋体" w:hAnsi="Courier New" w:eastAsia="宋体" w:cs="Times New Roman"/>
      <w:szCs w:val="20"/>
    </w:rPr>
  </w:style>
  <w:style w:type="character" w:customStyle="1" w:styleId="142">
    <w:name w:val="标题 6 字符1"/>
    <w:link w:val="9"/>
    <w:qFormat/>
    <w:uiPriority w:val="9"/>
    <w:rPr>
      <w:rFonts w:ascii="Times New Roman" w:hAnsi="Calibri" w:eastAsia="黑体" w:cs="Times New Roman"/>
      <w:b/>
      <w:bCs/>
      <w:kern w:val="0"/>
      <w:sz w:val="28"/>
      <w:szCs w:val="24"/>
    </w:rPr>
  </w:style>
  <w:style w:type="character" w:customStyle="1" w:styleId="143">
    <w:name w:val="正文文本 2 字符"/>
    <w:link w:val="31"/>
    <w:qFormat/>
    <w:uiPriority w:val="0"/>
    <w:rPr>
      <w:rFonts w:ascii="Arial" w:hAnsi="Arial" w:eastAsia="宋体" w:cs="Times New Roman"/>
      <w:color w:val="000000"/>
      <w:szCs w:val="24"/>
    </w:rPr>
  </w:style>
  <w:style w:type="character" w:customStyle="1" w:styleId="144">
    <w:name w:val="标题 3 字符1"/>
    <w:link w:val="6"/>
    <w:qFormat/>
    <w:uiPriority w:val="0"/>
    <w:rPr>
      <w:rFonts w:ascii="宋体" w:hAnsi="Calibri" w:eastAsia="宋体" w:cs="Times New Roman"/>
      <w:kern w:val="0"/>
      <w:sz w:val="24"/>
      <w:szCs w:val="24"/>
    </w:rPr>
  </w:style>
  <w:style w:type="character" w:customStyle="1" w:styleId="145">
    <w:name w:val="正文文本缩进 2 字符1"/>
    <w:semiHidden/>
    <w:qFormat/>
    <w:uiPriority w:val="99"/>
    <w:rPr>
      <w:rFonts w:ascii="宋体" w:hAnsi="Calibri" w:eastAsia="宋体" w:cs="Times New Roman"/>
      <w:kern w:val="0"/>
      <w:sz w:val="24"/>
      <w:szCs w:val="24"/>
    </w:rPr>
  </w:style>
  <w:style w:type="character" w:customStyle="1" w:styleId="146">
    <w:name w:val="正文文本缩进 3 字符1"/>
    <w:semiHidden/>
    <w:qFormat/>
    <w:uiPriority w:val="99"/>
    <w:rPr>
      <w:rFonts w:ascii="宋体" w:hAnsi="Calibri" w:eastAsia="宋体" w:cs="Times New Roman"/>
      <w:kern w:val="0"/>
      <w:sz w:val="16"/>
      <w:szCs w:val="16"/>
    </w:rPr>
  </w:style>
  <w:style w:type="character" w:customStyle="1" w:styleId="147">
    <w:name w:val="正文文本 2 字符1"/>
    <w:semiHidden/>
    <w:qFormat/>
    <w:uiPriority w:val="99"/>
    <w:rPr>
      <w:rFonts w:ascii="宋体" w:hAnsi="Calibri" w:eastAsia="宋体" w:cs="Times New Roman"/>
      <w:kern w:val="0"/>
      <w:sz w:val="24"/>
      <w:szCs w:val="24"/>
    </w:rPr>
  </w:style>
  <w:style w:type="character" w:customStyle="1" w:styleId="148">
    <w:name w:val="eschoolnr"/>
    <w:qFormat/>
    <w:uiPriority w:val="0"/>
    <w:rPr>
      <w:sz w:val="23"/>
      <w:szCs w:val="23"/>
    </w:rPr>
  </w:style>
  <w:style w:type="character" w:customStyle="1" w:styleId="149">
    <w:name w:val="访问过的超链接1"/>
    <w:qFormat/>
    <w:uiPriority w:val="0"/>
    <w:rPr>
      <w:rFonts w:ascii="Arial" w:hAnsi="Arial" w:cs="Arial"/>
      <w:color w:val="000000"/>
      <w:sz w:val="20"/>
      <w:szCs w:val="20"/>
      <w:u w:val="none"/>
    </w:rPr>
  </w:style>
  <w:style w:type="character" w:customStyle="1" w:styleId="150">
    <w:name w:val="标题 1 字符1"/>
    <w:link w:val="4"/>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semiHidden/>
    <w:qFormat/>
    <w:uiPriority w:val="99"/>
    <w:rPr>
      <w:kern w:val="2"/>
      <w:sz w:val="18"/>
      <w:szCs w:val="18"/>
    </w:rPr>
  </w:style>
  <w:style w:type="character" w:customStyle="1" w:styleId="153">
    <w:name w:val="DAS正文 Char"/>
    <w:qFormat/>
    <w:uiPriority w:val="0"/>
    <w:rPr>
      <w:rFonts w:ascii="Verdana" w:hAnsi="Verdana" w:eastAsia="宋体"/>
      <w:kern w:val="2"/>
      <w:sz w:val="21"/>
      <w:szCs w:val="21"/>
      <w:lang w:val="en-US" w:eastAsia="zh-CN" w:bidi="ar-SA"/>
    </w:rPr>
  </w:style>
  <w:style w:type="character" w:customStyle="1" w:styleId="154">
    <w:name w:val="正文文本缩进 3 字符"/>
    <w:link w:val="29"/>
    <w:qFormat/>
    <w:uiPriority w:val="0"/>
    <w:rPr>
      <w:rFonts w:ascii="宋体" w:hAnsi="Times New Roman" w:eastAsia="宋体" w:cs="Times New Roman"/>
      <w:kern w:val="0"/>
      <w:sz w:val="24"/>
      <w:szCs w:val="24"/>
    </w:rPr>
  </w:style>
  <w:style w:type="character" w:customStyle="1" w:styleId="155">
    <w:name w:val="页眉 Char"/>
    <w:qFormat/>
    <w:uiPriority w:val="99"/>
    <w:rPr>
      <w:kern w:val="2"/>
      <w:sz w:val="18"/>
      <w:szCs w:val="18"/>
    </w:rPr>
  </w:style>
  <w:style w:type="character" w:customStyle="1" w:styleId="156">
    <w:name w:val="正文文本 3 字符"/>
    <w:link w:val="19"/>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qFormat/>
    <w:uiPriority w:val="0"/>
    <w:rPr>
      <w:rFonts w:ascii="宋体"/>
      <w:sz w:val="24"/>
      <w:szCs w:val="24"/>
    </w:rPr>
  </w:style>
  <w:style w:type="paragraph" w:customStyle="1" w:styleId="159">
    <w:name w:val="彩色列表 - 强调文字颜色 11"/>
    <w:basedOn w:val="1"/>
    <w:link w:val="158"/>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39"/>
    <w:semiHidden/>
    <w:qFormat/>
    <w:uiPriority w:val="99"/>
    <w:rPr>
      <w:rFonts w:hAnsi="Courier New" w:cs="Courier New" w:asciiTheme="minorEastAsia"/>
    </w:rPr>
  </w:style>
  <w:style w:type="character" w:customStyle="1" w:styleId="163">
    <w:name w:val="批注文字 字符4"/>
    <w:basedOn w:val="39"/>
    <w:link w:val="18"/>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39"/>
    <w:qFormat/>
    <w:uiPriority w:val="10"/>
    <w:rPr>
      <w:rFonts w:asciiTheme="majorHAnsi" w:hAnsiTheme="majorHAnsi" w:eastAsiaTheme="majorEastAsia" w:cstheme="majorBidi"/>
      <w:b/>
      <w:bCs/>
      <w:sz w:val="32"/>
      <w:szCs w:val="32"/>
    </w:rPr>
  </w:style>
  <w:style w:type="character" w:customStyle="1" w:styleId="166">
    <w:name w:val="正文文本缩进 字符3"/>
    <w:basedOn w:val="39"/>
    <w:semiHidden/>
    <w:qFormat/>
    <w:uiPriority w:val="99"/>
  </w:style>
  <w:style w:type="character" w:customStyle="1" w:styleId="167">
    <w:name w:val="正文文本 字符4"/>
    <w:basedOn w:val="39"/>
    <w:semiHidden/>
    <w:qFormat/>
    <w:uiPriority w:val="99"/>
  </w:style>
  <w:style w:type="character" w:customStyle="1" w:styleId="168">
    <w:name w:val="正文文本缩进 3 字符2"/>
    <w:basedOn w:val="39"/>
    <w:semiHidden/>
    <w:qFormat/>
    <w:uiPriority w:val="99"/>
    <w:rPr>
      <w:sz w:val="16"/>
      <w:szCs w:val="16"/>
    </w:rPr>
  </w:style>
  <w:style w:type="character" w:customStyle="1" w:styleId="169">
    <w:name w:val="页眉 字符2"/>
    <w:basedOn w:val="39"/>
    <w:semiHidden/>
    <w:qFormat/>
    <w:uiPriority w:val="99"/>
    <w:rPr>
      <w:sz w:val="18"/>
      <w:szCs w:val="18"/>
    </w:rPr>
  </w:style>
  <w:style w:type="character" w:customStyle="1" w:styleId="170">
    <w:name w:val="批注框文本 字符2"/>
    <w:basedOn w:val="39"/>
    <w:semiHidden/>
    <w:qFormat/>
    <w:uiPriority w:val="99"/>
    <w:rPr>
      <w:sz w:val="18"/>
      <w:szCs w:val="18"/>
    </w:rPr>
  </w:style>
  <w:style w:type="character" w:customStyle="1" w:styleId="171">
    <w:name w:val="HTML 预设格式 字符2"/>
    <w:basedOn w:val="39"/>
    <w:semiHidden/>
    <w:qFormat/>
    <w:uiPriority w:val="99"/>
    <w:rPr>
      <w:rFonts w:ascii="Courier New" w:hAnsi="Courier New" w:cs="Courier New"/>
      <w:sz w:val="20"/>
      <w:szCs w:val="20"/>
    </w:rPr>
  </w:style>
  <w:style w:type="character" w:customStyle="1" w:styleId="172">
    <w:name w:val="页脚 字符2"/>
    <w:basedOn w:val="39"/>
    <w:semiHidden/>
    <w:qFormat/>
    <w:uiPriority w:val="99"/>
    <w:rPr>
      <w:sz w:val="18"/>
      <w:szCs w:val="18"/>
    </w:rPr>
  </w:style>
  <w:style w:type="character" w:customStyle="1" w:styleId="173">
    <w:name w:val="正文文本缩进 2 字符2"/>
    <w:basedOn w:val="39"/>
    <w:semiHidden/>
    <w:qFormat/>
    <w:uiPriority w:val="99"/>
  </w:style>
  <w:style w:type="character" w:customStyle="1" w:styleId="174">
    <w:name w:val="正文文本 3 字符2"/>
    <w:basedOn w:val="39"/>
    <w:semiHidden/>
    <w:qFormat/>
    <w:uiPriority w:val="99"/>
    <w:rPr>
      <w:sz w:val="16"/>
      <w:szCs w:val="16"/>
    </w:rPr>
  </w:style>
  <w:style w:type="character" w:customStyle="1" w:styleId="175">
    <w:name w:val="正文文本 2 字符2"/>
    <w:basedOn w:val="39"/>
    <w:semiHidden/>
    <w:qFormat/>
    <w:uiPriority w:val="99"/>
  </w:style>
  <w:style w:type="paragraph" w:customStyle="1" w:styleId="176">
    <w:name w:val="WPSOffice手动目录 3"/>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39"/>
    <w:semiHidden/>
    <w:qFormat/>
    <w:uiPriority w:val="99"/>
    <w:rPr>
      <w:rFonts w:ascii="Microsoft YaHei UI" w:eastAsia="Microsoft YaHei UI"/>
      <w:sz w:val="18"/>
      <w:szCs w:val="18"/>
    </w:rPr>
  </w:style>
  <w:style w:type="character" w:customStyle="1" w:styleId="179">
    <w:name w:val="日期 字符2"/>
    <w:basedOn w:val="39"/>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semiHidden/>
    <w:qFormat/>
    <w:uiPriority w:val="99"/>
    <w:rPr>
      <w:rFonts w:ascii="宋体" w:hAnsi="Calibri" w:eastAsia="宋体" w:cs="Times New Roman"/>
      <w:sz w:val="24"/>
      <w:szCs w:val="24"/>
      <w:lang w:val="en-US" w:eastAsia="zh-CN" w:bidi="ar-SA"/>
    </w:rPr>
  </w:style>
  <w:style w:type="paragraph" w:customStyle="1" w:styleId="183">
    <w:name w:val="图/图注"/>
    <w:basedOn w:val="10"/>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4"/>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4"/>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文本首行缩进 字符"/>
    <w:basedOn w:val="118"/>
    <w:link w:val="36"/>
    <w:semiHidden/>
    <w:qFormat/>
    <w:uiPriority w:val="99"/>
    <w:rPr>
      <w:rFonts w:ascii="宋体" w:eastAsia="宋体"/>
      <w:b w:val="0"/>
      <w:bCs w:val="0"/>
      <w:sz w:val="84"/>
      <w:szCs w:val="84"/>
      <w:lang w:val="zh-CN"/>
    </w:rPr>
  </w:style>
  <w:style w:type="paragraph" w:customStyle="1" w:styleId="20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3">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109</Pages>
  <Words>26790</Words>
  <Characters>27992</Characters>
  <Lines>608</Lines>
  <Paragraphs>171</Paragraphs>
  <TotalTime>0</TotalTime>
  <ScaleCrop>false</ScaleCrop>
  <LinksUpToDate>false</LinksUpToDate>
  <CharactersWithSpaces>28561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2025-02-13T12:53:00Z</dcterms:created>
  <dc:creator>HS</dc:creator>
  <cp:lastModifiedBy>郑翠婷</cp:lastModifiedBy>
  <dcterms:modified xsi:type="dcterms:W3CDTF">2025-03-04T08:34:19Z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FE34C56B449D4CA7AA82E0CC9F34BF5F_13</vt:lpwstr>
  </property>
  <property fmtid="{D5CDD505-2E9C-101B-9397-08002B2CF9AE}" pid="4" name="KSOTemplateDocerSaveRecord">
    <vt:lpwstr>eyJoZGlkIjoiYjM3MDlmZjc5NjhlNzcxODhhNDYyMDVhNmE1MTU0NzgiLCJ1c2VySWQiOiI0MzczNTY5ODQifQ==</vt:lpwstr>
  </property>
</Properties>
</file>