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03218">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14:paraId="64198E0F">
      <w:pPr>
        <w:outlineLvl w:val="9"/>
        <w:rPr>
          <w:color w:val="auto"/>
          <w:lang w:val="zh-CN"/>
        </w:rPr>
      </w:pPr>
    </w:p>
    <w:p w14:paraId="0899C256">
      <w:pPr>
        <w:autoSpaceDE w:val="0"/>
        <w:autoSpaceDN w:val="0"/>
        <w:adjustRightInd w:val="0"/>
        <w:spacing w:line="276" w:lineRule="auto"/>
        <w:ind w:left="357" w:leftChars="170" w:right="-23" w:rightChars="-11"/>
        <w:jc w:val="center"/>
        <w:outlineLvl w:val="9"/>
        <w:rPr>
          <w:rFonts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东莞市水务集团净水有限公司2025年生产药剂液体乙酸钠采购项目</w:t>
      </w:r>
    </w:p>
    <w:p w14:paraId="45DBE57F">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14:paraId="276C4C40">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223AADF2">
      <w:pPr>
        <w:autoSpaceDE w:val="0"/>
        <w:autoSpaceDN w:val="0"/>
        <w:adjustRightInd w:val="0"/>
        <w:ind w:right="-23" w:rightChars="-11"/>
        <w:jc w:val="center"/>
        <w:rPr>
          <w:rFonts w:hint="eastAsia" w:ascii="宋体" w:hAnsi="宋体" w:eastAsia="宋体" w:cs="Times New Roman"/>
          <w:b/>
          <w:bCs/>
          <w:color w:val="auto"/>
          <w:sz w:val="72"/>
          <w:szCs w:val="72"/>
          <w:highlight w:val="none"/>
          <w:lang w:val="en-US" w:eastAsia="zh-CN"/>
        </w:rPr>
      </w:pPr>
    </w:p>
    <w:p w14:paraId="125C1387">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2617E7B3">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01B11DD6">
      <w:pPr>
        <w:autoSpaceDE w:val="0"/>
        <w:autoSpaceDN w:val="0"/>
        <w:adjustRightInd w:val="0"/>
        <w:ind w:right="-23" w:rightChars="-11"/>
        <w:jc w:val="center"/>
        <w:rPr>
          <w:rFonts w:ascii="宋体" w:hAnsi="宋体" w:eastAsia="宋体" w:cs="宋体"/>
          <w:b/>
          <w:bCs/>
          <w:color w:val="auto"/>
          <w:sz w:val="44"/>
          <w:szCs w:val="44"/>
          <w:highlight w:val="none"/>
          <w:lang w:val="zh-CN"/>
        </w:rPr>
      </w:pPr>
    </w:p>
    <w:p w14:paraId="45AE61B5">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4E3CD28C">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14:paraId="7C4BF6B3">
      <w:pPr>
        <w:autoSpaceDE w:val="0"/>
        <w:autoSpaceDN w:val="0"/>
        <w:adjustRightInd w:val="0"/>
        <w:spacing w:line="480" w:lineRule="auto"/>
        <w:ind w:left="1842" w:leftChars="877" w:firstLine="19" w:firstLineChars="6"/>
        <w:jc w:val="left"/>
        <w:outlineLvl w:val="9"/>
        <w:rPr>
          <w:rFonts w:ascii="宋体" w:hAnsi="宋体" w:eastAsia="宋体" w:cs="Times New Roman"/>
          <w:b/>
          <w:bCs/>
          <w:color w:val="auto"/>
          <w:sz w:val="32"/>
          <w:szCs w:val="32"/>
          <w:highlight w:val="none"/>
          <w:lang w:val="zh-CN"/>
        </w:rPr>
      </w:pPr>
      <w:bookmarkStart w:id="0" w:name="_Toc5195"/>
      <w:bookmarkStart w:id="1" w:name="_Toc26272"/>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w:t>
      </w:r>
      <w:bookmarkEnd w:id="0"/>
      <w:bookmarkEnd w:id="1"/>
      <w:r>
        <w:rPr>
          <w:rFonts w:hint="eastAsia" w:ascii="宋体" w:hAnsi="宋体" w:eastAsia="宋体" w:cs="Times New Roman"/>
          <w:b/>
          <w:bCs/>
          <w:color w:val="auto"/>
          <w:sz w:val="32"/>
          <w:szCs w:val="32"/>
          <w:highlight w:val="none"/>
          <w:lang w:val="zh-CN"/>
        </w:rPr>
        <w:t>WTZB2024DG0079</w:t>
      </w:r>
    </w:p>
    <w:p w14:paraId="2BF54C68">
      <w:pPr>
        <w:autoSpaceDE w:val="0"/>
        <w:autoSpaceDN w:val="0"/>
        <w:adjustRightInd w:val="0"/>
        <w:spacing w:line="480" w:lineRule="auto"/>
        <w:ind w:left="1842" w:leftChars="877" w:firstLine="19" w:firstLineChars="6"/>
        <w:jc w:val="left"/>
        <w:outlineLvl w:val="9"/>
        <w:rPr>
          <w:rFonts w:ascii="宋体" w:hAnsi="宋体" w:eastAsia="宋体" w:cs="Times New Roman"/>
          <w:b/>
          <w:bCs/>
          <w:color w:val="auto"/>
          <w:sz w:val="32"/>
          <w:szCs w:val="32"/>
          <w:highlight w:val="none"/>
          <w:lang w:val="zh-CN"/>
        </w:rPr>
      </w:pPr>
      <w:bookmarkStart w:id="2" w:name="_Toc31939"/>
      <w:bookmarkStart w:id="3" w:name="_Toc2388"/>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人：东莞市水务集团净水有限公司</w:t>
      </w:r>
      <w:bookmarkEnd w:id="2"/>
      <w:bookmarkEnd w:id="3"/>
    </w:p>
    <w:p w14:paraId="5824C824">
      <w:pPr>
        <w:autoSpaceDE w:val="0"/>
        <w:autoSpaceDN w:val="0"/>
        <w:adjustRightInd w:val="0"/>
        <w:spacing w:line="480" w:lineRule="auto"/>
        <w:ind w:left="1842" w:leftChars="877" w:firstLine="19" w:firstLineChars="6"/>
        <w:jc w:val="left"/>
        <w:outlineLvl w:val="9"/>
        <w:rPr>
          <w:rFonts w:ascii="宋体" w:hAnsi="宋体" w:eastAsia="宋体" w:cs="Times New Roman"/>
          <w:b/>
          <w:bCs/>
          <w:color w:val="auto"/>
          <w:sz w:val="32"/>
          <w:szCs w:val="32"/>
          <w:highlight w:val="none"/>
          <w:lang w:val="zh-CN"/>
        </w:rPr>
      </w:pPr>
      <w:bookmarkStart w:id="4" w:name="_Toc8928"/>
      <w:bookmarkStart w:id="5" w:name="_Toc17648"/>
      <w:r>
        <w:rPr>
          <w:rFonts w:hint="eastAsia" w:ascii="宋体" w:hAnsi="宋体" w:eastAsia="宋体" w:cs="Times New Roman"/>
          <w:b/>
          <w:bCs/>
          <w:color w:val="auto"/>
          <w:sz w:val="32"/>
          <w:szCs w:val="32"/>
          <w:highlight w:val="none"/>
          <w:lang w:val="zh-CN"/>
        </w:rPr>
        <w:t>招标代理机构：广州宏达工程顾问集团有限公司</w:t>
      </w:r>
      <w:bookmarkEnd w:id="4"/>
      <w:bookmarkEnd w:id="5"/>
    </w:p>
    <w:p w14:paraId="7D8A5288">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14:paraId="0D25D5D1">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14:paraId="21CED34E">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2025</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02</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25</w:t>
      </w:r>
      <w:r>
        <w:rPr>
          <w:rFonts w:hint="eastAsia" w:ascii="宋体" w:hAnsi="宋体" w:eastAsia="宋体" w:cs="宋体"/>
          <w:b/>
          <w:bCs/>
          <w:color w:val="auto"/>
          <w:sz w:val="32"/>
          <w:szCs w:val="32"/>
          <w:highlight w:val="none"/>
          <w:lang w:val="zh-CN"/>
        </w:rPr>
        <w:t>日</w:t>
      </w:r>
    </w:p>
    <w:p w14:paraId="57D05EDD">
      <w:pPr>
        <w:rPr>
          <w:color w:val="auto"/>
          <w:highlight w:val="none"/>
        </w:rPr>
      </w:pPr>
      <w:r>
        <w:rPr>
          <w:rFonts w:hint="eastAsia" w:ascii="宋体" w:hAnsi="宋体" w:eastAsia="宋体" w:cs="宋体"/>
          <w:b/>
          <w:bCs/>
          <w:color w:val="auto"/>
          <w:sz w:val="32"/>
          <w:szCs w:val="32"/>
          <w:highlight w:val="none"/>
          <w:lang w:val="zh-CN"/>
        </w:rPr>
        <w:br w:type="page"/>
      </w:r>
    </w:p>
    <w:p w14:paraId="00415055">
      <w:pPr>
        <w:spacing w:before="0" w:beforeLines="0" w:after="0" w:afterLines="0" w:line="240" w:lineRule="auto"/>
        <w:ind w:left="0" w:leftChars="0" w:right="0" w:rightChars="0" w:firstLine="0" w:firstLineChars="0"/>
        <w:jc w:val="center"/>
        <w:rPr>
          <w:b/>
          <w:bCs/>
          <w:color w:val="auto"/>
          <w:sz w:val="28"/>
          <w:szCs w:val="32"/>
          <w:highlight w:val="none"/>
        </w:rPr>
      </w:pPr>
      <w:bookmarkStart w:id="6" w:name="_Toc11608"/>
      <w:r>
        <w:rPr>
          <w:rFonts w:ascii="宋体" w:hAnsi="宋体" w:eastAsia="宋体"/>
          <w:b/>
          <w:bCs/>
          <w:color w:val="auto"/>
          <w:sz w:val="28"/>
          <w:szCs w:val="32"/>
          <w:highlight w:val="none"/>
        </w:rPr>
        <w:t>目</w:t>
      </w:r>
      <w:r>
        <w:rPr>
          <w:rFonts w:hint="eastAsia" w:ascii="宋体" w:hAnsi="宋体" w:eastAsia="宋体"/>
          <w:b/>
          <w:bCs/>
          <w:color w:val="auto"/>
          <w:sz w:val="28"/>
          <w:szCs w:val="32"/>
          <w:highlight w:val="none"/>
          <w:lang w:val="en-US" w:eastAsia="zh-CN"/>
        </w:rPr>
        <w:t xml:space="preserve">    </w:t>
      </w:r>
      <w:r>
        <w:rPr>
          <w:rFonts w:ascii="宋体" w:hAnsi="宋体" w:eastAsia="宋体"/>
          <w:b/>
          <w:bCs/>
          <w:color w:val="auto"/>
          <w:sz w:val="28"/>
          <w:szCs w:val="32"/>
          <w:highlight w:val="none"/>
        </w:rPr>
        <w:t>录</w:t>
      </w:r>
    </w:p>
    <w:p w14:paraId="7697308F">
      <w:pPr>
        <w:pStyle w:val="28"/>
        <w:keepNext w:val="0"/>
        <w:keepLines w:val="0"/>
        <w:pageBreakBefore w:val="0"/>
        <w:widowControl w:val="0"/>
        <w:tabs>
          <w:tab w:val="right" w:leader="dot" w:pos="982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"1-3" \h \u </w:instrText>
      </w:r>
      <w:r>
        <w:rPr>
          <w:rFonts w:hint="eastAsia" w:ascii="宋体" w:hAnsi="宋体" w:eastAsia="宋体" w:cs="宋体"/>
          <w:color w:val="auto"/>
          <w:highlight w:val="none"/>
        </w:rPr>
        <w:fldChar w:fldCharType="separate"/>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_Toc10523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第一篇 招标公告</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_Toc10523 \h </w:instrText>
      </w:r>
      <w:r>
        <w:rPr>
          <w:rFonts w:hint="eastAsia" w:ascii="宋体" w:hAnsi="宋体" w:eastAsia="宋体" w:cs="宋体"/>
          <w:b/>
          <w:bCs/>
          <w:color w:val="auto"/>
        </w:rPr>
        <w:fldChar w:fldCharType="separate"/>
      </w:r>
      <w:r>
        <w:rPr>
          <w:rFonts w:hint="eastAsia" w:ascii="宋体" w:hAnsi="宋体" w:eastAsia="宋体" w:cs="宋体"/>
          <w:b/>
          <w:bCs/>
          <w:color w:val="auto"/>
        </w:rPr>
        <w:t>4</w:t>
      </w:r>
      <w:r>
        <w:rPr>
          <w:rFonts w:hint="eastAsia" w:ascii="宋体" w:hAnsi="宋体" w:eastAsia="宋体" w:cs="宋体"/>
          <w:b/>
          <w:bCs/>
          <w:color w:val="auto"/>
        </w:rPr>
        <w:fldChar w:fldCharType="end"/>
      </w:r>
      <w:r>
        <w:rPr>
          <w:rFonts w:hint="eastAsia" w:ascii="宋体" w:hAnsi="宋体" w:eastAsia="宋体" w:cs="宋体"/>
          <w:b/>
          <w:bCs/>
          <w:color w:val="auto"/>
          <w:highlight w:val="none"/>
        </w:rPr>
        <w:fldChar w:fldCharType="end"/>
      </w:r>
    </w:p>
    <w:p w14:paraId="75219BF1">
      <w:pPr>
        <w:pStyle w:val="28"/>
        <w:keepNext w:val="0"/>
        <w:keepLines w:val="0"/>
        <w:pageBreakBefore w:val="0"/>
        <w:widowControl w:val="0"/>
        <w:tabs>
          <w:tab w:val="right" w:leader="dot" w:pos="982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_Toc4804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第二篇 投标人须知</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_Toc4804 \h </w:instrText>
      </w:r>
      <w:r>
        <w:rPr>
          <w:rFonts w:hint="eastAsia" w:ascii="宋体" w:hAnsi="宋体" w:eastAsia="宋体" w:cs="宋体"/>
          <w:b/>
          <w:bCs/>
          <w:color w:val="auto"/>
        </w:rPr>
        <w:fldChar w:fldCharType="separate"/>
      </w:r>
      <w:r>
        <w:rPr>
          <w:rFonts w:hint="eastAsia" w:ascii="宋体" w:hAnsi="宋体" w:eastAsia="宋体" w:cs="宋体"/>
          <w:b/>
          <w:bCs/>
          <w:color w:val="auto"/>
        </w:rPr>
        <w:t>6</w:t>
      </w:r>
      <w:r>
        <w:rPr>
          <w:rFonts w:hint="eastAsia" w:ascii="宋体" w:hAnsi="宋体" w:eastAsia="宋体" w:cs="宋体"/>
          <w:b/>
          <w:bCs/>
          <w:color w:val="auto"/>
        </w:rPr>
        <w:fldChar w:fldCharType="end"/>
      </w:r>
      <w:r>
        <w:rPr>
          <w:rFonts w:hint="eastAsia" w:ascii="宋体" w:hAnsi="宋体" w:eastAsia="宋体" w:cs="宋体"/>
          <w:b/>
          <w:bCs/>
          <w:color w:val="auto"/>
          <w:highlight w:val="none"/>
        </w:rPr>
        <w:fldChar w:fldCharType="end"/>
      </w:r>
    </w:p>
    <w:p w14:paraId="2B2A22FB">
      <w:pPr>
        <w:pStyle w:val="31"/>
        <w:keepNext w:val="0"/>
        <w:keepLines w:val="0"/>
        <w:pageBreakBefore w:val="0"/>
        <w:widowControl w:val="0"/>
        <w:tabs>
          <w:tab w:val="right" w:leader="dot" w:pos="982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_Toc5790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一、总则</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_Toc5790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3480ECBB">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_Toc19010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 资金来源：企业自筹资金。</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_Toc19010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65E7435A">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_Toc11439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 合格的投标人</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_Toc11439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42BEC25E">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_Toc7308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3 合格的货物</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_Toc7308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43C670C2">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_Toc6655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4 其它说明</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_Toc6655 \h </w:instrText>
      </w:r>
      <w:r>
        <w:rPr>
          <w:rFonts w:hint="eastAsia" w:ascii="宋体" w:hAnsi="宋体" w:eastAsia="宋体" w:cs="宋体"/>
          <w:color w:val="auto"/>
        </w:rPr>
        <w:fldChar w:fldCharType="separate"/>
      </w:r>
      <w:r>
        <w:rPr>
          <w:rFonts w:hint="eastAsia" w:ascii="宋体" w:hAnsi="宋体" w:eastAsia="宋体" w:cs="宋体"/>
          <w:color w:val="auto"/>
        </w:rPr>
        <w:t>7</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03CE4F6D">
      <w:pPr>
        <w:pStyle w:val="31"/>
        <w:keepNext w:val="0"/>
        <w:keepLines w:val="0"/>
        <w:pageBreakBefore w:val="0"/>
        <w:widowControl w:val="0"/>
        <w:tabs>
          <w:tab w:val="right" w:leader="dot" w:pos="982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_Toc17206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二、招标文件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_Toc17206 \h </w:instrText>
      </w:r>
      <w:r>
        <w:rPr>
          <w:rFonts w:hint="eastAsia" w:ascii="宋体" w:hAnsi="宋体" w:eastAsia="宋体" w:cs="宋体"/>
          <w:color w:val="auto"/>
        </w:rPr>
        <w:fldChar w:fldCharType="separate"/>
      </w:r>
      <w:r>
        <w:rPr>
          <w:rFonts w:hint="eastAsia" w:ascii="宋体" w:hAnsi="宋体" w:eastAsia="宋体" w:cs="宋体"/>
          <w:color w:val="auto"/>
        </w:rPr>
        <w:t>8</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5D5FF27F">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_Toc2255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5 招标文件的构成</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_Toc2255 \h </w:instrText>
      </w:r>
      <w:r>
        <w:rPr>
          <w:rFonts w:hint="eastAsia" w:ascii="宋体" w:hAnsi="宋体" w:eastAsia="宋体" w:cs="宋体"/>
          <w:color w:val="auto"/>
        </w:rPr>
        <w:fldChar w:fldCharType="separate"/>
      </w:r>
      <w:r>
        <w:rPr>
          <w:rFonts w:hint="eastAsia" w:ascii="宋体" w:hAnsi="宋体" w:eastAsia="宋体" w:cs="宋体"/>
          <w:color w:val="auto"/>
        </w:rPr>
        <w:t>8</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48BB5B60">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_Toc17017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6 招标文件的异议</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_Toc17017 \h </w:instrText>
      </w:r>
      <w:r>
        <w:rPr>
          <w:rFonts w:hint="eastAsia" w:ascii="宋体" w:hAnsi="宋体" w:eastAsia="宋体" w:cs="宋体"/>
          <w:color w:val="auto"/>
        </w:rPr>
        <w:fldChar w:fldCharType="separate"/>
      </w:r>
      <w:r>
        <w:rPr>
          <w:rFonts w:hint="eastAsia" w:ascii="宋体" w:hAnsi="宋体" w:eastAsia="宋体" w:cs="宋体"/>
          <w:color w:val="auto"/>
        </w:rPr>
        <w:t>9</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590C6A88">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_Toc19336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7 招标文件的澄清及修改</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_Toc19336 \h </w:instrText>
      </w:r>
      <w:r>
        <w:rPr>
          <w:rFonts w:hint="eastAsia" w:ascii="宋体" w:hAnsi="宋体" w:eastAsia="宋体" w:cs="宋体"/>
          <w:color w:val="auto"/>
        </w:rPr>
        <w:fldChar w:fldCharType="separate"/>
      </w:r>
      <w:r>
        <w:rPr>
          <w:rFonts w:hint="eastAsia" w:ascii="宋体" w:hAnsi="宋体" w:eastAsia="宋体" w:cs="宋体"/>
          <w:color w:val="auto"/>
        </w:rPr>
        <w:t>9</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597B7740">
      <w:pPr>
        <w:pStyle w:val="31"/>
        <w:keepNext w:val="0"/>
        <w:keepLines w:val="0"/>
        <w:pageBreakBefore w:val="0"/>
        <w:widowControl w:val="0"/>
        <w:tabs>
          <w:tab w:val="right" w:leader="dot" w:pos="982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_Toc19943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三、投标文件的编制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_Toc19943 \h </w:instrText>
      </w:r>
      <w:r>
        <w:rPr>
          <w:rFonts w:hint="eastAsia" w:ascii="宋体" w:hAnsi="宋体" w:eastAsia="宋体" w:cs="宋体"/>
          <w:color w:val="auto"/>
        </w:rPr>
        <w:fldChar w:fldCharType="separate"/>
      </w:r>
      <w:r>
        <w:rPr>
          <w:rFonts w:hint="eastAsia" w:ascii="宋体" w:hAnsi="宋体" w:eastAsia="宋体" w:cs="宋体"/>
          <w:color w:val="auto"/>
        </w:rPr>
        <w:t>9</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685DFD0B">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_Toc28438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8 投标使用的文字及度量衡单位</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_Toc28438 \h </w:instrText>
      </w:r>
      <w:r>
        <w:rPr>
          <w:rFonts w:hint="eastAsia" w:ascii="宋体" w:hAnsi="宋体" w:eastAsia="宋体" w:cs="宋体"/>
          <w:color w:val="auto"/>
        </w:rPr>
        <w:fldChar w:fldCharType="separate"/>
      </w:r>
      <w:r>
        <w:rPr>
          <w:rFonts w:hint="eastAsia" w:ascii="宋体" w:hAnsi="宋体" w:eastAsia="宋体" w:cs="宋体"/>
          <w:color w:val="auto"/>
        </w:rPr>
        <w:t>9</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7B6ECF8F">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_Toc20434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9</w:t>
      </w:r>
      <w:r>
        <w:rPr>
          <w:rFonts w:hint="eastAsia" w:ascii="宋体" w:hAnsi="宋体" w:eastAsia="宋体" w:cs="宋体"/>
          <w:color w:val="auto"/>
          <w:szCs w:val="24"/>
          <w:highlight w:val="none"/>
          <w:lang w:val="zh-CN"/>
        </w:rPr>
        <w:t xml:space="preserve"> </w:t>
      </w:r>
      <w:r>
        <w:rPr>
          <w:rFonts w:hint="eastAsia" w:ascii="宋体" w:hAnsi="宋体" w:eastAsia="宋体" w:cs="宋体"/>
          <w:color w:val="auto"/>
          <w:szCs w:val="21"/>
          <w:highlight w:val="none"/>
          <w:lang w:val="zh-CN"/>
        </w:rPr>
        <w:t>投标文件的组成</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_Toc20434 \h </w:instrText>
      </w:r>
      <w:r>
        <w:rPr>
          <w:rFonts w:hint="eastAsia" w:ascii="宋体" w:hAnsi="宋体" w:eastAsia="宋体" w:cs="宋体"/>
          <w:color w:val="auto"/>
        </w:rPr>
        <w:fldChar w:fldCharType="separate"/>
      </w:r>
      <w:r>
        <w:rPr>
          <w:rFonts w:hint="eastAsia" w:ascii="宋体" w:hAnsi="宋体" w:eastAsia="宋体" w:cs="宋体"/>
          <w:color w:val="auto"/>
        </w:rPr>
        <w:t>10</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68CF8E0C">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_Toc26935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10 投标函</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_Toc26935 \h </w:instrText>
      </w:r>
      <w:r>
        <w:rPr>
          <w:rFonts w:hint="eastAsia" w:ascii="宋体" w:hAnsi="宋体" w:eastAsia="宋体" w:cs="宋体"/>
          <w:color w:val="auto"/>
        </w:rPr>
        <w:fldChar w:fldCharType="separate"/>
      </w:r>
      <w:r>
        <w:rPr>
          <w:rFonts w:hint="eastAsia" w:ascii="宋体" w:hAnsi="宋体" w:eastAsia="宋体" w:cs="宋体"/>
          <w:color w:val="auto"/>
        </w:rPr>
        <w:t>11</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7FAFE462">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_Toc4331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11 投标报价</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_Toc4331 \h </w:instrText>
      </w:r>
      <w:r>
        <w:rPr>
          <w:rFonts w:hint="eastAsia" w:ascii="宋体" w:hAnsi="宋体" w:eastAsia="宋体" w:cs="宋体"/>
          <w:color w:val="auto"/>
        </w:rPr>
        <w:fldChar w:fldCharType="separate"/>
      </w:r>
      <w:r>
        <w:rPr>
          <w:rFonts w:hint="eastAsia" w:ascii="宋体" w:hAnsi="宋体" w:eastAsia="宋体" w:cs="宋体"/>
          <w:color w:val="auto"/>
        </w:rPr>
        <w:t>11</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76F6933D">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_Toc2584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12 投标报价货币</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_Toc2584 \h </w:instrText>
      </w:r>
      <w:r>
        <w:rPr>
          <w:rFonts w:hint="eastAsia" w:ascii="宋体" w:hAnsi="宋体" w:eastAsia="宋体" w:cs="宋体"/>
          <w:color w:val="auto"/>
        </w:rPr>
        <w:fldChar w:fldCharType="separate"/>
      </w:r>
      <w:r>
        <w:rPr>
          <w:rFonts w:hint="eastAsia" w:ascii="宋体" w:hAnsi="宋体" w:eastAsia="宋体" w:cs="宋体"/>
          <w:color w:val="auto"/>
        </w:rPr>
        <w:t>13</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3A0EE9D9">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_Toc10725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13 证明投标人的合格性和资格的声明文件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_Toc10725 \h </w:instrText>
      </w:r>
      <w:r>
        <w:rPr>
          <w:rFonts w:hint="eastAsia" w:ascii="宋体" w:hAnsi="宋体" w:eastAsia="宋体" w:cs="宋体"/>
          <w:color w:val="auto"/>
        </w:rPr>
        <w:fldChar w:fldCharType="separate"/>
      </w:r>
      <w:r>
        <w:rPr>
          <w:rFonts w:hint="eastAsia" w:ascii="宋体" w:hAnsi="宋体" w:eastAsia="宋体" w:cs="宋体"/>
          <w:color w:val="auto"/>
        </w:rPr>
        <w:t>13</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14AC3507">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_Toc21491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14 证明货物的合格性并符合招标文件规定的声明文件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_Toc21491 \h </w:instrText>
      </w:r>
      <w:r>
        <w:rPr>
          <w:rFonts w:hint="eastAsia" w:ascii="宋体" w:hAnsi="宋体" w:eastAsia="宋体" w:cs="宋体"/>
          <w:color w:val="auto"/>
        </w:rPr>
        <w:fldChar w:fldCharType="separate"/>
      </w:r>
      <w:r>
        <w:rPr>
          <w:rFonts w:hint="eastAsia" w:ascii="宋体" w:hAnsi="宋体" w:eastAsia="宋体" w:cs="宋体"/>
          <w:color w:val="auto"/>
        </w:rPr>
        <w:t>13</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0862679E">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_Toc30494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15 投标保证金</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_Toc30494 \h </w:instrText>
      </w:r>
      <w:r>
        <w:rPr>
          <w:rFonts w:hint="eastAsia" w:ascii="宋体" w:hAnsi="宋体" w:eastAsia="宋体" w:cs="宋体"/>
          <w:color w:val="auto"/>
        </w:rPr>
        <w:fldChar w:fldCharType="separate"/>
      </w:r>
      <w:r>
        <w:rPr>
          <w:rFonts w:hint="eastAsia" w:ascii="宋体" w:hAnsi="宋体" w:eastAsia="宋体" w:cs="宋体"/>
          <w:color w:val="auto"/>
        </w:rPr>
        <w:t>13</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585349D3">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_Toc12430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16 投标有效期</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_Toc12430 \h </w:instrText>
      </w:r>
      <w:r>
        <w:rPr>
          <w:rFonts w:hint="eastAsia" w:ascii="宋体" w:hAnsi="宋体" w:eastAsia="宋体" w:cs="宋体"/>
          <w:color w:val="auto"/>
        </w:rPr>
        <w:fldChar w:fldCharType="separate"/>
      </w:r>
      <w:r>
        <w:rPr>
          <w:rFonts w:hint="eastAsia" w:ascii="宋体" w:hAnsi="宋体" w:eastAsia="宋体" w:cs="宋体"/>
          <w:color w:val="auto"/>
        </w:rPr>
        <w:t>14</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0E77D69B">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_Toc18075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17 投标文件的式样和签署</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_Toc18075 \h </w:instrText>
      </w:r>
      <w:r>
        <w:rPr>
          <w:rFonts w:hint="eastAsia" w:ascii="宋体" w:hAnsi="宋体" w:eastAsia="宋体" w:cs="宋体"/>
          <w:color w:val="auto"/>
        </w:rPr>
        <w:fldChar w:fldCharType="separate"/>
      </w:r>
      <w:r>
        <w:rPr>
          <w:rFonts w:hint="eastAsia" w:ascii="宋体" w:hAnsi="宋体" w:eastAsia="宋体" w:cs="宋体"/>
          <w:color w:val="auto"/>
        </w:rPr>
        <w:t>15</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256DCA5C">
      <w:pPr>
        <w:pStyle w:val="31"/>
        <w:keepNext w:val="0"/>
        <w:keepLines w:val="0"/>
        <w:pageBreakBefore w:val="0"/>
        <w:widowControl w:val="0"/>
        <w:tabs>
          <w:tab w:val="right" w:leader="dot" w:pos="982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_Toc31692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四、投标文件的递交</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_Toc31692 \h </w:instrText>
      </w:r>
      <w:r>
        <w:rPr>
          <w:rFonts w:hint="eastAsia" w:ascii="宋体" w:hAnsi="宋体" w:eastAsia="宋体" w:cs="宋体"/>
          <w:color w:val="auto"/>
        </w:rPr>
        <w:fldChar w:fldCharType="separate"/>
      </w:r>
      <w:r>
        <w:rPr>
          <w:rFonts w:hint="eastAsia" w:ascii="宋体" w:hAnsi="宋体" w:eastAsia="宋体" w:cs="宋体"/>
          <w:color w:val="auto"/>
        </w:rPr>
        <w:t>15</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74F07855">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_Toc31452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18 投标文件的密封和标记</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_Toc31452 \h </w:instrText>
      </w:r>
      <w:r>
        <w:rPr>
          <w:rFonts w:hint="eastAsia" w:ascii="宋体" w:hAnsi="宋体" w:eastAsia="宋体" w:cs="宋体"/>
          <w:color w:val="auto"/>
        </w:rPr>
        <w:fldChar w:fldCharType="separate"/>
      </w:r>
      <w:r>
        <w:rPr>
          <w:rFonts w:hint="eastAsia" w:ascii="宋体" w:hAnsi="宋体" w:eastAsia="宋体" w:cs="宋体"/>
          <w:color w:val="auto"/>
        </w:rPr>
        <w:t>15</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257906AC">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_Toc21427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19 递交投标文件的截止日期</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_Toc21427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20F71D12">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_Toc29007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20 迟交的投标文件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_Toc29007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54F25BBA">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_Toc24965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21 投标文件的修改和撤回</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_Toc24965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5236EBAA">
      <w:pPr>
        <w:pStyle w:val="31"/>
        <w:keepNext w:val="0"/>
        <w:keepLines w:val="0"/>
        <w:pageBreakBefore w:val="0"/>
        <w:widowControl w:val="0"/>
        <w:tabs>
          <w:tab w:val="right" w:leader="dot" w:pos="982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_Toc11501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五、开标与评标</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_Toc11501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52FA3E0D">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_Toc20960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22 开标</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_Toc20960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1CB09279">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_Toc20815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23 评标过程的保密性</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_Toc20815 \h </w:instrText>
      </w:r>
      <w:r>
        <w:rPr>
          <w:rFonts w:hint="eastAsia" w:ascii="宋体" w:hAnsi="宋体" w:eastAsia="宋体" w:cs="宋体"/>
          <w:color w:val="auto"/>
        </w:rPr>
        <w:fldChar w:fldCharType="separate"/>
      </w:r>
      <w:r>
        <w:rPr>
          <w:rFonts w:hint="eastAsia" w:ascii="宋体" w:hAnsi="宋体" w:eastAsia="宋体" w:cs="宋体"/>
          <w:color w:val="auto"/>
        </w:rPr>
        <w:t>17</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0791703D">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_Toc10967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24 评标委员会</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_Toc10967 \h </w:instrText>
      </w:r>
      <w:r>
        <w:rPr>
          <w:rFonts w:hint="eastAsia" w:ascii="宋体" w:hAnsi="宋体" w:eastAsia="宋体" w:cs="宋体"/>
          <w:color w:val="auto"/>
        </w:rPr>
        <w:fldChar w:fldCharType="separate"/>
      </w:r>
      <w:r>
        <w:rPr>
          <w:rFonts w:hint="eastAsia" w:ascii="宋体" w:hAnsi="宋体" w:eastAsia="宋体" w:cs="宋体"/>
          <w:color w:val="auto"/>
        </w:rPr>
        <w:t>17</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69389131">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_Toc28336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1"/>
          <w:highlight w:val="none"/>
          <w:lang w:val="zh-CN"/>
        </w:rPr>
        <w:t>25 投标文件的初审</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_Toc28336 \h </w:instrText>
      </w:r>
      <w:r>
        <w:rPr>
          <w:rFonts w:hint="eastAsia" w:ascii="宋体" w:hAnsi="宋体" w:eastAsia="宋体" w:cs="宋体"/>
          <w:color w:val="auto"/>
        </w:rPr>
        <w:fldChar w:fldCharType="separate"/>
      </w:r>
      <w:r>
        <w:rPr>
          <w:rFonts w:hint="eastAsia" w:ascii="宋体" w:hAnsi="宋体" w:eastAsia="宋体" w:cs="宋体"/>
          <w:color w:val="auto"/>
        </w:rPr>
        <w:t>17</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2EA39206">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_Toc27141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26 投标文件的澄清</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_Toc27141 \h </w:instrText>
      </w:r>
      <w:r>
        <w:rPr>
          <w:rFonts w:hint="eastAsia" w:ascii="宋体" w:hAnsi="宋体" w:eastAsia="宋体" w:cs="宋体"/>
          <w:color w:val="auto"/>
        </w:rPr>
        <w:fldChar w:fldCharType="separate"/>
      </w:r>
      <w:r>
        <w:rPr>
          <w:rFonts w:hint="eastAsia" w:ascii="宋体" w:hAnsi="宋体" w:eastAsia="宋体" w:cs="宋体"/>
          <w:color w:val="auto"/>
        </w:rPr>
        <w:t>17</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100F485F">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_Toc15064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27 对投标文件的比较和评价</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_Toc15064 \h </w:instrText>
      </w:r>
      <w:r>
        <w:rPr>
          <w:rFonts w:hint="eastAsia" w:ascii="宋体" w:hAnsi="宋体" w:eastAsia="宋体" w:cs="宋体"/>
          <w:color w:val="auto"/>
        </w:rPr>
        <w:fldChar w:fldCharType="separate"/>
      </w:r>
      <w:r>
        <w:rPr>
          <w:rFonts w:hint="eastAsia" w:ascii="宋体" w:hAnsi="宋体" w:eastAsia="宋体" w:cs="宋体"/>
          <w:color w:val="auto"/>
        </w:rPr>
        <w:t>17</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1CC3A121">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_Toc31128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28 评标原则及方法</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_Toc31128 \h </w:instrText>
      </w:r>
      <w:r>
        <w:rPr>
          <w:rFonts w:hint="eastAsia" w:ascii="宋体" w:hAnsi="宋体" w:eastAsia="宋体" w:cs="宋体"/>
          <w:color w:val="auto"/>
        </w:rPr>
        <w:fldChar w:fldCharType="separate"/>
      </w:r>
      <w:r>
        <w:rPr>
          <w:rFonts w:hint="eastAsia" w:ascii="宋体" w:hAnsi="宋体" w:eastAsia="宋体" w:cs="宋体"/>
          <w:color w:val="auto"/>
        </w:rPr>
        <w:t>18</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78D4B6A3">
      <w:pPr>
        <w:pStyle w:val="31"/>
        <w:keepNext w:val="0"/>
        <w:keepLines w:val="0"/>
        <w:pageBreakBefore w:val="0"/>
        <w:widowControl w:val="0"/>
        <w:tabs>
          <w:tab w:val="right" w:leader="dot" w:pos="982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_Toc31903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28.2 评标严格按照招标文件的要求和条件进行。</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_Toc31903 \h </w:instrText>
      </w:r>
      <w:r>
        <w:rPr>
          <w:rFonts w:hint="eastAsia" w:ascii="宋体" w:hAnsi="宋体" w:eastAsia="宋体" w:cs="宋体"/>
          <w:color w:val="auto"/>
        </w:rPr>
        <w:fldChar w:fldCharType="separate"/>
      </w:r>
      <w:r>
        <w:rPr>
          <w:rFonts w:hint="eastAsia" w:ascii="宋体" w:hAnsi="宋体" w:eastAsia="宋体" w:cs="宋体"/>
          <w:color w:val="auto"/>
        </w:rPr>
        <w:t>18</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093DD139">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_Toc31969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29 评标结果公示及异议、投诉</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_Toc31969 \h </w:instrText>
      </w:r>
      <w:r>
        <w:rPr>
          <w:rFonts w:hint="eastAsia" w:ascii="宋体" w:hAnsi="宋体" w:eastAsia="宋体" w:cs="宋体"/>
          <w:color w:val="auto"/>
        </w:rPr>
        <w:fldChar w:fldCharType="separate"/>
      </w:r>
      <w:r>
        <w:rPr>
          <w:rFonts w:hint="eastAsia" w:ascii="宋体" w:hAnsi="宋体" w:eastAsia="宋体" w:cs="宋体"/>
          <w:color w:val="auto"/>
        </w:rPr>
        <w:t>18</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69D03047">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_Toc19076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1"/>
          <w:highlight w:val="none"/>
          <w:lang w:val="zh-CN"/>
        </w:rPr>
        <w:t>30 真实性审查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_Toc19076 \h </w:instrText>
      </w:r>
      <w:r>
        <w:rPr>
          <w:rFonts w:hint="eastAsia" w:ascii="宋体" w:hAnsi="宋体" w:eastAsia="宋体" w:cs="宋体"/>
          <w:color w:val="auto"/>
        </w:rPr>
        <w:fldChar w:fldCharType="separate"/>
      </w:r>
      <w:r>
        <w:rPr>
          <w:rFonts w:hint="eastAsia" w:ascii="宋体" w:hAnsi="宋体" w:eastAsia="宋体" w:cs="宋体"/>
          <w:color w:val="auto"/>
        </w:rPr>
        <w:t>19</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00BE6904">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_Toc30482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31 评标委员会和招标人接受或拒绝任何投标或所有投标的权利</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_Toc30482 \h </w:instrText>
      </w:r>
      <w:r>
        <w:rPr>
          <w:rFonts w:hint="eastAsia" w:ascii="宋体" w:hAnsi="宋体" w:eastAsia="宋体" w:cs="宋体"/>
          <w:color w:val="auto"/>
        </w:rPr>
        <w:fldChar w:fldCharType="separate"/>
      </w:r>
      <w:r>
        <w:rPr>
          <w:rFonts w:hint="eastAsia" w:ascii="宋体" w:hAnsi="宋体" w:eastAsia="宋体" w:cs="宋体"/>
          <w:color w:val="auto"/>
        </w:rPr>
        <w:t>19</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055D508F">
      <w:pPr>
        <w:pStyle w:val="31"/>
        <w:keepNext w:val="0"/>
        <w:keepLines w:val="0"/>
        <w:pageBreakBefore w:val="0"/>
        <w:widowControl w:val="0"/>
        <w:tabs>
          <w:tab w:val="right" w:leader="dot" w:pos="982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_Toc28405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六、授予合同</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_Toc28405 \h </w:instrText>
      </w:r>
      <w:r>
        <w:rPr>
          <w:rFonts w:hint="eastAsia" w:ascii="宋体" w:hAnsi="宋体" w:eastAsia="宋体" w:cs="宋体"/>
          <w:color w:val="auto"/>
        </w:rPr>
        <w:fldChar w:fldCharType="separate"/>
      </w:r>
      <w:r>
        <w:rPr>
          <w:rFonts w:hint="eastAsia" w:ascii="宋体" w:hAnsi="宋体" w:eastAsia="宋体" w:cs="宋体"/>
          <w:color w:val="auto"/>
        </w:rPr>
        <w:t>20</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3CFFAD69">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_Toc5336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32 授予合同的准则</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_Toc5336 \h </w:instrText>
      </w:r>
      <w:r>
        <w:rPr>
          <w:rFonts w:hint="eastAsia" w:ascii="宋体" w:hAnsi="宋体" w:eastAsia="宋体" w:cs="宋体"/>
          <w:color w:val="auto"/>
        </w:rPr>
        <w:fldChar w:fldCharType="separate"/>
      </w:r>
      <w:r>
        <w:rPr>
          <w:rFonts w:hint="eastAsia" w:ascii="宋体" w:hAnsi="宋体" w:eastAsia="宋体" w:cs="宋体"/>
          <w:color w:val="auto"/>
        </w:rPr>
        <w:t>20</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34F9A3B8">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_Toc10234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33 中标通知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_Toc10234 \h </w:instrText>
      </w:r>
      <w:r>
        <w:rPr>
          <w:rFonts w:hint="eastAsia" w:ascii="宋体" w:hAnsi="宋体" w:eastAsia="宋体" w:cs="宋体"/>
          <w:color w:val="auto"/>
        </w:rPr>
        <w:fldChar w:fldCharType="separate"/>
      </w:r>
      <w:r>
        <w:rPr>
          <w:rFonts w:hint="eastAsia" w:ascii="宋体" w:hAnsi="宋体" w:eastAsia="宋体" w:cs="宋体"/>
          <w:color w:val="auto"/>
        </w:rPr>
        <w:t>20</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1994106C">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_Toc6116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34 签署合同</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_Toc6116 \h </w:instrText>
      </w:r>
      <w:r>
        <w:rPr>
          <w:rFonts w:hint="eastAsia" w:ascii="宋体" w:hAnsi="宋体" w:eastAsia="宋体" w:cs="宋体"/>
          <w:color w:val="auto"/>
        </w:rPr>
        <w:fldChar w:fldCharType="separate"/>
      </w:r>
      <w:r>
        <w:rPr>
          <w:rFonts w:hint="eastAsia" w:ascii="宋体" w:hAnsi="宋体" w:eastAsia="宋体" w:cs="宋体"/>
          <w:color w:val="auto"/>
        </w:rPr>
        <w:t>20</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20AC332B">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_Toc25892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35 履约担保</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_Toc25892 \h </w:instrText>
      </w:r>
      <w:r>
        <w:rPr>
          <w:rFonts w:hint="eastAsia" w:ascii="宋体" w:hAnsi="宋体" w:eastAsia="宋体" w:cs="宋体"/>
          <w:color w:val="auto"/>
        </w:rPr>
        <w:fldChar w:fldCharType="separate"/>
      </w:r>
      <w:r>
        <w:rPr>
          <w:rFonts w:hint="eastAsia" w:ascii="宋体" w:hAnsi="宋体" w:eastAsia="宋体" w:cs="宋体"/>
          <w:color w:val="auto"/>
        </w:rPr>
        <w:t>20</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21C50046">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_Toc7072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36 在合同履行中变更采购范围的权利</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_Toc7072 \h </w:instrText>
      </w:r>
      <w:r>
        <w:rPr>
          <w:rFonts w:hint="eastAsia" w:ascii="宋体" w:hAnsi="宋体" w:eastAsia="宋体" w:cs="宋体"/>
          <w:color w:val="auto"/>
        </w:rPr>
        <w:fldChar w:fldCharType="separate"/>
      </w:r>
      <w:r>
        <w:rPr>
          <w:rFonts w:hint="eastAsia" w:ascii="宋体" w:hAnsi="宋体" w:eastAsia="宋体" w:cs="宋体"/>
          <w:color w:val="auto"/>
        </w:rPr>
        <w:t>23</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68211357">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_Toc32227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37 中标服务费</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_Toc32227 \h </w:instrText>
      </w:r>
      <w:r>
        <w:rPr>
          <w:rFonts w:hint="eastAsia" w:ascii="宋体" w:hAnsi="宋体" w:eastAsia="宋体" w:cs="宋体"/>
          <w:color w:val="auto"/>
        </w:rPr>
        <w:fldChar w:fldCharType="separate"/>
      </w:r>
      <w:r>
        <w:rPr>
          <w:rFonts w:hint="eastAsia" w:ascii="宋体" w:hAnsi="宋体" w:eastAsia="宋体" w:cs="宋体"/>
          <w:color w:val="auto"/>
        </w:rPr>
        <w:t>23</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128A5EB6">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_Toc25763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38 发票</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_Toc25763 \h </w:instrText>
      </w:r>
      <w:r>
        <w:rPr>
          <w:rFonts w:hint="eastAsia" w:ascii="宋体" w:hAnsi="宋体" w:eastAsia="宋体" w:cs="宋体"/>
          <w:color w:val="auto"/>
        </w:rPr>
        <w:fldChar w:fldCharType="separate"/>
      </w:r>
      <w:r>
        <w:rPr>
          <w:rFonts w:hint="eastAsia" w:ascii="宋体" w:hAnsi="宋体" w:eastAsia="宋体" w:cs="宋体"/>
          <w:color w:val="auto"/>
        </w:rPr>
        <w:t>23</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34AAB543">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_Toc27580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1"/>
          <w:highlight w:val="none"/>
          <w:lang w:val="zh-CN"/>
        </w:rPr>
        <w:t>39 招标相关补充约定</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_Toc27580 \h </w:instrText>
      </w:r>
      <w:r>
        <w:rPr>
          <w:rFonts w:hint="eastAsia" w:ascii="宋体" w:hAnsi="宋体" w:eastAsia="宋体" w:cs="宋体"/>
          <w:color w:val="auto"/>
        </w:rPr>
        <w:fldChar w:fldCharType="separate"/>
      </w:r>
      <w:r>
        <w:rPr>
          <w:rFonts w:hint="eastAsia" w:ascii="宋体" w:hAnsi="宋体" w:eastAsia="宋体" w:cs="宋体"/>
          <w:color w:val="auto"/>
        </w:rPr>
        <w:t>23</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7D2892AA">
      <w:pPr>
        <w:pStyle w:val="21"/>
        <w:keepNext w:val="0"/>
        <w:keepLines w:val="0"/>
        <w:pageBreakBefore w:val="0"/>
        <w:widowControl w:val="0"/>
        <w:tabs>
          <w:tab w:val="right" w:leader="dot" w:pos="9820"/>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_Toc14491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40 本次招标活动的最终解释权归招标代理机构及招标人所有。</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_Toc14491 \h </w:instrText>
      </w:r>
      <w:r>
        <w:rPr>
          <w:rFonts w:hint="eastAsia" w:ascii="宋体" w:hAnsi="宋体" w:eastAsia="宋体" w:cs="宋体"/>
          <w:color w:val="auto"/>
        </w:rPr>
        <w:fldChar w:fldCharType="separate"/>
      </w:r>
      <w:r>
        <w:rPr>
          <w:rFonts w:hint="eastAsia" w:ascii="宋体" w:hAnsi="宋体" w:eastAsia="宋体" w:cs="宋体"/>
          <w:color w:val="auto"/>
        </w:rPr>
        <w:t>23</w:t>
      </w:r>
      <w:r>
        <w:rPr>
          <w:rFonts w:hint="eastAsia" w:ascii="宋体" w:hAnsi="宋体" w:eastAsia="宋体" w:cs="宋体"/>
          <w:color w:val="auto"/>
        </w:rPr>
        <w:fldChar w:fldCharType="end"/>
      </w:r>
      <w:r>
        <w:rPr>
          <w:rFonts w:hint="eastAsia" w:ascii="宋体" w:hAnsi="宋体" w:eastAsia="宋体" w:cs="宋体"/>
          <w:color w:val="auto"/>
          <w:highlight w:val="none"/>
        </w:rPr>
        <w:fldChar w:fldCharType="end"/>
      </w:r>
    </w:p>
    <w:p w14:paraId="09E201B5">
      <w:pPr>
        <w:pStyle w:val="31"/>
        <w:keepNext w:val="0"/>
        <w:keepLines w:val="0"/>
        <w:pageBreakBefore w:val="0"/>
        <w:widowControl w:val="0"/>
        <w:tabs>
          <w:tab w:val="right" w:leader="dot" w:pos="982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_Toc12014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第三篇 用户需求书</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_Toc12014 \h </w:instrText>
      </w:r>
      <w:r>
        <w:rPr>
          <w:rFonts w:hint="eastAsia" w:ascii="宋体" w:hAnsi="宋体" w:eastAsia="宋体" w:cs="宋体"/>
          <w:b/>
          <w:bCs/>
          <w:color w:val="auto"/>
        </w:rPr>
        <w:fldChar w:fldCharType="separate"/>
      </w:r>
      <w:r>
        <w:rPr>
          <w:rFonts w:hint="eastAsia" w:ascii="宋体" w:hAnsi="宋体" w:eastAsia="宋体" w:cs="宋体"/>
          <w:b/>
          <w:bCs/>
          <w:color w:val="auto"/>
        </w:rPr>
        <w:t>24</w:t>
      </w:r>
      <w:r>
        <w:rPr>
          <w:rFonts w:hint="eastAsia" w:ascii="宋体" w:hAnsi="宋体" w:eastAsia="宋体" w:cs="宋体"/>
          <w:b/>
          <w:bCs/>
          <w:color w:val="auto"/>
        </w:rPr>
        <w:fldChar w:fldCharType="end"/>
      </w:r>
      <w:r>
        <w:rPr>
          <w:rFonts w:hint="eastAsia" w:ascii="宋体" w:hAnsi="宋体" w:eastAsia="宋体" w:cs="宋体"/>
          <w:b/>
          <w:bCs/>
          <w:color w:val="auto"/>
          <w:highlight w:val="none"/>
        </w:rPr>
        <w:fldChar w:fldCharType="end"/>
      </w:r>
    </w:p>
    <w:p w14:paraId="17FADA35">
      <w:pPr>
        <w:pStyle w:val="31"/>
        <w:keepNext w:val="0"/>
        <w:keepLines w:val="0"/>
        <w:pageBreakBefore w:val="0"/>
        <w:widowControl w:val="0"/>
        <w:tabs>
          <w:tab w:val="right" w:leader="dot" w:pos="982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_Toc27343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第四篇 合同条款格式</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_Toc27343 \h </w:instrText>
      </w:r>
      <w:r>
        <w:rPr>
          <w:rFonts w:hint="eastAsia" w:ascii="宋体" w:hAnsi="宋体" w:eastAsia="宋体" w:cs="宋体"/>
          <w:b/>
          <w:bCs/>
          <w:color w:val="auto"/>
        </w:rPr>
        <w:fldChar w:fldCharType="separate"/>
      </w:r>
      <w:r>
        <w:rPr>
          <w:rFonts w:hint="eastAsia" w:ascii="宋体" w:hAnsi="宋体" w:eastAsia="宋体" w:cs="宋体"/>
          <w:b/>
          <w:bCs/>
          <w:color w:val="auto"/>
        </w:rPr>
        <w:t>34</w:t>
      </w:r>
      <w:r>
        <w:rPr>
          <w:rFonts w:hint="eastAsia" w:ascii="宋体" w:hAnsi="宋体" w:eastAsia="宋体" w:cs="宋体"/>
          <w:b/>
          <w:bCs/>
          <w:color w:val="auto"/>
        </w:rPr>
        <w:fldChar w:fldCharType="end"/>
      </w:r>
      <w:r>
        <w:rPr>
          <w:rFonts w:hint="eastAsia" w:ascii="宋体" w:hAnsi="宋体" w:eastAsia="宋体" w:cs="宋体"/>
          <w:b/>
          <w:bCs/>
          <w:color w:val="auto"/>
          <w:highlight w:val="none"/>
        </w:rPr>
        <w:fldChar w:fldCharType="end"/>
      </w:r>
    </w:p>
    <w:p w14:paraId="186877B6">
      <w:pPr>
        <w:pStyle w:val="31"/>
        <w:keepNext w:val="0"/>
        <w:keepLines w:val="0"/>
        <w:pageBreakBefore w:val="0"/>
        <w:widowControl w:val="0"/>
        <w:tabs>
          <w:tab w:val="right" w:leader="dot" w:pos="982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_Toc23576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szCs w:val="32"/>
          <w:highlight w:val="none"/>
          <w:lang w:val="zh-CN"/>
        </w:rPr>
        <w:t>第五篇 相关保函格式</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_Toc23576 \h </w:instrText>
      </w:r>
      <w:r>
        <w:rPr>
          <w:rFonts w:hint="eastAsia" w:ascii="宋体" w:hAnsi="宋体" w:eastAsia="宋体" w:cs="宋体"/>
          <w:b/>
          <w:bCs/>
          <w:color w:val="auto"/>
        </w:rPr>
        <w:fldChar w:fldCharType="separate"/>
      </w:r>
      <w:r>
        <w:rPr>
          <w:rFonts w:hint="eastAsia" w:ascii="宋体" w:hAnsi="宋体" w:eastAsia="宋体" w:cs="宋体"/>
          <w:b/>
          <w:bCs/>
          <w:color w:val="auto"/>
        </w:rPr>
        <w:t>56</w:t>
      </w:r>
      <w:r>
        <w:rPr>
          <w:rFonts w:hint="eastAsia" w:ascii="宋体" w:hAnsi="宋体" w:eastAsia="宋体" w:cs="宋体"/>
          <w:b/>
          <w:bCs/>
          <w:color w:val="auto"/>
        </w:rPr>
        <w:fldChar w:fldCharType="end"/>
      </w:r>
      <w:r>
        <w:rPr>
          <w:rFonts w:hint="eastAsia" w:ascii="宋体" w:hAnsi="宋体" w:eastAsia="宋体" w:cs="宋体"/>
          <w:b/>
          <w:bCs/>
          <w:color w:val="auto"/>
          <w:highlight w:val="none"/>
        </w:rPr>
        <w:fldChar w:fldCharType="end"/>
      </w:r>
    </w:p>
    <w:p w14:paraId="01A73F36">
      <w:pPr>
        <w:pStyle w:val="31"/>
        <w:keepNext w:val="0"/>
        <w:keepLines w:val="0"/>
        <w:pageBreakBefore w:val="0"/>
        <w:widowControl w:val="0"/>
        <w:tabs>
          <w:tab w:val="right" w:leader="dot" w:pos="982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_Toc14853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szCs w:val="32"/>
          <w:highlight w:val="none"/>
          <w:lang w:val="zh-CN"/>
        </w:rPr>
        <w:t>第六篇 投标文件格式</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_Toc14853 \h </w:instrText>
      </w:r>
      <w:r>
        <w:rPr>
          <w:rFonts w:hint="eastAsia" w:ascii="宋体" w:hAnsi="宋体" w:eastAsia="宋体" w:cs="宋体"/>
          <w:b/>
          <w:bCs/>
          <w:color w:val="auto"/>
        </w:rPr>
        <w:fldChar w:fldCharType="separate"/>
      </w:r>
      <w:r>
        <w:rPr>
          <w:rFonts w:hint="eastAsia" w:ascii="宋体" w:hAnsi="宋体" w:eastAsia="宋体" w:cs="宋体"/>
          <w:b/>
          <w:bCs/>
          <w:color w:val="auto"/>
        </w:rPr>
        <w:t>59</w:t>
      </w:r>
      <w:r>
        <w:rPr>
          <w:rFonts w:hint="eastAsia" w:ascii="宋体" w:hAnsi="宋体" w:eastAsia="宋体" w:cs="宋体"/>
          <w:b/>
          <w:bCs/>
          <w:color w:val="auto"/>
        </w:rPr>
        <w:fldChar w:fldCharType="end"/>
      </w:r>
      <w:r>
        <w:rPr>
          <w:rFonts w:hint="eastAsia" w:ascii="宋体" w:hAnsi="宋体" w:eastAsia="宋体" w:cs="宋体"/>
          <w:b/>
          <w:bCs/>
          <w:color w:val="auto"/>
          <w:highlight w:val="none"/>
        </w:rPr>
        <w:fldChar w:fldCharType="end"/>
      </w:r>
    </w:p>
    <w:p w14:paraId="6DE35288">
      <w:pPr>
        <w:pStyle w:val="28"/>
        <w:keepNext w:val="0"/>
        <w:keepLines w:val="0"/>
        <w:pageBreakBefore w:val="0"/>
        <w:widowControl w:val="0"/>
        <w:tabs>
          <w:tab w:val="right" w:leader="dot" w:pos="982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_Toc14708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附件一：评标工作大纲</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_Toc14708 \h </w:instrText>
      </w:r>
      <w:r>
        <w:rPr>
          <w:rFonts w:hint="eastAsia" w:ascii="宋体" w:hAnsi="宋体" w:eastAsia="宋体" w:cs="宋体"/>
          <w:b/>
          <w:bCs/>
          <w:color w:val="auto"/>
        </w:rPr>
        <w:fldChar w:fldCharType="separate"/>
      </w:r>
      <w:r>
        <w:rPr>
          <w:rFonts w:hint="eastAsia" w:ascii="宋体" w:hAnsi="宋体" w:eastAsia="宋体" w:cs="宋体"/>
          <w:b/>
          <w:bCs/>
          <w:color w:val="auto"/>
        </w:rPr>
        <w:t>100</w:t>
      </w:r>
      <w:r>
        <w:rPr>
          <w:rFonts w:hint="eastAsia" w:ascii="宋体" w:hAnsi="宋体" w:eastAsia="宋体" w:cs="宋体"/>
          <w:b/>
          <w:bCs/>
          <w:color w:val="auto"/>
        </w:rPr>
        <w:fldChar w:fldCharType="end"/>
      </w:r>
      <w:r>
        <w:rPr>
          <w:rFonts w:hint="eastAsia" w:ascii="宋体" w:hAnsi="宋体" w:eastAsia="宋体" w:cs="宋体"/>
          <w:b/>
          <w:bCs/>
          <w:color w:val="auto"/>
          <w:highlight w:val="none"/>
        </w:rPr>
        <w:fldChar w:fldCharType="end"/>
      </w:r>
    </w:p>
    <w:p w14:paraId="32C0C958">
      <w:pPr>
        <w:pStyle w:val="31"/>
        <w:keepNext w:val="0"/>
        <w:keepLines w:val="0"/>
        <w:pageBreakBefore w:val="0"/>
        <w:widowControl w:val="0"/>
        <w:tabs>
          <w:tab w:val="right" w:leader="dot" w:pos="982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end"/>
      </w:r>
    </w:p>
    <w:p w14:paraId="00A3A3F6">
      <w:pPr>
        <w:keepNext/>
        <w:keepLines/>
        <w:pageBreakBefore/>
        <w:tabs>
          <w:tab w:val="left" w:pos="1080"/>
        </w:tabs>
        <w:autoSpaceDE w:val="0"/>
        <w:autoSpaceDN w:val="0"/>
        <w:adjustRightInd w:val="0"/>
        <w:spacing w:line="360" w:lineRule="auto"/>
        <w:jc w:val="center"/>
        <w:outlineLvl w:val="0"/>
        <w:rPr>
          <w:rFonts w:ascii="宋体" w:hAnsi="宋体" w:eastAsia="宋体" w:cs="Times New Roman"/>
          <w:b/>
          <w:bCs/>
          <w:color w:val="auto"/>
          <w:kern w:val="44"/>
          <w:sz w:val="44"/>
          <w:szCs w:val="44"/>
          <w:highlight w:val="none"/>
          <w:lang w:val="zh-CN"/>
        </w:rPr>
      </w:pPr>
      <w:bookmarkStart w:id="7" w:name="_Toc10523"/>
      <w:r>
        <w:rPr>
          <w:rFonts w:ascii="宋体" w:hAnsi="宋体" w:eastAsia="宋体" w:cs="Times New Roman"/>
          <w:b/>
          <w:bCs/>
          <w:color w:val="auto"/>
          <w:kern w:val="44"/>
          <w:sz w:val="32"/>
          <w:szCs w:val="32"/>
          <w:highlight w:val="none"/>
          <w:lang w:val="zh-CN"/>
        </w:rPr>
        <w:t>第一篇 招标公告</w:t>
      </w:r>
      <w:bookmarkEnd w:id="6"/>
      <w:bookmarkEnd w:id="7"/>
    </w:p>
    <w:p w14:paraId="2219CC77">
      <w:pPr>
        <w:autoSpaceDE w:val="0"/>
        <w:autoSpaceDN w:val="0"/>
        <w:adjustRightInd w:val="0"/>
        <w:snapToGrid w:val="0"/>
        <w:spacing w:line="360" w:lineRule="auto"/>
        <w:ind w:right="-34" w:firstLine="420" w:firstLineChars="200"/>
        <w:rPr>
          <w:rFonts w:hint="eastAsia" w:ascii="宋体" w:hAnsi="宋体" w:eastAsia="宋体" w:cs="Times New Roman"/>
          <w:color w:val="auto"/>
          <w:kern w:val="0"/>
          <w:szCs w:val="21"/>
          <w:highlight w:val="none"/>
        </w:rPr>
      </w:pPr>
    </w:p>
    <w:p w14:paraId="7F782E0A">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eastAsia="zh-CN"/>
        </w:rPr>
        <w:t>广州宏达工程顾问集团有限公司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东莞市水务集团净水有限公司</w:t>
      </w:r>
      <w:r>
        <w:rPr>
          <w:rFonts w:ascii="宋体" w:hAnsi="宋体" w:eastAsia="宋体" w:cs="Times New Roman"/>
          <w:color w:val="auto"/>
          <w:szCs w:val="21"/>
          <w:highlight w:val="none"/>
          <w:lang w:val="zh-CN"/>
        </w:rPr>
        <w:t>（以下简称“招标人”）的委托，对</w:t>
      </w:r>
      <w:bookmarkStart w:id="8" w:name="_Hlk41903390"/>
      <w:r>
        <w:rPr>
          <w:rFonts w:hint="eastAsia" w:ascii="宋体" w:hAnsi="宋体" w:eastAsia="宋体" w:cs="Times New Roman"/>
          <w:color w:val="auto"/>
          <w:kern w:val="0"/>
          <w:szCs w:val="21"/>
          <w:highlight w:val="none"/>
          <w:lang w:eastAsia="zh-CN"/>
        </w:rPr>
        <w:t>东莞市水务集团净水有限公司2025年生产药剂液体乙酸钠采购项目</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WTZB2024DG0079</w:t>
      </w:r>
      <w:r>
        <w:rPr>
          <w:rFonts w:ascii="宋体" w:hAnsi="宋体" w:eastAsia="宋体" w:cs="Times New Roman"/>
          <w:color w:val="auto"/>
          <w:szCs w:val="21"/>
          <w:highlight w:val="none"/>
          <w:lang w:val="zh-CN"/>
        </w:rPr>
        <w:t>)</w:t>
      </w:r>
      <w:bookmarkEnd w:id="8"/>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6194BDC2">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00A97B54">
      <w:pPr>
        <w:numPr>
          <w:ilvl w:val="0"/>
          <w:numId w:val="1"/>
        </w:numPr>
        <w:autoSpaceDE w:val="0"/>
        <w:autoSpaceDN w:val="0"/>
        <w:adjustRightInd w:val="0"/>
        <w:snapToGrid w:val="0"/>
        <w:spacing w:line="360" w:lineRule="auto"/>
        <w:ind w:right="-34"/>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w:t>
      </w:r>
      <w:r>
        <w:rPr>
          <w:rFonts w:hint="eastAsia" w:ascii="宋体" w:hAnsi="宋体" w:eastAsia="宋体" w:cs="宋体"/>
          <w:color w:val="auto"/>
          <w:szCs w:val="21"/>
          <w:highlight w:val="none"/>
          <w:u w:val="single"/>
        </w:rPr>
        <w:t>本次采购东莞市水务集团净水有限公司旗下运营项目所需生产药剂：液体乙酸钠。</w:t>
      </w:r>
    </w:p>
    <w:tbl>
      <w:tblPr>
        <w:tblStyle w:val="37"/>
        <w:tblW w:w="9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929"/>
        <w:gridCol w:w="1056"/>
        <w:gridCol w:w="1023"/>
        <w:gridCol w:w="2833"/>
        <w:gridCol w:w="1984"/>
        <w:gridCol w:w="1134"/>
        <w:gridCol w:w="1019"/>
      </w:tblGrid>
      <w:tr w14:paraId="51771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815" w:hRule="atLeast"/>
          <w:jc w:val="center"/>
        </w:trPr>
        <w:tc>
          <w:tcPr>
            <w:tcW w:w="929" w:type="dxa"/>
            <w:noWrap w:val="0"/>
            <w:vAlign w:val="center"/>
          </w:tcPr>
          <w:p w14:paraId="2D644F3E">
            <w:pPr>
              <w:widowControl/>
              <w:autoSpaceDE/>
              <w:autoSpaceDN/>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货物名称</w:t>
            </w:r>
          </w:p>
        </w:tc>
        <w:tc>
          <w:tcPr>
            <w:tcW w:w="1056" w:type="dxa"/>
            <w:noWrap w:val="0"/>
            <w:vAlign w:val="center"/>
          </w:tcPr>
          <w:p w14:paraId="53461BD3">
            <w:pPr>
              <w:widowControl/>
              <w:autoSpaceDE/>
              <w:autoSpaceDN/>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暂定采购数量</w:t>
            </w:r>
          </w:p>
        </w:tc>
        <w:tc>
          <w:tcPr>
            <w:tcW w:w="1023" w:type="dxa"/>
            <w:noWrap w:val="0"/>
            <w:vAlign w:val="center"/>
          </w:tcPr>
          <w:p w14:paraId="00BCD40A">
            <w:pPr>
              <w:widowControl/>
              <w:autoSpaceDE/>
              <w:autoSpaceDN/>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预算综合单价</w:t>
            </w:r>
            <w:r>
              <w:rPr>
                <w:rFonts w:hint="eastAsia" w:ascii="宋体" w:hAnsi="宋体" w:eastAsia="宋体" w:cs="宋体"/>
                <w:color w:val="auto"/>
                <w:sz w:val="21"/>
                <w:szCs w:val="21"/>
                <w:highlight w:val="none"/>
              </w:rPr>
              <w:t>（不含税）</w:t>
            </w:r>
          </w:p>
        </w:tc>
        <w:tc>
          <w:tcPr>
            <w:tcW w:w="2833" w:type="dxa"/>
            <w:noWrap w:val="0"/>
            <w:vAlign w:val="center"/>
          </w:tcPr>
          <w:p w14:paraId="5C4E97D8">
            <w:pPr>
              <w:widowControl/>
              <w:autoSpaceDE/>
              <w:autoSpaceDN/>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供货期</w:t>
            </w:r>
          </w:p>
        </w:tc>
        <w:tc>
          <w:tcPr>
            <w:tcW w:w="1984" w:type="dxa"/>
            <w:noWrap w:val="0"/>
            <w:vAlign w:val="center"/>
          </w:tcPr>
          <w:p w14:paraId="44CE9AF9">
            <w:pPr>
              <w:widowControl/>
              <w:autoSpaceDE/>
              <w:autoSpaceDN/>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交货时间</w:t>
            </w:r>
          </w:p>
        </w:tc>
        <w:tc>
          <w:tcPr>
            <w:tcW w:w="1134" w:type="dxa"/>
            <w:noWrap w:val="0"/>
            <w:vAlign w:val="center"/>
          </w:tcPr>
          <w:p w14:paraId="5EA0830A">
            <w:pPr>
              <w:widowControl/>
              <w:autoSpaceDE/>
              <w:autoSpaceDN/>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保质期</w:t>
            </w:r>
          </w:p>
        </w:tc>
        <w:tc>
          <w:tcPr>
            <w:tcW w:w="1019" w:type="dxa"/>
            <w:noWrap w:val="0"/>
            <w:vAlign w:val="center"/>
          </w:tcPr>
          <w:p w14:paraId="30E866BA">
            <w:pPr>
              <w:widowControl/>
              <w:autoSpaceDE/>
              <w:autoSpaceDN/>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交货地点</w:t>
            </w:r>
          </w:p>
        </w:tc>
      </w:tr>
      <w:tr w14:paraId="69B0B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555" w:hRule="atLeast"/>
          <w:jc w:val="center"/>
        </w:trPr>
        <w:tc>
          <w:tcPr>
            <w:tcW w:w="929" w:type="dxa"/>
            <w:noWrap w:val="0"/>
            <w:vAlign w:val="center"/>
          </w:tcPr>
          <w:p w14:paraId="773B9ED4">
            <w:pPr>
              <w:widowControl/>
              <w:autoSpaceDE/>
              <w:autoSpaceDN/>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液体乙酸钠</w:t>
            </w:r>
          </w:p>
        </w:tc>
        <w:tc>
          <w:tcPr>
            <w:tcW w:w="1056" w:type="dxa"/>
            <w:noWrap w:val="0"/>
            <w:vAlign w:val="center"/>
          </w:tcPr>
          <w:p w14:paraId="79D92489">
            <w:pPr>
              <w:widowControl/>
              <w:autoSpaceDE/>
              <w:autoSpaceDN/>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14427.652</w:t>
            </w:r>
            <w:r>
              <w:rPr>
                <w:rFonts w:hint="eastAsia" w:ascii="宋体" w:hAnsi="宋体" w:eastAsia="宋体" w:cs="宋体"/>
                <w:color w:val="auto"/>
                <w:sz w:val="21"/>
                <w:szCs w:val="21"/>
                <w:highlight w:val="none"/>
              </w:rPr>
              <w:t>吨</w:t>
            </w:r>
          </w:p>
        </w:tc>
        <w:tc>
          <w:tcPr>
            <w:tcW w:w="1023" w:type="dxa"/>
            <w:noWrap w:val="0"/>
            <w:vAlign w:val="center"/>
          </w:tcPr>
          <w:p w14:paraId="425CEF61">
            <w:pPr>
              <w:widowControl/>
              <w:autoSpaceDE/>
              <w:autoSpaceDN/>
              <w:adjustRightInd/>
              <w:snapToGrid w:val="0"/>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1032.45</w:t>
            </w:r>
          </w:p>
          <w:p w14:paraId="7D399FCE">
            <w:pPr>
              <w:widowControl/>
              <w:autoSpaceDE/>
              <w:autoSpaceDN/>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元/吨</w:t>
            </w:r>
          </w:p>
        </w:tc>
        <w:tc>
          <w:tcPr>
            <w:tcW w:w="2833" w:type="dxa"/>
            <w:noWrap w:val="0"/>
            <w:vAlign w:val="center"/>
          </w:tcPr>
          <w:p w14:paraId="3D2AC5CB">
            <w:pPr>
              <w:widowControl/>
              <w:autoSpaceDE/>
              <w:autoSpaceDN/>
              <w:adjustRightInd/>
              <w:snapToGrid w:val="0"/>
              <w:jc w:val="center"/>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t>自合同签订之日起至202</w:t>
            </w:r>
            <w:r>
              <w:rPr>
                <w:rFonts w:hint="eastAsia" w:ascii="宋体" w:hAnsi="宋体" w:eastAsia="宋体" w:cs="宋体"/>
                <w:iCs/>
                <w:color w:val="auto"/>
                <w:sz w:val="21"/>
                <w:szCs w:val="21"/>
                <w:highlight w:val="none"/>
                <w:lang w:val="en-US" w:eastAsia="zh-CN"/>
              </w:rPr>
              <w:t>5</w:t>
            </w:r>
            <w:r>
              <w:rPr>
                <w:rFonts w:hint="eastAsia" w:ascii="宋体" w:hAnsi="宋体" w:eastAsia="宋体" w:cs="宋体"/>
                <w:iCs/>
                <w:color w:val="auto"/>
                <w:sz w:val="21"/>
                <w:szCs w:val="21"/>
                <w:highlight w:val="none"/>
              </w:rPr>
              <w:t>年12月31日止，具体供货起始日期以招标人或招标人权属子公司书面通知为准，投标人收到招标人或招标人权属子公司通知后必须无条件按照招标人的要求开始供货，供货期结束后，按招标人实际生产需要，经双方协商同意后，可签订补充协议延长不超过三个月的供货期。</w:t>
            </w:r>
          </w:p>
        </w:tc>
        <w:tc>
          <w:tcPr>
            <w:tcW w:w="1984" w:type="dxa"/>
            <w:noWrap w:val="0"/>
            <w:vAlign w:val="center"/>
          </w:tcPr>
          <w:p w14:paraId="3C6158EA">
            <w:pPr>
              <w:widowControl/>
              <w:autoSpaceDE/>
              <w:autoSpaceDN/>
              <w:adjustRightInd/>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日常供货（非加急供货</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为接到供货通知24小时内，加急供货为接到供货通知4小时内，具体交货时间以招标人运营项目供货通知为准。招标人无需因加急供货而额外支付任何费用。</w:t>
            </w:r>
          </w:p>
        </w:tc>
        <w:tc>
          <w:tcPr>
            <w:tcW w:w="1134" w:type="dxa"/>
            <w:noWrap w:val="0"/>
            <w:vAlign w:val="center"/>
          </w:tcPr>
          <w:p w14:paraId="18569F37">
            <w:pPr>
              <w:widowControl/>
              <w:autoSpaceDE/>
              <w:autoSpaceDN/>
              <w:adjustRightInd/>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以招标人运营项目</w:t>
            </w:r>
            <w:r>
              <w:rPr>
                <w:rFonts w:hint="eastAsia" w:ascii="宋体" w:hAnsi="宋体" w:eastAsia="宋体" w:cs="宋体"/>
                <w:color w:val="auto"/>
                <w:sz w:val="21"/>
                <w:szCs w:val="21"/>
                <w:highlight w:val="none"/>
                <w:lang w:val="en-US" w:eastAsia="zh-CN"/>
              </w:rPr>
              <w:t>最终</w:t>
            </w:r>
            <w:r>
              <w:rPr>
                <w:rFonts w:hint="eastAsia" w:ascii="宋体" w:hAnsi="宋体" w:eastAsia="宋体" w:cs="宋体"/>
                <w:color w:val="auto"/>
                <w:sz w:val="21"/>
                <w:szCs w:val="21"/>
                <w:highlight w:val="none"/>
              </w:rPr>
              <w:t>验收之日算起</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个月，保质期内产品质量须达到用户需求书所有技术指标要求。</w:t>
            </w:r>
          </w:p>
        </w:tc>
        <w:tc>
          <w:tcPr>
            <w:tcW w:w="1019" w:type="dxa"/>
            <w:noWrap w:val="0"/>
            <w:vAlign w:val="center"/>
          </w:tcPr>
          <w:p w14:paraId="62E5D0C3">
            <w:pPr>
              <w:widowControl/>
              <w:autoSpaceDE/>
              <w:autoSpaceDN/>
              <w:adjustRightInd/>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招标人在东莞市范围内的运营项目。</w:t>
            </w:r>
          </w:p>
        </w:tc>
      </w:tr>
    </w:tbl>
    <w:p w14:paraId="3018B28F">
      <w:pPr>
        <w:numPr>
          <w:ilvl w:val="-1"/>
          <w:numId w:val="0"/>
        </w:numPr>
        <w:autoSpaceDE w:val="0"/>
        <w:autoSpaceDN w:val="0"/>
        <w:adjustRightInd w:val="0"/>
        <w:snapToGrid w:val="0"/>
        <w:spacing w:line="360" w:lineRule="auto"/>
        <w:ind w:left="0" w:right="-34" w:firstLine="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（具体内容详见：第三篇用户需求书）。</w:t>
      </w:r>
    </w:p>
    <w:p w14:paraId="3B219B83">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14:paraId="27D0E2EF">
      <w:pPr>
        <w:numPr>
          <w:ilvl w:val="0"/>
          <w:numId w:val="1"/>
        </w:numPr>
        <w:autoSpaceDE w:val="0"/>
        <w:autoSpaceDN w:val="0"/>
        <w:adjustRightInd w:val="0"/>
        <w:snapToGrid w:val="0"/>
        <w:spacing w:line="360" w:lineRule="auto"/>
        <w:ind w:right="-34"/>
        <w:jc w:val="left"/>
        <w:outlineLvl w:val="9"/>
        <w:rPr>
          <w:rFonts w:ascii="宋体" w:hAnsi="宋体" w:eastAsia="宋体" w:cs="Times New Roman"/>
          <w:b/>
          <w:color w:val="auto"/>
          <w:szCs w:val="21"/>
          <w:highlight w:val="none"/>
          <w:lang w:val="zh-CN"/>
        </w:rPr>
      </w:pPr>
      <w:bookmarkStart w:id="9" w:name="_Toc12676"/>
      <w:bookmarkStart w:id="10" w:name="_Toc8260"/>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bookmarkEnd w:id="9"/>
      <w:bookmarkEnd w:id="10"/>
    </w:p>
    <w:p w14:paraId="7433F109">
      <w:pPr>
        <w:pStyle w:val="159"/>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14:paraId="36E94F87">
      <w:pPr>
        <w:pStyle w:val="159"/>
        <w:spacing w:line="360" w:lineRule="auto"/>
        <w:ind w:right="-29" w:rightChars="-14" w:firstLine="0" w:firstLineChars="0"/>
        <w:jc w:val="both"/>
        <w:rPr>
          <w:rFonts w:hint="eastAsia" w:hAnsi="宋体" w:eastAsia="宋体"/>
          <w:b/>
          <w:color w:val="auto"/>
          <w:sz w:val="21"/>
          <w:szCs w:val="21"/>
          <w:highlight w:val="none"/>
          <w:lang w:val="zh-CN"/>
        </w:rPr>
      </w:pPr>
      <w:bookmarkStart w:id="11" w:name="_Toc25819"/>
      <w:r>
        <w:rPr>
          <w:rFonts w:hint="eastAsia" w:hAnsi="宋体" w:eastAsia="宋体"/>
          <w:b/>
          <w:color w:val="auto"/>
          <w:sz w:val="21"/>
          <w:szCs w:val="21"/>
          <w:highlight w:val="none"/>
          <w:lang w:val="zh-CN"/>
        </w:rPr>
        <w:t>2.2 投标人必须是投标产品的制造商，或取得投标产品制造商就本次投标独家授权的经销商；</w:t>
      </w:r>
    </w:p>
    <w:p w14:paraId="0F6E6C81">
      <w:pPr>
        <w:pStyle w:val="159"/>
        <w:spacing w:line="360" w:lineRule="auto"/>
        <w:ind w:right="-29" w:rightChars="-14" w:firstLine="0" w:firstLineChars="0"/>
        <w:jc w:val="both"/>
        <w:rPr>
          <w:rFonts w:hint="eastAsia" w:hAnsi="宋体" w:eastAsia="宋体" w:cs="宋体"/>
          <w:b/>
          <w:color w:val="auto"/>
          <w:sz w:val="21"/>
          <w:szCs w:val="21"/>
          <w:lang w:val="zh-CN"/>
        </w:rPr>
      </w:pPr>
      <w:r>
        <w:rPr>
          <w:rFonts w:hint="eastAsia" w:hAnsi="宋体" w:eastAsia="宋体" w:cs="宋体"/>
          <w:b/>
          <w:color w:val="auto"/>
          <w:sz w:val="21"/>
          <w:szCs w:val="21"/>
          <w:lang w:val="zh-CN"/>
        </w:rPr>
        <w:t>2.3 所投产品制造商具有环境管理部门核发的合法有效的环评批复（批复内容须体现含投标产品）；</w:t>
      </w:r>
    </w:p>
    <w:p w14:paraId="5D7FFA55">
      <w:pPr>
        <w:pStyle w:val="159"/>
        <w:spacing w:line="360" w:lineRule="auto"/>
        <w:ind w:left="422" w:right="-29" w:rightChars="-14" w:hanging="422" w:hangingChars="200"/>
        <w:jc w:val="both"/>
        <w:rPr>
          <w:rFonts w:hint="eastAsia" w:hAnsi="宋体" w:eastAsia="宋体"/>
          <w:b/>
          <w:color w:val="auto"/>
          <w:sz w:val="21"/>
          <w:szCs w:val="21"/>
          <w:highlight w:val="none"/>
          <w:lang w:val="en-US" w:eastAsia="zh-CN"/>
        </w:rPr>
      </w:pPr>
      <w:r>
        <w:rPr>
          <w:rFonts w:hint="eastAsia" w:hAnsi="宋体" w:eastAsia="宋体"/>
          <w:b/>
          <w:color w:val="auto"/>
          <w:sz w:val="21"/>
          <w:szCs w:val="21"/>
          <w:highlight w:val="none"/>
          <w:lang w:val="en-US" w:eastAsia="zh-CN"/>
        </w:rPr>
        <w:t xml:space="preserve">2.4 </w:t>
      </w:r>
      <w:r>
        <w:rPr>
          <w:rFonts w:hint="eastAsia" w:hAnsi="宋体" w:eastAsia="宋体"/>
          <w:b/>
          <w:color w:val="auto"/>
          <w:sz w:val="21"/>
          <w:szCs w:val="21"/>
          <w:highlight w:val="none"/>
          <w:lang w:val="zh-CN"/>
        </w:rPr>
        <w:t>投标人</w:t>
      </w:r>
      <w:r>
        <w:rPr>
          <w:rFonts w:hint="eastAsia" w:hAnsi="宋体" w:eastAsia="宋体"/>
          <w:b/>
          <w:color w:val="auto"/>
          <w:sz w:val="21"/>
          <w:szCs w:val="21"/>
          <w:highlight w:val="none"/>
          <w:lang w:val="en-US" w:eastAsia="zh-CN"/>
        </w:rPr>
        <w:t>2022</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日以来具有一</w:t>
      </w:r>
      <w:r>
        <w:rPr>
          <w:rFonts w:hint="default" w:hAnsi="宋体" w:eastAsia="宋体"/>
          <w:b/>
          <w:color w:val="auto"/>
          <w:sz w:val="21"/>
          <w:szCs w:val="21"/>
          <w:highlight w:val="none"/>
          <w:lang w:val="en-US"/>
        </w:rPr>
        <w:t>份</w:t>
      </w:r>
      <w:r>
        <w:rPr>
          <w:rFonts w:hint="eastAsia" w:hAnsi="宋体" w:eastAsia="宋体"/>
          <w:b/>
          <w:color w:val="auto"/>
          <w:sz w:val="21"/>
          <w:szCs w:val="21"/>
          <w:highlight w:val="none"/>
          <w:lang w:val="zh-CN"/>
        </w:rPr>
        <w:t>投标品牌液体乙酸钠供货业绩（合同签订日期为</w:t>
      </w:r>
      <w:r>
        <w:rPr>
          <w:rFonts w:hint="eastAsia" w:hAnsi="宋体" w:eastAsia="宋体"/>
          <w:b/>
          <w:color w:val="auto"/>
          <w:sz w:val="21"/>
          <w:szCs w:val="21"/>
          <w:highlight w:val="none"/>
          <w:lang w:val="en-US" w:eastAsia="zh-CN"/>
        </w:rPr>
        <w:t>2022</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日或以后）；</w:t>
      </w:r>
    </w:p>
    <w:p w14:paraId="45585299">
      <w:pPr>
        <w:pStyle w:val="159"/>
        <w:spacing w:line="360" w:lineRule="auto"/>
        <w:ind w:right="-29" w:rightChars="-14" w:firstLine="0" w:firstLineChars="0"/>
        <w:jc w:val="both"/>
        <w:outlineLvl w:val="9"/>
        <w:rPr>
          <w:rFonts w:hint="eastAsia" w:hAnsi="宋体" w:eastAsia="宋体"/>
          <w:b/>
          <w:color w:val="auto"/>
          <w:sz w:val="21"/>
          <w:szCs w:val="21"/>
          <w:highlight w:val="none"/>
          <w:lang w:val="zh-CN"/>
        </w:rPr>
      </w:pPr>
      <w:bookmarkStart w:id="12" w:name="_Toc6434"/>
      <w:bookmarkStart w:id="13" w:name="_Toc13895"/>
      <w:r>
        <w:rPr>
          <w:rFonts w:hint="eastAsia" w:hAnsi="宋体" w:eastAsia="宋体"/>
          <w:b/>
          <w:color w:val="auto"/>
          <w:sz w:val="21"/>
          <w:szCs w:val="21"/>
          <w:highlight w:val="none"/>
          <w:lang w:val="en-US" w:eastAsia="zh-CN"/>
        </w:rPr>
        <w:t xml:space="preserve">2.5 </w:t>
      </w:r>
      <w:r>
        <w:rPr>
          <w:rFonts w:hint="eastAsia" w:hAnsi="宋体" w:eastAsia="宋体"/>
          <w:b/>
          <w:color w:val="auto"/>
          <w:sz w:val="21"/>
          <w:szCs w:val="21"/>
          <w:highlight w:val="none"/>
          <w:lang w:val="zh-CN"/>
        </w:rPr>
        <w:t>本项目不接受联合体投标。</w:t>
      </w:r>
      <w:bookmarkEnd w:id="11"/>
      <w:bookmarkEnd w:id="12"/>
      <w:bookmarkEnd w:id="13"/>
    </w:p>
    <w:p w14:paraId="12CB3276">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0608391F">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获取招标文件的方式：本项目采用“不记名网上下载”的方式发布招标文件，</w:t>
      </w:r>
      <w:r>
        <w:rPr>
          <w:rFonts w:hint="eastAsia" w:ascii="宋体" w:hAnsi="宋体" w:eastAsia="宋体" w:cs="Times New Roman"/>
          <w:color w:val="auto"/>
          <w:szCs w:val="21"/>
          <w:highlight w:val="none"/>
          <w:lang w:val="zh-CN"/>
        </w:rPr>
        <w:t>有意向的投标人可于本项目投标截止时间前，在本项目招标信息发布媒介</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详见本招标公告第7点（除中国招标投标公共服务平台外）</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下载招标文件。</w:t>
      </w:r>
    </w:p>
    <w:p w14:paraId="6CBF9292">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14:paraId="79443EBB">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23976325">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14:paraId="284C4974">
      <w:pPr>
        <w:numPr>
          <w:ilvl w:val="0"/>
          <w:numId w:val="1"/>
        </w:numPr>
        <w:autoSpaceDE w:val="0"/>
        <w:autoSpaceDN w:val="0"/>
        <w:adjustRightInd w:val="0"/>
        <w:snapToGrid w:val="0"/>
        <w:spacing w:line="360" w:lineRule="auto"/>
        <w:ind w:right="-34"/>
        <w:jc w:val="left"/>
        <w:outlineLvl w:val="9"/>
        <w:rPr>
          <w:rFonts w:ascii="宋体" w:hAnsi="宋体" w:eastAsia="宋体" w:cs="Times New Roman"/>
          <w:color w:val="auto"/>
          <w:szCs w:val="21"/>
          <w:highlight w:val="none"/>
          <w:lang w:val="zh-CN"/>
        </w:rPr>
      </w:pPr>
      <w:bookmarkStart w:id="14" w:name="_Toc10572"/>
      <w:bookmarkStart w:id="15" w:name="_Toc3673"/>
      <w:r>
        <w:rPr>
          <w:rFonts w:ascii="宋体" w:hAnsi="宋体" w:eastAsia="宋体" w:cs="Times New Roman"/>
          <w:color w:val="auto"/>
          <w:szCs w:val="21"/>
          <w:highlight w:val="none"/>
          <w:lang w:val="zh-CN"/>
        </w:rPr>
        <w:t>投标、开标时间及地点：</w:t>
      </w:r>
      <w:bookmarkEnd w:id="14"/>
      <w:bookmarkEnd w:id="15"/>
    </w:p>
    <w:p w14:paraId="72AE50F9">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hint="eastAsia" w:ascii="宋体" w:hAnsi="宋体" w:eastAsia="宋体" w:cs="Times New Roman"/>
          <w:color w:val="auto"/>
          <w:szCs w:val="21"/>
          <w:highlight w:val="none"/>
          <w:u w:val="single"/>
          <w:lang w:val="en-US" w:eastAsia="zh-CN"/>
        </w:rPr>
        <w:t>2025</w:t>
      </w:r>
      <w:r>
        <w:rPr>
          <w:rFonts w:hint="eastAsia" w:ascii="宋体" w:hAnsi="宋体" w:eastAsia="宋体" w:cs="Times New Roman"/>
          <w:bCs/>
          <w:color w:val="auto"/>
          <w:kern w:val="0"/>
          <w:szCs w:val="21"/>
          <w:highlight w:val="none"/>
        </w:rPr>
        <w:t>年</w:t>
      </w:r>
      <w:r>
        <w:rPr>
          <w:rFonts w:hint="eastAsia" w:ascii="宋体" w:hAnsi="宋体" w:eastAsia="宋体" w:cs="Times New Roman"/>
          <w:color w:val="auto"/>
          <w:szCs w:val="21"/>
          <w:highlight w:val="none"/>
          <w:u w:val="single"/>
          <w:lang w:val="en-US" w:eastAsia="zh-CN"/>
        </w:rPr>
        <w:t xml:space="preserve"> 03 </w:t>
      </w:r>
      <w:r>
        <w:rPr>
          <w:rFonts w:hint="eastAsia" w:ascii="宋体" w:hAnsi="宋体" w:eastAsia="宋体" w:cs="Times New Roman"/>
          <w:bCs/>
          <w:color w:val="auto"/>
          <w:kern w:val="0"/>
          <w:szCs w:val="21"/>
          <w:highlight w:val="none"/>
        </w:rPr>
        <w:t>月</w:t>
      </w:r>
      <w:r>
        <w:rPr>
          <w:rFonts w:hint="eastAsia" w:ascii="宋体" w:hAnsi="宋体" w:eastAsia="宋体" w:cs="Times New Roman"/>
          <w:color w:val="auto"/>
          <w:szCs w:val="21"/>
          <w:highlight w:val="none"/>
          <w:u w:val="single"/>
          <w:lang w:val="en-US" w:eastAsia="zh-CN"/>
        </w:rPr>
        <w:t xml:space="preserve"> 18 </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lang w:val="en-US" w:eastAsia="zh-CN"/>
        </w:rPr>
        <w:t>10</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bCs/>
          <w:color w:val="auto"/>
          <w:kern w:val="0"/>
          <w:szCs w:val="21"/>
          <w:highlight w:val="none"/>
        </w:rPr>
        <w:t>～</w:t>
      </w:r>
      <w:r>
        <w:rPr>
          <w:rFonts w:hint="eastAsia" w:ascii="宋体" w:hAnsi="宋体" w:eastAsia="宋体" w:cs="Times New Roman"/>
          <w:color w:val="auto"/>
          <w:szCs w:val="21"/>
          <w:highlight w:val="none"/>
          <w:u w:val="single"/>
          <w:lang w:val="en-US" w:eastAsia="zh-CN"/>
        </w:rPr>
        <w:t>10</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30</w:t>
      </w:r>
      <w:r>
        <w:rPr>
          <w:rFonts w:hint="eastAsia" w:ascii="宋体" w:hAnsi="宋体" w:eastAsia="宋体" w:cs="Times New Roman"/>
          <w:bCs/>
          <w:color w:val="auto"/>
          <w:kern w:val="0"/>
          <w:szCs w:val="21"/>
          <w:highlight w:val="none"/>
        </w:rPr>
        <w:t>；</w:t>
      </w:r>
    </w:p>
    <w:p w14:paraId="06AFFE5A">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hint="eastAsia" w:ascii="宋体" w:hAnsi="宋体" w:eastAsia="宋体" w:cs="Times New Roman"/>
          <w:color w:val="auto"/>
          <w:szCs w:val="21"/>
          <w:highlight w:val="none"/>
          <w:u w:val="single"/>
          <w:lang w:val="en-US" w:eastAsia="zh-CN"/>
        </w:rPr>
        <w:t>2025</w:t>
      </w:r>
      <w:r>
        <w:rPr>
          <w:rFonts w:hint="eastAsia" w:ascii="宋体" w:hAnsi="宋体" w:eastAsia="宋体" w:cs="Times New Roman"/>
          <w:bCs/>
          <w:color w:val="auto"/>
          <w:kern w:val="0"/>
          <w:szCs w:val="21"/>
          <w:highlight w:val="none"/>
        </w:rPr>
        <w:t>年</w:t>
      </w:r>
      <w:r>
        <w:rPr>
          <w:rFonts w:hint="eastAsia" w:ascii="宋体" w:hAnsi="宋体" w:eastAsia="宋体" w:cs="Times New Roman"/>
          <w:color w:val="auto"/>
          <w:szCs w:val="21"/>
          <w:highlight w:val="none"/>
          <w:u w:val="single"/>
          <w:lang w:val="en-US" w:eastAsia="zh-CN"/>
        </w:rPr>
        <w:t xml:space="preserve"> 03 </w:t>
      </w:r>
      <w:r>
        <w:rPr>
          <w:rFonts w:hint="eastAsia" w:ascii="宋体" w:hAnsi="宋体" w:eastAsia="宋体" w:cs="Times New Roman"/>
          <w:bCs/>
          <w:color w:val="auto"/>
          <w:kern w:val="0"/>
          <w:szCs w:val="21"/>
          <w:highlight w:val="none"/>
        </w:rPr>
        <w:t>月</w:t>
      </w:r>
      <w:r>
        <w:rPr>
          <w:rFonts w:hint="eastAsia" w:ascii="宋体" w:hAnsi="宋体" w:eastAsia="宋体" w:cs="Times New Roman"/>
          <w:color w:val="auto"/>
          <w:szCs w:val="21"/>
          <w:highlight w:val="none"/>
          <w:u w:val="single"/>
          <w:lang w:val="en-US" w:eastAsia="zh-CN"/>
        </w:rPr>
        <w:t xml:space="preserve"> 18 </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lang w:val="en-US" w:eastAsia="zh-CN"/>
        </w:rPr>
        <w:t>10</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30</w:t>
      </w:r>
      <w:r>
        <w:rPr>
          <w:rFonts w:hint="eastAsia" w:ascii="宋体" w:hAnsi="宋体" w:eastAsia="宋体" w:cs="Times New Roman"/>
          <w:bCs/>
          <w:color w:val="auto"/>
          <w:kern w:val="0"/>
          <w:szCs w:val="21"/>
          <w:highlight w:val="none"/>
        </w:rPr>
        <w:t>；</w:t>
      </w:r>
    </w:p>
    <w:p w14:paraId="28154038">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szCs w:val="21"/>
          <w:highlight w:val="none"/>
          <w:lang w:val="zh-CN"/>
        </w:rPr>
        <w:t>广东省东莞市南城区西平社区宏伟三路45号东莞市公共资源交易中心开标</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13</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室</w:t>
      </w:r>
      <w:r>
        <w:rPr>
          <w:rFonts w:hint="eastAsia" w:ascii="宋体" w:hAnsi="宋体" w:eastAsia="宋体" w:cs="Times New Roman"/>
          <w:color w:val="auto"/>
          <w:kern w:val="0"/>
          <w:szCs w:val="21"/>
          <w:highlight w:val="none"/>
        </w:rPr>
        <w:t>。</w:t>
      </w:r>
    </w:p>
    <w:p w14:paraId="406DCC68">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14:paraId="20EF5330">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14:paraId="718B4554">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14:paraId="23788346">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bCs/>
          <w:color w:val="auto"/>
          <w:szCs w:val="21"/>
          <w:highlight w:val="none"/>
        </w:rPr>
        <w:t>本项目相关公告在以下媒介发布：</w:t>
      </w:r>
      <w:r>
        <w:rPr>
          <w:rFonts w:hint="eastAsia" w:ascii="宋体" w:hAnsi="宋体" w:eastAsia="宋体" w:cs="Times New Roman"/>
          <w:bCs/>
          <w:color w:val="auto"/>
          <w:szCs w:val="21"/>
          <w:highlight w:val="none"/>
          <w:lang w:eastAsia="zh-CN"/>
        </w:rPr>
        <w:t>广东省公共资源</w:t>
      </w:r>
      <w:bookmarkStart w:id="1057" w:name="_GoBack"/>
      <w:bookmarkEnd w:id="1057"/>
      <w:r>
        <w:rPr>
          <w:rFonts w:hint="eastAsia" w:ascii="宋体" w:hAnsi="宋体" w:eastAsia="宋体" w:cs="Times New Roman"/>
          <w:bCs/>
          <w:color w:val="auto"/>
          <w:szCs w:val="21"/>
          <w:highlight w:val="none"/>
          <w:lang w:eastAsia="zh-CN"/>
        </w:rPr>
        <w:t>交易平台（ygp.gdzwfw.gov.cn）、</w:t>
      </w:r>
      <w:r>
        <w:rPr>
          <w:rFonts w:hint="eastAsia" w:ascii="宋体" w:hAnsi="宋体" w:eastAsia="宋体" w:cs="Times New Roman"/>
          <w:bCs/>
          <w:color w:val="auto"/>
          <w:szCs w:val="21"/>
          <w:highlight w:val="none"/>
        </w:rPr>
        <w:t>中国招标投标公共服务平台（www.cebpubservice.com）、东莞市水务集团有限公司网（www.dgswjt.cn）、招标</w:t>
      </w:r>
      <w:r>
        <w:rPr>
          <w:rFonts w:hint="eastAsia" w:ascii="宋体" w:hAnsi="宋体" w:eastAsia="宋体" w:cs="Times New Roman"/>
          <w:color w:val="auto"/>
          <w:szCs w:val="21"/>
          <w:highlight w:val="none"/>
          <w:lang w:val="zh-CN"/>
        </w:rPr>
        <w:t>代理</w:t>
      </w:r>
      <w:r>
        <w:rPr>
          <w:rFonts w:hint="eastAsia" w:ascii="宋体" w:hAnsi="宋体" w:eastAsia="宋体" w:cs="Times New Roman"/>
          <w:color w:val="auto"/>
          <w:szCs w:val="21"/>
          <w:highlight w:val="none"/>
          <w:lang w:val="en-US" w:eastAsia="zh-CN"/>
        </w:rPr>
        <w:t>机构</w:t>
      </w:r>
      <w:r>
        <w:rPr>
          <w:rFonts w:hint="eastAsia" w:ascii="宋体" w:hAnsi="宋体" w:eastAsia="宋体" w:cs="Times New Roman"/>
          <w:color w:val="auto"/>
          <w:szCs w:val="21"/>
          <w:highlight w:val="none"/>
          <w:lang w:val="zh-CN"/>
        </w:rPr>
        <w:t>网站（www.wangtat.com.cn</w:t>
      </w:r>
      <w:r>
        <w:rPr>
          <w:rFonts w:ascii="宋体" w:hAnsi="宋体" w:eastAsia="宋体" w:cs="Times New Roman"/>
          <w:color w:val="auto"/>
          <w:szCs w:val="21"/>
          <w:highlight w:val="none"/>
          <w:lang w:val="zh-CN"/>
        </w:rPr>
        <w:t>）。</w:t>
      </w:r>
    </w:p>
    <w:p w14:paraId="1EFB621F">
      <w:pPr>
        <w:autoSpaceDE w:val="0"/>
        <w:autoSpaceDN w:val="0"/>
        <w:adjustRightInd w:val="0"/>
        <w:spacing w:line="360" w:lineRule="auto"/>
        <w:ind w:right="-29" w:rightChars="-14" w:firstLine="420"/>
        <w:rPr>
          <w:rFonts w:ascii="宋体" w:hAnsi="宋体" w:eastAsia="宋体" w:cs="Times New Roman"/>
          <w:bCs/>
          <w:color w:val="auto"/>
          <w:szCs w:val="21"/>
          <w:highlight w:val="none"/>
        </w:rPr>
      </w:pPr>
    </w:p>
    <w:p w14:paraId="11A70B44">
      <w:pPr>
        <w:numPr>
          <w:ilvl w:val="0"/>
          <w:numId w:val="1"/>
        </w:numPr>
        <w:autoSpaceDE w:val="0"/>
        <w:autoSpaceDN w:val="0"/>
        <w:adjustRightInd w:val="0"/>
        <w:snapToGrid w:val="0"/>
        <w:spacing w:line="360" w:lineRule="auto"/>
        <w:ind w:right="-34"/>
        <w:jc w:val="left"/>
        <w:outlineLvl w:val="9"/>
        <w:rPr>
          <w:rFonts w:ascii="宋体" w:hAnsi="宋体" w:eastAsia="宋体" w:cs="Times New Roman"/>
          <w:color w:val="auto"/>
          <w:szCs w:val="21"/>
          <w:highlight w:val="none"/>
        </w:rPr>
      </w:pPr>
      <w:bookmarkStart w:id="16" w:name="_Toc21295"/>
      <w:bookmarkStart w:id="17" w:name="_Toc17537"/>
      <w:r>
        <w:rPr>
          <w:rFonts w:ascii="宋体" w:hAnsi="宋体" w:eastAsia="宋体" w:cs="Times New Roman"/>
          <w:bCs/>
          <w:color w:val="auto"/>
          <w:szCs w:val="21"/>
          <w:highlight w:val="none"/>
          <w:lang w:val="zh-CN"/>
        </w:rPr>
        <w:t>招标人联系方式</w:t>
      </w:r>
      <w:bookmarkEnd w:id="16"/>
      <w:bookmarkEnd w:id="17"/>
    </w:p>
    <w:p w14:paraId="5D8F24E2">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lang w:eastAsia="zh-CN"/>
        </w:rPr>
        <w:t>东莞市水务集团净水有限公司</w:t>
      </w:r>
    </w:p>
    <w:p w14:paraId="704351C8">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rPr>
        <w:t>广东省东莞市南城街道滨河路100号</w:t>
      </w:r>
      <w:r>
        <w:rPr>
          <w:rFonts w:hint="eastAsia" w:ascii="宋体" w:hAnsi="宋体" w:eastAsia="宋体" w:cs="Times New Roman"/>
          <w:color w:val="auto"/>
          <w:kern w:val="0"/>
          <w:szCs w:val="21"/>
          <w:highlight w:val="none"/>
          <w:lang w:val="en-US" w:eastAsia="zh-CN"/>
        </w:rPr>
        <w:t>二</w:t>
      </w:r>
      <w:r>
        <w:rPr>
          <w:rFonts w:hint="eastAsia" w:ascii="宋体" w:hAnsi="宋体" w:eastAsia="宋体" w:cs="Times New Roman"/>
          <w:color w:val="auto"/>
          <w:kern w:val="0"/>
          <w:szCs w:val="21"/>
          <w:highlight w:val="none"/>
        </w:rPr>
        <w:t>期1号楼101室</w:t>
      </w:r>
    </w:p>
    <w:p w14:paraId="61C4D57F">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：万淑婷</w:t>
      </w:r>
    </w:p>
    <w:p w14:paraId="196AD58A">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电  话：</w:t>
      </w:r>
      <w:r>
        <w:rPr>
          <w:rFonts w:hint="eastAsia" w:ascii="宋体" w:hAnsi="宋体" w:eastAsia="宋体" w:cs="Times New Roman"/>
          <w:color w:val="auto"/>
          <w:kern w:val="0"/>
          <w:szCs w:val="21"/>
          <w:highlight w:val="none"/>
        </w:rPr>
        <w:t>0769-23286160</w:t>
      </w:r>
    </w:p>
    <w:p w14:paraId="32B08385">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14:paraId="5090D4F5">
      <w:pPr>
        <w:numPr>
          <w:ilvl w:val="0"/>
          <w:numId w:val="1"/>
        </w:numPr>
        <w:autoSpaceDE w:val="0"/>
        <w:autoSpaceDN w:val="0"/>
        <w:adjustRightInd w:val="0"/>
        <w:snapToGrid w:val="0"/>
        <w:spacing w:line="360" w:lineRule="auto"/>
        <w:ind w:right="-34"/>
        <w:jc w:val="left"/>
        <w:outlineLvl w:val="9"/>
        <w:rPr>
          <w:rFonts w:ascii="宋体" w:hAnsi="宋体" w:eastAsia="宋体" w:cs="Times New Roman"/>
          <w:color w:val="auto"/>
          <w:szCs w:val="21"/>
          <w:highlight w:val="none"/>
        </w:rPr>
      </w:pPr>
      <w:bookmarkStart w:id="18" w:name="_Toc30740"/>
      <w:bookmarkStart w:id="19" w:name="_Toc225"/>
      <w:r>
        <w:rPr>
          <w:rFonts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lang w:val="en-US" w:eastAsia="zh-CN"/>
        </w:rPr>
        <w:t>及异议受理</w:t>
      </w:r>
      <w:r>
        <w:rPr>
          <w:rFonts w:ascii="宋体" w:hAnsi="宋体" w:eastAsia="宋体" w:cs="Times New Roman"/>
          <w:color w:val="auto"/>
          <w:szCs w:val="21"/>
          <w:highlight w:val="none"/>
        </w:rPr>
        <w:t>联系方式</w:t>
      </w:r>
      <w:bookmarkEnd w:id="18"/>
      <w:bookmarkEnd w:id="19"/>
    </w:p>
    <w:p w14:paraId="0F892F7A">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bookmarkStart w:id="20" w:name="_Toc31764_WPSOffice_Level1"/>
      <w:bookmarkStart w:id="21" w:name="_Toc450662847"/>
      <w:bookmarkStart w:id="22" w:name="_Toc486167661"/>
      <w:r>
        <w:rPr>
          <w:rFonts w:ascii="宋体" w:hAnsi="宋体" w:eastAsia="宋体" w:cs="Times New Roman"/>
          <w:color w:val="auto"/>
          <w:kern w:val="0"/>
          <w:szCs w:val="21"/>
          <w:highlight w:val="none"/>
        </w:rPr>
        <w:t>招标代理机构：</w:t>
      </w:r>
      <w:r>
        <w:rPr>
          <w:rFonts w:hint="eastAsia" w:ascii="宋体" w:hAnsi="宋体" w:eastAsia="宋体" w:cs="Times New Roman"/>
          <w:color w:val="auto"/>
          <w:kern w:val="0"/>
          <w:szCs w:val="21"/>
          <w:highlight w:val="none"/>
          <w:lang w:eastAsia="zh-CN"/>
        </w:rPr>
        <w:t>广州宏达工程顾问集团有限公司</w:t>
      </w:r>
    </w:p>
    <w:p w14:paraId="4F3CD56D">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  址：</w:t>
      </w:r>
      <w:r>
        <w:rPr>
          <w:rFonts w:hint="eastAsia" w:ascii="宋体" w:hAnsi="宋体" w:eastAsia="宋体" w:cs="Times New Roman"/>
          <w:color w:val="auto"/>
          <w:kern w:val="0"/>
          <w:szCs w:val="21"/>
          <w:highlight w:val="none"/>
        </w:rPr>
        <w:t>广东省东莞市南城区第一国际汇一城3号楼1508室</w:t>
      </w:r>
    </w:p>
    <w:p w14:paraId="4FE9F36B">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val="en-US"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lang w:val="en-US" w:eastAsia="zh-CN"/>
        </w:rPr>
        <w:t>邓晓欣</w:t>
      </w:r>
    </w:p>
    <w:p w14:paraId="7DA8774D">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0769-28056866-804</w:t>
      </w:r>
    </w:p>
    <w:p w14:paraId="221E4FAC">
      <w:pPr>
        <w:keepNext/>
        <w:keepLines/>
        <w:pageBreakBefore/>
        <w:tabs>
          <w:tab w:val="left" w:pos="1080"/>
        </w:tabs>
        <w:autoSpaceDE w:val="0"/>
        <w:autoSpaceDN w:val="0"/>
        <w:adjustRightInd w:val="0"/>
        <w:spacing w:line="360" w:lineRule="auto"/>
        <w:jc w:val="center"/>
        <w:outlineLvl w:val="0"/>
        <w:rPr>
          <w:rFonts w:ascii="宋体" w:hAnsi="宋体" w:eastAsia="宋体" w:cs="Times New Roman"/>
          <w:b/>
          <w:bCs/>
          <w:color w:val="auto"/>
          <w:kern w:val="44"/>
          <w:sz w:val="32"/>
          <w:szCs w:val="32"/>
          <w:highlight w:val="none"/>
          <w:lang w:val="zh-CN"/>
        </w:rPr>
      </w:pPr>
      <w:bookmarkStart w:id="23" w:name="_Toc8554"/>
      <w:bookmarkStart w:id="24" w:name="_Toc12475"/>
      <w:bookmarkStart w:id="25" w:name="_Toc142508311"/>
      <w:bookmarkStart w:id="26" w:name="_Toc24735"/>
      <w:bookmarkStart w:id="27" w:name="_Toc4804"/>
      <w:r>
        <w:rPr>
          <w:rFonts w:hint="eastAsia" w:ascii="宋体" w:hAnsi="宋体" w:eastAsia="宋体" w:cs="Times New Roman"/>
          <w:b/>
          <w:bCs/>
          <w:color w:val="auto"/>
          <w:kern w:val="44"/>
          <w:sz w:val="32"/>
          <w:szCs w:val="32"/>
          <w:highlight w:val="none"/>
          <w:lang w:val="zh-CN"/>
        </w:rPr>
        <w:t>第二篇</w:t>
      </w:r>
      <w:r>
        <w:rPr>
          <w:rFonts w:ascii="宋体" w:hAnsi="宋体" w:eastAsia="宋体" w:cs="Times New Roman"/>
          <w:b/>
          <w:bCs/>
          <w:color w:val="auto"/>
          <w:kern w:val="44"/>
          <w:sz w:val="32"/>
          <w:szCs w:val="32"/>
          <w:highlight w:val="none"/>
          <w:lang w:val="zh-CN"/>
        </w:rPr>
        <w:t xml:space="preserve"> </w:t>
      </w:r>
      <w:r>
        <w:rPr>
          <w:rFonts w:hint="eastAsia" w:ascii="宋体" w:hAnsi="宋体" w:eastAsia="宋体" w:cs="Times New Roman"/>
          <w:b/>
          <w:bCs/>
          <w:color w:val="auto"/>
          <w:kern w:val="44"/>
          <w:sz w:val="32"/>
          <w:szCs w:val="32"/>
          <w:highlight w:val="none"/>
          <w:lang w:val="zh-CN"/>
        </w:rPr>
        <w:t>投标人须知</w:t>
      </w:r>
      <w:bookmarkEnd w:id="20"/>
      <w:bookmarkEnd w:id="21"/>
      <w:bookmarkEnd w:id="22"/>
      <w:bookmarkEnd w:id="23"/>
      <w:bookmarkEnd w:id="24"/>
      <w:bookmarkEnd w:id="25"/>
      <w:bookmarkEnd w:id="26"/>
      <w:bookmarkEnd w:id="27"/>
    </w:p>
    <w:p w14:paraId="2A5245A3">
      <w:pPr>
        <w:keepNext/>
        <w:keepLines/>
        <w:autoSpaceDE w:val="0"/>
        <w:autoSpaceDN w:val="0"/>
        <w:adjustRightInd w:val="0"/>
        <w:spacing w:line="360" w:lineRule="auto"/>
        <w:jc w:val="left"/>
        <w:outlineLvl w:val="1"/>
        <w:rPr>
          <w:rFonts w:ascii="宋体" w:hAnsi="宋体" w:eastAsia="宋体" w:cs="宋体"/>
          <w:b/>
          <w:bCs/>
          <w:color w:val="auto"/>
          <w:kern w:val="44"/>
          <w:szCs w:val="21"/>
          <w:highlight w:val="none"/>
          <w:lang w:val="zh-CN"/>
        </w:rPr>
      </w:pPr>
      <w:bookmarkStart w:id="28" w:name="_Toc15366_WPSOffice_Level2"/>
      <w:bookmarkStart w:id="29" w:name="_Toc450662848"/>
      <w:bookmarkStart w:id="30" w:name="_Toc142508312"/>
      <w:bookmarkStart w:id="31" w:name="_Toc5790"/>
      <w:bookmarkStart w:id="32" w:name="_Toc140596871"/>
      <w:bookmarkStart w:id="33" w:name="_Toc10301"/>
      <w:bookmarkStart w:id="34" w:name="_Toc30360"/>
      <w:bookmarkStart w:id="35" w:name="_Toc16098"/>
      <w:bookmarkStart w:id="36" w:name="_Toc486167662"/>
      <w:r>
        <w:rPr>
          <w:rFonts w:hint="eastAsia" w:ascii="宋体" w:hAnsi="宋体" w:eastAsia="宋体" w:cs="宋体"/>
          <w:b/>
          <w:bCs/>
          <w:color w:val="auto"/>
          <w:kern w:val="44"/>
          <w:szCs w:val="21"/>
          <w:highlight w:val="none"/>
          <w:lang w:val="zh-CN"/>
        </w:rPr>
        <w:t>一、总则</w:t>
      </w:r>
      <w:bookmarkEnd w:id="28"/>
      <w:bookmarkEnd w:id="29"/>
      <w:bookmarkEnd w:id="30"/>
      <w:bookmarkEnd w:id="31"/>
      <w:bookmarkEnd w:id="32"/>
      <w:bookmarkEnd w:id="33"/>
      <w:bookmarkEnd w:id="34"/>
      <w:bookmarkEnd w:id="35"/>
      <w:bookmarkEnd w:id="36"/>
    </w:p>
    <w:p w14:paraId="019928C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7" w:name="_Toc21710_WPSOffice_Level3"/>
      <w:bookmarkStart w:id="38" w:name="_Toc19010"/>
      <w:bookmarkStart w:id="39" w:name="_Toc24111"/>
      <w:bookmarkStart w:id="40" w:name="_Toc142508313"/>
      <w:bookmarkStart w:id="41" w:name="_Toc486167663"/>
      <w:bookmarkStart w:id="42" w:name="_Toc22130"/>
      <w:bookmarkStart w:id="43" w:name="_Toc450662849"/>
      <w:bookmarkStart w:id="44" w:name="_Toc16700"/>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37"/>
      <w:bookmarkEnd w:id="38"/>
      <w:bookmarkEnd w:id="39"/>
      <w:bookmarkEnd w:id="40"/>
      <w:bookmarkEnd w:id="41"/>
      <w:bookmarkEnd w:id="42"/>
      <w:bookmarkEnd w:id="43"/>
      <w:bookmarkEnd w:id="44"/>
    </w:p>
    <w:p w14:paraId="017345C2">
      <w:pPr>
        <w:autoSpaceDE w:val="0"/>
        <w:autoSpaceDN w:val="0"/>
        <w:adjustRightInd w:val="0"/>
        <w:jc w:val="left"/>
        <w:rPr>
          <w:rFonts w:ascii="宋体" w:hAnsi="宋体" w:eastAsia="宋体" w:cs="宋体"/>
          <w:color w:val="auto"/>
          <w:kern w:val="0"/>
          <w:sz w:val="24"/>
          <w:szCs w:val="24"/>
          <w:highlight w:val="none"/>
        </w:rPr>
      </w:pPr>
    </w:p>
    <w:p w14:paraId="0B267798">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45" w:name="_Toc5550"/>
      <w:bookmarkStart w:id="46" w:name="_Toc80_WPSOffice_Level3"/>
      <w:bookmarkStart w:id="47" w:name="_Toc11439"/>
      <w:bookmarkStart w:id="48" w:name="_Toc450662850"/>
      <w:bookmarkStart w:id="49" w:name="_Toc27011"/>
      <w:bookmarkStart w:id="50" w:name="_Toc142508314"/>
      <w:bookmarkStart w:id="51" w:name="_Toc486167664"/>
      <w:bookmarkStart w:id="52" w:name="_Toc4623"/>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45"/>
      <w:bookmarkEnd w:id="46"/>
      <w:bookmarkEnd w:id="47"/>
      <w:bookmarkEnd w:id="48"/>
      <w:bookmarkEnd w:id="49"/>
      <w:bookmarkEnd w:id="50"/>
      <w:bookmarkEnd w:id="51"/>
      <w:bookmarkEnd w:id="52"/>
    </w:p>
    <w:p w14:paraId="3E8BD727">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款的通用要求。</w:t>
      </w:r>
    </w:p>
    <w:p w14:paraId="3E58AB40">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16C81AA2">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14:paraId="50B01084">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w:t>
      </w:r>
      <w:r>
        <w:rPr>
          <w:rFonts w:hint="eastAsia" w:ascii="宋体" w:hAnsi="宋体" w:eastAsia="宋体" w:cs="Times New Roman"/>
          <w:b/>
          <w:color w:val="auto"/>
          <w:kern w:val="0"/>
          <w:szCs w:val="21"/>
          <w:highlight w:val="none"/>
          <w:lang w:val="en-US" w:eastAsia="zh-CN"/>
        </w:rPr>
        <w:t>政府采购</w:t>
      </w:r>
      <w:r>
        <w:rPr>
          <w:rFonts w:hint="eastAsia" w:ascii="宋体" w:hAnsi="宋体" w:eastAsia="宋体" w:cs="Times New Roman"/>
          <w:b/>
          <w:color w:val="auto"/>
          <w:kern w:val="0"/>
          <w:szCs w:val="21"/>
          <w:highlight w:val="none"/>
        </w:rPr>
        <w:t>严重违法失信行为记录名单（处罚期限届满的除外）</w:t>
      </w:r>
      <w:r>
        <w:rPr>
          <w:rFonts w:hint="eastAsia" w:ascii="宋体" w:hAnsi="宋体" w:eastAsia="宋体" w:cs="宋体"/>
          <w:b/>
          <w:color w:val="auto"/>
          <w:kern w:val="0"/>
          <w:szCs w:val="21"/>
          <w:highlight w:val="none"/>
        </w:rPr>
        <w:t>。</w:t>
      </w:r>
    </w:p>
    <w:p w14:paraId="44A7DED3">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73469795">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7F275E7D">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53" w:name="_Toc142508315"/>
      <w:bookmarkStart w:id="54" w:name="_Toc7308"/>
      <w:bookmarkStart w:id="55" w:name="_Toc5754"/>
      <w:bookmarkStart w:id="56" w:name="_Toc8199"/>
      <w:bookmarkStart w:id="57" w:name="_Toc23847_WPSOffice_Level3"/>
      <w:bookmarkStart w:id="58" w:name="_Toc4257"/>
      <w:bookmarkStart w:id="59" w:name="_Toc450662851"/>
      <w:bookmarkStart w:id="60" w:name="_Toc486167665"/>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合格的货物</w:t>
      </w:r>
      <w:bookmarkEnd w:id="53"/>
      <w:bookmarkEnd w:id="54"/>
      <w:bookmarkEnd w:id="55"/>
      <w:bookmarkEnd w:id="56"/>
      <w:bookmarkEnd w:id="57"/>
      <w:bookmarkEnd w:id="58"/>
    </w:p>
    <w:p w14:paraId="129B45E9">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281A71DE">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1" w:name="_Toc533708063"/>
      <w:bookmarkStart w:id="62" w:name="_Toc1977663"/>
      <w:r>
        <w:rPr>
          <w:rFonts w:hint="eastAsia" w:ascii="宋体" w:hAnsi="宋体" w:eastAsia="宋体" w:cs="宋体"/>
          <w:color w:val="auto"/>
          <w:szCs w:val="21"/>
          <w:highlight w:val="none"/>
          <w:lang w:val="zh-CN"/>
        </w:rPr>
        <w:t>3.2  投标人</w:t>
      </w:r>
      <w:r>
        <w:rPr>
          <w:rFonts w:hint="eastAsia" w:ascii="宋体" w:hAnsi="宋体" w:eastAsia="宋体" w:cs="Times New Roman"/>
          <w:color w:val="auto"/>
          <w:szCs w:val="21"/>
          <w:highlight w:val="none"/>
          <w:lang w:val="zh-CN"/>
        </w:rPr>
        <w:t>中标后提供的货物</w:t>
      </w:r>
      <w:r>
        <w:rPr>
          <w:rFonts w:hint="eastAsia" w:ascii="宋体" w:hAnsi="宋体" w:eastAsia="宋体" w:cs="Times New Roman"/>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auto"/>
          <w:kern w:val="0"/>
          <w:szCs w:val="21"/>
          <w:highlight w:val="none"/>
        </w:rPr>
        <w:t>负责办理所有货物的进口及商检手续</w:t>
      </w:r>
      <w:r>
        <w:rPr>
          <w:rFonts w:hint="eastAsia" w:ascii="宋体" w:hAnsi="宋体" w:eastAsia="宋体" w:cs="Times New Roman"/>
          <w:color w:val="auto"/>
          <w:kern w:val="0"/>
          <w:szCs w:val="21"/>
          <w:highlight w:val="none"/>
        </w:rPr>
        <w:t>，并承担相关费用</w:t>
      </w:r>
      <w:r>
        <w:rPr>
          <w:rFonts w:hint="eastAsia" w:ascii="宋体" w:hAnsi="宋体" w:eastAsia="宋体" w:cs="宋体"/>
          <w:color w:val="auto"/>
          <w:szCs w:val="21"/>
          <w:highlight w:val="none"/>
          <w:lang w:val="zh-CN"/>
        </w:rPr>
        <w:t>。</w:t>
      </w:r>
    </w:p>
    <w:bookmarkEnd w:id="61"/>
    <w:bookmarkEnd w:id="62"/>
    <w:p w14:paraId="4FB5BFC6">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3" w:name="_Toc533708064"/>
      <w:bookmarkStart w:id="64" w:name="_Toc1977664"/>
      <w:r>
        <w:rPr>
          <w:rFonts w:hint="eastAsia" w:ascii="宋体" w:hAnsi="宋体" w:eastAsia="宋体" w:cs="宋体"/>
          <w:color w:val="auto"/>
          <w:szCs w:val="21"/>
          <w:highlight w:val="none"/>
          <w:lang w:val="zh-CN"/>
        </w:rPr>
        <w:t xml:space="preserve">3.3  </w:t>
      </w:r>
      <w:bookmarkEnd w:id="63"/>
      <w:bookmarkEnd w:id="64"/>
      <w:bookmarkStart w:id="65" w:name="_Toc533708065"/>
      <w:bookmarkStart w:id="66" w:name="_Toc19776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必须保证提供的所有货物或货物的任何部分均为最新正式版本</w:t>
      </w:r>
      <w:r>
        <w:rPr>
          <w:rFonts w:hint="eastAsia" w:ascii="宋体" w:hAnsi="宋体" w:eastAsia="宋体" w:cs="宋体"/>
          <w:color w:val="auto"/>
          <w:szCs w:val="21"/>
          <w:highlight w:val="none"/>
          <w:lang w:val="zh-CN"/>
        </w:rPr>
        <w:t>。</w:t>
      </w:r>
      <w:bookmarkEnd w:id="65"/>
      <w:bookmarkEnd w:id="66"/>
    </w:p>
    <w:p w14:paraId="19343966">
      <w:pPr>
        <w:autoSpaceDE w:val="0"/>
        <w:autoSpaceDN w:val="0"/>
        <w:adjustRightInd w:val="0"/>
        <w:spacing w:line="360" w:lineRule="auto"/>
        <w:ind w:left="315" w:leftChars="-100" w:hanging="525" w:hangingChars="250"/>
        <w:rPr>
          <w:rFonts w:ascii="宋体" w:hAnsi="宋体" w:eastAsia="宋体" w:cs="Times New Roman"/>
          <w:color w:val="auto"/>
          <w:kern w:val="0"/>
          <w:szCs w:val="21"/>
          <w:highlight w:val="none"/>
        </w:rPr>
      </w:pPr>
      <w:bookmarkStart w:id="67" w:name="_Toc533708066"/>
      <w:bookmarkStart w:id="68" w:name="_Toc19776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r>
        <w:rPr>
          <w:rFonts w:hint="eastAsia" w:ascii="宋体" w:hAnsi="宋体" w:eastAsia="宋体" w:cs="Times New Roman"/>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67"/>
    <w:bookmarkEnd w:id="68"/>
    <w:p w14:paraId="3933E991">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9" w:name="_Toc1977667"/>
      <w:bookmarkStart w:id="70" w:name="_Toc533708067"/>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 xml:space="preserve">  投标人</w:t>
      </w:r>
      <w:r>
        <w:rPr>
          <w:rFonts w:hint="eastAsia" w:ascii="宋体" w:hAnsi="宋体" w:eastAsia="宋体" w:cs="Times New Roman"/>
          <w:color w:val="auto"/>
          <w:kern w:val="0"/>
          <w:szCs w:val="21"/>
          <w:highlight w:val="none"/>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69"/>
      <w:bookmarkEnd w:id="70"/>
    </w:p>
    <w:p w14:paraId="1459D752">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71" w:name="_Toc1977668"/>
      <w:bookmarkStart w:id="72" w:name="_Toc5337080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bookmarkEnd w:id="71"/>
      <w:bookmarkEnd w:id="72"/>
    </w:p>
    <w:p w14:paraId="4A3454AA">
      <w:pPr>
        <w:autoSpaceDE w:val="0"/>
        <w:autoSpaceDN w:val="0"/>
        <w:adjustRightInd w:val="0"/>
        <w:spacing w:line="360" w:lineRule="auto"/>
        <w:jc w:val="left"/>
        <w:rPr>
          <w:rFonts w:ascii="宋体" w:hAnsi="宋体" w:eastAsia="宋体" w:cs="宋体"/>
          <w:color w:val="auto"/>
          <w:szCs w:val="21"/>
          <w:highlight w:val="none"/>
          <w:lang w:val="zh-CN"/>
        </w:rPr>
      </w:pPr>
    </w:p>
    <w:p w14:paraId="058159BE">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3" w:name="_Toc1412"/>
      <w:bookmarkStart w:id="74" w:name="_Toc20936"/>
      <w:bookmarkStart w:id="75" w:name="_Toc6655"/>
      <w:bookmarkStart w:id="76" w:name="_Toc142508316"/>
      <w:bookmarkStart w:id="77" w:name="_Toc23394"/>
      <w:bookmarkStart w:id="78" w:name="_Toc9658_WPSOffice_Level3"/>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73"/>
      <w:bookmarkEnd w:id="74"/>
      <w:bookmarkEnd w:id="75"/>
      <w:bookmarkEnd w:id="76"/>
      <w:bookmarkEnd w:id="77"/>
      <w:bookmarkEnd w:id="78"/>
    </w:p>
    <w:p w14:paraId="5B8212A1">
      <w:pPr>
        <w:autoSpaceDE w:val="0"/>
        <w:autoSpaceDN w:val="0"/>
        <w:adjustRightInd w:val="0"/>
        <w:spacing w:line="360" w:lineRule="auto"/>
        <w:ind w:left="315" w:leftChars="-100" w:hanging="525" w:hangingChars="250"/>
        <w:outlineLvl w:val="9"/>
        <w:rPr>
          <w:rFonts w:ascii="宋体" w:hAnsi="宋体" w:eastAsia="宋体" w:cs="宋体"/>
          <w:color w:val="auto"/>
          <w:szCs w:val="21"/>
          <w:highlight w:val="none"/>
          <w:lang w:val="zh-CN"/>
        </w:rPr>
      </w:pPr>
      <w:bookmarkStart w:id="79" w:name="_Toc533708070"/>
      <w:bookmarkStart w:id="80" w:name="_Toc13550"/>
      <w:bookmarkStart w:id="81" w:name="_Toc28213"/>
      <w:bookmarkStart w:id="82" w:name="_Toc1977670"/>
      <w:r>
        <w:rPr>
          <w:rFonts w:hint="eastAsia" w:ascii="宋体" w:hAnsi="宋体" w:eastAsia="宋体" w:cs="宋体"/>
          <w:color w:val="auto"/>
          <w:szCs w:val="21"/>
          <w:highlight w:val="none"/>
          <w:lang w:val="zh-CN"/>
        </w:rPr>
        <w:t>4.1  投标费用</w:t>
      </w:r>
      <w:bookmarkEnd w:id="79"/>
      <w:bookmarkEnd w:id="80"/>
      <w:bookmarkEnd w:id="81"/>
      <w:bookmarkEnd w:id="82"/>
    </w:p>
    <w:p w14:paraId="4FF09763">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83" w:name="_Toc533708072"/>
      <w:bookmarkStart w:id="84" w:name="_Toc19776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83"/>
      <w:bookmarkEnd w:id="84"/>
    </w:p>
    <w:p w14:paraId="1ED7D872">
      <w:pPr>
        <w:autoSpaceDE w:val="0"/>
        <w:autoSpaceDN w:val="0"/>
        <w:adjustRightInd w:val="0"/>
        <w:spacing w:line="360" w:lineRule="auto"/>
        <w:ind w:left="315" w:leftChars="-100" w:hanging="525" w:hangingChars="250"/>
        <w:outlineLvl w:val="9"/>
        <w:rPr>
          <w:rFonts w:ascii="宋体" w:hAnsi="宋体" w:eastAsia="宋体" w:cs="宋体"/>
          <w:color w:val="auto"/>
          <w:szCs w:val="21"/>
          <w:highlight w:val="none"/>
          <w:lang w:val="zh-CN"/>
        </w:rPr>
      </w:pPr>
      <w:bookmarkStart w:id="85" w:name="_Toc533708073"/>
      <w:bookmarkStart w:id="86" w:name="_Toc17752"/>
      <w:bookmarkStart w:id="87" w:name="_Toc1977673"/>
      <w:bookmarkStart w:id="88" w:name="_Toc21158"/>
      <w:r>
        <w:rPr>
          <w:rFonts w:hint="eastAsia" w:ascii="宋体" w:hAnsi="宋体" w:eastAsia="宋体" w:cs="宋体"/>
          <w:color w:val="auto"/>
          <w:szCs w:val="21"/>
          <w:highlight w:val="none"/>
          <w:lang w:val="zh-CN"/>
        </w:rPr>
        <w:t>4.2  踏勘现场</w:t>
      </w:r>
      <w:bookmarkEnd w:id="85"/>
      <w:bookmarkEnd w:id="86"/>
      <w:bookmarkEnd w:id="87"/>
      <w:bookmarkEnd w:id="88"/>
    </w:p>
    <w:p w14:paraId="28D00E83">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89" w:name="_Toc533708076"/>
      <w:bookmarkStart w:id="90" w:name="_Toc1977676"/>
      <w:r>
        <w:rPr>
          <w:rFonts w:hint="eastAsia" w:ascii="宋体" w:hAnsi="宋体" w:eastAsia="宋体" w:cs="Times New Roman"/>
          <w:color w:val="auto"/>
          <w:kern w:val="0"/>
          <w:szCs w:val="21"/>
          <w:highlight w:val="none"/>
        </w:rPr>
        <w:t>（1）本项目不组织集中踏勘现场和答疑，投标人应自行到实地踏勘考察。</w:t>
      </w:r>
    </w:p>
    <w:p w14:paraId="0D9CD2E0">
      <w:pPr>
        <w:autoSpaceDE w:val="0"/>
        <w:autoSpaceDN w:val="0"/>
        <w:adjustRightInd w:val="0"/>
        <w:spacing w:line="360" w:lineRule="auto"/>
        <w:ind w:left="300" w:leftChars="-59" w:hanging="424" w:hangingChars="202"/>
        <w:jc w:val="left"/>
        <w:outlineLvl w:val="9"/>
        <w:rPr>
          <w:rFonts w:ascii="宋体" w:hAnsi="宋体" w:eastAsia="宋体" w:cs="Times New Roman"/>
          <w:color w:val="auto"/>
          <w:kern w:val="0"/>
          <w:szCs w:val="21"/>
          <w:highlight w:val="none"/>
        </w:rPr>
      </w:pPr>
      <w:bookmarkStart w:id="91" w:name="_Toc18939"/>
      <w:bookmarkStart w:id="92" w:name="_Toc16852"/>
      <w:r>
        <w:rPr>
          <w:rFonts w:hint="eastAsia" w:ascii="宋体" w:hAnsi="宋体" w:eastAsia="宋体" w:cs="Times New Roman"/>
          <w:color w:val="auto"/>
          <w:kern w:val="0"/>
          <w:szCs w:val="21"/>
          <w:highlight w:val="none"/>
        </w:rPr>
        <w:t>（2）潜在投标人应承担踏勘现场自身所发生的费用。</w:t>
      </w:r>
      <w:bookmarkEnd w:id="91"/>
      <w:bookmarkEnd w:id="92"/>
    </w:p>
    <w:p w14:paraId="65AD5827">
      <w:pPr>
        <w:spacing w:line="360" w:lineRule="auto"/>
        <w:ind w:left="419" w:leftChars="-59" w:hanging="543" w:hangingChars="259"/>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511A3348">
      <w:pPr>
        <w:spacing w:line="360" w:lineRule="auto"/>
        <w:ind w:left="419" w:leftChars="-59" w:hanging="543" w:hangingChars="259"/>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6CD3F329">
      <w:pPr>
        <w:autoSpaceDE w:val="0"/>
        <w:autoSpaceDN w:val="0"/>
        <w:adjustRightInd w:val="0"/>
        <w:spacing w:line="360" w:lineRule="auto"/>
        <w:ind w:left="315" w:leftChars="-100" w:hanging="525" w:hangingChars="250"/>
        <w:outlineLvl w:val="9"/>
        <w:rPr>
          <w:rFonts w:ascii="宋体" w:hAnsi="宋体" w:eastAsia="宋体" w:cs="宋体"/>
          <w:color w:val="auto"/>
          <w:szCs w:val="21"/>
          <w:highlight w:val="none"/>
          <w:lang w:val="zh-CN"/>
        </w:rPr>
      </w:pPr>
      <w:bookmarkStart w:id="93" w:name="_Toc13681"/>
      <w:bookmarkStart w:id="94" w:name="_Toc12390"/>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59"/>
      <w:bookmarkEnd w:id="60"/>
      <w:bookmarkEnd w:id="89"/>
      <w:bookmarkEnd w:id="90"/>
      <w:bookmarkEnd w:id="93"/>
      <w:bookmarkEnd w:id="94"/>
    </w:p>
    <w:p w14:paraId="14248F2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0698D6E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43707FC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w:t>
      </w:r>
      <w:r>
        <w:rPr>
          <w:rFonts w:hint="eastAsia" w:ascii="宋体" w:hAnsi="宋体" w:eastAsia="宋体" w:cs="Times New Roman"/>
          <w:color w:val="auto"/>
          <w:kern w:val="0"/>
          <w:szCs w:val="21"/>
          <w:highlight w:val="none"/>
          <w:lang w:eastAsia="zh-CN"/>
        </w:rPr>
        <w:t>授予合同期间</w:t>
      </w:r>
      <w:r>
        <w:rPr>
          <w:rFonts w:hint="eastAsia" w:ascii="宋体" w:hAnsi="宋体" w:eastAsia="宋体" w:cs="Times New Roman"/>
          <w:color w:val="auto"/>
          <w:kern w:val="0"/>
          <w:szCs w:val="21"/>
          <w:highlight w:val="none"/>
        </w:rPr>
        <w:t>，凡与审查、澄清、评价和比较报价的有关资料以及授标意见等，参与评标工作的有关人员均不得向投标人及与评标无关的其他人透露。</w:t>
      </w:r>
    </w:p>
    <w:p w14:paraId="3A8A7E5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0CD6022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3473F5A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14:paraId="6856C160">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06885B16">
      <w:pPr>
        <w:keepNext/>
        <w:keepLine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95" w:name="_Toc450662853"/>
      <w:bookmarkStart w:id="96" w:name="_Toc486167667"/>
      <w:bookmarkStart w:id="97" w:name="_Toc9339"/>
      <w:bookmarkStart w:id="98" w:name="_Toc95"/>
      <w:bookmarkStart w:id="99" w:name="_Toc1482"/>
      <w:bookmarkStart w:id="100" w:name="_Toc142508317"/>
      <w:bookmarkStart w:id="101" w:name="_Toc140596876"/>
      <w:bookmarkStart w:id="102" w:name="_Toc17206"/>
      <w:bookmarkStart w:id="103" w:name="_Toc30507_WPSOffice_Level2"/>
      <w:r>
        <w:rPr>
          <w:rFonts w:hint="eastAsia" w:ascii="宋体" w:hAnsi="宋体" w:eastAsia="宋体" w:cs="宋体"/>
          <w:b/>
          <w:bCs/>
          <w:color w:val="auto"/>
          <w:kern w:val="44"/>
          <w:szCs w:val="21"/>
          <w:highlight w:val="none"/>
          <w:lang w:val="zh-CN"/>
        </w:rPr>
        <w:t>二、招标文件</w:t>
      </w:r>
      <w:bookmarkEnd w:id="95"/>
      <w:bookmarkEnd w:id="96"/>
      <w:bookmarkEnd w:id="97"/>
      <w:bookmarkEnd w:id="98"/>
      <w:bookmarkEnd w:id="99"/>
      <w:bookmarkEnd w:id="100"/>
      <w:bookmarkEnd w:id="101"/>
      <w:bookmarkEnd w:id="102"/>
      <w:bookmarkEnd w:id="103"/>
    </w:p>
    <w:p w14:paraId="663FDCF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4" w:name="_Toc12945"/>
      <w:bookmarkStart w:id="105" w:name="_Toc450662854"/>
      <w:bookmarkStart w:id="106" w:name="_Toc142508318"/>
      <w:bookmarkStart w:id="107" w:name="_Toc2255"/>
      <w:bookmarkStart w:id="108" w:name="_Toc26635_WPSOffice_Level3"/>
      <w:bookmarkStart w:id="109" w:name="_Toc31963"/>
      <w:bookmarkStart w:id="110" w:name="_Toc486167668"/>
      <w:bookmarkStart w:id="111" w:name="_Toc28179"/>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104"/>
      <w:bookmarkEnd w:id="105"/>
      <w:bookmarkEnd w:id="106"/>
      <w:bookmarkEnd w:id="107"/>
      <w:bookmarkEnd w:id="108"/>
      <w:bookmarkEnd w:id="109"/>
      <w:bookmarkEnd w:id="110"/>
      <w:bookmarkEnd w:id="111"/>
    </w:p>
    <w:p w14:paraId="5737BF8E">
      <w:pPr>
        <w:tabs>
          <w:tab w:val="left" w:pos="567"/>
        </w:tabs>
        <w:autoSpaceDE w:val="0"/>
        <w:autoSpaceDN w:val="0"/>
        <w:adjustRightInd w:val="0"/>
        <w:spacing w:line="360" w:lineRule="auto"/>
        <w:ind w:left="357" w:leftChars="-100" w:hanging="567"/>
        <w:outlineLvl w:val="9"/>
        <w:rPr>
          <w:rFonts w:ascii="宋体" w:hAnsi="宋体" w:eastAsia="宋体" w:cs="宋体"/>
          <w:color w:val="auto"/>
          <w:szCs w:val="21"/>
          <w:highlight w:val="none"/>
          <w:lang w:val="zh-CN"/>
        </w:rPr>
      </w:pPr>
      <w:bookmarkStart w:id="112" w:name="_Toc29246"/>
      <w:bookmarkStart w:id="113" w:name="_Toc14763"/>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bookmarkEnd w:id="112"/>
      <w:bookmarkEnd w:id="113"/>
    </w:p>
    <w:p w14:paraId="7CF07167">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1220183F">
      <w:pPr>
        <w:tabs>
          <w:tab w:val="left" w:pos="1890"/>
        </w:tabs>
        <w:autoSpaceDE w:val="0"/>
        <w:autoSpaceDN w:val="0"/>
        <w:adjustRightInd w:val="0"/>
        <w:spacing w:line="360" w:lineRule="auto"/>
        <w:ind w:firstLine="424" w:firstLineChars="202"/>
        <w:outlineLvl w:val="9"/>
        <w:rPr>
          <w:rFonts w:ascii="宋体" w:hAnsi="宋体" w:eastAsia="宋体" w:cs="Times New Roman"/>
          <w:color w:val="auto"/>
          <w:szCs w:val="21"/>
          <w:highlight w:val="none"/>
          <w:lang w:val="zh-CN"/>
        </w:rPr>
      </w:pPr>
      <w:bookmarkStart w:id="114" w:name="_Toc17121"/>
      <w:bookmarkStart w:id="115" w:name="_Toc17418"/>
      <w:r>
        <w:rPr>
          <w:rFonts w:hint="eastAsia" w:ascii="宋体" w:hAnsi="宋体" w:eastAsia="宋体" w:cs="Times New Roman"/>
          <w:color w:val="auto"/>
          <w:szCs w:val="21"/>
          <w:highlight w:val="none"/>
          <w:lang w:val="zh-CN"/>
        </w:rPr>
        <w:t>第二篇 投标人须知</w:t>
      </w:r>
      <w:bookmarkEnd w:id="114"/>
      <w:bookmarkEnd w:id="115"/>
    </w:p>
    <w:p w14:paraId="32B44A55">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78243FED">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w:t>
      </w:r>
    </w:p>
    <w:p w14:paraId="0EFDB009">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270F8724">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62E9806F">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14:paraId="2C177744">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highlight w:val="none"/>
          <w:lang w:val="zh-CN"/>
        </w:rPr>
        <w:t>。</w:t>
      </w:r>
    </w:p>
    <w:p w14:paraId="204E7EE7">
      <w:pPr>
        <w:autoSpaceDE w:val="0"/>
        <w:autoSpaceDN w:val="0"/>
        <w:adjustRightInd w:val="0"/>
        <w:spacing w:line="360" w:lineRule="auto"/>
        <w:ind w:left="356" w:leftChars="-99" w:hanging="564" w:hangingChars="269"/>
        <w:outlineLvl w:val="9"/>
        <w:rPr>
          <w:rFonts w:ascii="宋体" w:hAnsi="宋体" w:eastAsia="宋体" w:cs="宋体"/>
          <w:b/>
          <w:bCs/>
          <w:color w:val="auto"/>
          <w:szCs w:val="21"/>
          <w:highlight w:val="none"/>
          <w:u w:val="single"/>
        </w:rPr>
      </w:pPr>
      <w:bookmarkStart w:id="116" w:name="_Toc10921"/>
      <w:bookmarkStart w:id="117" w:name="_Toc16108"/>
      <w:r>
        <w:rPr>
          <w:rFonts w:hint="eastAsia" w:ascii="宋体" w:hAnsi="宋体" w:eastAsia="宋体" w:cs="宋体"/>
          <w:color w:val="auto"/>
          <w:szCs w:val="21"/>
          <w:highlight w:val="none"/>
          <w:lang w:val="zh-CN"/>
        </w:rPr>
        <w:t>5.3  本招标文件使用的词语有如下定义：</w:t>
      </w:r>
      <w:bookmarkEnd w:id="116"/>
      <w:bookmarkEnd w:id="117"/>
    </w:p>
    <w:p w14:paraId="4208CD8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Times New Roman"/>
          <w:color w:val="auto"/>
          <w:kern w:val="0"/>
          <w:szCs w:val="21"/>
          <w:highlight w:val="none"/>
          <w:lang w:eastAsia="zh-CN"/>
        </w:rPr>
        <w:t>东莞市水务集团净水有限公司</w:t>
      </w:r>
      <w:r>
        <w:rPr>
          <w:rFonts w:hint="eastAsia" w:ascii="宋体" w:hAnsi="宋体" w:eastAsia="宋体" w:cs="Times New Roman"/>
          <w:color w:val="auto"/>
          <w:kern w:val="0"/>
          <w:szCs w:val="21"/>
          <w:highlight w:val="none"/>
        </w:rPr>
        <w:t>；</w:t>
      </w:r>
    </w:p>
    <w:p w14:paraId="37CE7B9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w:t>
      </w:r>
      <w:r>
        <w:rPr>
          <w:rFonts w:hint="eastAsia" w:ascii="宋体" w:hAnsi="宋体" w:eastAsia="宋体" w:cs="Times New Roman"/>
          <w:color w:val="auto"/>
          <w:kern w:val="0"/>
          <w:szCs w:val="21"/>
          <w:highlight w:val="none"/>
          <w:lang w:eastAsia="zh-CN"/>
        </w:rPr>
        <w:t>广州宏达工程顾问集团有限公司</w:t>
      </w:r>
      <w:r>
        <w:rPr>
          <w:rFonts w:hint="eastAsia" w:ascii="宋体" w:hAnsi="宋体" w:eastAsia="宋体" w:cs="Times New Roman"/>
          <w:color w:val="auto"/>
          <w:kern w:val="0"/>
          <w:szCs w:val="21"/>
          <w:highlight w:val="none"/>
        </w:rPr>
        <w:t>；</w:t>
      </w:r>
    </w:p>
    <w:p w14:paraId="094719F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）“投标人”指参加</w:t>
      </w:r>
      <w:r>
        <w:rPr>
          <w:rFonts w:hint="eastAsia" w:ascii="宋体" w:hAnsi="宋体" w:eastAsia="宋体" w:cs="Times New Roman"/>
          <w:color w:val="auto"/>
          <w:kern w:val="0"/>
          <w:szCs w:val="21"/>
          <w:highlight w:val="none"/>
          <w:lang w:eastAsia="zh-CN"/>
        </w:rPr>
        <w:t>东莞市水务集团净水有限公司2025年生产药剂液体乙酸钠采购项目</w:t>
      </w:r>
      <w:r>
        <w:rPr>
          <w:rFonts w:hint="eastAsia" w:ascii="宋体" w:hAnsi="宋体" w:eastAsia="宋体" w:cs="Times New Roman"/>
          <w:color w:val="auto"/>
          <w:kern w:val="0"/>
          <w:szCs w:val="21"/>
          <w:highlight w:val="none"/>
        </w:rPr>
        <w:t>所需的货物及有关服务的投标，并向招标代理机构提交投标文件的当事人；</w:t>
      </w:r>
    </w:p>
    <w:p w14:paraId="6AE0C54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14:paraId="0EBE1C1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w:t>
      </w:r>
      <w:r>
        <w:rPr>
          <w:rFonts w:hint="eastAsia" w:ascii="宋体" w:hAnsi="宋体" w:eastAsia="宋体" w:cs="Times New Roman"/>
          <w:color w:val="auto"/>
          <w:kern w:val="0"/>
          <w:szCs w:val="21"/>
          <w:highlight w:val="none"/>
          <w:lang w:val="zh-CN"/>
        </w:rPr>
        <w:t>权属子公司</w:t>
      </w:r>
      <w:r>
        <w:rPr>
          <w:rFonts w:hint="eastAsia" w:ascii="宋体" w:hAnsi="宋体" w:eastAsia="宋体" w:cs="Times New Roman"/>
          <w:color w:val="auto"/>
          <w:kern w:val="0"/>
          <w:szCs w:val="21"/>
          <w:highlight w:val="none"/>
        </w:rPr>
        <w:t>签订合同的当事人；</w:t>
      </w:r>
    </w:p>
    <w:p w14:paraId="6F72D71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）“甲方”指在合同条款中指明的购买货物及有关服务的单位，即</w:t>
      </w:r>
      <w:r>
        <w:rPr>
          <w:rFonts w:hint="eastAsia" w:ascii="宋体" w:hAnsi="宋体" w:eastAsia="宋体" w:cs="宋体"/>
          <w:color w:val="auto"/>
          <w:kern w:val="0"/>
          <w:szCs w:val="21"/>
          <w:highlight w:val="none"/>
          <w:lang w:eastAsia="zh-CN"/>
        </w:rPr>
        <w:t>东莞市石鼓</w:t>
      </w:r>
      <w:r>
        <w:rPr>
          <w:rFonts w:hint="eastAsia" w:ascii="宋体" w:hAnsi="宋体" w:eastAsia="宋体" w:cs="宋体"/>
          <w:color w:val="auto"/>
          <w:kern w:val="0"/>
          <w:szCs w:val="21"/>
          <w:highlight w:val="none"/>
          <w:lang w:val="en-US" w:eastAsia="zh-CN"/>
        </w:rPr>
        <w:t>净水</w:t>
      </w:r>
      <w:r>
        <w:rPr>
          <w:rFonts w:hint="eastAsia" w:ascii="宋体" w:hAnsi="宋体" w:eastAsia="宋体" w:cs="宋体"/>
          <w:color w:val="auto"/>
          <w:kern w:val="0"/>
          <w:szCs w:val="21"/>
          <w:highlight w:val="none"/>
          <w:lang w:eastAsia="zh-CN"/>
        </w:rPr>
        <w:t>有限公司</w:t>
      </w:r>
      <w:r>
        <w:rPr>
          <w:rFonts w:hint="eastAsia" w:ascii="宋体" w:hAnsi="宋体" w:eastAsia="宋体" w:cs="Times New Roman"/>
          <w:color w:val="auto"/>
          <w:kern w:val="0"/>
          <w:szCs w:val="21"/>
          <w:highlight w:val="none"/>
        </w:rPr>
        <w:t>；</w:t>
      </w:r>
    </w:p>
    <w:p w14:paraId="4470403E">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）“乙方”指在合同条款中指明的本合同项下提供货物及有关服务的公司或实体；</w:t>
      </w:r>
    </w:p>
    <w:p w14:paraId="2C70C1FC">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8</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丙</w:t>
      </w:r>
      <w:r>
        <w:rPr>
          <w:rFonts w:hint="eastAsia" w:ascii="宋体" w:hAnsi="宋体" w:eastAsia="宋体" w:cs="Times New Roman"/>
          <w:color w:val="auto"/>
          <w:kern w:val="0"/>
          <w:szCs w:val="21"/>
          <w:highlight w:val="none"/>
        </w:rPr>
        <w:t>方”指在合同条款中指明的</w:t>
      </w:r>
      <w:r>
        <w:rPr>
          <w:rFonts w:hint="eastAsia" w:ascii="宋体" w:hAnsi="宋体" w:eastAsia="宋体" w:cs="Times New Roman"/>
          <w:color w:val="auto"/>
          <w:kern w:val="0"/>
          <w:szCs w:val="21"/>
          <w:highlight w:val="none"/>
          <w:lang w:val="en-US" w:eastAsia="zh-CN"/>
        </w:rPr>
        <w:t>招标人</w:t>
      </w:r>
      <w:r>
        <w:rPr>
          <w:rFonts w:hint="eastAsia" w:ascii="宋体" w:hAnsi="宋体" w:eastAsia="宋体" w:cs="Times New Roman"/>
          <w:color w:val="auto"/>
          <w:kern w:val="0"/>
          <w:szCs w:val="21"/>
          <w:highlight w:val="none"/>
        </w:rPr>
        <w:t>新增</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购买货物及有关服务的单位，即</w:t>
      </w:r>
      <w:bookmarkStart w:id="118" w:name="OLE_LINK34"/>
      <w:r>
        <w:rPr>
          <w:rFonts w:hint="eastAsia" w:ascii="宋体" w:hAnsi="宋体" w:eastAsia="宋体" w:cs="宋体"/>
          <w:color w:val="auto"/>
          <w:kern w:val="0"/>
          <w:szCs w:val="21"/>
          <w:highlight w:val="none"/>
          <w:lang w:val="en-US" w:eastAsia="zh-CN"/>
        </w:rPr>
        <w:t>东莞市石鼓净水有限公司关联公司</w:t>
      </w:r>
      <w:bookmarkEnd w:id="118"/>
      <w:r>
        <w:rPr>
          <w:rFonts w:hint="eastAsia" w:ascii="宋体" w:hAnsi="宋体" w:eastAsia="宋体" w:cs="宋体"/>
          <w:color w:val="auto"/>
          <w:kern w:val="0"/>
          <w:szCs w:val="21"/>
          <w:highlight w:val="none"/>
          <w:lang w:val="en-US" w:eastAsia="zh-CN"/>
        </w:rPr>
        <w:t>，包括但不限于东莞市莞水装备科技有限公司以及东莞市清源净水科技有限公司</w:t>
      </w:r>
      <w:r>
        <w:rPr>
          <w:rFonts w:hint="eastAsia" w:ascii="宋体" w:hAnsi="宋体" w:eastAsia="宋体" w:cs="Times New Roman"/>
          <w:color w:val="auto"/>
          <w:kern w:val="0"/>
          <w:szCs w:val="21"/>
          <w:highlight w:val="none"/>
        </w:rPr>
        <w:t>；</w:t>
      </w:r>
    </w:p>
    <w:p w14:paraId="4D6EC7CF">
      <w:pPr>
        <w:pStyle w:val="15"/>
        <w:rPr>
          <w:color w:val="auto"/>
          <w:highlight w:val="none"/>
        </w:rPr>
      </w:pPr>
    </w:p>
    <w:p w14:paraId="746FC7B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9</w:t>
      </w:r>
      <w:r>
        <w:rPr>
          <w:rFonts w:hint="eastAsia" w:ascii="宋体" w:hAnsi="宋体" w:eastAsia="宋体" w:cs="Times New Roman"/>
          <w:color w:val="auto"/>
          <w:kern w:val="0"/>
          <w:szCs w:val="21"/>
          <w:highlight w:val="none"/>
        </w:rPr>
        <w:t>）“招标文件”指由</w:t>
      </w:r>
      <w:r>
        <w:rPr>
          <w:rFonts w:hint="eastAsia" w:ascii="宋体" w:hAnsi="宋体" w:eastAsia="宋体" w:cs="Times New Roman"/>
          <w:color w:val="auto"/>
          <w:kern w:val="0"/>
          <w:szCs w:val="21"/>
          <w:highlight w:val="none"/>
          <w:lang w:val="en-US" w:eastAsia="zh-CN"/>
        </w:rPr>
        <w:t>招标公告和招标文件及其补充、变更和澄清等一系列文件</w:t>
      </w:r>
      <w:r>
        <w:rPr>
          <w:rFonts w:hint="eastAsia" w:ascii="宋体" w:hAnsi="宋体" w:eastAsia="宋体" w:cs="Times New Roman"/>
          <w:color w:val="auto"/>
          <w:kern w:val="0"/>
          <w:szCs w:val="21"/>
          <w:highlight w:val="none"/>
        </w:rPr>
        <w:t>；</w:t>
      </w:r>
    </w:p>
    <w:p w14:paraId="3A666AD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10</w:t>
      </w:r>
      <w:r>
        <w:rPr>
          <w:rFonts w:hint="eastAsia" w:ascii="宋体" w:hAnsi="宋体" w:eastAsia="宋体" w:cs="Times New Roman"/>
          <w:color w:val="auto"/>
          <w:kern w:val="0"/>
          <w:szCs w:val="21"/>
          <w:highlight w:val="none"/>
        </w:rPr>
        <w:t>）“投标文件”指投标人根据本招标文件向招标代理机构提交的全部文件；</w:t>
      </w:r>
    </w:p>
    <w:p w14:paraId="4CCBEF4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val="en-US" w:eastAsia="zh-CN"/>
        </w:rPr>
        <w:t>1</w:t>
      </w:r>
      <w:r>
        <w:rPr>
          <w:rFonts w:hint="eastAsia" w:ascii="宋体" w:hAnsi="宋体" w:eastAsia="宋体" w:cs="Times New Roman"/>
          <w:color w:val="auto"/>
          <w:kern w:val="0"/>
          <w:szCs w:val="21"/>
          <w:highlight w:val="none"/>
        </w:rPr>
        <w:t>）“书面函件”指手写、打字或印刷的函件，包括电传、电报和传真；</w:t>
      </w:r>
    </w:p>
    <w:p w14:paraId="44883BB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val="en-US" w:eastAsia="zh-CN"/>
        </w:rPr>
        <w:t>2</w:t>
      </w:r>
      <w:r>
        <w:rPr>
          <w:rFonts w:hint="eastAsia" w:ascii="宋体" w:hAnsi="宋体" w:eastAsia="宋体" w:cs="Times New Roman"/>
          <w:color w:val="auto"/>
          <w:kern w:val="0"/>
          <w:szCs w:val="21"/>
          <w:highlight w:val="none"/>
        </w:rPr>
        <w:t>）“合同”指由本次招标所产生的合同或合约文件；</w:t>
      </w:r>
    </w:p>
    <w:p w14:paraId="50C178D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）“日期”指公历日，“时间”指北京时间；</w:t>
      </w:r>
    </w:p>
    <w:p w14:paraId="322C1C0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val="en-US" w:eastAsia="zh-CN"/>
        </w:rPr>
        <w:t>4</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14:paraId="78F9745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val="en-US" w:eastAsia="zh-CN"/>
        </w:rPr>
        <w:t>5</w:t>
      </w:r>
      <w:r>
        <w:rPr>
          <w:rFonts w:hint="eastAsia" w:ascii="宋体" w:hAnsi="宋体" w:eastAsia="宋体" w:cs="Times New Roman"/>
          <w:color w:val="auto"/>
          <w:kern w:val="0"/>
          <w:szCs w:val="21"/>
          <w:highlight w:val="none"/>
        </w:rPr>
        <w:t>）不含税价，即为《中华人民共和国增值税暂行条例》（国务院令第6</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号修订版）规定的销售额。本招标文件所称的不含税价和不含税合同价是指不含本采购项目投标人的销项税额，包含了投标人完成合同义务（含投标人代缴代扣、分包及委外服务、</w:t>
      </w:r>
      <w:r>
        <w:rPr>
          <w:rFonts w:hint="eastAsia" w:ascii="宋体" w:hAnsi="宋体" w:eastAsia="宋体" w:cs="Times New Roman"/>
          <w:color w:val="auto"/>
          <w:kern w:val="0"/>
          <w:szCs w:val="21"/>
          <w:highlight w:val="none"/>
          <w:lang w:val="en-US" w:eastAsia="zh-CN"/>
        </w:rPr>
        <w:t>安装</w:t>
      </w:r>
      <w:r>
        <w:rPr>
          <w:rFonts w:hint="eastAsia" w:ascii="宋体" w:hAnsi="宋体" w:eastAsia="宋体" w:cs="Times New Roman"/>
          <w:color w:val="auto"/>
          <w:kern w:val="0"/>
          <w:szCs w:val="21"/>
          <w:highlight w:val="none"/>
        </w:rPr>
        <w:t>、采购货物等所产生的价税）的其他全部费用。本采购项目投标人的销项税额由招标人承担，不计入投标报价。</w:t>
      </w:r>
    </w:p>
    <w:p w14:paraId="6D6A353A">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7B113C3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19" w:name="_Toc486167669"/>
      <w:bookmarkStart w:id="120" w:name="_Toc2435"/>
      <w:bookmarkStart w:id="121" w:name="_Toc29125_WPSOffice_Level3"/>
      <w:bookmarkStart w:id="122" w:name="_Toc17017"/>
      <w:bookmarkStart w:id="123" w:name="_Toc18407"/>
      <w:bookmarkStart w:id="124" w:name="_Toc450662855"/>
      <w:bookmarkStart w:id="125" w:name="_Toc142508319"/>
      <w:bookmarkStart w:id="126" w:name="_Toc3118"/>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119"/>
      <w:bookmarkEnd w:id="120"/>
      <w:bookmarkEnd w:id="121"/>
      <w:bookmarkEnd w:id="122"/>
      <w:bookmarkEnd w:id="123"/>
      <w:bookmarkEnd w:id="124"/>
      <w:bookmarkEnd w:id="125"/>
      <w:bookmarkEnd w:id="126"/>
    </w:p>
    <w:p w14:paraId="343875F9">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3A748A86">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2C30D69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27" w:name="_Toc142508320"/>
      <w:bookmarkStart w:id="128" w:name="_Toc27445"/>
      <w:bookmarkStart w:id="129" w:name="_Toc486167670"/>
      <w:bookmarkStart w:id="130" w:name="_Toc450662856"/>
      <w:bookmarkStart w:id="131" w:name="_Toc26320"/>
      <w:bookmarkStart w:id="132" w:name="_Toc19336"/>
      <w:bookmarkStart w:id="133" w:name="_Toc23483_WPSOffice_Level3"/>
      <w:bookmarkStart w:id="134" w:name="_Toc19618"/>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127"/>
      <w:bookmarkEnd w:id="128"/>
      <w:bookmarkEnd w:id="129"/>
      <w:bookmarkEnd w:id="130"/>
      <w:bookmarkEnd w:id="131"/>
      <w:bookmarkEnd w:id="132"/>
      <w:bookmarkEnd w:id="133"/>
      <w:bookmarkEnd w:id="134"/>
    </w:p>
    <w:p w14:paraId="2122FBC1">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14:paraId="0E7B986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762A8FC7">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hint="eastAsia" w:ascii="宋体" w:hAnsi="宋体" w:eastAsia="宋体" w:cs="Times New Roman"/>
          <w:bCs/>
          <w:color w:val="auto"/>
          <w:szCs w:val="21"/>
          <w:highlight w:val="none"/>
          <w:lang w:eastAsia="zh-CN"/>
        </w:rPr>
        <w:t>广东省公共资源交易平台（ygp.gdzwfw.gov.cn）、</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ascii="宋体" w:hAnsi="宋体" w:eastAsia="宋体" w:cs="Times New Roman"/>
          <w:color w:val="auto"/>
          <w:szCs w:val="21"/>
          <w:highlight w:val="none"/>
          <w:lang w:val="zh-CN"/>
        </w:rPr>
        <w:t>东莞市水务集团有限公司网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Style w:val="44"/>
          <w:rFonts w:ascii="宋体" w:hAnsi="宋体" w:eastAsia="宋体" w:cs="Times New Roman"/>
          <w:color w:val="auto"/>
          <w:sz w:val="21"/>
          <w:szCs w:val="21"/>
          <w:highlight w:val="none"/>
        </w:rPr>
        <w:t>www.dgswjt.cn）</w:t>
      </w:r>
      <w:r>
        <w:rPr>
          <w:rStyle w:val="44"/>
          <w:rFonts w:ascii="宋体" w:hAnsi="宋体" w:eastAsia="宋体" w:cs="Times New Roman"/>
          <w:color w:val="auto"/>
          <w:sz w:val="21"/>
          <w:szCs w:val="21"/>
          <w:highlight w:val="none"/>
          <w:lang w:val="zh-CN"/>
        </w:rPr>
        <w:t>、</w:t>
      </w:r>
      <w:r>
        <w:rPr>
          <w:rStyle w:val="44"/>
          <w:rFonts w:hint="eastAsia" w:ascii="宋体" w:hAnsi="宋体" w:eastAsia="宋体" w:cs="Times New Roman"/>
          <w:bCs/>
          <w:color w:val="auto"/>
          <w:kern w:val="0"/>
          <w:sz w:val="21"/>
          <w:szCs w:val="21"/>
          <w:highlight w:val="none"/>
        </w:rPr>
        <w:t>招标代理</w:t>
      </w:r>
      <w:r>
        <w:rPr>
          <w:rStyle w:val="44"/>
          <w:rFonts w:hint="eastAsia" w:ascii="宋体" w:hAnsi="宋体" w:eastAsia="宋体" w:cs="Times New Roman"/>
          <w:bCs/>
          <w:color w:val="auto"/>
          <w:kern w:val="0"/>
          <w:sz w:val="21"/>
          <w:szCs w:val="21"/>
          <w:highlight w:val="none"/>
          <w:lang w:val="en-US" w:eastAsia="zh-CN"/>
        </w:rPr>
        <w:t>机构</w:t>
      </w:r>
      <w:r>
        <w:rPr>
          <w:rStyle w:val="44"/>
          <w:rFonts w:hint="eastAsia" w:ascii="宋体" w:hAnsi="宋体" w:eastAsia="宋体" w:cs="Times New Roman"/>
          <w:bCs/>
          <w:color w:val="auto"/>
          <w:kern w:val="0"/>
          <w:sz w:val="21"/>
          <w:szCs w:val="21"/>
          <w:highlight w:val="none"/>
        </w:rPr>
        <w:t>网站（www.wangtat.com.cn</w:t>
      </w:r>
      <w:r>
        <w:rPr>
          <w:rStyle w:val="44"/>
          <w:rFonts w:ascii="宋体" w:hAnsi="宋体" w:eastAsia="宋体" w:cs="Times New Roman"/>
          <w:bCs/>
          <w:color w:val="auto"/>
          <w:kern w:val="0"/>
          <w:sz w:val="21"/>
          <w:szCs w:val="21"/>
          <w:highlight w:val="none"/>
        </w:rPr>
        <w:t>）</w:t>
      </w:r>
      <w:r>
        <w:rPr>
          <w:rStyle w:val="44"/>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14:paraId="6BE5610C">
      <w:pPr>
        <w:autoSpaceDE w:val="0"/>
        <w:autoSpaceDN w:val="0"/>
        <w:adjustRightInd w:val="0"/>
        <w:spacing w:line="360" w:lineRule="auto"/>
        <w:ind w:left="357" w:leftChars="-100" w:hanging="567"/>
        <w:rPr>
          <w:rFonts w:ascii="宋体" w:hAnsi="宋体" w:eastAsia="宋体" w:cs="宋体"/>
          <w:color w:val="auto"/>
          <w:szCs w:val="21"/>
          <w:highlight w:val="none"/>
        </w:rPr>
      </w:pPr>
    </w:p>
    <w:p w14:paraId="62A13E8F">
      <w:pPr>
        <w:keepNext/>
        <w:keepLine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135" w:name="_Toc29659_WPSOffice_Level2"/>
      <w:bookmarkStart w:id="136" w:name="_Toc6349"/>
      <w:bookmarkStart w:id="137" w:name="_Toc2222"/>
      <w:bookmarkStart w:id="138" w:name="_Toc450662857"/>
      <w:bookmarkStart w:id="139" w:name="_Toc140596880"/>
      <w:bookmarkStart w:id="140" w:name="_Toc6039"/>
      <w:bookmarkStart w:id="141" w:name="_Toc142508321"/>
      <w:bookmarkStart w:id="142" w:name="_Toc486167671"/>
      <w:bookmarkStart w:id="143" w:name="_Toc19943"/>
      <w:r>
        <w:rPr>
          <w:rFonts w:hint="eastAsia" w:ascii="宋体" w:hAnsi="宋体" w:eastAsia="宋体" w:cs="宋体"/>
          <w:b/>
          <w:bCs/>
          <w:color w:val="auto"/>
          <w:kern w:val="44"/>
          <w:szCs w:val="21"/>
          <w:highlight w:val="none"/>
          <w:lang w:val="zh-CN"/>
        </w:rPr>
        <w:t>三、投标文件的编制</w:t>
      </w:r>
      <w:bookmarkEnd w:id="135"/>
      <w:bookmarkEnd w:id="136"/>
      <w:bookmarkEnd w:id="137"/>
      <w:bookmarkEnd w:id="138"/>
      <w:bookmarkEnd w:id="139"/>
      <w:bookmarkEnd w:id="140"/>
      <w:bookmarkEnd w:id="141"/>
      <w:bookmarkEnd w:id="142"/>
      <w:bookmarkEnd w:id="143"/>
    </w:p>
    <w:p w14:paraId="547001FA">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4" w:name="_Toc486167672"/>
      <w:bookmarkStart w:id="145" w:name="_Toc28438"/>
      <w:bookmarkStart w:id="146" w:name="_Toc25773"/>
      <w:bookmarkStart w:id="147" w:name="_Toc142508322"/>
      <w:bookmarkStart w:id="148" w:name="_Toc28591"/>
      <w:bookmarkStart w:id="149" w:name="_Toc450662858"/>
      <w:bookmarkStart w:id="150" w:name="_Toc16966"/>
      <w:bookmarkStart w:id="151" w:name="_Toc10015_WPSOffice_Level3"/>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44"/>
      <w:bookmarkEnd w:id="145"/>
      <w:bookmarkEnd w:id="146"/>
      <w:bookmarkEnd w:id="147"/>
      <w:bookmarkEnd w:id="148"/>
      <w:bookmarkEnd w:id="149"/>
      <w:bookmarkEnd w:id="150"/>
      <w:bookmarkEnd w:id="151"/>
    </w:p>
    <w:p w14:paraId="5EA9AA5B">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5982ADC9">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1FAA47D6">
      <w:pPr>
        <w:autoSpaceDE w:val="0"/>
        <w:autoSpaceDN w:val="0"/>
        <w:adjustRightInd w:val="0"/>
        <w:spacing w:line="360" w:lineRule="auto"/>
        <w:rPr>
          <w:rFonts w:ascii="宋体" w:hAnsi="宋体" w:eastAsia="宋体" w:cs="宋体"/>
          <w:color w:val="auto"/>
          <w:szCs w:val="21"/>
          <w:highlight w:val="none"/>
          <w:lang w:val="zh-CN"/>
        </w:rPr>
      </w:pPr>
    </w:p>
    <w:p w14:paraId="4B120642">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152" w:name="_Toc142508323"/>
      <w:bookmarkStart w:id="153" w:name="_Toc19703"/>
      <w:bookmarkStart w:id="154" w:name="_Toc24916_WPSOffice_Level3"/>
      <w:bookmarkStart w:id="155" w:name="_Toc486167673"/>
      <w:bookmarkStart w:id="156" w:name="_Toc4729"/>
      <w:bookmarkStart w:id="157" w:name="_Toc20434"/>
      <w:bookmarkStart w:id="158" w:name="_Toc1879"/>
      <w:bookmarkStart w:id="159" w:name="_Toc450662859"/>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52"/>
      <w:bookmarkEnd w:id="153"/>
      <w:bookmarkEnd w:id="154"/>
      <w:bookmarkEnd w:id="155"/>
      <w:bookmarkEnd w:id="156"/>
      <w:bookmarkEnd w:id="157"/>
      <w:bookmarkEnd w:id="158"/>
      <w:bookmarkEnd w:id="159"/>
    </w:p>
    <w:p w14:paraId="59476320">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14:paraId="18535542">
      <w:pPr>
        <w:autoSpaceDE w:val="0"/>
        <w:autoSpaceDN w:val="0"/>
        <w:adjustRightInd w:val="0"/>
        <w:spacing w:line="360" w:lineRule="auto"/>
        <w:ind w:left="422" w:leftChars="-100" w:hanging="632" w:hangingChars="300"/>
        <w:outlineLvl w:val="9"/>
        <w:rPr>
          <w:rFonts w:ascii="宋体" w:hAnsi="宋体" w:eastAsia="宋体" w:cs="Times New Roman"/>
          <w:b/>
          <w:color w:val="auto"/>
          <w:kern w:val="0"/>
          <w:szCs w:val="21"/>
          <w:highlight w:val="none"/>
        </w:rPr>
      </w:pPr>
      <w:bookmarkStart w:id="160" w:name="_Toc19589"/>
      <w:bookmarkStart w:id="161" w:name="_Toc32586"/>
      <w:r>
        <w:rPr>
          <w:rFonts w:hint="eastAsia" w:ascii="宋体" w:hAnsi="宋体" w:eastAsia="宋体" w:cs="宋体"/>
          <w:b/>
          <w:color w:val="auto"/>
          <w:kern w:val="0"/>
          <w:szCs w:val="24"/>
          <w:highlight w:val="none"/>
        </w:rPr>
        <w:t>9.1.1 商务文件：</w:t>
      </w:r>
      <w:bookmarkEnd w:id="160"/>
      <w:bookmarkEnd w:id="161"/>
    </w:p>
    <w:p w14:paraId="48A326D6">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5346D7E0">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5497CB1B">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08FD5FE9">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14:paraId="068B0F66">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w:t>
      </w:r>
    </w:p>
    <w:p w14:paraId="3281B863">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2B430D86">
      <w:pPr>
        <w:autoSpaceDE w:val="0"/>
        <w:autoSpaceDN w:val="0"/>
        <w:adjustRightInd w:val="0"/>
        <w:spacing w:line="360" w:lineRule="auto"/>
        <w:ind w:left="283" w:hanging="283" w:hangingChars="135"/>
        <w:outlineLvl w:val="9"/>
        <w:rPr>
          <w:rFonts w:ascii="宋体" w:hAnsi="宋体" w:eastAsia="宋体" w:cs="Times New Roman"/>
          <w:color w:val="auto"/>
          <w:szCs w:val="21"/>
          <w:highlight w:val="none"/>
          <w:lang w:val="zh-CN"/>
        </w:rPr>
      </w:pPr>
      <w:bookmarkStart w:id="162" w:name="_Toc22149"/>
      <w:bookmarkStart w:id="163" w:name="_Toc4118"/>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bookmarkEnd w:id="162"/>
      <w:bookmarkEnd w:id="163"/>
    </w:p>
    <w:p w14:paraId="5EE34B81">
      <w:pPr>
        <w:autoSpaceDE w:val="0"/>
        <w:autoSpaceDN w:val="0"/>
        <w:adjustRightInd w:val="0"/>
        <w:spacing w:line="360" w:lineRule="auto"/>
        <w:ind w:left="283" w:hanging="283" w:hangingChars="135"/>
        <w:outlineLvl w:val="9"/>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开户许可证复印件（基本存款账户）</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14:paraId="0B5AC158">
      <w:pPr>
        <w:autoSpaceDE w:val="0"/>
        <w:autoSpaceDN w:val="0"/>
        <w:adjustRightInd w:val="0"/>
        <w:spacing w:line="360" w:lineRule="auto"/>
        <w:ind w:left="283" w:hanging="283" w:hangingChars="135"/>
        <w:outlineLvl w:val="9"/>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14:paraId="01222598">
      <w:pPr>
        <w:tabs>
          <w:tab w:val="left" w:pos="1276"/>
        </w:tabs>
        <w:spacing w:line="360" w:lineRule="auto"/>
        <w:ind w:left="283" w:hanging="283" w:hangingChars="135"/>
        <w:outlineLvl w:val="9"/>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lang w:val="zh-CN"/>
        </w:rPr>
        <w:t>4</w:t>
      </w:r>
      <w:r>
        <w:rPr>
          <w:rFonts w:hint="eastAsia" w:ascii="宋体" w:hAnsi="宋体" w:eastAsia="宋体" w:cs="宋体"/>
          <w:color w:val="auto"/>
          <w:szCs w:val="21"/>
          <w:highlight w:val="none"/>
        </w:rPr>
        <w:t>）制造商资格声明和独家授权销售及售后服务承诺函（若投标人为制造商，必须提供制造商资格声明；若投标人为经销商，必须提供制造商资格声明和投标产品制造商出具的《独家授权销售及售后服务承诺函》）；</w:t>
      </w:r>
    </w:p>
    <w:p w14:paraId="4DB5E639">
      <w:pPr>
        <w:numPr>
          <w:ilvl w:val="0"/>
          <w:numId w:val="0"/>
        </w:numPr>
        <w:autoSpaceDE w:val="0"/>
        <w:autoSpaceDN w:val="0"/>
        <w:adjustRightInd w:val="0"/>
        <w:spacing w:line="360" w:lineRule="auto"/>
        <w:ind w:left="0" w:firstLine="0" w:firstLineChars="0"/>
        <w:jc w:val="left"/>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kern w:val="2"/>
          <w:sz w:val="21"/>
          <w:szCs w:val="21"/>
          <w:highlight w:val="none"/>
        </w:rPr>
        <w:t>所投产品制造商具有环境管理部门核发的合法有效的环评批复复印件（批复内容须体现含投标产品）；</w:t>
      </w:r>
    </w:p>
    <w:p w14:paraId="76D83D8C">
      <w:pPr>
        <w:tabs>
          <w:tab w:val="left" w:pos="1276"/>
        </w:tabs>
        <w:spacing w:line="360" w:lineRule="auto"/>
        <w:ind w:left="283" w:hanging="283" w:hangingChars="135"/>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r>
        <w:rPr>
          <w:rFonts w:hint="eastAsia" w:ascii="宋体" w:hAnsi="宋体" w:eastAsia="宋体"/>
          <w:color w:val="auto"/>
          <w:szCs w:val="21"/>
          <w:highlight w:val="none"/>
        </w:rPr>
        <w:t>资格业绩【投标人</w:t>
      </w:r>
      <w:r>
        <w:rPr>
          <w:rFonts w:hint="eastAsia" w:ascii="宋体" w:hAnsi="宋体" w:eastAsia="宋体"/>
          <w:color w:val="auto"/>
          <w:szCs w:val="21"/>
          <w:highlight w:val="none"/>
          <w:lang w:val="en-US" w:eastAsia="zh-CN"/>
        </w:rPr>
        <w:t>2022</w:t>
      </w:r>
      <w:r>
        <w:rPr>
          <w:rFonts w:hint="eastAsia" w:ascii="宋体" w:hAnsi="宋体" w:eastAsia="宋体"/>
          <w:color w:val="auto"/>
          <w:szCs w:val="21"/>
          <w:highlight w:val="none"/>
        </w:rPr>
        <w:t>年</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月</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日以来</w:t>
      </w:r>
      <w:r>
        <w:rPr>
          <w:rFonts w:hint="eastAsia" w:ascii="宋体" w:hAnsi="宋体" w:eastAsia="宋体"/>
          <w:color w:val="auto"/>
          <w:szCs w:val="21"/>
          <w:highlight w:val="none"/>
          <w:lang w:val="en-US" w:eastAsia="zh-CN"/>
        </w:rPr>
        <w:t>具有一份投标品牌液体乙酸钠供货</w:t>
      </w:r>
      <w:r>
        <w:rPr>
          <w:rFonts w:hint="eastAsia" w:ascii="宋体" w:hAnsi="宋体" w:eastAsia="宋体" w:cs="宋体"/>
          <w:b w:val="0"/>
          <w:bCs/>
          <w:color w:val="auto"/>
          <w:szCs w:val="21"/>
          <w:highlight w:val="none"/>
        </w:rPr>
        <w:t>业绩</w:t>
      </w:r>
      <w:r>
        <w:rPr>
          <w:rFonts w:hint="eastAsia" w:ascii="宋体" w:hAnsi="宋体" w:eastAsia="宋体"/>
          <w:color w:val="auto"/>
          <w:szCs w:val="21"/>
          <w:highlight w:val="none"/>
        </w:rPr>
        <w:t>（合同签订日期为</w:t>
      </w:r>
      <w:r>
        <w:rPr>
          <w:rFonts w:hint="eastAsia" w:ascii="宋体" w:hAnsi="宋体" w:eastAsia="宋体"/>
          <w:color w:val="auto"/>
          <w:szCs w:val="21"/>
          <w:highlight w:val="none"/>
          <w:lang w:val="en-US" w:eastAsia="zh-CN"/>
        </w:rPr>
        <w:t>2022</w:t>
      </w:r>
      <w:r>
        <w:rPr>
          <w:rFonts w:hint="eastAsia" w:ascii="宋体" w:hAnsi="宋体" w:eastAsia="宋体"/>
          <w:color w:val="auto"/>
          <w:szCs w:val="21"/>
          <w:highlight w:val="none"/>
        </w:rPr>
        <w:t>年</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月</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日或以后），资格业绩证明材料提交要求详见招标文件第六篇投标文件格式</w:t>
      </w:r>
      <w:r>
        <w:rPr>
          <w:rFonts w:hint="eastAsia" w:ascii="宋体" w:hAnsi="宋体" w:eastAsia="宋体"/>
          <w:color w:val="auto"/>
          <w:szCs w:val="21"/>
          <w:highlight w:val="none"/>
          <w:u w:val="single"/>
          <w:lang w:val="en-US" w:eastAsia="zh-CN"/>
        </w:rPr>
        <w:t>5</w:t>
      </w:r>
      <w:r>
        <w:rPr>
          <w:rFonts w:hint="eastAsia" w:ascii="宋体" w:hAnsi="宋体" w:eastAsia="宋体"/>
          <w:color w:val="auto"/>
          <w:szCs w:val="21"/>
          <w:highlight w:val="none"/>
          <w:u w:val="single"/>
        </w:rPr>
        <w:t>.</w:t>
      </w:r>
      <w:r>
        <w:rPr>
          <w:rFonts w:hint="eastAsia" w:ascii="宋体" w:hAnsi="宋体" w:eastAsia="宋体"/>
          <w:color w:val="auto"/>
          <w:szCs w:val="21"/>
          <w:highlight w:val="none"/>
          <w:u w:val="singl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w:t>
      </w:r>
    </w:p>
    <w:p w14:paraId="5F6ED961">
      <w:pPr>
        <w:autoSpaceDE w:val="0"/>
        <w:autoSpaceDN w:val="0"/>
        <w:adjustRightInd w:val="0"/>
        <w:spacing w:line="360" w:lineRule="auto"/>
        <w:ind w:left="913" w:hanging="913" w:hangingChars="435"/>
        <w:outlineLvl w:val="9"/>
        <w:rPr>
          <w:rFonts w:hint="eastAsia" w:ascii="宋体" w:hAnsi="宋体" w:eastAsia="宋体" w:cs="宋体"/>
          <w:color w:val="auto"/>
          <w:szCs w:val="21"/>
          <w:highlight w:val="none"/>
          <w:lang w:val="zh-CN"/>
        </w:rPr>
      </w:pPr>
      <w:bookmarkStart w:id="164" w:name="_Toc9573"/>
      <w:bookmarkStart w:id="165" w:name="_Toc11757"/>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bookmarkEnd w:id="164"/>
      <w:bookmarkEnd w:id="165"/>
    </w:p>
    <w:p w14:paraId="04107913">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7C848934">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14:paraId="522DFB87">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）合同条款响应程度（合同条款偏离表）；</w:t>
      </w:r>
    </w:p>
    <w:p w14:paraId="54CDFA8E">
      <w:pPr>
        <w:tabs>
          <w:tab w:val="left" w:pos="567"/>
        </w:tabs>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）业绩表；</w:t>
      </w:r>
    </w:p>
    <w:p w14:paraId="337BBD88">
      <w:pPr>
        <w:tabs>
          <w:tab w:val="left" w:pos="567"/>
        </w:tabs>
        <w:spacing w:line="360" w:lineRule="auto"/>
        <w:ind w:left="105" w:leftChars="-100" w:hanging="315" w:hangingChars="150"/>
        <w:rPr>
          <w:color w:val="auto"/>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车辆运输</w:t>
      </w:r>
      <w:r>
        <w:rPr>
          <w:rFonts w:hint="eastAsia" w:ascii="宋体" w:hAnsi="宋体" w:eastAsia="宋体" w:cs="宋体"/>
          <w:color w:val="auto"/>
          <w:szCs w:val="21"/>
          <w:highlight w:val="none"/>
          <w:lang w:val="zh-CN"/>
        </w:rPr>
        <w:t>；</w:t>
      </w:r>
    </w:p>
    <w:p w14:paraId="1602C050">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）投标保证金汇入情况说明；</w:t>
      </w:r>
    </w:p>
    <w:p w14:paraId="7D5BDCFA">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Cs w:val="21"/>
          <w:highlight w:val="none"/>
          <w:lang w:val="en-US" w:eastAsia="zh-CN"/>
        </w:rPr>
        <w:t>及有关</w:t>
      </w:r>
      <w:r>
        <w:rPr>
          <w:rFonts w:hint="eastAsia" w:ascii="宋体" w:hAnsi="宋体" w:eastAsia="宋体" w:cs="宋体"/>
          <w:color w:val="auto"/>
          <w:szCs w:val="21"/>
          <w:highlight w:val="none"/>
          <w:lang w:val="zh-CN"/>
        </w:rPr>
        <w:t>服务能力的有关其它商务文件（不做强制要求）。</w:t>
      </w:r>
    </w:p>
    <w:p w14:paraId="74EE1F0F">
      <w:pPr>
        <w:autoSpaceDE w:val="0"/>
        <w:autoSpaceDN w:val="0"/>
        <w:adjustRightInd w:val="0"/>
        <w:spacing w:line="360" w:lineRule="auto"/>
        <w:ind w:left="422" w:leftChars="-100" w:hanging="632" w:hangingChars="300"/>
        <w:outlineLvl w:val="9"/>
        <w:rPr>
          <w:rFonts w:ascii="宋体" w:hAnsi="宋体" w:eastAsia="宋体" w:cs="宋体"/>
          <w:b/>
          <w:color w:val="auto"/>
          <w:kern w:val="0"/>
          <w:szCs w:val="24"/>
          <w:highlight w:val="none"/>
        </w:rPr>
      </w:pPr>
      <w:bookmarkStart w:id="166" w:name="_Toc4451"/>
      <w:bookmarkStart w:id="167" w:name="_Toc15390"/>
      <w:r>
        <w:rPr>
          <w:rFonts w:hint="eastAsia" w:ascii="宋体" w:hAnsi="宋体" w:eastAsia="宋体" w:cs="宋体"/>
          <w:b/>
          <w:color w:val="auto"/>
          <w:kern w:val="0"/>
          <w:szCs w:val="24"/>
          <w:highlight w:val="none"/>
        </w:rPr>
        <w:t>9.1.2 技术文件：</w:t>
      </w:r>
      <w:bookmarkEnd w:id="166"/>
      <w:bookmarkEnd w:id="167"/>
    </w:p>
    <w:p w14:paraId="4FE0B5E2">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72111592">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14:paraId="24506442">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（2）投标产品技术指标承诺书；</w:t>
      </w:r>
    </w:p>
    <w:p w14:paraId="1270426A">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（3）第三方检测机构出具的检验报告复印件（须为</w:t>
      </w:r>
      <w:r>
        <w:rPr>
          <w:rFonts w:hint="eastAsia" w:ascii="宋体" w:hAnsi="宋体" w:eastAsia="宋体" w:cs="宋体"/>
          <w:color w:val="auto"/>
          <w:kern w:val="0"/>
          <w:szCs w:val="21"/>
          <w:highlight w:val="none"/>
          <w:lang w:eastAsia="zh-CN"/>
        </w:rPr>
        <w:t>2024年</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lang w:eastAsia="zh-CN"/>
        </w:rPr>
        <w:t>月</w:t>
      </w:r>
      <w:r>
        <w:rPr>
          <w:rFonts w:hint="eastAsia" w:ascii="宋体" w:hAnsi="宋体" w:eastAsia="宋体" w:cs="宋体"/>
          <w:color w:val="auto"/>
          <w:kern w:val="0"/>
          <w:szCs w:val="21"/>
          <w:highlight w:val="none"/>
        </w:rPr>
        <w:t>1日以后出具的投标产品检验报告）；</w:t>
      </w:r>
    </w:p>
    <w:p w14:paraId="17849AB6">
      <w:pPr>
        <w:spacing w:line="360" w:lineRule="auto"/>
        <w:ind w:left="105" w:leftChars="-100" w:hanging="315" w:hangingChars="15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生产工艺</w:t>
      </w:r>
      <w:r>
        <w:rPr>
          <w:rFonts w:hint="eastAsia" w:ascii="宋体" w:hAnsi="宋体" w:eastAsia="宋体" w:cs="宋体"/>
          <w:color w:val="auto"/>
          <w:kern w:val="0"/>
          <w:szCs w:val="21"/>
          <w:highlight w:val="none"/>
          <w:lang w:eastAsia="zh-CN"/>
        </w:rPr>
        <w:t>；</w:t>
      </w:r>
    </w:p>
    <w:p w14:paraId="4747A2FC">
      <w:pPr>
        <w:spacing w:line="360" w:lineRule="auto"/>
        <w:ind w:left="105" w:leftChars="-100" w:hanging="315" w:hangingChars="1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）生产供货保障能力；</w:t>
      </w:r>
    </w:p>
    <w:p w14:paraId="7DA90698">
      <w:pPr>
        <w:spacing w:line="360" w:lineRule="auto"/>
        <w:ind w:left="105" w:leftChars="-100" w:hanging="315" w:hangingChars="1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lang w:eastAsia="zh-CN"/>
        </w:rPr>
        <w:t>）质量保证体系和措施；</w:t>
      </w:r>
    </w:p>
    <w:p w14:paraId="4FF66E32">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）投标人认为有必要提供的其它材料（不做强制要求）。</w:t>
      </w:r>
    </w:p>
    <w:p w14:paraId="1B679E62">
      <w:pPr>
        <w:autoSpaceDE w:val="0"/>
        <w:autoSpaceDN w:val="0"/>
        <w:adjustRightInd w:val="0"/>
        <w:spacing w:line="360" w:lineRule="auto"/>
        <w:ind w:left="422" w:leftChars="-100" w:hanging="632" w:hangingChars="300"/>
        <w:outlineLvl w:val="9"/>
        <w:rPr>
          <w:rFonts w:ascii="宋体" w:hAnsi="宋体" w:eastAsia="宋体" w:cs="宋体"/>
          <w:color w:val="auto"/>
          <w:kern w:val="0"/>
          <w:szCs w:val="21"/>
          <w:highlight w:val="none"/>
          <w:lang w:val="zh-CN"/>
        </w:rPr>
      </w:pPr>
      <w:bookmarkStart w:id="168" w:name="_Toc9693"/>
      <w:bookmarkStart w:id="169" w:name="_Toc4413"/>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bookmarkEnd w:id="168"/>
      <w:bookmarkEnd w:id="169"/>
    </w:p>
    <w:p w14:paraId="6A8D30C1">
      <w:pPr>
        <w:autoSpaceDE w:val="0"/>
        <w:autoSpaceDN w:val="0"/>
        <w:adjustRightInd w:val="0"/>
        <w:spacing w:line="360" w:lineRule="auto"/>
        <w:ind w:left="35" w:leftChars="-118" w:hanging="283" w:hangingChars="135"/>
        <w:outlineLvl w:val="9"/>
        <w:rPr>
          <w:rFonts w:ascii="宋体" w:hAnsi="宋体" w:eastAsia="宋体" w:cs="宋体"/>
          <w:color w:val="auto"/>
          <w:kern w:val="0"/>
          <w:szCs w:val="21"/>
          <w:highlight w:val="none"/>
        </w:rPr>
      </w:pPr>
      <w:bookmarkStart w:id="170" w:name="_Toc2690"/>
      <w:bookmarkStart w:id="171" w:name="_Toc7164"/>
      <w:r>
        <w:rPr>
          <w:rFonts w:hint="eastAsia" w:ascii="宋体" w:hAnsi="宋体" w:eastAsia="宋体" w:cs="宋体"/>
          <w:color w:val="auto"/>
          <w:kern w:val="0"/>
          <w:szCs w:val="21"/>
          <w:highlight w:val="none"/>
        </w:rPr>
        <w:t>（1）签字、盖章后的投标文件扫描版PDF格式电子文件。</w:t>
      </w:r>
      <w:bookmarkEnd w:id="170"/>
      <w:bookmarkEnd w:id="171"/>
    </w:p>
    <w:p w14:paraId="736C61E1">
      <w:pPr>
        <w:autoSpaceDE w:val="0"/>
        <w:autoSpaceDN w:val="0"/>
        <w:adjustRightInd w:val="0"/>
        <w:spacing w:line="360" w:lineRule="auto"/>
        <w:ind w:left="422" w:leftChars="-100" w:hanging="632" w:hangingChars="300"/>
        <w:outlineLvl w:val="9"/>
        <w:rPr>
          <w:rFonts w:ascii="宋体" w:hAnsi="宋体" w:eastAsia="宋体" w:cs="宋体"/>
          <w:b/>
          <w:bCs/>
          <w:color w:val="auto"/>
          <w:szCs w:val="21"/>
          <w:highlight w:val="none"/>
          <w:lang w:val="zh-CN"/>
        </w:rPr>
      </w:pPr>
      <w:bookmarkStart w:id="172" w:name="_Toc469"/>
      <w:bookmarkStart w:id="173" w:name="_Toc13320"/>
      <w:r>
        <w:rPr>
          <w:rFonts w:hint="eastAsia" w:ascii="宋体" w:hAnsi="宋体" w:eastAsia="宋体" w:cs="宋体"/>
          <w:b/>
          <w:bCs/>
          <w:color w:val="auto"/>
          <w:szCs w:val="21"/>
          <w:highlight w:val="none"/>
          <w:lang w:val="zh-CN"/>
        </w:rPr>
        <w:t>9.1.4 唱标信封（单独密封）</w:t>
      </w:r>
      <w:bookmarkEnd w:id="172"/>
      <w:bookmarkEnd w:id="173"/>
    </w:p>
    <w:p w14:paraId="6386125D">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5F109B8F">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12C43ED3">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3048D847">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04F38DBF">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0412D14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74" w:name="_Toc450662860"/>
      <w:bookmarkStart w:id="175" w:name="_Toc8675_WPSOffice_Level3"/>
      <w:bookmarkStart w:id="176" w:name="_Toc26935"/>
      <w:bookmarkStart w:id="177" w:name="_Toc14343"/>
      <w:bookmarkStart w:id="178" w:name="_Toc18697"/>
      <w:bookmarkStart w:id="179" w:name="_Toc142508324"/>
      <w:bookmarkStart w:id="180" w:name="_Toc6234"/>
      <w:bookmarkStart w:id="181" w:name="_Toc486167674"/>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74"/>
      <w:bookmarkEnd w:id="175"/>
      <w:bookmarkEnd w:id="176"/>
      <w:bookmarkEnd w:id="177"/>
      <w:bookmarkEnd w:id="178"/>
      <w:bookmarkEnd w:id="179"/>
      <w:bookmarkEnd w:id="180"/>
      <w:bookmarkEnd w:id="181"/>
    </w:p>
    <w:p w14:paraId="006B307A">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5ECCAB34">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0F378D6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2" w:name="_Toc6905"/>
      <w:bookmarkStart w:id="183" w:name="_Toc142508325"/>
      <w:bookmarkStart w:id="184" w:name="_Toc28822"/>
      <w:bookmarkStart w:id="185" w:name="_Toc4385_WPSOffice_Level3"/>
      <w:bookmarkStart w:id="186" w:name="_Toc4331"/>
      <w:bookmarkStart w:id="187" w:name="_Toc486167675"/>
      <w:bookmarkStart w:id="188" w:name="_Toc21894"/>
      <w:bookmarkStart w:id="189" w:name="_Toc450662861"/>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82"/>
      <w:bookmarkEnd w:id="183"/>
      <w:bookmarkEnd w:id="184"/>
      <w:bookmarkEnd w:id="185"/>
      <w:bookmarkEnd w:id="186"/>
      <w:bookmarkEnd w:id="187"/>
      <w:bookmarkEnd w:id="188"/>
      <w:bookmarkEnd w:id="189"/>
    </w:p>
    <w:p w14:paraId="1382C371">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w:t>
      </w:r>
      <w:r>
        <w:rPr>
          <w:rFonts w:hint="eastAsia" w:ascii="宋体" w:hAnsi="宋体" w:eastAsia="宋体" w:cs="Times New Roman"/>
          <w:b/>
          <w:color w:val="auto"/>
          <w:szCs w:val="21"/>
          <w:highlight w:val="none"/>
          <w:lang w:val="zh-CN"/>
        </w:rPr>
        <w:t>只允许有一个报价价格，任何有选择的或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10435E12">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74ED6CDE">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14CBCB50">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投标人的报价为综合单价(元/吨)乘以采购货物暂定数量的总价。合同履约过程中，在供货期内按投标时的综合单价(元/吨)乘以实际供货数量进行结算。</w:t>
      </w:r>
      <w:r>
        <w:rPr>
          <w:rFonts w:hint="eastAsia" w:ascii="宋体" w:hAnsi="宋体" w:eastAsia="宋体" w:cs="Times New Roman"/>
          <w:b/>
          <w:color w:val="auto"/>
          <w:szCs w:val="21"/>
          <w:highlight w:val="none"/>
          <w:u w:val="single"/>
          <w:lang w:val="zh-CN"/>
        </w:rPr>
        <w:t>本项目投标报价为不含税价，即为《中华人民共和国增值税暂行条例》（国务院令第6</w:t>
      </w:r>
      <w:r>
        <w:rPr>
          <w:rFonts w:ascii="宋体" w:hAnsi="宋体" w:eastAsia="宋体" w:cs="Times New Roman"/>
          <w:b/>
          <w:color w:val="auto"/>
          <w:szCs w:val="21"/>
          <w:highlight w:val="none"/>
          <w:u w:val="single"/>
          <w:lang w:val="zh-CN"/>
        </w:rPr>
        <w:t>91</w:t>
      </w:r>
      <w:r>
        <w:rPr>
          <w:rFonts w:hint="eastAsia" w:ascii="宋体" w:hAnsi="宋体" w:eastAsia="宋体" w:cs="Times New Roman"/>
          <w:b/>
          <w:color w:val="auto"/>
          <w:szCs w:val="21"/>
          <w:highlight w:val="none"/>
          <w:u w:val="single"/>
          <w:lang w:val="zh-CN"/>
        </w:rPr>
        <w:t>号修订版）规定的销售额</w:t>
      </w:r>
      <w:r>
        <w:rPr>
          <w:rFonts w:hint="eastAsia" w:ascii="宋体" w:hAnsi="宋体" w:eastAsia="宋体" w:cs="Times New Roman"/>
          <w:color w:val="auto"/>
          <w:szCs w:val="21"/>
          <w:highlight w:val="none"/>
          <w:lang w:val="zh-CN"/>
        </w:rPr>
        <w:t>。本招标文件所称的不含税价和不含税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hint="eastAsia" w:ascii="宋体" w:hAnsi="宋体" w:eastAsia="宋体" w:cs="宋体"/>
          <w:color w:val="auto"/>
          <w:kern w:val="0"/>
          <w:szCs w:val="21"/>
          <w:highlight w:val="none"/>
        </w:rPr>
        <w:t>本采购项目投标报价已含投标人履行本招标内容全部义务的一切费用，包括但不限于：</w:t>
      </w:r>
    </w:p>
    <w:p w14:paraId="192F4B5A">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（1）招标范围内所有货物的研究、采购、制造、检验、配合试验（含小试）、包装、储存、运输（退换货运输）、称重、装卸、安全、保险、培训、验收</w:t>
      </w:r>
      <w:r>
        <w:rPr>
          <w:rFonts w:hint="eastAsia" w:ascii="宋体" w:hAnsi="宋体" w:eastAsia="宋体" w:cs="宋体"/>
          <w:color w:val="auto"/>
          <w:szCs w:val="21"/>
          <w:highlight w:val="none"/>
          <w:lang w:val="en-US" w:eastAsia="zh-CN"/>
        </w:rPr>
        <w:t>等</w:t>
      </w:r>
      <w:r>
        <w:rPr>
          <w:rFonts w:hint="eastAsia" w:ascii="宋体" w:hAnsi="宋体" w:eastAsia="宋体" w:cs="宋体"/>
          <w:color w:val="auto"/>
          <w:szCs w:val="21"/>
          <w:highlight w:val="none"/>
          <w:lang w:val="zh-CN"/>
        </w:rPr>
        <w:t>费用；</w:t>
      </w:r>
    </w:p>
    <w:p w14:paraId="02A2F760">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（2）应急供货费用、为满足项目调试需求导致的小批量、多频次分散供货的成本以及货物运输、货物验收合格前发生的安全事故所产生的一切费用；</w:t>
      </w:r>
    </w:p>
    <w:p w14:paraId="620CB471">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（3）投标货物及其工艺所有制造方、使用方应支付的对专有技术、商标权、专利权和版权、设计或其他知识产权而需要向其他方支付的版税；</w:t>
      </w:r>
    </w:p>
    <w:p w14:paraId="32F2162C">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（4）日常技术指导，免费的质保服务，包括但不限于免费对具有质量问题的货物进行处理或更换，按招标人要求小试，并以招标人确认的最优化的产品成分配比向招标人供货；</w:t>
      </w:r>
    </w:p>
    <w:p w14:paraId="660DA8EC">
      <w:pPr>
        <w:spacing w:line="360" w:lineRule="auto"/>
        <w:ind w:left="357" w:leftChars="-100" w:hanging="567"/>
        <w:outlineLvl w:val="9"/>
        <w:rPr>
          <w:rFonts w:hint="eastAsia" w:ascii="宋体" w:hAnsi="宋体" w:eastAsia="宋体" w:cs="宋体"/>
          <w:color w:val="auto"/>
          <w:szCs w:val="21"/>
          <w:highlight w:val="none"/>
          <w:lang w:val="zh-CN"/>
        </w:rPr>
      </w:pPr>
      <w:bookmarkStart w:id="190" w:name="_Toc16129"/>
      <w:bookmarkStart w:id="191" w:name="_Toc12620"/>
      <w:r>
        <w:rPr>
          <w:rFonts w:hint="eastAsia" w:ascii="宋体" w:hAnsi="宋体" w:eastAsia="宋体" w:cs="宋体"/>
          <w:color w:val="auto"/>
          <w:szCs w:val="21"/>
          <w:highlight w:val="none"/>
          <w:lang w:val="zh-CN"/>
        </w:rPr>
        <w:t>（5）合理利润、投标人销项税额以外的税费等；</w:t>
      </w:r>
      <w:bookmarkEnd w:id="190"/>
      <w:bookmarkEnd w:id="191"/>
    </w:p>
    <w:p w14:paraId="1C73E880">
      <w:pPr>
        <w:spacing w:line="360" w:lineRule="auto"/>
        <w:ind w:left="357" w:leftChars="-100" w:hanging="567" w:firstLineChars="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（6）法律法规、商业公认、招标文件规定由投标人承担的其他直接及间接费用。</w:t>
      </w:r>
    </w:p>
    <w:p w14:paraId="2C7E67AE">
      <w:pPr>
        <w:spacing w:line="360" w:lineRule="auto"/>
        <w:ind w:left="0" w:leftChars="0" w:firstLine="394" w:firstLineChars="187"/>
        <w:rPr>
          <w:rFonts w:hint="eastAsia" w:ascii="宋体" w:hAnsi="宋体" w:eastAsia="宋体" w:cs="宋体"/>
          <w:b/>
          <w:bCs/>
          <w:color w:val="auto"/>
          <w:szCs w:val="21"/>
          <w:highlight w:val="none"/>
          <w:lang w:val="zh-CN"/>
        </w:rPr>
      </w:pPr>
      <w:r>
        <w:rPr>
          <w:rFonts w:hint="eastAsia" w:ascii="宋体" w:hAnsi="宋体" w:eastAsia="宋体" w:cs="宋体"/>
          <w:b/>
          <w:bCs/>
          <w:color w:val="auto"/>
          <w:kern w:val="2"/>
          <w:sz w:val="21"/>
          <w:szCs w:val="21"/>
          <w:highlight w:val="none"/>
          <w:lang w:val="zh-CN"/>
        </w:rPr>
        <w:t>另外液体乙酸钠的供货须按照招标人运营项目的实际供货需求，将会存在不同</w:t>
      </w:r>
      <w:r>
        <w:rPr>
          <w:rFonts w:hint="eastAsia" w:ascii="宋体" w:hAnsi="宋体" w:eastAsia="宋体" w:cs="宋体"/>
          <w:b/>
          <w:bCs/>
          <w:color w:val="auto"/>
          <w:kern w:val="2"/>
          <w:sz w:val="21"/>
          <w:szCs w:val="21"/>
          <w:highlight w:val="none"/>
          <w:lang w:val="en-US" w:eastAsia="zh-CN"/>
        </w:rPr>
        <w:t>项目</w:t>
      </w:r>
      <w:r>
        <w:rPr>
          <w:rFonts w:hint="eastAsia" w:ascii="宋体" w:hAnsi="宋体" w:eastAsia="宋体" w:cs="宋体"/>
          <w:b/>
          <w:bCs/>
          <w:color w:val="auto"/>
          <w:kern w:val="2"/>
          <w:sz w:val="21"/>
          <w:szCs w:val="21"/>
          <w:highlight w:val="none"/>
          <w:lang w:val="zh-CN"/>
        </w:rPr>
        <w:t>、不同</w:t>
      </w:r>
      <w:r>
        <w:rPr>
          <w:rFonts w:hint="eastAsia" w:ascii="宋体" w:hAnsi="宋体" w:eastAsia="宋体" w:cs="宋体"/>
          <w:b/>
          <w:bCs/>
          <w:color w:val="auto"/>
          <w:kern w:val="2"/>
          <w:sz w:val="21"/>
          <w:szCs w:val="21"/>
          <w:highlight w:val="none"/>
          <w:lang w:val="en-US" w:eastAsia="zh-CN"/>
        </w:rPr>
        <w:t>时间分次</w:t>
      </w:r>
      <w:r>
        <w:rPr>
          <w:rFonts w:hint="eastAsia" w:ascii="宋体" w:hAnsi="宋体" w:eastAsia="宋体" w:cs="宋体"/>
          <w:b/>
          <w:bCs/>
          <w:color w:val="auto"/>
          <w:kern w:val="2"/>
          <w:sz w:val="21"/>
          <w:szCs w:val="21"/>
          <w:highlight w:val="none"/>
          <w:lang w:val="zh-CN"/>
        </w:rPr>
        <w:t>供货的情况，投标人应充分考虑上述因素可能导致的增加成本，</w:t>
      </w:r>
      <w:r>
        <w:rPr>
          <w:rFonts w:hint="eastAsia" w:ascii="宋体" w:hAnsi="宋体" w:eastAsia="宋体" w:cs="宋体"/>
          <w:b/>
          <w:bCs/>
          <w:color w:val="auto"/>
          <w:kern w:val="2"/>
          <w:sz w:val="21"/>
          <w:szCs w:val="21"/>
          <w:highlight w:val="none"/>
          <w:lang w:val="en-US" w:eastAsia="zh-CN"/>
        </w:rPr>
        <w:t>并且</w:t>
      </w:r>
      <w:r>
        <w:rPr>
          <w:rFonts w:hint="eastAsia" w:ascii="宋体" w:hAnsi="宋体" w:eastAsia="宋体" w:cs="宋体"/>
          <w:b/>
          <w:bCs/>
          <w:color w:val="auto"/>
          <w:kern w:val="2"/>
          <w:sz w:val="21"/>
          <w:szCs w:val="21"/>
          <w:highlight w:val="none"/>
          <w:lang w:val="zh-CN"/>
        </w:rPr>
        <w:t>该成本已包含在</w:t>
      </w:r>
      <w:r>
        <w:rPr>
          <w:rFonts w:hint="eastAsia" w:ascii="宋体" w:hAnsi="宋体" w:eastAsia="宋体" w:cs="宋体"/>
          <w:b/>
          <w:bCs/>
          <w:color w:val="auto"/>
          <w:kern w:val="2"/>
          <w:sz w:val="21"/>
          <w:szCs w:val="21"/>
          <w:highlight w:val="none"/>
          <w:lang w:val="en-US" w:eastAsia="zh-CN"/>
        </w:rPr>
        <w:t>上述</w:t>
      </w:r>
      <w:r>
        <w:rPr>
          <w:rFonts w:hint="eastAsia" w:ascii="宋体" w:hAnsi="宋体" w:eastAsia="宋体" w:cs="宋体"/>
          <w:b/>
          <w:bCs/>
          <w:color w:val="auto"/>
          <w:kern w:val="2"/>
          <w:sz w:val="21"/>
          <w:szCs w:val="21"/>
          <w:highlight w:val="none"/>
          <w:lang w:val="zh-CN"/>
        </w:rPr>
        <w:t>全部费用内。</w:t>
      </w:r>
    </w:p>
    <w:p w14:paraId="451E5C5A">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14:paraId="72B0B003">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14:paraId="2D051DC4">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合同项下，招标人需要的货物及</w:t>
      </w:r>
      <w:r>
        <w:rPr>
          <w:rFonts w:hint="eastAsia" w:ascii="宋体" w:hAnsi="宋体" w:eastAsia="宋体" w:cs="Times New Roman"/>
          <w:b/>
          <w:bCs/>
          <w:color w:val="auto"/>
          <w:szCs w:val="21"/>
          <w:highlight w:val="none"/>
          <w:lang w:val="en-US" w:eastAsia="zh-CN"/>
        </w:rPr>
        <w:t>有关</w:t>
      </w:r>
      <w:r>
        <w:rPr>
          <w:rFonts w:hint="eastAsia" w:ascii="宋体" w:hAnsi="宋体" w:eastAsia="宋体" w:cs="Times New Roman"/>
          <w:b/>
          <w:bCs/>
          <w:color w:val="auto"/>
          <w:szCs w:val="21"/>
          <w:highlight w:val="none"/>
          <w:lang w:val="zh-CN"/>
        </w:rPr>
        <w:t>服务所需的费用，投标人都应计入投标报价总价。</w:t>
      </w:r>
    </w:p>
    <w:p w14:paraId="4ACD527A">
      <w:pPr>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投标人的投标报价或综合单价高于</w:t>
      </w:r>
      <w:r>
        <w:rPr>
          <w:rFonts w:hint="eastAsia" w:ascii="宋体" w:hAnsi="宋体" w:eastAsia="宋体" w:cs="Times New Roman"/>
          <w:b/>
          <w:bCs/>
          <w:color w:val="auto"/>
          <w:szCs w:val="21"/>
          <w:highlight w:val="none"/>
          <w:u w:val="single"/>
          <w:lang w:val="en-US" w:eastAsia="zh-CN"/>
        </w:rPr>
        <w:t>不含税</w:t>
      </w:r>
      <w:r>
        <w:rPr>
          <w:rFonts w:hint="eastAsia" w:ascii="宋体" w:hAnsi="宋体" w:eastAsia="宋体" w:cs="Times New Roman"/>
          <w:b/>
          <w:bCs/>
          <w:color w:val="auto"/>
          <w:szCs w:val="21"/>
          <w:highlight w:val="none"/>
          <w:u w:val="single"/>
          <w:lang w:eastAsia="zh-CN"/>
        </w:rPr>
        <w:t>最高投标限价</w:t>
      </w:r>
      <w:r>
        <w:rPr>
          <w:rFonts w:hint="eastAsia" w:ascii="宋体" w:hAnsi="宋体" w:eastAsia="宋体" w:cs="Times New Roman"/>
          <w:b/>
          <w:bCs/>
          <w:color w:val="auto"/>
          <w:szCs w:val="21"/>
          <w:highlight w:val="none"/>
          <w:u w:val="single"/>
        </w:rPr>
        <w:t>或</w:t>
      </w:r>
      <w:r>
        <w:rPr>
          <w:rFonts w:hint="eastAsia" w:ascii="宋体" w:hAnsi="宋体" w:eastAsia="宋体" w:cs="Times New Roman"/>
          <w:b/>
          <w:bCs/>
          <w:color w:val="auto"/>
          <w:szCs w:val="21"/>
          <w:highlight w:val="none"/>
          <w:u w:val="single"/>
          <w:lang w:val="en-US" w:eastAsia="zh-CN"/>
        </w:rPr>
        <w:t>不含税</w:t>
      </w:r>
      <w:r>
        <w:rPr>
          <w:rFonts w:hint="eastAsia" w:ascii="宋体" w:hAnsi="宋体" w:eastAsia="宋体" w:cs="Times New Roman"/>
          <w:b/>
          <w:bCs/>
          <w:color w:val="auto"/>
          <w:szCs w:val="21"/>
          <w:highlight w:val="none"/>
          <w:u w:val="single"/>
          <w:lang w:eastAsia="zh-CN"/>
        </w:rPr>
        <w:t>预算综合单价</w:t>
      </w:r>
      <w:r>
        <w:rPr>
          <w:rFonts w:hint="eastAsia" w:ascii="宋体" w:hAnsi="宋体" w:eastAsia="宋体" w:cs="Times New Roman"/>
          <w:b/>
          <w:bCs/>
          <w:color w:val="auto"/>
          <w:szCs w:val="21"/>
          <w:highlight w:val="none"/>
          <w:u w:val="single"/>
        </w:rPr>
        <w:t>的，该投标人的投标文件将被视为无效投标。本项目暂定采购数量对应的不含税</w:t>
      </w:r>
      <w:r>
        <w:rPr>
          <w:rFonts w:hint="eastAsia" w:ascii="宋体" w:hAnsi="宋体" w:eastAsia="宋体" w:cs="Times New Roman"/>
          <w:b/>
          <w:bCs/>
          <w:color w:val="auto"/>
          <w:szCs w:val="21"/>
          <w:highlight w:val="none"/>
          <w:u w:val="single"/>
          <w:lang w:eastAsia="zh-CN"/>
        </w:rPr>
        <w:t>最高投标限价</w:t>
      </w:r>
      <w:r>
        <w:rPr>
          <w:rFonts w:hint="eastAsia" w:ascii="宋体" w:hAnsi="宋体" w:eastAsia="宋体" w:cs="Times New Roman"/>
          <w:b/>
          <w:bCs/>
          <w:color w:val="auto"/>
          <w:szCs w:val="21"/>
          <w:highlight w:val="none"/>
          <w:u w:val="single"/>
        </w:rPr>
        <w:t>为</w:t>
      </w:r>
      <w:r>
        <w:rPr>
          <w:rFonts w:hint="eastAsia" w:ascii="宋体" w:hAnsi="宋体" w:eastAsia="宋体" w:cs="Times New Roman"/>
          <w:b/>
          <w:bCs/>
          <w:color w:val="auto"/>
          <w:szCs w:val="21"/>
          <w:highlight w:val="none"/>
          <w:u w:val="single"/>
          <w:lang w:val="en-US" w:eastAsia="zh-CN"/>
        </w:rPr>
        <w:t>¥14,895,829.31</w:t>
      </w:r>
      <w:r>
        <w:rPr>
          <w:rFonts w:hint="eastAsia" w:ascii="宋体" w:hAnsi="宋体" w:eastAsia="宋体" w:cs="Times New Roman"/>
          <w:b/>
          <w:bCs/>
          <w:color w:val="auto"/>
          <w:szCs w:val="21"/>
          <w:highlight w:val="none"/>
          <w:u w:val="single"/>
        </w:rPr>
        <w:t>元（大写：</w:t>
      </w:r>
      <w:r>
        <w:rPr>
          <w:rFonts w:hint="eastAsia" w:ascii="宋体" w:hAnsi="宋体" w:eastAsia="宋体" w:cs="Times New Roman"/>
          <w:b/>
          <w:bCs/>
          <w:color w:val="auto"/>
          <w:szCs w:val="21"/>
          <w:highlight w:val="none"/>
          <w:u w:val="single"/>
          <w:lang w:val="en-US" w:eastAsia="zh-CN"/>
        </w:rPr>
        <w:t>人民币壹仟肆佰捌拾玖万伍仟捌佰贰拾玖元叁角壹分</w:t>
      </w:r>
      <w:r>
        <w:rPr>
          <w:rFonts w:hint="eastAsia" w:ascii="宋体" w:hAnsi="宋体" w:eastAsia="宋体" w:cs="Times New Roman"/>
          <w:b/>
          <w:bCs/>
          <w:color w:val="auto"/>
          <w:szCs w:val="21"/>
          <w:highlight w:val="none"/>
          <w:u w:val="single"/>
        </w:rPr>
        <w:t>），不含税</w:t>
      </w:r>
      <w:r>
        <w:rPr>
          <w:rFonts w:hint="eastAsia" w:ascii="宋体" w:hAnsi="宋体" w:eastAsia="宋体" w:cs="Times New Roman"/>
          <w:b/>
          <w:bCs/>
          <w:color w:val="auto"/>
          <w:szCs w:val="21"/>
          <w:highlight w:val="none"/>
          <w:u w:val="single"/>
          <w:lang w:eastAsia="zh-CN"/>
        </w:rPr>
        <w:t>预算综合单价</w:t>
      </w:r>
      <w:r>
        <w:rPr>
          <w:rFonts w:hint="eastAsia" w:ascii="宋体" w:hAnsi="宋体" w:eastAsia="宋体" w:cs="Times New Roman"/>
          <w:b/>
          <w:bCs/>
          <w:color w:val="auto"/>
          <w:szCs w:val="21"/>
          <w:highlight w:val="none"/>
          <w:u w:val="single"/>
        </w:rPr>
        <w:t>为¥1</w:t>
      </w:r>
      <w:r>
        <w:rPr>
          <w:rFonts w:hint="eastAsia" w:ascii="宋体" w:hAnsi="宋体" w:eastAsia="宋体" w:cs="Times New Roman"/>
          <w:b/>
          <w:bCs/>
          <w:color w:val="auto"/>
          <w:szCs w:val="21"/>
          <w:highlight w:val="none"/>
          <w:u w:val="single"/>
          <w:lang w:val="en-US" w:eastAsia="zh-CN"/>
        </w:rPr>
        <w:t>,</w:t>
      </w:r>
      <w:r>
        <w:rPr>
          <w:rFonts w:hint="eastAsia" w:ascii="宋体" w:hAnsi="宋体" w:eastAsia="宋体" w:cs="Times New Roman"/>
          <w:b/>
          <w:bCs/>
          <w:color w:val="auto"/>
          <w:szCs w:val="21"/>
          <w:highlight w:val="none"/>
          <w:u w:val="single"/>
        </w:rPr>
        <w:t>032.45元/吨（大写：</w:t>
      </w:r>
      <w:r>
        <w:rPr>
          <w:rFonts w:hint="eastAsia" w:ascii="宋体" w:hAnsi="宋体" w:eastAsia="宋体" w:cs="Times New Roman"/>
          <w:b/>
          <w:bCs/>
          <w:color w:val="auto"/>
          <w:szCs w:val="21"/>
          <w:highlight w:val="none"/>
          <w:u w:val="single"/>
          <w:lang w:val="en-US" w:eastAsia="zh-CN"/>
        </w:rPr>
        <w:t>人民币</w:t>
      </w:r>
      <w:r>
        <w:rPr>
          <w:rFonts w:hint="eastAsia" w:ascii="宋体" w:hAnsi="宋体" w:eastAsia="宋体" w:cs="Times New Roman"/>
          <w:b/>
          <w:bCs/>
          <w:color w:val="auto"/>
          <w:szCs w:val="21"/>
          <w:highlight w:val="none"/>
          <w:u w:val="single"/>
        </w:rPr>
        <w:t>每吨</w:t>
      </w:r>
      <w:r>
        <w:rPr>
          <w:rFonts w:hint="eastAsia" w:ascii="宋体" w:hAnsi="宋体" w:eastAsia="宋体" w:cs="Times New Roman"/>
          <w:b/>
          <w:bCs/>
          <w:color w:val="auto"/>
          <w:szCs w:val="21"/>
          <w:highlight w:val="none"/>
          <w:u w:val="single"/>
          <w:lang w:val="en-US" w:eastAsia="zh-CN"/>
        </w:rPr>
        <w:t>壹仟零叁拾贰元肆角伍分</w:t>
      </w:r>
      <w:r>
        <w:rPr>
          <w:rFonts w:hint="eastAsia" w:ascii="宋体" w:hAnsi="宋体" w:eastAsia="宋体" w:cs="Times New Roman"/>
          <w:b/>
          <w:bCs/>
          <w:color w:val="auto"/>
          <w:szCs w:val="21"/>
          <w:highlight w:val="none"/>
          <w:u w:val="single"/>
        </w:rPr>
        <w:t>）。</w:t>
      </w:r>
    </w:p>
    <w:p w14:paraId="695D1133">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14:paraId="1E6C4032">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192" w:name="_Toc16724"/>
      <w:bookmarkStart w:id="193" w:name="_Toc142508326"/>
      <w:bookmarkStart w:id="194" w:name="_Toc2584"/>
      <w:bookmarkStart w:id="195" w:name="_Toc30042_WPSOffice_Level3"/>
      <w:bookmarkStart w:id="196" w:name="_Toc14068"/>
      <w:bookmarkStart w:id="197" w:name="_Toc486167676"/>
      <w:bookmarkStart w:id="198" w:name="_Toc450662862"/>
      <w:bookmarkStart w:id="199" w:name="_Toc12103"/>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92"/>
      <w:bookmarkEnd w:id="193"/>
      <w:bookmarkEnd w:id="194"/>
      <w:bookmarkEnd w:id="195"/>
      <w:bookmarkEnd w:id="196"/>
      <w:bookmarkEnd w:id="197"/>
      <w:bookmarkEnd w:id="198"/>
      <w:bookmarkEnd w:id="199"/>
    </w:p>
    <w:p w14:paraId="124A6E6B">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lang w:val="en-US" w:eastAsia="zh-CN"/>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14:paraId="4000049F">
      <w:pPr>
        <w:autoSpaceDE w:val="0"/>
        <w:autoSpaceDN w:val="0"/>
        <w:adjustRightInd w:val="0"/>
        <w:spacing w:line="360" w:lineRule="auto"/>
        <w:ind w:left="265" w:leftChars="119" w:hanging="15"/>
        <w:rPr>
          <w:rFonts w:ascii="宋体" w:hAnsi="宋体" w:eastAsia="宋体" w:cs="宋体"/>
          <w:color w:val="auto"/>
          <w:szCs w:val="21"/>
          <w:highlight w:val="none"/>
        </w:rPr>
      </w:pPr>
    </w:p>
    <w:p w14:paraId="7395819E">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00" w:name="_Toc10725"/>
      <w:bookmarkStart w:id="201" w:name="_Toc450662863"/>
      <w:bookmarkStart w:id="202" w:name="_Toc25596"/>
      <w:bookmarkStart w:id="203" w:name="_Toc486167677"/>
      <w:bookmarkStart w:id="204" w:name="_Toc21258"/>
      <w:bookmarkStart w:id="205" w:name="_Toc9411_WPSOffice_Level3"/>
      <w:bookmarkStart w:id="206" w:name="_Toc12289"/>
      <w:bookmarkStart w:id="207" w:name="_Toc142508327"/>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200"/>
      <w:bookmarkEnd w:id="201"/>
      <w:bookmarkEnd w:id="202"/>
      <w:bookmarkEnd w:id="203"/>
      <w:bookmarkEnd w:id="204"/>
      <w:bookmarkEnd w:id="205"/>
      <w:bookmarkEnd w:id="206"/>
      <w:bookmarkEnd w:id="207"/>
    </w:p>
    <w:p w14:paraId="2D8FC43B">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7C6BECFC">
      <w:pPr>
        <w:autoSpaceDE w:val="0"/>
        <w:autoSpaceDN w:val="0"/>
        <w:adjustRightInd w:val="0"/>
        <w:spacing w:line="360" w:lineRule="auto"/>
        <w:ind w:left="357" w:leftChars="-100" w:hanging="567"/>
        <w:outlineLvl w:val="9"/>
        <w:rPr>
          <w:rFonts w:ascii="宋体" w:hAnsi="宋体" w:eastAsia="宋体" w:cs="宋体"/>
          <w:color w:val="auto"/>
          <w:szCs w:val="21"/>
          <w:highlight w:val="none"/>
          <w:vertAlign w:val="superscript"/>
          <w:lang w:val="zh-CN"/>
        </w:rPr>
      </w:pPr>
      <w:bookmarkStart w:id="208" w:name="_Toc11580"/>
      <w:bookmarkStart w:id="209" w:name="_Toc15361"/>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bookmarkEnd w:id="208"/>
      <w:bookmarkEnd w:id="209"/>
    </w:p>
    <w:p w14:paraId="3F30849D">
      <w:pPr>
        <w:autoSpaceDE w:val="0"/>
        <w:autoSpaceDN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029980FC">
      <w:pPr>
        <w:autoSpaceDE w:val="0"/>
        <w:autoSpaceDN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6380C1EB">
      <w:pPr>
        <w:autoSpaceDE w:val="0"/>
        <w:autoSpaceDN w:val="0"/>
        <w:adjustRightInd w:val="0"/>
        <w:spacing w:line="360" w:lineRule="auto"/>
        <w:ind w:left="357" w:leftChars="-100" w:hanging="567"/>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14:paraId="536E12E3">
      <w:pPr>
        <w:spacing w:line="360" w:lineRule="auto"/>
        <w:ind w:left="315" w:leftChars="-100" w:hanging="525" w:hangingChars="250"/>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14:paraId="100C6EEE">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7B1A46D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10" w:name="_Toc21491"/>
      <w:bookmarkStart w:id="211" w:name="_Toc142508328"/>
      <w:bookmarkStart w:id="212" w:name="_Toc450662864"/>
      <w:bookmarkStart w:id="213" w:name="_Toc27771_WPSOffice_Level3"/>
      <w:bookmarkStart w:id="214" w:name="_Toc486167678"/>
      <w:bookmarkStart w:id="215" w:name="_Toc6966"/>
      <w:bookmarkStart w:id="216" w:name="_Toc30441"/>
      <w:bookmarkStart w:id="217" w:name="_Toc26154"/>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bookmarkEnd w:id="210"/>
      <w:bookmarkEnd w:id="211"/>
      <w:bookmarkEnd w:id="212"/>
      <w:bookmarkEnd w:id="213"/>
      <w:bookmarkEnd w:id="214"/>
      <w:bookmarkEnd w:id="215"/>
      <w:bookmarkEnd w:id="216"/>
      <w:bookmarkEnd w:id="217"/>
    </w:p>
    <w:p w14:paraId="4B2AA596">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条规定，投标人须提交证明其拟供货物的合格性并符合招标文件规定的声明文件，作为投标文件的一部分。</w:t>
      </w:r>
    </w:p>
    <w:p w14:paraId="0FB7F519">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w:t>
      </w:r>
    </w:p>
    <w:p w14:paraId="78EF5D9F">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w:t>
      </w:r>
      <w:r>
        <w:rPr>
          <w:rFonts w:hint="eastAsia" w:ascii="宋体" w:hAnsi="宋体" w:eastAsia="宋体" w:cs="Times New Roman"/>
          <w:b/>
          <w:color w:val="auto"/>
          <w:szCs w:val="21"/>
          <w:highlight w:val="none"/>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auto"/>
          <w:szCs w:val="21"/>
          <w:highlight w:val="none"/>
          <w:lang w:val="zh-CN"/>
        </w:rPr>
        <w:t>凡标有“</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”的地方均被视为重要的技术指标要求或性能要求。投标</w:t>
      </w:r>
      <w:r>
        <w:rPr>
          <w:rFonts w:hint="eastAsia" w:ascii="宋体" w:hAnsi="宋体" w:eastAsia="宋体" w:cs="Times New Roman"/>
          <w:b/>
          <w:color w:val="auto"/>
          <w:szCs w:val="21"/>
          <w:highlight w:val="none"/>
          <w:lang w:val="zh-CN"/>
        </w:rPr>
        <w:t>人</w:t>
      </w:r>
      <w:r>
        <w:rPr>
          <w:rFonts w:ascii="宋体" w:hAnsi="宋体" w:eastAsia="宋体" w:cs="Times New Roman"/>
          <w:b/>
          <w:color w:val="auto"/>
          <w:szCs w:val="21"/>
          <w:highlight w:val="none"/>
          <w:lang w:val="zh-CN"/>
        </w:rPr>
        <w:t>要特别加以注意，必须对此回答并完全满足这些要求</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否则若有一项带“</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”的指标未响应或不满足，将按</w:t>
      </w:r>
      <w:r>
        <w:rPr>
          <w:rFonts w:hint="eastAsia" w:ascii="宋体" w:hAnsi="宋体" w:eastAsia="宋体" w:cs="Times New Roman"/>
          <w:b/>
          <w:color w:val="auto"/>
          <w:szCs w:val="21"/>
          <w:highlight w:val="none"/>
          <w:lang w:val="zh-CN"/>
        </w:rPr>
        <w:t>无效投标</w:t>
      </w:r>
      <w:r>
        <w:rPr>
          <w:rFonts w:ascii="宋体" w:hAnsi="宋体" w:eastAsia="宋体" w:cs="Times New Roman"/>
          <w:b/>
          <w:color w:val="auto"/>
          <w:szCs w:val="21"/>
          <w:highlight w:val="none"/>
          <w:lang w:val="zh-CN"/>
        </w:rPr>
        <w:t>处理</w:t>
      </w:r>
      <w:r>
        <w:rPr>
          <w:rFonts w:hint="eastAsia" w:ascii="宋体" w:hAnsi="宋体" w:eastAsia="宋体" w:cs="宋体"/>
          <w:b/>
          <w:color w:val="auto"/>
          <w:szCs w:val="21"/>
          <w:highlight w:val="none"/>
          <w:lang w:val="zh-CN"/>
        </w:rPr>
        <w:t>。</w:t>
      </w:r>
    </w:p>
    <w:p w14:paraId="0E3E5C36">
      <w:pPr>
        <w:autoSpaceDE w:val="0"/>
        <w:autoSpaceDN w:val="0"/>
        <w:adjustRightInd w:val="0"/>
        <w:spacing w:line="360" w:lineRule="auto"/>
        <w:ind w:left="392" w:leftChars="-100" w:hanging="602" w:hangingChars="251"/>
        <w:rPr>
          <w:rFonts w:ascii="宋体" w:hAnsi="宋体" w:eastAsia="宋体" w:cs="Times New Roman"/>
          <w:color w:val="auto"/>
          <w:kern w:val="0"/>
          <w:sz w:val="24"/>
          <w:szCs w:val="24"/>
          <w:highlight w:val="none"/>
        </w:rPr>
      </w:pPr>
    </w:p>
    <w:p w14:paraId="486D5F6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18" w:name="_Toc4163"/>
      <w:bookmarkStart w:id="219" w:name="_Toc5356_WPSOffice_Level3"/>
      <w:bookmarkStart w:id="220" w:name="_Toc7160"/>
      <w:bookmarkStart w:id="221" w:name="_Toc30494"/>
      <w:bookmarkStart w:id="222" w:name="_Toc24774"/>
      <w:bookmarkStart w:id="223" w:name="_Toc486167679"/>
      <w:bookmarkStart w:id="224" w:name="_Toc142508329"/>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218"/>
      <w:bookmarkEnd w:id="219"/>
      <w:bookmarkEnd w:id="220"/>
      <w:bookmarkEnd w:id="221"/>
      <w:bookmarkEnd w:id="222"/>
      <w:bookmarkEnd w:id="223"/>
      <w:bookmarkEnd w:id="224"/>
    </w:p>
    <w:p w14:paraId="695C6687">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¥297,000.00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val="en-US" w:eastAsia="zh-CN"/>
        </w:rPr>
        <w:t>贰拾玖万柒仟元整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14:paraId="2BB6324F">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1CBADDC2">
      <w:pPr>
        <w:tabs>
          <w:tab w:val="left" w:pos="567"/>
        </w:tabs>
        <w:autoSpaceDE w:val="0"/>
        <w:autoSpaceDN w:val="0"/>
        <w:adjustRightInd w:val="0"/>
        <w:spacing w:line="360" w:lineRule="auto"/>
        <w:ind w:left="357" w:leftChars="-100" w:hanging="567"/>
        <w:jc w:val="left"/>
        <w:outlineLvl w:val="9"/>
        <w:rPr>
          <w:rFonts w:ascii="宋体" w:hAnsi="宋体" w:eastAsia="宋体" w:cs="宋体"/>
          <w:bCs/>
          <w:color w:val="auto"/>
          <w:kern w:val="0"/>
          <w:szCs w:val="21"/>
          <w:highlight w:val="none"/>
          <w:lang w:val="zh-CN"/>
        </w:rPr>
      </w:pPr>
      <w:bookmarkStart w:id="225" w:name="_Toc1686"/>
      <w:bookmarkStart w:id="226" w:name="_Toc25746"/>
      <w:r>
        <w:rPr>
          <w:rFonts w:hint="eastAsia" w:ascii="宋体" w:hAnsi="宋体" w:eastAsia="宋体" w:cs="宋体"/>
          <w:bCs/>
          <w:color w:val="auto"/>
          <w:kern w:val="0"/>
          <w:szCs w:val="21"/>
          <w:highlight w:val="none"/>
          <w:lang w:val="zh-CN"/>
        </w:rPr>
        <w:t>15.3 提交保证金时应符合下列规定：</w:t>
      </w:r>
      <w:bookmarkEnd w:id="225"/>
      <w:bookmarkEnd w:id="226"/>
    </w:p>
    <w:p w14:paraId="723E482A">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p>
    <w:p w14:paraId="5E7C629C">
      <w:pPr>
        <w:autoSpaceDE w:val="0"/>
        <w:autoSpaceDN w:val="0"/>
        <w:adjustRightInd w:val="0"/>
        <w:spacing w:line="360" w:lineRule="auto"/>
        <w:ind w:left="225" w:leftChars="107" w:firstLine="489" w:firstLineChars="233"/>
        <w:jc w:val="left"/>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rPr>
        <w:t>开户名称：东莞市水务集团净水有限公司</w:t>
      </w:r>
    </w:p>
    <w:p w14:paraId="07484F00">
      <w:pPr>
        <w:autoSpaceDE w:val="0"/>
        <w:autoSpaceDN w:val="0"/>
        <w:adjustRightInd w:val="0"/>
        <w:spacing w:line="360" w:lineRule="auto"/>
        <w:ind w:left="225" w:leftChars="107" w:firstLine="489" w:firstLineChars="233"/>
        <w:jc w:val="left"/>
        <w:rPr>
          <w:rFonts w:hint="eastAsia" w:ascii="宋体" w:hAnsi="宋体" w:eastAsia="宋体" w:cs="宋体"/>
          <w:b/>
          <w:bCs/>
          <w:color w:val="auto"/>
          <w:kern w:val="0"/>
          <w:szCs w:val="21"/>
          <w:highlight w:val="none"/>
          <w:lang w:val="zh-CN"/>
        </w:rPr>
      </w:pPr>
      <w:r>
        <w:rPr>
          <w:rFonts w:hint="eastAsia" w:ascii="宋体" w:hAnsi="宋体" w:eastAsia="宋体" w:cs="宋体"/>
          <w:color w:val="auto"/>
          <w:kern w:val="0"/>
          <w:szCs w:val="21"/>
          <w:highlight w:val="none"/>
          <w:lang w:val="zh-CN"/>
        </w:rPr>
        <w:t>开户银行：</w:t>
      </w:r>
      <w:r>
        <w:rPr>
          <w:rFonts w:hint="eastAsia" w:ascii="宋体" w:hAnsi="宋体" w:eastAsia="宋体" w:cs="宋体"/>
          <w:b w:val="0"/>
          <w:bCs w:val="0"/>
          <w:color w:val="auto"/>
          <w:kern w:val="0"/>
          <w:szCs w:val="21"/>
          <w:highlight w:val="none"/>
          <w:lang w:val="zh-CN"/>
        </w:rPr>
        <w:t>东莞银行东莞分行</w:t>
      </w:r>
    </w:p>
    <w:p w14:paraId="19A6F071">
      <w:pPr>
        <w:autoSpaceDE w:val="0"/>
        <w:autoSpaceDN w:val="0"/>
        <w:adjustRightInd w:val="0"/>
        <w:spacing w:line="360" w:lineRule="auto"/>
        <w:ind w:left="225" w:leftChars="107" w:firstLine="489" w:firstLineChars="233"/>
        <w:jc w:val="left"/>
        <w:rPr>
          <w:rFonts w:hint="eastAsia" w:ascii="宋体" w:hAnsi="宋体" w:eastAsia="宋体" w:cs="宋体"/>
          <w:b/>
          <w:bCs/>
          <w:color w:val="auto"/>
          <w:kern w:val="0"/>
          <w:szCs w:val="21"/>
          <w:highlight w:val="none"/>
          <w:u w:val="single"/>
        </w:rPr>
      </w:pPr>
      <w:r>
        <w:rPr>
          <w:rFonts w:hint="eastAsia" w:ascii="宋体" w:hAnsi="宋体" w:eastAsia="宋体" w:cs="宋体"/>
          <w:color w:val="auto"/>
          <w:kern w:val="0"/>
          <w:szCs w:val="21"/>
          <w:highlight w:val="none"/>
          <w:lang w:val="zh-CN"/>
        </w:rPr>
        <w:t>银行账号：</w:t>
      </w:r>
      <w:r>
        <w:rPr>
          <w:rFonts w:hint="eastAsia" w:ascii="宋体" w:hAnsi="宋体" w:eastAsia="宋体" w:cs="宋体"/>
          <w:color w:val="auto"/>
          <w:szCs w:val="21"/>
          <w:highlight w:val="none"/>
        </w:rPr>
        <w:t>540008801002628</w:t>
      </w:r>
    </w:p>
    <w:p w14:paraId="7E6DABEF">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2228D3F6">
      <w:pPr>
        <w:autoSpaceDE w:val="0"/>
        <w:autoSpaceDN w:val="0"/>
        <w:adjustRightInd w:val="0"/>
        <w:spacing w:line="360" w:lineRule="auto"/>
        <w:ind w:left="357" w:leftChars="-100" w:hanging="567" w:hangingChars="270"/>
        <w:jc w:val="left"/>
        <w:rPr>
          <w:rFonts w:hint="eastAsia" w:ascii="宋体" w:hAnsi="宋体" w:eastAsia="宋体" w:cs="宋体"/>
          <w:b/>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3ACE7D6D">
      <w:pPr>
        <w:pStyle w:val="15"/>
        <w:ind w:left="315" w:leftChars="150"/>
        <w:outlineLvl w:val="9"/>
        <w:rPr>
          <w:color w:val="auto"/>
        </w:rPr>
      </w:pPr>
      <w:r>
        <w:rPr>
          <w:rFonts w:hint="eastAsia" w:ascii="宋体" w:hAnsi="宋体" w:eastAsia="宋体" w:cs="宋体"/>
          <w:b/>
          <w:bCs w:val="0"/>
          <w:snapToGrid/>
          <w:color w:val="auto"/>
          <w:szCs w:val="24"/>
          <w:highlight w:val="none"/>
          <w:u w:val="single"/>
        </w:rPr>
        <w:t>为更快捷将投标保证金关联到本项目，投标人应在转账时注明招标编号，否则因此导致的无法识别投标保证金对应项目等不利后果将由投标人承担。</w:t>
      </w:r>
    </w:p>
    <w:p w14:paraId="13619446">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14:paraId="15CD1F2E">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w:t>
      </w:r>
      <w:r>
        <w:rPr>
          <w:rFonts w:hint="eastAsia" w:ascii="宋体" w:hAnsi="宋体" w:eastAsia="宋体" w:cs="宋体"/>
          <w:color w:val="auto"/>
          <w:kern w:val="0"/>
          <w:szCs w:val="21"/>
          <w:highlight w:val="none"/>
          <w:lang w:val="en-US" w:eastAsia="zh-CN"/>
        </w:rPr>
        <w:t>本项目的书面</w:t>
      </w:r>
      <w:r>
        <w:rPr>
          <w:rFonts w:hint="eastAsia" w:ascii="宋体" w:hAnsi="宋体" w:eastAsia="宋体" w:cs="宋体"/>
          <w:color w:val="auto"/>
          <w:kern w:val="0"/>
          <w:szCs w:val="21"/>
          <w:highlight w:val="none"/>
        </w:rPr>
        <w:t>合同签订后5日内退还。</w:t>
      </w:r>
    </w:p>
    <w:p w14:paraId="6B0FBFBE">
      <w:pPr>
        <w:autoSpaceDE w:val="0"/>
        <w:autoSpaceDN w:val="0"/>
        <w:adjustRightInd w:val="0"/>
        <w:spacing w:line="360" w:lineRule="auto"/>
        <w:ind w:left="357" w:leftChars="-100" w:hanging="567"/>
        <w:outlineLvl w:val="9"/>
        <w:rPr>
          <w:rFonts w:ascii="宋体" w:hAnsi="宋体" w:eastAsia="宋体" w:cs="宋体"/>
          <w:color w:val="auto"/>
          <w:szCs w:val="21"/>
          <w:highlight w:val="none"/>
          <w:lang w:val="zh-CN"/>
        </w:rPr>
      </w:pPr>
      <w:bookmarkStart w:id="227" w:name="_Toc22845"/>
      <w:bookmarkStart w:id="228" w:name="_Toc12727"/>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bookmarkEnd w:id="227"/>
      <w:bookmarkEnd w:id="228"/>
    </w:p>
    <w:p w14:paraId="784B641E">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131743C9">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383BC953">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0E0599A7">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1B36ADA7">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7D4B40C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5DFB129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14:paraId="59D42A15">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4C2D1748">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412138E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9" w:name="_Toc486167680"/>
      <w:bookmarkStart w:id="230" w:name="_Toc10550"/>
      <w:bookmarkStart w:id="231" w:name="_Toc450662865"/>
      <w:bookmarkStart w:id="232" w:name="_Toc24114"/>
      <w:bookmarkStart w:id="233" w:name="_Toc22649_WPSOffice_Level3"/>
      <w:bookmarkStart w:id="234" w:name="_Toc2942"/>
      <w:bookmarkStart w:id="235" w:name="_Toc142508330"/>
      <w:bookmarkStart w:id="236" w:name="_Toc12430"/>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229"/>
      <w:bookmarkEnd w:id="230"/>
      <w:bookmarkEnd w:id="231"/>
      <w:bookmarkEnd w:id="232"/>
      <w:bookmarkEnd w:id="233"/>
      <w:bookmarkEnd w:id="234"/>
      <w:bookmarkEnd w:id="235"/>
      <w:bookmarkEnd w:id="236"/>
    </w:p>
    <w:p w14:paraId="21EADF18">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33A1EF32">
      <w:pPr>
        <w:autoSpaceDE w:val="0"/>
        <w:autoSpaceDN w:val="0"/>
        <w:adjustRightInd w:val="0"/>
        <w:spacing w:line="360" w:lineRule="auto"/>
        <w:ind w:left="357" w:leftChars="-100" w:hanging="567"/>
        <w:outlineLvl w:val="9"/>
        <w:rPr>
          <w:rFonts w:ascii="宋体" w:hAnsi="宋体" w:eastAsia="宋体" w:cs="宋体"/>
          <w:color w:val="auto"/>
          <w:szCs w:val="21"/>
          <w:highlight w:val="none"/>
          <w:lang w:val="zh-CN"/>
        </w:rPr>
      </w:pPr>
      <w:bookmarkStart w:id="237" w:name="_Toc31559"/>
      <w:bookmarkStart w:id="238" w:name="_Toc26457"/>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bookmarkEnd w:id="237"/>
      <w:bookmarkEnd w:id="238"/>
    </w:p>
    <w:p w14:paraId="1CD9F34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6CFEA632">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230A02A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39" w:name="_Toc18075"/>
      <w:bookmarkStart w:id="240" w:name="_Toc25637_WPSOffice_Level3"/>
      <w:bookmarkStart w:id="241" w:name="_Toc30746"/>
      <w:bookmarkStart w:id="242" w:name="_Toc450662866"/>
      <w:bookmarkStart w:id="243" w:name="_Toc142508331"/>
      <w:bookmarkStart w:id="244" w:name="_Toc358"/>
      <w:bookmarkStart w:id="245" w:name="_Toc13311"/>
      <w:bookmarkStart w:id="246" w:name="_Toc486167681"/>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239"/>
      <w:bookmarkEnd w:id="240"/>
      <w:bookmarkEnd w:id="241"/>
      <w:bookmarkEnd w:id="242"/>
      <w:bookmarkEnd w:id="243"/>
      <w:bookmarkEnd w:id="244"/>
      <w:bookmarkEnd w:id="245"/>
      <w:bookmarkEnd w:id="246"/>
    </w:p>
    <w:p w14:paraId="5D78B773">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w:t>
      </w:r>
      <w:r>
        <w:rPr>
          <w:rFonts w:hint="eastAsia" w:ascii="宋体" w:hAnsi="宋体" w:eastAsia="宋体" w:cs="宋体"/>
          <w:b/>
          <w:color w:val="auto"/>
          <w:szCs w:val="21"/>
          <w:highlight w:val="none"/>
          <w:u w:val="single"/>
          <w:lang w:val="en-US" w:eastAsia="zh-CN"/>
        </w:rPr>
        <w:t>七</w:t>
      </w:r>
      <w:r>
        <w:rPr>
          <w:rFonts w:hint="eastAsia" w:ascii="宋体" w:hAnsi="宋体" w:eastAsia="宋体" w:cs="宋体"/>
          <w:b/>
          <w:color w:val="auto"/>
          <w:szCs w:val="21"/>
          <w:highlight w:val="none"/>
          <w:u w:val="single"/>
          <w:lang w:val="zh-CN"/>
        </w:rPr>
        <w:t>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14:paraId="20032E6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法定代表人授权书</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14:paraId="56304B35">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14:paraId="70EDFA7A">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14:paraId="623D831C">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14:paraId="1183C332">
      <w:pPr>
        <w:autoSpaceDE w:val="0"/>
        <w:autoSpaceDN w:val="0"/>
        <w:adjustRightInd w:val="0"/>
        <w:spacing w:line="360" w:lineRule="auto"/>
        <w:ind w:left="357" w:leftChars="-100" w:hanging="567"/>
        <w:outlineLvl w:val="9"/>
        <w:rPr>
          <w:rFonts w:ascii="宋体" w:hAnsi="宋体" w:eastAsia="宋体" w:cs="宋体"/>
          <w:color w:val="auto"/>
          <w:szCs w:val="21"/>
          <w:highlight w:val="none"/>
          <w:lang w:val="zh-CN"/>
        </w:rPr>
      </w:pPr>
      <w:bookmarkStart w:id="247" w:name="_Toc15775"/>
      <w:bookmarkStart w:id="248" w:name="_Toc2715"/>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bookmarkEnd w:id="247"/>
      <w:bookmarkEnd w:id="248"/>
    </w:p>
    <w:p w14:paraId="2AD84F9B">
      <w:pPr>
        <w:autoSpaceDE w:val="0"/>
        <w:autoSpaceDN w:val="0"/>
        <w:adjustRightInd w:val="0"/>
        <w:jc w:val="left"/>
        <w:rPr>
          <w:rFonts w:ascii="宋体" w:hAnsi="宋体" w:eastAsia="宋体" w:cs="宋体"/>
          <w:color w:val="auto"/>
          <w:kern w:val="0"/>
          <w:sz w:val="24"/>
          <w:szCs w:val="24"/>
          <w:highlight w:val="none"/>
        </w:rPr>
      </w:pPr>
      <w:bookmarkStart w:id="249" w:name="_Toc450662867"/>
    </w:p>
    <w:p w14:paraId="7EFAF6CA">
      <w:pPr>
        <w:keepNext/>
        <w:keepLine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250" w:name="_Toc11345"/>
      <w:bookmarkStart w:id="251" w:name="_Toc140596891"/>
      <w:bookmarkStart w:id="252" w:name="_Toc20611"/>
      <w:bookmarkStart w:id="253" w:name="_Toc142508332"/>
      <w:bookmarkStart w:id="254" w:name="_Toc31692"/>
      <w:bookmarkStart w:id="255" w:name="_Toc486167682"/>
      <w:bookmarkStart w:id="256" w:name="_Toc17608"/>
      <w:bookmarkStart w:id="257" w:name="_Toc22356_WPSOffice_Level2"/>
      <w:r>
        <w:rPr>
          <w:rFonts w:hint="eastAsia" w:ascii="宋体" w:hAnsi="宋体" w:eastAsia="宋体" w:cs="宋体"/>
          <w:b/>
          <w:bCs/>
          <w:color w:val="auto"/>
          <w:kern w:val="44"/>
          <w:szCs w:val="21"/>
          <w:highlight w:val="none"/>
          <w:lang w:val="zh-CN"/>
        </w:rPr>
        <w:t>四、投标文件的递交</w:t>
      </w:r>
      <w:bookmarkEnd w:id="249"/>
      <w:bookmarkEnd w:id="250"/>
      <w:bookmarkEnd w:id="251"/>
      <w:bookmarkEnd w:id="252"/>
      <w:bookmarkEnd w:id="253"/>
      <w:bookmarkEnd w:id="254"/>
      <w:bookmarkEnd w:id="255"/>
      <w:bookmarkEnd w:id="256"/>
      <w:bookmarkEnd w:id="257"/>
    </w:p>
    <w:p w14:paraId="4DD83F69">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58" w:name="_Toc31579"/>
      <w:bookmarkStart w:id="259" w:name="_Toc450662868"/>
      <w:bookmarkStart w:id="260" w:name="_Toc31452"/>
      <w:bookmarkStart w:id="261" w:name="_Toc26416"/>
      <w:bookmarkStart w:id="262" w:name="_Toc142508333"/>
      <w:bookmarkStart w:id="263" w:name="_Toc9900"/>
      <w:bookmarkStart w:id="264" w:name="_Toc12192_WPSOffice_Level3"/>
      <w:bookmarkStart w:id="265" w:name="_Toc486167683"/>
      <w:r>
        <w:rPr>
          <w:rFonts w:hint="eastAsia" w:ascii="宋体" w:hAnsi="宋体" w:eastAsia="宋体" w:cs="宋体"/>
          <w:color w:val="auto"/>
          <w:szCs w:val="21"/>
          <w:highlight w:val="none"/>
          <w:lang w:val="zh-CN"/>
        </w:rPr>
        <w:t>18 投标文件的密封和标记</w:t>
      </w:r>
      <w:bookmarkEnd w:id="258"/>
      <w:bookmarkEnd w:id="259"/>
      <w:bookmarkEnd w:id="260"/>
      <w:bookmarkEnd w:id="261"/>
      <w:bookmarkEnd w:id="262"/>
      <w:bookmarkEnd w:id="263"/>
      <w:bookmarkEnd w:id="264"/>
      <w:bookmarkEnd w:id="265"/>
    </w:p>
    <w:p w14:paraId="0E425A31">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14:paraId="2D25E5CB">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14:paraId="669D7E8E">
      <w:pPr>
        <w:autoSpaceDE w:val="0"/>
        <w:autoSpaceDN w:val="0"/>
        <w:adjustRightInd w:val="0"/>
        <w:spacing w:line="360" w:lineRule="auto"/>
        <w:ind w:left="357" w:leftChars="-100" w:right="15" w:rightChars="7" w:hanging="567"/>
        <w:outlineLvl w:val="9"/>
        <w:rPr>
          <w:rFonts w:ascii="宋体" w:hAnsi="宋体" w:eastAsia="宋体" w:cs="宋体"/>
          <w:color w:val="auto"/>
          <w:szCs w:val="21"/>
          <w:highlight w:val="none"/>
          <w:lang w:val="zh-CN"/>
        </w:rPr>
      </w:pPr>
      <w:bookmarkStart w:id="266" w:name="_Toc2064"/>
      <w:bookmarkStart w:id="267" w:name="_Toc3126"/>
      <w:bookmarkStart w:id="268" w:name="_Toc22595"/>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bookmarkEnd w:id="266"/>
      <w:bookmarkEnd w:id="267"/>
      <w:bookmarkEnd w:id="268"/>
    </w:p>
    <w:p w14:paraId="338C4702">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60C3A90B">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14:paraId="079CB49F">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14:paraId="2986752D">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14:paraId="304778AC">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14:paraId="4F1D6028">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14:paraId="2478489A">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69" w:name="_Toc142508334"/>
      <w:bookmarkStart w:id="270" w:name="_Toc32205"/>
      <w:bookmarkStart w:id="271" w:name="_Toc29665_WPSOffice_Level3"/>
      <w:bookmarkStart w:id="272" w:name="_Toc450662869"/>
      <w:bookmarkStart w:id="273" w:name="_Toc15846"/>
      <w:bookmarkStart w:id="274" w:name="_Toc486167684"/>
      <w:bookmarkStart w:id="275" w:name="_Toc21427"/>
      <w:bookmarkStart w:id="276" w:name="_Toc3384"/>
      <w:r>
        <w:rPr>
          <w:rFonts w:hint="eastAsia" w:ascii="宋体" w:hAnsi="宋体" w:eastAsia="宋体" w:cs="宋体"/>
          <w:color w:val="auto"/>
          <w:szCs w:val="21"/>
          <w:highlight w:val="none"/>
          <w:lang w:val="zh-CN"/>
        </w:rPr>
        <w:t>19 递交投标文件的截止日期</w:t>
      </w:r>
      <w:bookmarkEnd w:id="269"/>
      <w:bookmarkEnd w:id="270"/>
      <w:bookmarkEnd w:id="271"/>
      <w:bookmarkEnd w:id="272"/>
      <w:bookmarkEnd w:id="273"/>
      <w:bookmarkEnd w:id="274"/>
      <w:bookmarkEnd w:id="275"/>
      <w:bookmarkEnd w:id="276"/>
    </w:p>
    <w:p w14:paraId="335831A8">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14:paraId="5F36859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14:paraId="2674D01D">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4652DB86">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77" w:name="_Toc15725"/>
      <w:bookmarkStart w:id="278" w:name="_Toc22431_WPSOffice_Level3"/>
      <w:bookmarkStart w:id="279" w:name="_Toc450662870"/>
      <w:bookmarkStart w:id="280" w:name="_Toc6684"/>
      <w:bookmarkStart w:id="281" w:name="_Toc486167685"/>
      <w:bookmarkStart w:id="282" w:name="_Toc19193"/>
      <w:bookmarkStart w:id="283" w:name="_Toc29007"/>
      <w:bookmarkStart w:id="284" w:name="_Toc142508335"/>
      <w:r>
        <w:rPr>
          <w:rFonts w:hint="eastAsia" w:ascii="宋体" w:hAnsi="宋体" w:eastAsia="宋体" w:cs="宋体"/>
          <w:color w:val="auto"/>
          <w:szCs w:val="21"/>
          <w:highlight w:val="none"/>
          <w:lang w:val="zh-CN"/>
        </w:rPr>
        <w:t>20 迟交的投标文件</w:t>
      </w:r>
      <w:bookmarkEnd w:id="277"/>
      <w:bookmarkEnd w:id="278"/>
      <w:bookmarkEnd w:id="279"/>
      <w:bookmarkEnd w:id="280"/>
      <w:bookmarkEnd w:id="281"/>
      <w:bookmarkEnd w:id="282"/>
      <w:bookmarkEnd w:id="283"/>
      <w:bookmarkEnd w:id="284"/>
    </w:p>
    <w:p w14:paraId="10360781">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7136C7FB">
      <w:pPr>
        <w:autoSpaceDE w:val="0"/>
        <w:autoSpaceDN w:val="0"/>
        <w:adjustRightInd w:val="0"/>
        <w:jc w:val="left"/>
        <w:rPr>
          <w:rFonts w:ascii="宋体" w:hAnsi="宋体" w:eastAsia="宋体" w:cs="宋体"/>
          <w:color w:val="auto"/>
          <w:kern w:val="0"/>
          <w:sz w:val="24"/>
          <w:szCs w:val="24"/>
          <w:highlight w:val="none"/>
        </w:rPr>
      </w:pPr>
    </w:p>
    <w:p w14:paraId="0F346E7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85" w:name="_Toc142508336"/>
      <w:bookmarkStart w:id="286" w:name="_Toc15452"/>
      <w:bookmarkStart w:id="287" w:name="_Toc24965"/>
      <w:bookmarkStart w:id="288" w:name="_Toc4883_WPSOffice_Level3"/>
      <w:bookmarkStart w:id="289" w:name="_Toc450662871"/>
      <w:bookmarkStart w:id="290" w:name="_Toc16964"/>
      <w:bookmarkStart w:id="291" w:name="_Toc23664"/>
      <w:bookmarkStart w:id="292" w:name="_Toc486167686"/>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285"/>
      <w:bookmarkEnd w:id="286"/>
      <w:bookmarkEnd w:id="287"/>
      <w:bookmarkEnd w:id="288"/>
      <w:bookmarkEnd w:id="289"/>
      <w:bookmarkEnd w:id="290"/>
      <w:bookmarkEnd w:id="291"/>
      <w:bookmarkEnd w:id="292"/>
    </w:p>
    <w:p w14:paraId="1B9E7719">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450A2F8A">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14:paraId="18C08A62">
      <w:pPr>
        <w:autoSpaceDE w:val="0"/>
        <w:autoSpaceDN w:val="0"/>
        <w:adjustRightInd w:val="0"/>
        <w:spacing w:line="360" w:lineRule="auto"/>
        <w:ind w:left="357" w:leftChars="-100" w:right="15" w:rightChars="7" w:hanging="567"/>
        <w:outlineLvl w:val="9"/>
        <w:rPr>
          <w:rFonts w:ascii="宋体" w:hAnsi="宋体" w:eastAsia="宋体" w:cs="宋体"/>
          <w:color w:val="auto"/>
          <w:szCs w:val="21"/>
          <w:highlight w:val="none"/>
          <w:lang w:val="zh-CN"/>
        </w:rPr>
      </w:pPr>
      <w:bookmarkStart w:id="293" w:name="_Toc25747"/>
      <w:bookmarkStart w:id="294" w:name="_Toc22948"/>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bookmarkEnd w:id="293"/>
      <w:bookmarkEnd w:id="294"/>
    </w:p>
    <w:p w14:paraId="15FDFD80">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14:paraId="4C5067E6">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262174E3">
      <w:pPr>
        <w:keepNext/>
        <w:keepLine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295" w:name="_Toc450662872"/>
      <w:bookmarkStart w:id="296" w:name="_Toc1049_WPSOffice_Level2"/>
      <w:bookmarkStart w:id="297" w:name="_Toc6702"/>
      <w:bookmarkStart w:id="298" w:name="_Toc140596896"/>
      <w:bookmarkStart w:id="299" w:name="_Toc486167687"/>
      <w:bookmarkStart w:id="300" w:name="_Toc11501"/>
      <w:bookmarkStart w:id="301" w:name="_Toc27648"/>
      <w:bookmarkStart w:id="302" w:name="_Toc8918"/>
      <w:bookmarkStart w:id="303" w:name="_Toc142508337"/>
      <w:r>
        <w:rPr>
          <w:rFonts w:hint="eastAsia" w:ascii="宋体" w:hAnsi="宋体" w:eastAsia="宋体" w:cs="宋体"/>
          <w:b/>
          <w:bCs/>
          <w:color w:val="auto"/>
          <w:kern w:val="44"/>
          <w:szCs w:val="21"/>
          <w:highlight w:val="none"/>
          <w:lang w:val="zh-CN"/>
        </w:rPr>
        <w:t>五、开标与评标</w:t>
      </w:r>
      <w:bookmarkEnd w:id="295"/>
      <w:bookmarkEnd w:id="296"/>
      <w:bookmarkEnd w:id="297"/>
      <w:bookmarkEnd w:id="298"/>
      <w:bookmarkEnd w:id="299"/>
      <w:bookmarkEnd w:id="300"/>
      <w:bookmarkEnd w:id="301"/>
      <w:bookmarkEnd w:id="302"/>
      <w:bookmarkEnd w:id="303"/>
    </w:p>
    <w:p w14:paraId="13B29A09">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04" w:name="_Toc450662873"/>
      <w:bookmarkStart w:id="305" w:name="_Toc142508338"/>
      <w:bookmarkStart w:id="306" w:name="_Toc7200"/>
      <w:bookmarkStart w:id="307" w:name="_Toc486167688"/>
      <w:bookmarkStart w:id="308" w:name="_Toc20960"/>
      <w:bookmarkStart w:id="309" w:name="_Toc4471"/>
      <w:bookmarkStart w:id="310" w:name="_Toc144_WPSOffice_Level3"/>
      <w:bookmarkStart w:id="311" w:name="_Toc29881"/>
      <w:r>
        <w:rPr>
          <w:rFonts w:hint="eastAsia" w:ascii="宋体" w:hAnsi="宋体" w:eastAsia="宋体" w:cs="宋体"/>
          <w:color w:val="auto"/>
          <w:szCs w:val="21"/>
          <w:highlight w:val="none"/>
          <w:lang w:val="zh-CN"/>
        </w:rPr>
        <w:t>22 开标</w:t>
      </w:r>
      <w:bookmarkEnd w:id="304"/>
      <w:bookmarkEnd w:id="305"/>
      <w:bookmarkEnd w:id="306"/>
      <w:bookmarkEnd w:id="307"/>
      <w:bookmarkEnd w:id="308"/>
      <w:bookmarkEnd w:id="309"/>
      <w:bookmarkEnd w:id="310"/>
      <w:bookmarkEnd w:id="311"/>
    </w:p>
    <w:p w14:paraId="15CFFC90">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14:paraId="175C0CB9">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492EA58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14:paraId="68509530">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投标文件的投标报价大写金额和小写金额不一致的，以大写金额为准。对不同文字文本投标文件的解释发生异议的，以中文文本为准。</w:t>
      </w:r>
    </w:p>
    <w:p w14:paraId="132B89E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4C29B7D5">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4ACEAF67">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159DC46B">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12" w:name="_Toc11072"/>
      <w:bookmarkStart w:id="313" w:name="_Toc262"/>
      <w:bookmarkStart w:id="314" w:name="_Toc450662874"/>
      <w:bookmarkStart w:id="315" w:name="_Toc20815"/>
      <w:bookmarkStart w:id="316" w:name="_Toc2038"/>
      <w:bookmarkStart w:id="317" w:name="_Toc486167689"/>
      <w:bookmarkStart w:id="318" w:name="_Toc12165_WPSOffice_Level3"/>
      <w:bookmarkStart w:id="319" w:name="_Toc142508339"/>
      <w:r>
        <w:rPr>
          <w:rFonts w:hint="eastAsia" w:ascii="宋体" w:hAnsi="宋体" w:eastAsia="宋体" w:cs="宋体"/>
          <w:color w:val="auto"/>
          <w:szCs w:val="21"/>
          <w:highlight w:val="none"/>
          <w:lang w:val="zh-CN"/>
        </w:rPr>
        <w:t>23 评标过程的保密性</w:t>
      </w:r>
      <w:bookmarkEnd w:id="312"/>
      <w:bookmarkEnd w:id="313"/>
      <w:bookmarkEnd w:id="314"/>
      <w:bookmarkEnd w:id="315"/>
      <w:bookmarkEnd w:id="316"/>
      <w:bookmarkEnd w:id="317"/>
      <w:bookmarkEnd w:id="318"/>
      <w:bookmarkEnd w:id="319"/>
    </w:p>
    <w:p w14:paraId="4CE792F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2F3867D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1A766BE7">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0596DC07">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20" w:name="_Toc3748"/>
      <w:bookmarkStart w:id="321" w:name="_Toc142508340"/>
      <w:bookmarkStart w:id="322" w:name="_Toc486167690"/>
      <w:bookmarkStart w:id="323" w:name="_Toc15565_WPSOffice_Level3"/>
      <w:bookmarkStart w:id="324" w:name="_Toc6389"/>
      <w:bookmarkStart w:id="325" w:name="_Toc450662875"/>
      <w:bookmarkStart w:id="326" w:name="_Toc833"/>
      <w:bookmarkStart w:id="327" w:name="_Toc10967"/>
      <w:r>
        <w:rPr>
          <w:rFonts w:hint="eastAsia" w:ascii="宋体" w:hAnsi="宋体" w:eastAsia="宋体" w:cs="宋体"/>
          <w:color w:val="auto"/>
          <w:szCs w:val="21"/>
          <w:highlight w:val="none"/>
          <w:lang w:val="zh-CN"/>
        </w:rPr>
        <w:t>24 评标委员会</w:t>
      </w:r>
      <w:bookmarkEnd w:id="320"/>
      <w:bookmarkEnd w:id="321"/>
      <w:bookmarkEnd w:id="322"/>
      <w:bookmarkEnd w:id="323"/>
      <w:bookmarkEnd w:id="324"/>
      <w:bookmarkEnd w:id="325"/>
      <w:bookmarkEnd w:id="326"/>
      <w:bookmarkEnd w:id="327"/>
    </w:p>
    <w:p w14:paraId="20F1F3D8">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04205F7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45EB08BA">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4505CE6C">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bCs/>
          <w:color w:val="auto"/>
          <w:szCs w:val="21"/>
          <w:highlight w:val="none"/>
          <w:lang w:val="zh-CN"/>
        </w:rPr>
      </w:pPr>
      <w:bookmarkStart w:id="328" w:name="_Toc486167691"/>
      <w:bookmarkStart w:id="329" w:name="_Toc31399"/>
      <w:bookmarkStart w:id="330" w:name="_Toc28336"/>
      <w:bookmarkStart w:id="331" w:name="_Toc830"/>
      <w:bookmarkStart w:id="332" w:name="_Toc450662876"/>
      <w:bookmarkStart w:id="333" w:name="_Toc28910_WPSOffice_Level3"/>
      <w:bookmarkStart w:id="334" w:name="_Toc142508341"/>
      <w:bookmarkStart w:id="335" w:name="_Toc4742"/>
      <w:r>
        <w:rPr>
          <w:rFonts w:hint="eastAsia" w:ascii="宋体" w:hAnsi="宋体" w:eastAsia="宋体" w:cs="宋体"/>
          <w:b/>
          <w:bCs/>
          <w:color w:val="auto"/>
          <w:szCs w:val="21"/>
          <w:highlight w:val="none"/>
          <w:lang w:val="zh-CN"/>
        </w:rPr>
        <w:t>25 投标文件的初审</w:t>
      </w:r>
      <w:bookmarkEnd w:id="328"/>
      <w:bookmarkEnd w:id="329"/>
      <w:bookmarkEnd w:id="330"/>
      <w:bookmarkEnd w:id="331"/>
      <w:bookmarkEnd w:id="332"/>
      <w:bookmarkEnd w:id="333"/>
      <w:bookmarkEnd w:id="334"/>
      <w:bookmarkEnd w:id="335"/>
    </w:p>
    <w:p w14:paraId="7C313F62">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57828168">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7A1AAD8A">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6AC656E0">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36" w:name="_Toc338_WPSOffice_Level3"/>
      <w:bookmarkStart w:id="337" w:name="_Toc9436"/>
      <w:bookmarkStart w:id="338" w:name="_Toc27141"/>
      <w:bookmarkStart w:id="339" w:name="_Toc142508342"/>
      <w:bookmarkStart w:id="340" w:name="_Toc450662877"/>
      <w:bookmarkStart w:id="341" w:name="_Toc486167692"/>
      <w:bookmarkStart w:id="342" w:name="_Toc10130"/>
      <w:bookmarkStart w:id="343" w:name="_Toc16938"/>
      <w:r>
        <w:rPr>
          <w:rFonts w:hint="eastAsia" w:ascii="宋体" w:hAnsi="宋体" w:eastAsia="宋体" w:cs="宋体"/>
          <w:color w:val="auto"/>
          <w:szCs w:val="21"/>
          <w:highlight w:val="none"/>
          <w:lang w:val="zh-CN"/>
        </w:rPr>
        <w:t>26 投标文件的澄清</w:t>
      </w:r>
      <w:bookmarkEnd w:id="336"/>
      <w:bookmarkEnd w:id="337"/>
      <w:bookmarkEnd w:id="338"/>
      <w:bookmarkEnd w:id="339"/>
      <w:bookmarkEnd w:id="340"/>
      <w:bookmarkEnd w:id="341"/>
      <w:bookmarkEnd w:id="342"/>
      <w:bookmarkEnd w:id="343"/>
    </w:p>
    <w:p w14:paraId="02A765D8">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4F09C0DB">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344"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344"/>
    <w:p w14:paraId="582A7E88">
      <w:pPr>
        <w:tabs>
          <w:tab w:val="left" w:pos="525"/>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lang w:val="zh-CN"/>
        </w:rPr>
      </w:pPr>
      <w:bookmarkStart w:id="345" w:name="_Toc142508343"/>
      <w:bookmarkStart w:id="346" w:name="_Toc521918096"/>
      <w:bookmarkStart w:id="347" w:name="_Toc522047355"/>
      <w:bookmarkStart w:id="348" w:name="_Toc18368_WPSOffice_Level3"/>
    </w:p>
    <w:p w14:paraId="3381585A">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49" w:name="_Toc15064"/>
      <w:bookmarkStart w:id="350" w:name="_Toc15022"/>
      <w:bookmarkStart w:id="351" w:name="_Toc26392"/>
      <w:bookmarkStart w:id="352" w:name="_Toc31975"/>
      <w:r>
        <w:rPr>
          <w:rFonts w:hint="eastAsia" w:ascii="宋体" w:hAnsi="宋体" w:eastAsia="宋体" w:cs="宋体"/>
          <w:color w:val="auto"/>
          <w:szCs w:val="21"/>
          <w:highlight w:val="none"/>
          <w:lang w:val="zh-CN"/>
        </w:rPr>
        <w:t>27 对投标文件的比较和评价</w:t>
      </w:r>
      <w:bookmarkEnd w:id="345"/>
      <w:bookmarkEnd w:id="346"/>
      <w:bookmarkEnd w:id="347"/>
      <w:bookmarkEnd w:id="348"/>
      <w:bookmarkEnd w:id="349"/>
      <w:bookmarkEnd w:id="350"/>
      <w:bookmarkEnd w:id="351"/>
      <w:bookmarkEnd w:id="352"/>
    </w:p>
    <w:p w14:paraId="4E5ADE2E">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25F50E7A">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04385ABB">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73DAEE68">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0D591E9A">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58F60E5A">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7166A7EB">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353" w:name="_Toc521918097"/>
      <w:bookmarkStart w:id="354" w:name="_Toc522047356"/>
    </w:p>
    <w:p w14:paraId="0695E6E7">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55" w:name="_Toc31279"/>
      <w:bookmarkStart w:id="356" w:name="_Toc21413"/>
      <w:bookmarkStart w:id="357" w:name="_Toc142508344"/>
      <w:bookmarkStart w:id="358" w:name="_Toc31128"/>
      <w:bookmarkStart w:id="359" w:name="_Toc21460_WPSOffice_Level3"/>
      <w:bookmarkStart w:id="360" w:name="_Toc18255"/>
      <w:r>
        <w:rPr>
          <w:rFonts w:hint="eastAsia" w:ascii="宋体" w:hAnsi="宋体" w:eastAsia="宋体" w:cs="宋体"/>
          <w:color w:val="auto"/>
          <w:szCs w:val="21"/>
          <w:highlight w:val="none"/>
          <w:lang w:val="zh-CN"/>
        </w:rPr>
        <w:t>28 评标原则及方法</w:t>
      </w:r>
      <w:bookmarkEnd w:id="353"/>
      <w:bookmarkEnd w:id="354"/>
      <w:bookmarkEnd w:id="355"/>
      <w:bookmarkEnd w:id="356"/>
      <w:bookmarkEnd w:id="357"/>
      <w:bookmarkEnd w:id="358"/>
      <w:bookmarkEnd w:id="359"/>
      <w:bookmarkEnd w:id="360"/>
    </w:p>
    <w:p w14:paraId="7E4E8D1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0EF28A5C">
      <w:pPr>
        <w:tabs>
          <w:tab w:val="left" w:pos="360"/>
        </w:tabs>
        <w:autoSpaceDE w:val="0"/>
        <w:autoSpaceDN w:val="0"/>
        <w:adjustRightInd w:val="0"/>
        <w:spacing w:line="360" w:lineRule="auto"/>
        <w:ind w:left="330" w:leftChars="-100" w:right="44" w:rightChars="21" w:hanging="540"/>
        <w:outlineLvl w:val="1"/>
        <w:rPr>
          <w:rFonts w:ascii="宋体" w:hAnsi="宋体" w:eastAsia="宋体" w:cs="宋体"/>
          <w:color w:val="auto"/>
          <w:szCs w:val="21"/>
          <w:highlight w:val="none"/>
          <w:lang w:val="zh-CN"/>
        </w:rPr>
      </w:pPr>
      <w:bookmarkStart w:id="361" w:name="_Toc20150"/>
      <w:bookmarkStart w:id="362" w:name="_Toc31903"/>
      <w:bookmarkStart w:id="363" w:name="_Toc21045"/>
      <w:r>
        <w:rPr>
          <w:rFonts w:hint="eastAsia" w:ascii="宋体" w:hAnsi="宋体" w:eastAsia="宋体" w:cs="宋体"/>
          <w:color w:val="auto"/>
          <w:szCs w:val="21"/>
          <w:highlight w:val="none"/>
          <w:lang w:val="zh-CN"/>
        </w:rPr>
        <w:t>28.2 评标严格按照招标文件的要求和条件进行。</w:t>
      </w:r>
      <w:bookmarkEnd w:id="361"/>
      <w:bookmarkEnd w:id="362"/>
      <w:bookmarkEnd w:id="363"/>
    </w:p>
    <w:p w14:paraId="5FA56869">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14:paraId="188DA060">
      <w:pPr>
        <w:autoSpaceDE w:val="0"/>
        <w:autoSpaceDN w:val="0"/>
        <w:adjustRightInd w:val="0"/>
        <w:spacing w:line="360" w:lineRule="auto"/>
        <w:ind w:left="441" w:leftChars="-60"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14:paraId="208D9ECE">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14:paraId="411D107B">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64" w:name="_Toc142508345"/>
      <w:bookmarkStart w:id="365" w:name="_Toc31969"/>
      <w:bookmarkStart w:id="366" w:name="_Toc466882017"/>
      <w:bookmarkStart w:id="367" w:name="_Toc15841"/>
      <w:bookmarkStart w:id="368" w:name="_Toc486167694"/>
      <w:bookmarkStart w:id="369" w:name="_Toc25047"/>
      <w:bookmarkStart w:id="370" w:name="_Toc465358969"/>
      <w:bookmarkStart w:id="371" w:name="_Toc25365"/>
      <w:bookmarkStart w:id="372" w:name="_Toc32498_WPSOffice_Level3"/>
      <w:r>
        <w:rPr>
          <w:rFonts w:hint="eastAsia" w:ascii="宋体" w:hAnsi="宋体" w:eastAsia="宋体" w:cs="宋体"/>
          <w:color w:val="auto"/>
          <w:szCs w:val="21"/>
          <w:highlight w:val="none"/>
          <w:lang w:val="zh-CN"/>
        </w:rPr>
        <w:t>29 评标结果公示及异议、投诉</w:t>
      </w:r>
      <w:bookmarkEnd w:id="364"/>
      <w:bookmarkEnd w:id="365"/>
      <w:bookmarkEnd w:id="366"/>
      <w:bookmarkEnd w:id="367"/>
      <w:bookmarkEnd w:id="368"/>
      <w:bookmarkEnd w:id="369"/>
      <w:bookmarkEnd w:id="370"/>
      <w:bookmarkEnd w:id="371"/>
      <w:bookmarkEnd w:id="372"/>
    </w:p>
    <w:p w14:paraId="5088A0DA">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招标代理机构在招标公告发布媒介公示中标候选人，公示期为3日。投标人或者其他利害关系人对评标结果有异议的，应当在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218FA371">
      <w:pPr>
        <w:autoSpaceDE w:val="0"/>
        <w:autoSpaceDN w:val="0"/>
        <w:adjustRightInd w:val="0"/>
        <w:snapToGrid/>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73E5F605">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14:paraId="475AFB14">
      <w:pPr>
        <w:autoSpaceDE w:val="0"/>
        <w:autoSpaceDN w:val="0"/>
        <w:adjustRightInd w:val="0"/>
        <w:snapToGrid/>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14:paraId="4647A9DD">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306A7F05">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1A23056E">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0E391861">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6C5C4BC0">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2C95AF84">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7140F221">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51FFE3D2">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6B670E97">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0E3306BB">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监督部门：东莞市水务集团有限公司，联系人：莫先生，联系电话：0769-28823251。</w:t>
      </w:r>
    </w:p>
    <w:p w14:paraId="2D474BBD">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5A92D6C5">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bCs/>
          <w:color w:val="auto"/>
          <w:szCs w:val="21"/>
          <w:highlight w:val="none"/>
          <w:lang w:val="zh-CN"/>
        </w:rPr>
      </w:pPr>
      <w:bookmarkStart w:id="373" w:name="_Toc26138"/>
      <w:bookmarkStart w:id="374" w:name="_Toc465358970"/>
      <w:bookmarkStart w:id="375" w:name="_Toc1848_WPSOffice_Level3"/>
      <w:bookmarkStart w:id="376" w:name="_Toc4325"/>
      <w:bookmarkStart w:id="377" w:name="_Toc466882018"/>
      <w:bookmarkStart w:id="378" w:name="_Toc19076"/>
      <w:bookmarkStart w:id="379" w:name="_Toc142508346"/>
      <w:bookmarkStart w:id="380" w:name="_Toc486167695"/>
      <w:bookmarkStart w:id="381" w:name="_Toc19188"/>
      <w:r>
        <w:rPr>
          <w:rFonts w:hint="eastAsia" w:ascii="宋体" w:hAnsi="宋体" w:eastAsia="宋体" w:cs="宋体"/>
          <w:b/>
          <w:bCs/>
          <w:color w:val="auto"/>
          <w:szCs w:val="21"/>
          <w:highlight w:val="none"/>
          <w:lang w:val="zh-CN"/>
        </w:rPr>
        <w:t>30 真实性审查</w:t>
      </w:r>
      <w:bookmarkEnd w:id="373"/>
      <w:bookmarkEnd w:id="374"/>
      <w:bookmarkEnd w:id="375"/>
      <w:bookmarkEnd w:id="376"/>
      <w:bookmarkEnd w:id="377"/>
      <w:bookmarkEnd w:id="378"/>
      <w:bookmarkEnd w:id="379"/>
      <w:bookmarkEnd w:id="380"/>
      <w:bookmarkEnd w:id="381"/>
    </w:p>
    <w:p w14:paraId="233CE039">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180EC630">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33B32519">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，因此导致投标人无法参与东莞市水务集团有限公司相关招标采购等活动的，由投标人自行承担全部后果。</w:t>
      </w:r>
    </w:p>
    <w:p w14:paraId="73EBBC9D">
      <w:pPr>
        <w:autoSpaceDE w:val="0"/>
        <w:autoSpaceDN w:val="0"/>
        <w:adjustRightInd w:val="0"/>
        <w:snapToGrid w:val="0"/>
        <w:spacing w:line="360" w:lineRule="auto"/>
        <w:jc w:val="left"/>
        <w:rPr>
          <w:rFonts w:ascii="宋体" w:hAnsi="宋体" w:eastAsia="宋体" w:cs="宋体"/>
          <w:color w:val="auto"/>
          <w:szCs w:val="21"/>
          <w:highlight w:val="none"/>
        </w:rPr>
      </w:pPr>
      <w:bookmarkStart w:id="382" w:name="_Toc466882019"/>
      <w:bookmarkStart w:id="383" w:name="_Toc465358971"/>
    </w:p>
    <w:p w14:paraId="595777C6">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84" w:name="_Toc142508347"/>
      <w:bookmarkStart w:id="385" w:name="_Toc10867_WPSOffice_Level3"/>
      <w:bookmarkStart w:id="386" w:name="_Toc14140"/>
      <w:bookmarkStart w:id="387" w:name="_Toc26035"/>
      <w:bookmarkStart w:id="388" w:name="_Toc486167696"/>
      <w:bookmarkStart w:id="389" w:name="_Toc30482"/>
      <w:bookmarkStart w:id="390" w:name="_Toc17238"/>
      <w:r>
        <w:rPr>
          <w:rFonts w:hint="eastAsia" w:ascii="宋体" w:hAnsi="宋体" w:eastAsia="宋体" w:cs="宋体"/>
          <w:color w:val="auto"/>
          <w:szCs w:val="21"/>
          <w:highlight w:val="none"/>
          <w:lang w:val="zh-CN"/>
        </w:rPr>
        <w:t>31 评标委员会和招标人接受或拒绝任何投标或所有投标的权利</w:t>
      </w:r>
      <w:bookmarkEnd w:id="382"/>
      <w:bookmarkEnd w:id="383"/>
      <w:bookmarkEnd w:id="384"/>
      <w:bookmarkEnd w:id="385"/>
      <w:bookmarkEnd w:id="386"/>
      <w:bookmarkEnd w:id="387"/>
      <w:bookmarkEnd w:id="388"/>
      <w:bookmarkEnd w:id="389"/>
      <w:bookmarkEnd w:id="390"/>
    </w:p>
    <w:p w14:paraId="22121632">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1E55F414">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391" w:name="_Toc450662880"/>
    </w:p>
    <w:p w14:paraId="08854F3F">
      <w:pPr>
        <w:keepNext/>
        <w:keepLine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392" w:name="_Toc486167697"/>
      <w:bookmarkStart w:id="393" w:name="_Toc28405"/>
      <w:bookmarkStart w:id="394" w:name="_Toc16848_WPSOffice_Level2"/>
      <w:bookmarkStart w:id="395" w:name="_Toc140596907"/>
      <w:bookmarkStart w:id="396" w:name="_Toc11618"/>
      <w:bookmarkStart w:id="397" w:name="_Toc23395"/>
      <w:bookmarkStart w:id="398" w:name="_Toc142508348"/>
      <w:bookmarkStart w:id="399" w:name="_Toc18316"/>
      <w:r>
        <w:rPr>
          <w:rFonts w:hint="eastAsia" w:ascii="宋体" w:hAnsi="宋体" w:eastAsia="宋体" w:cs="宋体"/>
          <w:b/>
          <w:bCs/>
          <w:color w:val="auto"/>
          <w:kern w:val="44"/>
          <w:szCs w:val="21"/>
          <w:highlight w:val="none"/>
          <w:lang w:val="zh-CN"/>
        </w:rPr>
        <w:t>六、授予合同</w:t>
      </w:r>
      <w:bookmarkEnd w:id="391"/>
      <w:bookmarkEnd w:id="392"/>
      <w:bookmarkEnd w:id="393"/>
      <w:bookmarkEnd w:id="394"/>
      <w:bookmarkEnd w:id="395"/>
      <w:bookmarkEnd w:id="396"/>
      <w:bookmarkEnd w:id="397"/>
      <w:bookmarkEnd w:id="398"/>
      <w:bookmarkEnd w:id="399"/>
    </w:p>
    <w:p w14:paraId="40BB2B49">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00" w:name="_Toc5336"/>
      <w:bookmarkStart w:id="401" w:name="_Toc450662881"/>
      <w:bookmarkStart w:id="402" w:name="_Toc142508349"/>
      <w:bookmarkStart w:id="403" w:name="_Toc6401_WPSOffice_Level3"/>
      <w:bookmarkStart w:id="404" w:name="_Toc486167698"/>
      <w:bookmarkStart w:id="405" w:name="_Toc3092"/>
      <w:bookmarkStart w:id="406" w:name="_Toc21588"/>
      <w:bookmarkStart w:id="407" w:name="_Toc25540"/>
      <w:r>
        <w:rPr>
          <w:rFonts w:hint="eastAsia" w:ascii="宋体" w:hAnsi="宋体" w:eastAsia="宋体" w:cs="宋体"/>
          <w:color w:val="auto"/>
          <w:szCs w:val="21"/>
          <w:highlight w:val="none"/>
          <w:lang w:val="zh-CN"/>
        </w:rPr>
        <w:t>32 授予合同的准则</w:t>
      </w:r>
      <w:bookmarkEnd w:id="400"/>
      <w:bookmarkEnd w:id="401"/>
      <w:bookmarkEnd w:id="402"/>
      <w:bookmarkEnd w:id="403"/>
      <w:bookmarkEnd w:id="404"/>
      <w:bookmarkEnd w:id="405"/>
      <w:bookmarkEnd w:id="406"/>
      <w:bookmarkEnd w:id="407"/>
    </w:p>
    <w:p w14:paraId="685355D5">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6B4674B5">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49DAD017">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57C39644">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408" w:name="_Toc450662885"/>
    </w:p>
    <w:p w14:paraId="54807F68">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09" w:name="_Toc5673"/>
      <w:bookmarkStart w:id="410" w:name="_Toc6726_WPSOffice_Level3"/>
      <w:bookmarkStart w:id="411" w:name="_Toc142508350"/>
      <w:bookmarkStart w:id="412" w:name="_Toc24266"/>
      <w:bookmarkStart w:id="413" w:name="_Toc30848"/>
      <w:bookmarkStart w:id="414" w:name="_Toc486167699"/>
      <w:bookmarkStart w:id="415" w:name="_Toc10234"/>
      <w:r>
        <w:rPr>
          <w:rFonts w:hint="eastAsia" w:ascii="宋体" w:hAnsi="宋体" w:eastAsia="宋体" w:cs="宋体"/>
          <w:color w:val="auto"/>
          <w:szCs w:val="21"/>
          <w:highlight w:val="none"/>
          <w:lang w:val="zh-CN"/>
        </w:rPr>
        <w:t>33 中标通知</w:t>
      </w:r>
      <w:bookmarkEnd w:id="408"/>
      <w:bookmarkEnd w:id="409"/>
      <w:bookmarkEnd w:id="410"/>
      <w:bookmarkEnd w:id="411"/>
      <w:bookmarkEnd w:id="412"/>
      <w:bookmarkEnd w:id="413"/>
      <w:bookmarkEnd w:id="414"/>
      <w:bookmarkEnd w:id="415"/>
    </w:p>
    <w:p w14:paraId="6E3CCD02">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416"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489E4B14">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2025197C">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76C08C2B">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17" w:name="_Toc24946"/>
      <w:bookmarkStart w:id="418" w:name="_Toc32732"/>
      <w:bookmarkStart w:id="419" w:name="_Toc20317"/>
      <w:bookmarkStart w:id="420" w:name="_Toc6116"/>
      <w:bookmarkStart w:id="421" w:name="_Toc9694_WPSOffice_Level3"/>
      <w:bookmarkStart w:id="422" w:name="_Toc486167700"/>
      <w:bookmarkStart w:id="423" w:name="_Toc142508351"/>
      <w:r>
        <w:rPr>
          <w:rFonts w:hint="eastAsia" w:ascii="宋体" w:hAnsi="宋体" w:eastAsia="宋体" w:cs="宋体"/>
          <w:color w:val="auto"/>
          <w:szCs w:val="21"/>
          <w:highlight w:val="none"/>
          <w:lang w:val="zh-CN"/>
        </w:rPr>
        <w:t>34 签署合同</w:t>
      </w:r>
      <w:bookmarkEnd w:id="416"/>
      <w:bookmarkEnd w:id="417"/>
      <w:bookmarkEnd w:id="418"/>
      <w:bookmarkEnd w:id="419"/>
      <w:bookmarkEnd w:id="420"/>
      <w:bookmarkEnd w:id="421"/>
      <w:bookmarkEnd w:id="422"/>
      <w:bookmarkEnd w:id="423"/>
    </w:p>
    <w:p w14:paraId="584F6095">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2E58DAC9">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34.2 在签署合同前，招标人可对中标人投标报价明细及附表内的算术性错误进行修正，修正原则为：</w:t>
      </w:r>
    </w:p>
    <w:p w14:paraId="2F5C5DA0">
      <w:pPr>
        <w:autoSpaceDE w:val="0"/>
        <w:autoSpaceDN w:val="0"/>
        <w:adjustRightInd w:val="0"/>
        <w:snapToGrid w:val="0"/>
        <w:spacing w:line="360" w:lineRule="auto"/>
        <w:ind w:left="315" w:leftChars="100" w:hanging="105" w:hangingChars="50"/>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1）当以数字表示的金额与以文字表示的金额不一致时，以文字表示的金额为准；（2）当开标一览表(投标报价表)内总报价金额与按综合单价计算的总价不一致的，以综合单价计算结果为准，单项金额小数点有明显错位的，应以总价为准，并修正综合单价金额；按前述修正原则排序依次进行修正至唯一值后的报价表经双方确认后，作为合同文件的组成部分。</w:t>
      </w:r>
    </w:p>
    <w:p w14:paraId="044A89FE">
      <w:pPr>
        <w:tabs>
          <w:tab w:val="left" w:pos="540"/>
        </w:tabs>
        <w:spacing w:line="360" w:lineRule="auto"/>
        <w:ind w:left="329" w:leftChars="-100" w:right="15" w:rightChars="7" w:hanging="539"/>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eastAsia="zh-CN"/>
        </w:rPr>
        <w:t>3</w:t>
      </w:r>
      <w:r>
        <w:rPr>
          <w:rFonts w:hint="eastAsia" w:ascii="宋体" w:hAnsi="宋体" w:eastAsia="宋体" w:cs="宋体"/>
          <w:b/>
          <w:bCs/>
          <w:color w:val="auto"/>
          <w:szCs w:val="21"/>
          <w:highlight w:val="none"/>
          <w:lang w:val="zh-CN"/>
        </w:rPr>
        <w:t xml:space="preserve">4.3 </w:t>
      </w:r>
      <w:r>
        <w:rPr>
          <w:rFonts w:hint="eastAsia" w:ascii="宋体" w:hAnsi="宋体" w:eastAsia="宋体" w:cs="宋体"/>
          <w:b/>
          <w:bCs/>
          <w:snapToGrid/>
          <w:color w:val="auto"/>
          <w:kern w:val="2"/>
          <w:szCs w:val="21"/>
          <w:highlight w:val="none"/>
          <w:lang w:val="zh-CN"/>
        </w:rPr>
        <w:t>本项目中标人与</w:t>
      </w:r>
      <w:bookmarkStart w:id="424" w:name="OLE_LINK36"/>
      <w:r>
        <w:rPr>
          <w:rFonts w:hint="eastAsia" w:ascii="宋体" w:hAnsi="宋体" w:eastAsia="宋体" w:cs="宋体"/>
          <w:b/>
          <w:bCs/>
          <w:snapToGrid/>
          <w:color w:val="auto"/>
          <w:kern w:val="2"/>
          <w:szCs w:val="21"/>
          <w:highlight w:val="none"/>
          <w:lang w:val="zh-CN"/>
        </w:rPr>
        <w:t>招标人</w:t>
      </w:r>
      <w:bookmarkStart w:id="425" w:name="OLE_LINK35"/>
      <w:r>
        <w:rPr>
          <w:rFonts w:hint="eastAsia" w:ascii="宋体" w:hAnsi="宋体" w:eastAsia="宋体" w:cs="宋体"/>
          <w:b/>
          <w:bCs/>
          <w:snapToGrid/>
          <w:color w:val="auto"/>
          <w:kern w:val="2"/>
          <w:szCs w:val="21"/>
          <w:highlight w:val="none"/>
          <w:lang w:val="zh-CN"/>
        </w:rPr>
        <w:t>权属子公司</w:t>
      </w:r>
      <w:bookmarkEnd w:id="424"/>
      <w:bookmarkEnd w:id="425"/>
      <w:r>
        <w:rPr>
          <w:rFonts w:hint="eastAsia" w:ascii="宋体" w:hAnsi="宋体" w:eastAsia="宋体" w:cs="宋体"/>
          <w:b/>
          <w:bCs/>
          <w:snapToGrid/>
          <w:color w:val="auto"/>
          <w:kern w:val="2"/>
          <w:szCs w:val="21"/>
          <w:highlight w:val="none"/>
          <w:lang w:val="zh-CN"/>
        </w:rPr>
        <w:t>(</w:t>
      </w:r>
      <w:bookmarkStart w:id="426" w:name="OLE_LINK4"/>
      <w:r>
        <w:rPr>
          <w:rFonts w:hint="eastAsia" w:ascii="宋体" w:hAnsi="宋体" w:eastAsia="宋体" w:cs="宋体"/>
          <w:b/>
          <w:bCs/>
          <w:snapToGrid/>
          <w:color w:val="auto"/>
          <w:kern w:val="2"/>
          <w:szCs w:val="21"/>
          <w:highlight w:val="none"/>
          <w:lang w:val="zh-CN"/>
        </w:rPr>
        <w:t>东莞市石鼓净水有限公司</w:t>
      </w:r>
      <w:bookmarkEnd w:id="426"/>
      <w:r>
        <w:rPr>
          <w:rFonts w:hint="eastAsia" w:ascii="宋体" w:hAnsi="宋体" w:eastAsia="宋体" w:cs="宋体"/>
          <w:b/>
          <w:bCs/>
          <w:snapToGrid/>
          <w:color w:val="auto"/>
          <w:kern w:val="2"/>
          <w:szCs w:val="21"/>
          <w:highlight w:val="none"/>
          <w:lang w:val="zh-CN"/>
        </w:rPr>
        <w:t>)签署合同，</w:t>
      </w:r>
      <w:r>
        <w:rPr>
          <w:rFonts w:hint="eastAsia" w:ascii="宋体" w:hAnsi="宋体" w:eastAsia="宋体" w:cs="宋体"/>
          <w:b/>
          <w:bCs/>
          <w:snapToGrid/>
          <w:color w:val="auto"/>
          <w:kern w:val="2"/>
          <w:szCs w:val="21"/>
          <w:highlight w:val="none"/>
          <w:lang w:val="en-US" w:eastAsia="zh-CN"/>
        </w:rPr>
        <w:t>合同履行过程中，若</w:t>
      </w:r>
      <w:r>
        <w:rPr>
          <w:rFonts w:hint="eastAsia" w:ascii="宋体" w:hAnsi="宋体" w:eastAsia="宋体" w:cs="宋体"/>
          <w:b/>
          <w:bCs/>
          <w:snapToGrid/>
          <w:color w:val="auto"/>
          <w:kern w:val="2"/>
          <w:szCs w:val="21"/>
          <w:highlight w:val="none"/>
          <w:lang w:val="zh-CN"/>
        </w:rPr>
        <w:t>招标人权属子公司</w:t>
      </w:r>
      <w:r>
        <w:rPr>
          <w:rFonts w:hint="eastAsia" w:ascii="宋体" w:hAnsi="宋体" w:eastAsia="宋体" w:cs="宋体"/>
          <w:b/>
          <w:bCs/>
          <w:snapToGrid/>
          <w:color w:val="auto"/>
          <w:kern w:val="2"/>
          <w:szCs w:val="21"/>
          <w:highlight w:val="none"/>
          <w:lang w:val="en-US" w:eastAsia="zh-CN"/>
        </w:rPr>
        <w:t>关联公司需购买货物的，如东莞市莞水装备科技有限公司以及东莞市清源净水科技有限公司等，本项目中标人与招标人</w:t>
      </w:r>
      <w:r>
        <w:rPr>
          <w:rFonts w:hint="eastAsia" w:ascii="宋体" w:hAnsi="宋体" w:eastAsia="宋体" w:cs="宋体"/>
          <w:b/>
          <w:bCs/>
          <w:snapToGrid/>
          <w:color w:val="auto"/>
          <w:kern w:val="2"/>
          <w:szCs w:val="21"/>
          <w:highlight w:val="none"/>
          <w:lang w:val="zh-CN"/>
        </w:rPr>
        <w:t>权属子公司（东莞市石鼓净水有限公司）</w:t>
      </w:r>
      <w:r>
        <w:rPr>
          <w:rFonts w:hint="eastAsia" w:ascii="宋体" w:hAnsi="宋体" w:eastAsia="宋体" w:cs="宋体"/>
          <w:b/>
          <w:bCs/>
          <w:snapToGrid/>
          <w:color w:val="auto"/>
          <w:kern w:val="2"/>
          <w:szCs w:val="21"/>
          <w:highlight w:val="none"/>
          <w:lang w:val="en-US" w:eastAsia="zh-CN"/>
        </w:rPr>
        <w:t>及</w:t>
      </w:r>
      <w:r>
        <w:rPr>
          <w:rFonts w:hint="eastAsia" w:ascii="宋体" w:hAnsi="宋体" w:eastAsia="宋体" w:cs="宋体"/>
          <w:b/>
          <w:bCs/>
          <w:snapToGrid/>
          <w:color w:val="auto"/>
          <w:kern w:val="2"/>
          <w:szCs w:val="21"/>
          <w:highlight w:val="none"/>
          <w:lang w:val="zh-CN"/>
        </w:rPr>
        <w:t>招标人权属子公司</w:t>
      </w:r>
      <w:r>
        <w:rPr>
          <w:rFonts w:hint="eastAsia" w:ascii="宋体" w:hAnsi="宋体" w:eastAsia="宋体" w:cs="宋体"/>
          <w:b/>
          <w:bCs/>
          <w:snapToGrid/>
          <w:color w:val="auto"/>
          <w:kern w:val="2"/>
          <w:szCs w:val="21"/>
          <w:highlight w:val="none"/>
          <w:lang w:val="en-US" w:eastAsia="zh-CN"/>
        </w:rPr>
        <w:t>关联公司（</w:t>
      </w:r>
      <w:r>
        <w:rPr>
          <w:rFonts w:hint="eastAsia" w:ascii="宋体" w:hAnsi="宋体" w:eastAsia="宋体" w:cs="宋体"/>
          <w:b/>
          <w:bCs/>
          <w:color w:val="auto"/>
          <w:kern w:val="2"/>
          <w:szCs w:val="21"/>
          <w:highlight w:val="none"/>
          <w:lang w:val="en-US" w:eastAsia="zh-CN"/>
        </w:rPr>
        <w:t>东莞市石鼓净水有限公司关联公司）</w:t>
      </w:r>
      <w:r>
        <w:rPr>
          <w:rFonts w:hint="eastAsia" w:ascii="宋体" w:hAnsi="宋体" w:eastAsia="宋体" w:cs="宋体"/>
          <w:b/>
          <w:bCs/>
          <w:color w:val="auto"/>
          <w:sz w:val="21"/>
          <w:szCs w:val="21"/>
          <w:highlight w:val="none"/>
        </w:rPr>
        <w:t>依据</w:t>
      </w:r>
      <w:r>
        <w:rPr>
          <w:rFonts w:hint="eastAsia" w:ascii="宋体" w:hAnsi="宋体" w:eastAsia="宋体" w:cs="宋体"/>
          <w:b/>
          <w:bCs/>
          <w:color w:val="auto"/>
          <w:sz w:val="21"/>
          <w:szCs w:val="21"/>
          <w:highlight w:val="none"/>
          <w:lang w:val="en-US" w:eastAsia="zh-CN"/>
        </w:rPr>
        <w:t>本项目</w:t>
      </w:r>
      <w:r>
        <w:rPr>
          <w:rFonts w:hint="eastAsia" w:ascii="宋体" w:hAnsi="宋体" w:eastAsia="宋体" w:cs="宋体"/>
          <w:b/>
          <w:bCs/>
          <w:color w:val="auto"/>
          <w:sz w:val="21"/>
          <w:szCs w:val="21"/>
          <w:highlight w:val="none"/>
        </w:rPr>
        <w:t>不含税中标综合单价签订补充协议</w:t>
      </w:r>
      <w:r>
        <w:rPr>
          <w:rFonts w:hint="eastAsia" w:ascii="宋体" w:hAnsi="宋体" w:eastAsia="宋体" w:cs="宋体"/>
          <w:b/>
          <w:bCs/>
          <w:snapToGrid/>
          <w:color w:val="auto"/>
          <w:kern w:val="2"/>
          <w:szCs w:val="21"/>
          <w:highlight w:val="none"/>
          <w:lang w:val="zh-CN"/>
        </w:rPr>
        <w:t>。</w:t>
      </w:r>
    </w:p>
    <w:p w14:paraId="72296343">
      <w:pPr>
        <w:tabs>
          <w:tab w:val="left" w:pos="360"/>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rPr>
      </w:pPr>
      <w:bookmarkStart w:id="427" w:name="_Toc10513_WPSOffice_Level3"/>
      <w:bookmarkStart w:id="428" w:name="_Toc486167701"/>
      <w:bookmarkStart w:id="429" w:name="_Toc450662887"/>
      <w:bookmarkStart w:id="430" w:name="_Toc142508352"/>
    </w:p>
    <w:p w14:paraId="475F5CF7">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31" w:name="_Toc24297"/>
      <w:bookmarkStart w:id="432" w:name="_Toc25892"/>
      <w:bookmarkStart w:id="433" w:name="_Toc8873"/>
      <w:bookmarkStart w:id="434" w:name="_Toc32664"/>
      <w:r>
        <w:rPr>
          <w:rFonts w:hint="eastAsia" w:ascii="宋体" w:hAnsi="宋体" w:eastAsia="宋体" w:cs="宋体"/>
          <w:color w:val="auto"/>
          <w:szCs w:val="21"/>
          <w:highlight w:val="none"/>
          <w:lang w:val="zh-CN"/>
        </w:rPr>
        <w:t>35 履约担保</w:t>
      </w:r>
      <w:bookmarkEnd w:id="427"/>
      <w:bookmarkEnd w:id="428"/>
      <w:bookmarkEnd w:id="429"/>
      <w:bookmarkEnd w:id="430"/>
      <w:bookmarkEnd w:id="431"/>
      <w:bookmarkEnd w:id="432"/>
      <w:bookmarkEnd w:id="433"/>
      <w:bookmarkEnd w:id="434"/>
    </w:p>
    <w:p w14:paraId="3CC51195">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435" w:name="_Toc465358977"/>
      <w:bookmarkStart w:id="436" w:name="_Toc466882025"/>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中标人应在签订合同前，按本招标文件规定金额及形式要求，向招标人或招标人权属子公司提交不可撤销银行履约保函（或履约保证金</w:t>
      </w:r>
      <w:r>
        <w:rPr>
          <w:rFonts w:hint="eastAsia" w:ascii="宋体" w:hAnsi="宋体" w:eastAsia="宋体" w:cs="Times New Roman"/>
          <w:b/>
          <w:bCs/>
          <w:color w:val="auto"/>
          <w:szCs w:val="21"/>
          <w:highlight w:val="none"/>
          <w:u w:val="single"/>
          <w:lang w:val="en-US" w:eastAsia="zh-CN"/>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否则招标人可取消中标人的中标资格，</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其中，采用履约保证金（银行转账形式）的金额为暂定总合同价的5%，采用不可撤销银行履约保函形式的金额为暂定总合同价的8%，采用</w:t>
      </w:r>
      <w:r>
        <w:rPr>
          <w:rFonts w:hint="eastAsia" w:ascii="宋体" w:hAnsi="宋体" w:eastAsia="宋体" w:cs="Times New Roman"/>
          <w:b/>
          <w:bCs/>
          <w:color w:val="auto"/>
          <w:szCs w:val="21"/>
          <w:highlight w:val="none"/>
          <w:u w:val="single"/>
          <w:lang w:val="en-US" w:eastAsia="zh-CN"/>
        </w:rPr>
        <w:t>履约保证保险</w:t>
      </w:r>
      <w:r>
        <w:rPr>
          <w:rFonts w:hint="eastAsia" w:ascii="宋体" w:hAnsi="宋体" w:eastAsia="宋体" w:cs="Times New Roman"/>
          <w:b/>
          <w:bCs/>
          <w:color w:val="auto"/>
          <w:szCs w:val="21"/>
          <w:highlight w:val="none"/>
          <w:u w:val="single"/>
          <w:lang w:val="zh-CN"/>
        </w:rPr>
        <w:t>形式的金额为暂定总合同价的8%，采用担保公司履约担保书形式的金额为暂定总合同价的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w:t>
      </w:r>
      <w:r>
        <w:rPr>
          <w:rFonts w:hint="eastAsia" w:ascii="宋体" w:hAnsi="宋体" w:eastAsia="宋体" w:cs="Arial"/>
          <w:color w:val="auto"/>
          <w:kern w:val="0"/>
          <w:szCs w:val="24"/>
          <w:highlight w:val="none"/>
          <w:lang w:val="en-US" w:eastAsia="zh-CN"/>
        </w:rPr>
        <w:t>或招标人权属子公司</w:t>
      </w:r>
      <w:r>
        <w:rPr>
          <w:rFonts w:hint="eastAsia" w:ascii="宋体" w:hAnsi="宋体" w:eastAsia="宋体" w:cs="Arial"/>
          <w:color w:val="auto"/>
          <w:kern w:val="0"/>
          <w:szCs w:val="24"/>
          <w:highlight w:val="none"/>
        </w:rPr>
        <w:t>造成的损失超过履约担保数额的，中标人还应当对超过部分予以赔偿，招标人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Arial"/>
          <w:color w:val="auto"/>
          <w:kern w:val="0"/>
          <w:szCs w:val="24"/>
          <w:highlight w:val="none"/>
        </w:rPr>
        <w:t>并依法追究中标人的相应责任。</w:t>
      </w:r>
    </w:p>
    <w:p w14:paraId="6CC4FF89">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Times New Roman"/>
          <w:color w:val="auto"/>
          <w:kern w:val="0"/>
          <w:szCs w:val="21"/>
          <w:highlight w:val="none"/>
        </w:rPr>
        <w:t>因中标人不能完全履行其合同义务而蒙受的损失或其他合同约定的事项。如发生下列任一情况时，招标人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Times New Roman"/>
          <w:color w:val="auto"/>
          <w:kern w:val="0"/>
          <w:szCs w:val="21"/>
          <w:highlight w:val="none"/>
        </w:rPr>
        <w:t>有权依合同追究违约责任外，同时有权提取履约担保并进行相应处理</w:t>
      </w:r>
      <w:r>
        <w:rPr>
          <w:rFonts w:hint="eastAsia" w:ascii="宋体" w:hAnsi="宋体" w:eastAsia="宋体" w:cs="宋体"/>
          <w:color w:val="auto"/>
          <w:kern w:val="0"/>
          <w:szCs w:val="21"/>
          <w:highlight w:val="none"/>
        </w:rPr>
        <w:t>：</w:t>
      </w:r>
    </w:p>
    <w:p w14:paraId="63D7D96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Times New Roman"/>
          <w:color w:val="auto"/>
          <w:kern w:val="0"/>
          <w:szCs w:val="21"/>
          <w:highlight w:val="none"/>
        </w:rPr>
        <w:t>书面同意将部分权利义务转让给第三方的，招标人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Times New Roman"/>
          <w:color w:val="auto"/>
          <w:kern w:val="0"/>
          <w:szCs w:val="21"/>
          <w:highlight w:val="none"/>
        </w:rPr>
        <w:t>有权没收其履约担保。</w:t>
      </w:r>
    </w:p>
    <w:p w14:paraId="31A5A02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Times New Roman"/>
          <w:color w:val="auto"/>
          <w:kern w:val="0"/>
          <w:szCs w:val="21"/>
          <w:highlight w:val="none"/>
        </w:rPr>
        <w:t>通知或要求承担违约金后仍拒不改正的，招标人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Times New Roman"/>
          <w:color w:val="auto"/>
          <w:kern w:val="0"/>
          <w:szCs w:val="21"/>
          <w:highlight w:val="none"/>
        </w:rPr>
        <w:t>可依法没收或适当扣除其履约担保。</w:t>
      </w:r>
    </w:p>
    <w:p w14:paraId="3224B78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服务质量问题造成损害、侵权损失（包括但不限于招标人</w:t>
      </w:r>
      <w:r>
        <w:rPr>
          <w:rFonts w:hint="eastAsia" w:ascii="宋体" w:hAnsi="宋体" w:eastAsia="宋体" w:cs="Times New Roman"/>
          <w:b w:val="0"/>
          <w:bCs/>
          <w:color w:val="auto"/>
          <w:szCs w:val="21"/>
          <w:highlight w:val="none"/>
          <w:u w:val="none"/>
          <w:lang w:val="en-US" w:eastAsia="zh-CN"/>
        </w:rPr>
        <w:t>或招标人权属子公司</w:t>
      </w:r>
      <w:r>
        <w:rPr>
          <w:rFonts w:ascii="宋体" w:hAnsi="宋体" w:eastAsia="宋体" w:cs="Times New Roman"/>
          <w:color w:val="auto"/>
          <w:kern w:val="0"/>
          <w:szCs w:val="21"/>
          <w:highlight w:val="none"/>
        </w:rPr>
        <w:t>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Times New Roman"/>
          <w:color w:val="auto"/>
          <w:kern w:val="0"/>
          <w:szCs w:val="21"/>
          <w:highlight w:val="none"/>
        </w:rPr>
        <w:t>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Times New Roman"/>
          <w:color w:val="auto"/>
          <w:kern w:val="0"/>
          <w:szCs w:val="21"/>
          <w:highlight w:val="none"/>
        </w:rPr>
        <w:t>有权使用履约担保予以支付或作出相应处理，由此产生的一切法律后果由中标人承担。</w:t>
      </w:r>
    </w:p>
    <w:p w14:paraId="4FA9E6B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4）在合同履行期间，中标人违约产生的违约金、赔偿、罚款或其他应付费用等款项，招标人</w:t>
      </w:r>
      <w:r>
        <w:rPr>
          <w:rFonts w:hint="eastAsia" w:ascii="宋体" w:hAnsi="宋体" w:eastAsia="宋体" w:cs="Times New Roman"/>
          <w:b w:val="0"/>
          <w:bCs/>
          <w:color w:val="auto"/>
          <w:szCs w:val="21"/>
          <w:highlight w:val="none"/>
          <w:u w:val="none"/>
          <w:lang w:val="en-US" w:eastAsia="zh-CN"/>
        </w:rPr>
        <w:t>或招标人权属子公司</w:t>
      </w:r>
      <w:r>
        <w:rPr>
          <w:rFonts w:ascii="宋体" w:hAnsi="宋体" w:eastAsia="宋体" w:cs="Times New Roman"/>
          <w:color w:val="auto"/>
          <w:kern w:val="0"/>
          <w:szCs w:val="21"/>
          <w:highlight w:val="none"/>
        </w:rPr>
        <w:t>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1B98A30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5）合同期内，中标人不能及时完成合同某项义务的，招标人</w:t>
      </w:r>
      <w:r>
        <w:rPr>
          <w:rFonts w:hint="eastAsia" w:ascii="宋体" w:hAnsi="宋体" w:eastAsia="宋体" w:cs="Times New Roman"/>
          <w:b w:val="0"/>
          <w:bCs/>
          <w:color w:val="auto"/>
          <w:szCs w:val="21"/>
          <w:highlight w:val="none"/>
          <w:u w:val="none"/>
          <w:lang w:val="en-US" w:eastAsia="zh-CN"/>
        </w:rPr>
        <w:t>或招标人权属子公司</w:t>
      </w:r>
      <w:r>
        <w:rPr>
          <w:rFonts w:ascii="宋体" w:hAnsi="宋体" w:eastAsia="宋体" w:cs="Times New Roman"/>
          <w:color w:val="auto"/>
          <w:kern w:val="0"/>
          <w:szCs w:val="21"/>
          <w:highlight w:val="none"/>
        </w:rPr>
        <w:t>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76019F3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6）其他根据本合同约定或法律规定，招标人</w:t>
      </w:r>
      <w:r>
        <w:rPr>
          <w:rFonts w:hint="eastAsia" w:ascii="宋体" w:hAnsi="宋体" w:eastAsia="宋体" w:cs="Times New Roman"/>
          <w:b w:val="0"/>
          <w:bCs/>
          <w:color w:val="auto"/>
          <w:szCs w:val="21"/>
          <w:highlight w:val="none"/>
          <w:u w:val="none"/>
          <w:lang w:val="en-US" w:eastAsia="zh-CN"/>
        </w:rPr>
        <w:t>或招标人权属子公司</w:t>
      </w:r>
      <w:r>
        <w:rPr>
          <w:rFonts w:ascii="宋体" w:hAnsi="宋体" w:eastAsia="宋体" w:cs="Times New Roman"/>
          <w:color w:val="auto"/>
          <w:kern w:val="0"/>
          <w:szCs w:val="21"/>
          <w:highlight w:val="none"/>
        </w:rPr>
        <w:t>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3BD12816">
      <w:pPr>
        <w:tabs>
          <w:tab w:val="left" w:pos="360"/>
          <w:tab w:val="left" w:pos="4725"/>
        </w:tabs>
        <w:autoSpaceDE w:val="0"/>
        <w:autoSpaceDN w:val="0"/>
        <w:adjustRightInd w:val="0"/>
        <w:spacing w:line="360" w:lineRule="auto"/>
        <w:ind w:left="315" w:leftChars="-100" w:hanging="525" w:hangingChars="250"/>
        <w:jc w:val="left"/>
        <w:outlineLvl w:val="9"/>
        <w:rPr>
          <w:rFonts w:ascii="宋体" w:hAnsi="宋体" w:eastAsia="宋体" w:cs="宋体"/>
          <w:color w:val="auto"/>
          <w:kern w:val="0"/>
          <w:szCs w:val="21"/>
          <w:highlight w:val="none"/>
        </w:rPr>
      </w:pPr>
      <w:bookmarkStart w:id="437" w:name="_Toc3538"/>
      <w:bookmarkStart w:id="438" w:name="_Toc29906"/>
      <w:r>
        <w:rPr>
          <w:rFonts w:hint="eastAsia" w:ascii="宋体" w:hAnsi="宋体" w:eastAsia="宋体" w:cs="宋体"/>
          <w:color w:val="auto"/>
          <w:kern w:val="0"/>
          <w:szCs w:val="21"/>
          <w:highlight w:val="none"/>
        </w:rPr>
        <w:t>35.3  履约担保应符合如下规定：</w:t>
      </w:r>
      <w:bookmarkEnd w:id="437"/>
      <w:bookmarkEnd w:id="438"/>
    </w:p>
    <w:p w14:paraId="1643D0C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w:t>
      </w:r>
      <w:r>
        <w:rPr>
          <w:rFonts w:hint="eastAsia" w:ascii="宋体" w:hAnsi="宋体" w:eastAsia="宋体" w:cs="Times New Roman"/>
          <w:b w:val="0"/>
          <w:bCs/>
          <w:color w:val="auto"/>
          <w:szCs w:val="21"/>
          <w:highlight w:val="none"/>
          <w:u w:val="none"/>
          <w:lang w:val="en-US" w:eastAsia="zh-CN"/>
        </w:rPr>
        <w:t>或招标人权属子公司</w:t>
      </w:r>
      <w:r>
        <w:rPr>
          <w:rFonts w:ascii="宋体" w:hAnsi="宋体" w:eastAsia="宋体" w:cs="Times New Roman"/>
          <w:color w:val="auto"/>
          <w:kern w:val="0"/>
          <w:szCs w:val="21"/>
          <w:highlight w:val="none"/>
        </w:rPr>
        <w:t>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14:paraId="48265B5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履约担保书）形式提供履约担保的，投标前应当自行向其拟申请开具保函的银行（</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或担保）机构落实履约保函（或履约保证保险或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w:t>
      </w:r>
      <w:r>
        <w:rPr>
          <w:rFonts w:ascii="宋体" w:hAnsi="宋体" w:eastAsia="宋体" w:cs="Times New Roman"/>
          <w:color w:val="auto"/>
          <w:kern w:val="0"/>
          <w:szCs w:val="21"/>
          <w:highlight w:val="none"/>
        </w:rPr>
        <w:t>，须事先经招标人</w:t>
      </w:r>
      <w:r>
        <w:rPr>
          <w:rFonts w:hint="eastAsia" w:ascii="宋体" w:hAnsi="宋体" w:eastAsia="宋体" w:cs="Times New Roman"/>
          <w:b w:val="0"/>
          <w:bCs/>
          <w:color w:val="auto"/>
          <w:szCs w:val="21"/>
          <w:highlight w:val="none"/>
          <w:u w:val="none"/>
          <w:lang w:val="en-US" w:eastAsia="zh-CN"/>
        </w:rPr>
        <w:t>或招标人权属子公司</w:t>
      </w:r>
      <w:r>
        <w:rPr>
          <w:rFonts w:ascii="宋体" w:hAnsi="宋体" w:eastAsia="宋体" w:cs="Times New Roman"/>
          <w:color w:val="auto"/>
          <w:kern w:val="0"/>
          <w:szCs w:val="21"/>
          <w:highlight w:val="none"/>
        </w:rPr>
        <w:t>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5771125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w:t>
      </w:r>
      <w:r>
        <w:rPr>
          <w:rFonts w:hint="eastAsia" w:ascii="宋体" w:hAnsi="宋体" w:eastAsia="宋体" w:cs="Times New Roman"/>
          <w:color w:val="auto"/>
          <w:kern w:val="0"/>
          <w:szCs w:val="21"/>
          <w:highlight w:val="none"/>
          <w:lang w:val="en-US" w:eastAsia="zh-CN"/>
        </w:rPr>
        <w:t>东莞</w:t>
      </w:r>
      <w:r>
        <w:rPr>
          <w:rFonts w:hint="eastAsia" w:ascii="宋体" w:hAnsi="宋体" w:eastAsia="宋体" w:cs="Times New Roman"/>
          <w:color w:val="auto"/>
          <w:kern w:val="0"/>
          <w:szCs w:val="21"/>
          <w:highlight w:val="none"/>
        </w:rPr>
        <w:t>市国有企业，或政府性融资担保机构（中标人须提供能证明其属于政府性融资担保机构的证明文件），并经招标人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Times New Roman"/>
          <w:color w:val="auto"/>
          <w:kern w:val="0"/>
          <w:szCs w:val="21"/>
          <w:highlight w:val="none"/>
        </w:rPr>
        <w:t>同意，执行本款时所发生的费用由中标人承担。如招标人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Times New Roman"/>
          <w:color w:val="auto"/>
          <w:kern w:val="0"/>
          <w:szCs w:val="21"/>
          <w:highlight w:val="none"/>
        </w:rPr>
        <w:t>合同条款接受担保公司预付款担保函的，对担保机构要求参照本条执行</w:t>
      </w:r>
      <w:r>
        <w:rPr>
          <w:rFonts w:ascii="宋体" w:hAnsi="宋体" w:eastAsia="宋体" w:cs="Times New Roman"/>
          <w:color w:val="auto"/>
          <w:kern w:val="0"/>
          <w:szCs w:val="21"/>
          <w:highlight w:val="none"/>
        </w:rPr>
        <w:t>。</w:t>
      </w:r>
    </w:p>
    <w:p w14:paraId="3E729AA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Times New Roman"/>
          <w:color w:val="auto"/>
          <w:kern w:val="0"/>
          <w:szCs w:val="21"/>
          <w:highlight w:val="none"/>
        </w:rPr>
        <w:t>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w:t>
      </w:r>
      <w:r>
        <w:rPr>
          <w:rFonts w:hint="eastAsia" w:ascii="宋体" w:hAnsi="宋体" w:eastAsia="宋体" w:cs="Times New Roman"/>
          <w:b w:val="0"/>
          <w:bCs/>
          <w:color w:val="auto"/>
          <w:szCs w:val="21"/>
          <w:highlight w:val="none"/>
          <w:u w:val="none"/>
          <w:lang w:val="en-US" w:eastAsia="zh-CN"/>
        </w:rPr>
        <w:t>或招标人权属子公司</w:t>
      </w:r>
      <w:r>
        <w:rPr>
          <w:rFonts w:ascii="宋体" w:hAnsi="宋体" w:eastAsia="宋体" w:cs="Times New Roman"/>
          <w:color w:val="auto"/>
          <w:kern w:val="0"/>
          <w:szCs w:val="21"/>
          <w:highlight w:val="none"/>
        </w:rPr>
        <w:t>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担保公司履约担保书</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Times New Roman"/>
          <w:color w:val="auto"/>
          <w:kern w:val="0"/>
          <w:szCs w:val="21"/>
          <w:highlight w:val="none"/>
        </w:rPr>
        <w:t>要求重新提供的，招标人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Times New Roman"/>
          <w:color w:val="auto"/>
          <w:kern w:val="0"/>
          <w:szCs w:val="21"/>
          <w:highlight w:val="none"/>
        </w:rPr>
        <w:t>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14:paraId="5D03E38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Times New Roman"/>
          <w:color w:val="auto"/>
          <w:kern w:val="0"/>
          <w:szCs w:val="21"/>
          <w:highlight w:val="none"/>
        </w:rPr>
        <w:t>有权按需补足的金额要求中标人承担违约金，并要求限期补足。如中标人仍不补足的，招标人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Times New Roman"/>
          <w:color w:val="auto"/>
          <w:kern w:val="0"/>
          <w:szCs w:val="21"/>
          <w:highlight w:val="none"/>
        </w:rPr>
        <w:t>有权单方解除合同，违约金可直接从未付合同款或履约担保中扣除。</w:t>
      </w:r>
    </w:p>
    <w:p w14:paraId="7BE9991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w:t>
      </w:r>
      <w:r>
        <w:rPr>
          <w:rFonts w:hint="eastAsia" w:ascii="宋体" w:hAnsi="宋体" w:eastAsia="宋体" w:cs="Times New Roman"/>
          <w:color w:val="auto"/>
          <w:kern w:val="0"/>
          <w:szCs w:val="21"/>
          <w:highlight w:val="none"/>
        </w:rPr>
        <w:t>可撤销银行履约保函（或履约保证保险或担保公司履约担保书）应从合同签订之日起（或签订合同前）至合同期限届满并全部货物经最终验收合格</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招标人或招标人权属子公司向中标人支付全部货款（除质保金）后二十八（28）日内</w:t>
      </w:r>
      <w:r>
        <w:rPr>
          <w:rFonts w:ascii="宋体" w:hAnsi="宋体" w:eastAsia="宋体" w:cs="Times New Roman"/>
          <w:color w:val="auto"/>
          <w:kern w:val="0"/>
          <w:szCs w:val="21"/>
          <w:highlight w:val="none"/>
        </w:rPr>
        <w:t>保持有效</w:t>
      </w:r>
      <w:r>
        <w:rPr>
          <w:rFonts w:hint="eastAsia" w:ascii="宋体" w:hAnsi="宋体" w:eastAsia="宋体" w:cs="宋体"/>
          <w:color w:val="auto"/>
          <w:kern w:val="0"/>
          <w:szCs w:val="21"/>
          <w:highlight w:val="none"/>
        </w:rPr>
        <w:t>。</w:t>
      </w:r>
    </w:p>
    <w:p w14:paraId="6FC8A82F">
      <w:pPr>
        <w:tabs>
          <w:tab w:val="left" w:pos="360"/>
          <w:tab w:val="left" w:pos="4725"/>
        </w:tabs>
        <w:autoSpaceDE w:val="0"/>
        <w:autoSpaceDN w:val="0"/>
        <w:adjustRightInd w:val="0"/>
        <w:spacing w:line="360" w:lineRule="auto"/>
        <w:ind w:left="315" w:leftChars="-100" w:hanging="525" w:hangingChars="250"/>
        <w:jc w:val="left"/>
        <w:outlineLvl w:val="9"/>
        <w:rPr>
          <w:rFonts w:ascii="宋体" w:hAnsi="宋体" w:eastAsia="宋体" w:cs="宋体"/>
          <w:color w:val="auto"/>
          <w:kern w:val="0"/>
          <w:szCs w:val="21"/>
          <w:highlight w:val="none"/>
        </w:rPr>
      </w:pPr>
      <w:bookmarkStart w:id="439" w:name="_Toc12659"/>
      <w:bookmarkStart w:id="440" w:name="_Toc30487"/>
      <w:r>
        <w:rPr>
          <w:rFonts w:hint="eastAsia" w:ascii="宋体" w:hAnsi="宋体" w:eastAsia="宋体" w:cs="宋体"/>
          <w:color w:val="auto"/>
          <w:kern w:val="0"/>
          <w:szCs w:val="21"/>
          <w:highlight w:val="none"/>
        </w:rPr>
        <w:t>35.4  履约保证金应用本合同货币。</w:t>
      </w:r>
      <w:bookmarkEnd w:id="439"/>
      <w:bookmarkEnd w:id="440"/>
    </w:p>
    <w:p w14:paraId="541F87C8">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也可以按招标文件约定的额度和时间，向招标人</w:t>
      </w:r>
      <w:r>
        <w:rPr>
          <w:rFonts w:hint="eastAsia" w:ascii="宋体" w:hAnsi="宋体" w:eastAsia="宋体" w:cs="Times New Roman"/>
          <w:b w:val="0"/>
          <w:bCs/>
          <w:color w:val="auto"/>
          <w:szCs w:val="21"/>
          <w:highlight w:val="none"/>
          <w:u w:val="none"/>
          <w:lang w:val="en-US" w:eastAsia="zh-CN"/>
        </w:rPr>
        <w:t>或招标人权属子公司</w:t>
      </w:r>
      <w:r>
        <w:rPr>
          <w:rFonts w:ascii="宋体" w:hAnsi="宋体" w:eastAsia="宋体" w:cs="Times New Roman"/>
          <w:color w:val="auto"/>
          <w:kern w:val="0"/>
          <w:szCs w:val="21"/>
          <w:highlight w:val="none"/>
        </w:rPr>
        <w:t>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w:t>
      </w:r>
      <w:r>
        <w:rPr>
          <w:rFonts w:hint="eastAsia" w:ascii="宋体" w:hAnsi="宋体" w:eastAsia="宋体" w:cs="Times New Roman"/>
          <w:b w:val="0"/>
          <w:bCs/>
          <w:color w:val="auto"/>
          <w:szCs w:val="21"/>
          <w:highlight w:val="none"/>
          <w:u w:val="none"/>
          <w:lang w:val="en-US" w:eastAsia="zh-CN"/>
        </w:rPr>
        <w:t>或招标人权属子公司</w:t>
      </w:r>
      <w:r>
        <w:rPr>
          <w:rFonts w:ascii="宋体" w:hAnsi="宋体" w:eastAsia="宋体" w:cs="Times New Roman"/>
          <w:color w:val="auto"/>
          <w:kern w:val="0"/>
          <w:szCs w:val="21"/>
          <w:highlight w:val="none"/>
        </w:rPr>
        <w:t>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5F6B6654">
      <w:pPr>
        <w:tabs>
          <w:tab w:val="left" w:pos="360"/>
          <w:tab w:val="left" w:pos="4725"/>
        </w:tabs>
        <w:autoSpaceDE w:val="0"/>
        <w:autoSpaceDN w:val="0"/>
        <w:adjustRightInd w:val="0"/>
        <w:spacing w:line="360" w:lineRule="auto"/>
        <w:ind w:firstLine="632" w:firstLineChars="300"/>
        <w:jc w:val="left"/>
        <w:outlineLvl w:val="9"/>
        <w:rPr>
          <w:rFonts w:ascii="宋体" w:hAnsi="宋体" w:eastAsia="宋体" w:cs="宋体"/>
          <w:b/>
          <w:color w:val="auto"/>
          <w:kern w:val="0"/>
          <w:szCs w:val="21"/>
          <w:highlight w:val="none"/>
        </w:rPr>
      </w:pPr>
      <w:bookmarkStart w:id="441" w:name="_Toc12123"/>
      <w:bookmarkStart w:id="442" w:name="_Toc21257"/>
      <w:r>
        <w:rPr>
          <w:rFonts w:hint="eastAsia" w:ascii="宋体" w:hAnsi="宋体" w:eastAsia="宋体" w:cs="宋体"/>
          <w:b/>
          <w:color w:val="auto"/>
          <w:kern w:val="0"/>
          <w:szCs w:val="21"/>
          <w:highlight w:val="none"/>
        </w:rPr>
        <w:t>东莞市石鼓净水有限公司履约保证金账户：</w:t>
      </w:r>
      <w:r>
        <w:rPr>
          <w:rFonts w:hint="eastAsia" w:ascii="宋体" w:hAnsi="宋体" w:eastAsia="宋体" w:cs="宋体"/>
          <w:b/>
          <w:color w:val="auto"/>
          <w:kern w:val="0"/>
          <w:szCs w:val="21"/>
          <w:highlight w:val="none"/>
          <w:u w:val="single"/>
        </w:rPr>
        <w:t>（特别提醒，本账户非投标保证金账户）</w:t>
      </w:r>
      <w:bookmarkEnd w:id="441"/>
      <w:bookmarkEnd w:id="442"/>
    </w:p>
    <w:p w14:paraId="0B1611A7">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开户名称：东莞市石鼓净水有限公司</w:t>
      </w:r>
    </w:p>
    <w:p w14:paraId="1B8D0B96">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银行账号：944004010000157127</w:t>
      </w:r>
    </w:p>
    <w:p w14:paraId="2F7DCCA8">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开户银行：邮政储蓄东莞分行</w:t>
      </w:r>
    </w:p>
    <w:p w14:paraId="206BD54E">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Times New Roman"/>
          <w:color w:val="auto"/>
          <w:kern w:val="0"/>
          <w:szCs w:val="24"/>
          <w:highlight w:val="none"/>
        </w:rPr>
        <w:t>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Times New Roman"/>
          <w:color w:val="auto"/>
          <w:szCs w:val="21"/>
          <w:highlight w:val="none"/>
          <w:lang w:val="zh-CN"/>
        </w:rPr>
        <w:t>，由招标人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Times New Roman"/>
          <w:color w:val="auto"/>
          <w:szCs w:val="21"/>
          <w:highlight w:val="none"/>
          <w:lang w:val="zh-CN"/>
        </w:rPr>
        <w:t>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14:paraId="312CA60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w:t>
      </w:r>
      <w:r>
        <w:rPr>
          <w:rFonts w:hint="eastAsia" w:ascii="宋体" w:hAnsi="宋体" w:eastAsia="宋体" w:cs="宋体"/>
          <w:color w:val="auto"/>
          <w:kern w:val="0"/>
          <w:szCs w:val="21"/>
          <w:highlight w:val="none"/>
          <w:lang w:eastAsia="zh-CN"/>
        </w:rPr>
        <w:t>，</w:t>
      </w:r>
      <w:r>
        <w:rPr>
          <w:rFonts w:hint="eastAsia" w:ascii="宋体" w:hAnsi="宋体" w:eastAsia="宋体" w:cs="Times New Roman"/>
          <w:color w:val="auto"/>
          <w:kern w:val="0"/>
          <w:szCs w:val="21"/>
          <w:highlight w:val="none"/>
          <w:lang w:eastAsia="zh-CN"/>
        </w:rPr>
        <w:t>在合同期限届满并全部货物经最终验收合格</w:t>
      </w:r>
      <w:r>
        <w:rPr>
          <w:rFonts w:hint="eastAsia" w:ascii="宋体" w:hAnsi="宋体" w:eastAsia="宋体" w:cs="Times New Roman"/>
          <w:color w:val="auto"/>
          <w:kern w:val="0"/>
          <w:szCs w:val="21"/>
          <w:highlight w:val="none"/>
          <w:lang w:val="zh-CN" w:eastAsia="zh-CN"/>
        </w:rPr>
        <w:t>，</w:t>
      </w:r>
      <w:r>
        <w:rPr>
          <w:rFonts w:hint="eastAsia" w:ascii="宋体" w:hAnsi="宋体" w:eastAsia="宋体" w:cs="宋体"/>
          <w:color w:val="auto"/>
          <w:kern w:val="0"/>
          <w:szCs w:val="21"/>
          <w:highlight w:val="none"/>
        </w:rPr>
        <w:t>招标人或招标人权属子公司向中标人支付全部</w:t>
      </w:r>
      <w:r>
        <w:rPr>
          <w:rFonts w:hint="eastAsia" w:ascii="宋体" w:hAnsi="宋体" w:eastAsia="宋体" w:cs="宋体"/>
          <w:color w:val="auto"/>
          <w:kern w:val="0"/>
          <w:szCs w:val="21"/>
          <w:highlight w:val="none"/>
          <w:lang w:val="en-US" w:eastAsia="zh-CN"/>
        </w:rPr>
        <w:t>货款</w:t>
      </w:r>
      <w:r>
        <w:rPr>
          <w:rFonts w:hint="eastAsia" w:ascii="宋体" w:hAnsi="宋体" w:eastAsia="宋体" w:cs="宋体"/>
          <w:color w:val="auto"/>
          <w:kern w:val="0"/>
          <w:szCs w:val="21"/>
          <w:highlight w:val="none"/>
        </w:rPr>
        <w:t>（除质保金）二十八（28）日</w:t>
      </w:r>
      <w:r>
        <w:rPr>
          <w:rFonts w:ascii="宋体" w:hAnsi="宋体" w:eastAsia="宋体" w:cs="宋体"/>
          <w:color w:val="auto"/>
          <w:kern w:val="0"/>
          <w:szCs w:val="21"/>
          <w:highlight w:val="none"/>
        </w:rPr>
        <w:t>后</w:t>
      </w:r>
      <w:r>
        <w:rPr>
          <w:rFonts w:hint="eastAsia" w:ascii="宋体" w:hAnsi="宋体" w:eastAsia="宋体" w:cs="宋体"/>
          <w:color w:val="auto"/>
          <w:kern w:val="0"/>
          <w:szCs w:val="21"/>
          <w:highlight w:val="none"/>
        </w:rPr>
        <w:t>，经招标人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kern w:val="0"/>
          <w:szCs w:val="21"/>
          <w:highlight w:val="none"/>
        </w:rPr>
        <w:t>确认，中标人可向招标人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kern w:val="0"/>
          <w:szCs w:val="21"/>
          <w:highlight w:val="none"/>
        </w:rPr>
        <w:t>提交退回履约担保的申请。招标人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kern w:val="0"/>
          <w:szCs w:val="21"/>
          <w:highlight w:val="none"/>
        </w:rPr>
        <w:t>审核无异议后，办理履约担保退还手续，退回时一律以银行转账的形式无息退回到中标人的</w:t>
      </w:r>
      <w:r>
        <w:rPr>
          <w:rFonts w:hint="eastAsia" w:ascii="宋体" w:hAnsi="宋体" w:eastAsia="宋体" w:cs="宋体"/>
          <w:color w:val="auto"/>
          <w:kern w:val="0"/>
          <w:szCs w:val="21"/>
          <w:highlight w:val="none"/>
          <w:lang w:val="en-US" w:eastAsia="zh-CN"/>
        </w:rPr>
        <w:t>账</w:t>
      </w:r>
      <w:r>
        <w:rPr>
          <w:rFonts w:hint="eastAsia" w:ascii="宋体" w:hAnsi="宋体" w:eastAsia="宋体" w:cs="宋体"/>
          <w:color w:val="auto"/>
          <w:kern w:val="0"/>
          <w:szCs w:val="21"/>
          <w:highlight w:val="none"/>
        </w:rPr>
        <w:t>户。</w:t>
      </w:r>
    </w:p>
    <w:p w14:paraId="75577FFA">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7E06FCE3">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43" w:name="_Toc23174"/>
      <w:bookmarkStart w:id="444" w:name="_Toc7072"/>
      <w:bookmarkStart w:id="445" w:name="_Toc142508353"/>
      <w:bookmarkStart w:id="446" w:name="_Toc13033"/>
      <w:bookmarkStart w:id="447" w:name="_Toc21389"/>
      <w:bookmarkStart w:id="448" w:name="_Toc486167702"/>
      <w:r>
        <w:rPr>
          <w:rFonts w:hint="eastAsia" w:ascii="宋体" w:hAnsi="宋体" w:eastAsia="宋体" w:cs="宋体"/>
          <w:color w:val="auto"/>
          <w:szCs w:val="21"/>
          <w:highlight w:val="none"/>
          <w:lang w:val="zh-CN"/>
        </w:rPr>
        <w:t>36 在合同履行中变更采购范围的权利</w:t>
      </w:r>
      <w:bookmarkEnd w:id="435"/>
      <w:bookmarkEnd w:id="436"/>
      <w:bookmarkEnd w:id="443"/>
      <w:bookmarkEnd w:id="444"/>
      <w:bookmarkEnd w:id="445"/>
      <w:bookmarkEnd w:id="446"/>
      <w:bookmarkEnd w:id="447"/>
      <w:bookmarkEnd w:id="448"/>
    </w:p>
    <w:p w14:paraId="5E0D09C8">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kern w:val="0"/>
          <w:szCs w:val="21"/>
          <w:highlight w:val="none"/>
        </w:rPr>
        <w:t>在合同约定的范围内，招标人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kern w:val="0"/>
          <w:szCs w:val="21"/>
          <w:highlight w:val="none"/>
        </w:rPr>
        <w:t>有权根据项目实际情况及有关法律法规、政策的规定对采购范围进行变更调整，变更采购范围后，投标人应遵照执行。</w:t>
      </w:r>
    </w:p>
    <w:p w14:paraId="2310C01F">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lang w:val="zh-CN"/>
        </w:rPr>
      </w:pPr>
      <w:bookmarkStart w:id="449" w:name="_Toc450662888"/>
    </w:p>
    <w:p w14:paraId="2B21BCDC">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50" w:name="_Toc27021"/>
      <w:bookmarkStart w:id="451" w:name="_Toc11444"/>
      <w:bookmarkStart w:id="452" w:name="_Toc486167703"/>
      <w:bookmarkStart w:id="453" w:name="_Toc14372"/>
      <w:bookmarkStart w:id="454" w:name="_Toc28921_WPSOffice_Level3"/>
      <w:bookmarkStart w:id="455" w:name="_Toc142508354"/>
      <w:bookmarkStart w:id="456" w:name="_Toc32227"/>
      <w:r>
        <w:rPr>
          <w:rFonts w:hint="eastAsia" w:ascii="宋体" w:hAnsi="宋体" w:eastAsia="宋体" w:cs="宋体"/>
          <w:color w:val="auto"/>
          <w:szCs w:val="21"/>
          <w:highlight w:val="none"/>
          <w:lang w:val="zh-CN"/>
        </w:rPr>
        <w:t>37 中标服务费</w:t>
      </w:r>
      <w:bookmarkEnd w:id="449"/>
      <w:bookmarkEnd w:id="450"/>
      <w:bookmarkEnd w:id="451"/>
      <w:bookmarkEnd w:id="452"/>
      <w:bookmarkEnd w:id="453"/>
      <w:bookmarkEnd w:id="454"/>
      <w:bookmarkEnd w:id="455"/>
      <w:bookmarkEnd w:id="456"/>
    </w:p>
    <w:p w14:paraId="6A3243B2">
      <w:pPr>
        <w:autoSpaceDE w:val="0"/>
        <w:autoSpaceDN w:val="0"/>
        <w:adjustRightInd w:val="0"/>
        <w:spacing w:line="360" w:lineRule="auto"/>
        <w:ind w:left="357" w:leftChars="-100" w:hanging="567" w:hangingChars="270"/>
        <w:jc w:val="left"/>
        <w:outlineLvl w:val="9"/>
        <w:rPr>
          <w:rFonts w:ascii="宋体" w:hAnsi="宋体" w:eastAsia="宋体" w:cs="宋体"/>
          <w:color w:val="auto"/>
          <w:kern w:val="0"/>
          <w:szCs w:val="21"/>
          <w:highlight w:val="none"/>
        </w:rPr>
      </w:pPr>
      <w:bookmarkStart w:id="457" w:name="_Toc9620"/>
      <w:bookmarkStart w:id="458" w:name="_Toc11195"/>
      <w:r>
        <w:rPr>
          <w:rFonts w:hint="eastAsia" w:ascii="宋体" w:hAnsi="宋体" w:eastAsia="宋体" w:cs="宋体"/>
          <w:color w:val="auto"/>
          <w:szCs w:val="21"/>
          <w:highlight w:val="none"/>
          <w:lang w:val="zh-CN"/>
        </w:rPr>
        <w:t>37.1 本项目中标服务费由招标人向招标代理机构支付。</w:t>
      </w:r>
      <w:bookmarkEnd w:id="457"/>
      <w:bookmarkEnd w:id="458"/>
    </w:p>
    <w:p w14:paraId="0FFFC672">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459" w:name="_Toc450662889"/>
    </w:p>
    <w:p w14:paraId="42A31D68">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60" w:name="_Toc486167704"/>
      <w:bookmarkStart w:id="461" w:name="_Toc9757"/>
      <w:bookmarkStart w:id="462" w:name="_Toc6764_WPSOffice_Level3"/>
      <w:bookmarkStart w:id="463" w:name="_Toc26292"/>
      <w:bookmarkStart w:id="464" w:name="_Toc16761"/>
      <w:bookmarkStart w:id="465" w:name="_Toc25763"/>
      <w:bookmarkStart w:id="466" w:name="_Toc142508355"/>
      <w:r>
        <w:rPr>
          <w:rFonts w:hint="eastAsia" w:ascii="宋体" w:hAnsi="宋体" w:eastAsia="宋体" w:cs="宋体"/>
          <w:color w:val="auto"/>
          <w:szCs w:val="21"/>
          <w:highlight w:val="none"/>
          <w:lang w:val="zh-CN"/>
        </w:rPr>
        <w:t>38 发票</w:t>
      </w:r>
      <w:bookmarkEnd w:id="459"/>
      <w:bookmarkEnd w:id="460"/>
      <w:bookmarkEnd w:id="461"/>
      <w:bookmarkEnd w:id="462"/>
      <w:bookmarkEnd w:id="463"/>
      <w:bookmarkEnd w:id="464"/>
      <w:bookmarkEnd w:id="465"/>
      <w:bookmarkEnd w:id="466"/>
    </w:p>
    <w:p w14:paraId="23497C5C">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r>
        <w:rPr>
          <w:rFonts w:hint="eastAsia" w:ascii="宋体" w:hAnsi="宋体" w:eastAsia="宋体" w:cs="Times New Roman"/>
          <w:color w:val="auto"/>
          <w:szCs w:val="21"/>
          <w:highlight w:val="none"/>
          <w:lang w:val="zh-CN"/>
        </w:rPr>
        <w:t>该项目获得中标的中标人在执行合同过程中，向招标人（或招标人的权属</w:t>
      </w:r>
      <w:r>
        <w:rPr>
          <w:rFonts w:hint="eastAsia" w:ascii="宋体" w:hAnsi="宋体" w:eastAsia="宋体" w:cs="Times New Roman"/>
          <w:color w:val="auto"/>
          <w:szCs w:val="21"/>
          <w:highlight w:val="none"/>
          <w:lang w:val="en-US" w:eastAsia="zh-CN"/>
        </w:rPr>
        <w:t>子</w:t>
      </w:r>
      <w:r>
        <w:rPr>
          <w:rFonts w:hint="eastAsia" w:ascii="宋体" w:hAnsi="宋体" w:eastAsia="宋体" w:cs="Times New Roman"/>
          <w:color w:val="auto"/>
          <w:szCs w:val="21"/>
          <w:highlight w:val="none"/>
          <w:lang w:val="zh-CN"/>
        </w:rPr>
        <w:t>公司）出具的发票必须是由中标人开具，不得以其他单位或个人名义出具，本项目中标人向招标人（或招标人的权属</w:t>
      </w:r>
      <w:r>
        <w:rPr>
          <w:rFonts w:hint="eastAsia" w:ascii="宋体" w:hAnsi="宋体" w:eastAsia="宋体" w:cs="Times New Roman"/>
          <w:color w:val="auto"/>
          <w:szCs w:val="21"/>
          <w:highlight w:val="none"/>
          <w:lang w:val="en-US" w:eastAsia="zh-CN"/>
        </w:rPr>
        <w:t>子</w:t>
      </w:r>
      <w:r>
        <w:rPr>
          <w:rFonts w:hint="eastAsia" w:ascii="宋体" w:hAnsi="宋体" w:eastAsia="宋体" w:cs="Times New Roman"/>
          <w:color w:val="auto"/>
          <w:szCs w:val="21"/>
          <w:highlight w:val="none"/>
          <w:lang w:val="zh-CN"/>
        </w:rPr>
        <w:t>公司）出具的发票类型为增值税专用</w:t>
      </w:r>
      <w:r>
        <w:rPr>
          <w:rFonts w:hint="eastAsia" w:ascii="宋体" w:hAnsi="宋体" w:eastAsia="宋体" w:cs="Times New Roman"/>
          <w:color w:val="auto"/>
          <w:szCs w:val="21"/>
          <w:highlight w:val="none"/>
          <w:lang w:val="en-US" w:eastAsia="zh-CN"/>
        </w:rPr>
        <w:t>发票</w:t>
      </w:r>
      <w:r>
        <w:rPr>
          <w:rFonts w:hint="eastAsia" w:ascii="宋体" w:hAnsi="宋体" w:eastAsia="宋体" w:cs="Times New Roman"/>
          <w:color w:val="auto"/>
          <w:szCs w:val="21"/>
          <w:highlight w:val="none"/>
          <w:lang w:val="zh-CN"/>
        </w:rPr>
        <w:t>。</w:t>
      </w:r>
      <w:bookmarkStart w:id="467" w:name="_Toc486167705"/>
      <w:bookmarkStart w:id="468" w:name="_Toc31106_WPSOffice_Level3"/>
    </w:p>
    <w:p w14:paraId="68DF37F8">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5CDDE626">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bCs/>
          <w:color w:val="auto"/>
          <w:szCs w:val="21"/>
          <w:highlight w:val="none"/>
          <w:lang w:val="zh-CN"/>
        </w:rPr>
      </w:pPr>
      <w:bookmarkStart w:id="469" w:name="_Toc142508356"/>
      <w:bookmarkStart w:id="470" w:name="_Toc27580"/>
      <w:bookmarkStart w:id="471" w:name="_Toc16304"/>
      <w:bookmarkStart w:id="472" w:name="_Toc30423"/>
      <w:bookmarkStart w:id="473" w:name="_Toc4658"/>
      <w:r>
        <w:rPr>
          <w:rFonts w:hint="eastAsia" w:ascii="宋体" w:hAnsi="宋体" w:eastAsia="宋体" w:cs="宋体"/>
          <w:b/>
          <w:bCs/>
          <w:color w:val="auto"/>
          <w:szCs w:val="21"/>
          <w:highlight w:val="none"/>
          <w:lang w:val="zh-CN"/>
        </w:rPr>
        <w:t>39 招标相关补充约定</w:t>
      </w:r>
      <w:bookmarkEnd w:id="469"/>
      <w:bookmarkEnd w:id="470"/>
      <w:bookmarkEnd w:id="471"/>
      <w:bookmarkEnd w:id="472"/>
      <w:bookmarkEnd w:id="473"/>
    </w:p>
    <w:p w14:paraId="66DCE6FD">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lang w:val="en-US" w:eastAsia="zh-CN"/>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lang w:val="en-US" w:eastAsia="zh-CN"/>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14:paraId="69E28612">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0B9F7B7F">
      <w:pPr>
        <w:tabs>
          <w:tab w:val="left" w:pos="567"/>
        </w:tabs>
        <w:autoSpaceDE w:val="0"/>
        <w:autoSpaceDN w:val="0"/>
        <w:adjustRightInd w:val="0"/>
        <w:spacing w:line="360" w:lineRule="auto"/>
        <w:ind w:left="357" w:leftChars="-100" w:hanging="567"/>
        <w:jc w:val="left"/>
        <w:outlineLvl w:val="2"/>
        <w:rPr>
          <w:color w:val="auto"/>
          <w:highlight w:val="none"/>
          <w:lang w:val="zh-CN"/>
        </w:rPr>
      </w:pPr>
      <w:bookmarkStart w:id="474" w:name="_Toc142508357"/>
      <w:bookmarkStart w:id="475" w:name="_Toc32025"/>
      <w:bookmarkStart w:id="476" w:name="_Toc26725"/>
      <w:bookmarkStart w:id="477" w:name="_Toc25568"/>
      <w:bookmarkStart w:id="478" w:name="_Toc14491"/>
      <w:r>
        <w:rPr>
          <w:rFonts w:hint="eastAsia" w:ascii="宋体" w:hAnsi="宋体" w:eastAsia="宋体" w:cs="宋体"/>
          <w:color w:val="auto"/>
          <w:szCs w:val="21"/>
          <w:highlight w:val="none"/>
          <w:lang w:val="zh-CN"/>
        </w:rPr>
        <w:t>40 本次招标活动的最终解释权归招标代理机构及招标人所有。</w:t>
      </w:r>
      <w:bookmarkEnd w:id="467"/>
      <w:bookmarkEnd w:id="468"/>
      <w:bookmarkEnd w:id="474"/>
      <w:bookmarkEnd w:id="475"/>
      <w:bookmarkEnd w:id="476"/>
      <w:bookmarkEnd w:id="477"/>
      <w:bookmarkStart w:id="479" w:name="_Toc142508358"/>
      <w:bookmarkStart w:id="480" w:name="_Toc450662891"/>
      <w:bookmarkStart w:id="481" w:name="_Toc4217"/>
      <w:bookmarkStart w:id="482" w:name="_Toc28218"/>
      <w:bookmarkStart w:id="483" w:name="_Toc486167706"/>
      <w:bookmarkStart w:id="484" w:name="_Toc29361"/>
      <w:bookmarkStart w:id="485" w:name="_Toc27939_WPSOffice_Level1"/>
      <w:r>
        <w:rPr>
          <w:rFonts w:hint="eastAsia" w:ascii="宋体" w:hAnsi="宋体" w:eastAsia="宋体" w:cs="宋体"/>
          <w:color w:val="auto"/>
          <w:szCs w:val="21"/>
          <w:highlight w:val="none"/>
          <w:lang w:val="zh-CN"/>
        </w:rPr>
        <w:br w:type="page"/>
      </w:r>
      <w:bookmarkEnd w:id="478"/>
    </w:p>
    <w:p w14:paraId="372786C8">
      <w:pPr>
        <w:pageBreakBefore/>
        <w:tabs>
          <w:tab w:val="left" w:pos="1080"/>
        </w:tabs>
        <w:autoSpaceDE w:val="0"/>
        <w:autoSpaceDN w:val="0"/>
        <w:adjustRightInd w:val="0"/>
        <w:spacing w:line="360" w:lineRule="auto"/>
        <w:ind w:left="357" w:leftChars="-100" w:hanging="567"/>
        <w:jc w:val="center"/>
        <w:outlineLvl w:val="1"/>
        <w:rPr>
          <w:rFonts w:ascii="宋体" w:hAnsi="宋体" w:eastAsia="宋体" w:cs="宋体"/>
          <w:b/>
          <w:bCs/>
          <w:color w:val="auto"/>
          <w:kern w:val="44"/>
          <w:sz w:val="32"/>
          <w:szCs w:val="32"/>
          <w:highlight w:val="none"/>
          <w:lang w:val="zh-CN"/>
        </w:rPr>
      </w:pPr>
      <w:bookmarkStart w:id="486" w:name="_Toc12014"/>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486"/>
    </w:p>
    <w:p w14:paraId="40BB71F3">
      <w:pPr>
        <w:numPr>
          <w:ilvl w:val="0"/>
          <w:numId w:val="2"/>
        </w:numPr>
        <w:autoSpaceDE/>
        <w:autoSpaceDN/>
        <w:adjustRightInd/>
        <w:spacing w:line="360" w:lineRule="auto"/>
        <w:jc w:val="both"/>
        <w:outlineLvl w:val="9"/>
        <w:rPr>
          <w:rFonts w:hint="eastAsia" w:ascii="宋体" w:hAnsi="宋体" w:eastAsia="宋体" w:cs="宋体"/>
          <w:b/>
          <w:color w:val="auto"/>
          <w:sz w:val="21"/>
          <w:szCs w:val="21"/>
          <w:highlight w:val="none"/>
        </w:rPr>
      </w:pPr>
      <w:bookmarkStart w:id="487" w:name="_Toc25536"/>
      <w:bookmarkStart w:id="488" w:name="_Toc1127"/>
      <w:r>
        <w:rPr>
          <w:rFonts w:hint="eastAsia" w:ascii="宋体" w:hAnsi="宋体" w:eastAsia="宋体" w:cs="宋体"/>
          <w:b/>
          <w:color w:val="auto"/>
          <w:sz w:val="21"/>
          <w:szCs w:val="21"/>
          <w:highlight w:val="none"/>
        </w:rPr>
        <w:t>基本招标要求</w:t>
      </w:r>
      <w:bookmarkEnd w:id="487"/>
      <w:bookmarkEnd w:id="488"/>
    </w:p>
    <w:p w14:paraId="64CF4BE6">
      <w:pPr>
        <w:pStyle w:val="129"/>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本次采购东莞市</w:t>
      </w:r>
      <w:r>
        <w:rPr>
          <w:rFonts w:hint="eastAsia" w:ascii="宋体" w:hAnsi="宋体" w:eastAsia="宋体" w:cs="宋体"/>
          <w:color w:val="auto"/>
          <w:sz w:val="21"/>
          <w:szCs w:val="21"/>
          <w:highlight w:val="none"/>
          <w:lang w:val="en-US" w:eastAsia="zh-CN"/>
        </w:rPr>
        <w:t>水务集团净水有限</w:t>
      </w:r>
      <w:r>
        <w:rPr>
          <w:rFonts w:hint="eastAsia" w:ascii="宋体" w:hAnsi="宋体" w:eastAsia="宋体" w:cs="宋体"/>
          <w:color w:val="auto"/>
          <w:sz w:val="21"/>
          <w:szCs w:val="21"/>
          <w:highlight w:val="none"/>
        </w:rPr>
        <w:t>公司旗下运营项目所需生产药剂：</w:t>
      </w:r>
      <w:r>
        <w:rPr>
          <w:rFonts w:hint="eastAsia" w:ascii="宋体" w:hAnsi="宋体" w:eastAsia="宋体" w:cs="宋体"/>
          <w:color w:val="auto"/>
          <w:sz w:val="21"/>
          <w:szCs w:val="21"/>
          <w:highlight w:val="none"/>
          <w:lang w:eastAsia="zh-CN"/>
        </w:rPr>
        <w:t>液体乙酸钠</w:t>
      </w:r>
      <w:r>
        <w:rPr>
          <w:rFonts w:hint="eastAsia" w:ascii="宋体" w:hAnsi="宋体" w:eastAsia="宋体" w:cs="宋体"/>
          <w:color w:val="auto"/>
          <w:sz w:val="21"/>
          <w:szCs w:val="21"/>
          <w:highlight w:val="none"/>
        </w:rPr>
        <w:t>。根据各运营项目进水水质及工艺情况，需使用</w:t>
      </w:r>
      <w:r>
        <w:rPr>
          <w:rFonts w:hint="eastAsia" w:ascii="宋体" w:hAnsi="宋体" w:eastAsia="宋体" w:cs="宋体"/>
          <w:color w:val="auto"/>
          <w:sz w:val="21"/>
          <w:szCs w:val="21"/>
          <w:highlight w:val="none"/>
          <w:lang w:eastAsia="zh-CN"/>
        </w:rPr>
        <w:t>液体乙酸钠</w:t>
      </w:r>
      <w:r>
        <w:rPr>
          <w:rFonts w:hint="eastAsia" w:ascii="宋体" w:hAnsi="宋体" w:eastAsia="宋体" w:cs="宋体"/>
          <w:color w:val="auto"/>
          <w:sz w:val="21"/>
          <w:szCs w:val="21"/>
          <w:highlight w:val="none"/>
        </w:rPr>
        <w:t>（以下简称“生产药剂”）作为外加碳源。具体供货项目和供货量根据实际运营需求，并结合招标人运营项目使用中标</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提供的药剂样品所做的小试、项目实际使用效果确定。</w:t>
      </w:r>
    </w:p>
    <w:p w14:paraId="51659008">
      <w:pPr>
        <w:pStyle w:val="129"/>
        <w:autoSpaceDE/>
        <w:autoSpaceDN/>
        <w:adjustRightInd/>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本次招标人以公开招标方式确定1家供货单位，分别向招标人运营项目供货。</w:t>
      </w:r>
      <w:bookmarkStart w:id="489" w:name="OLE_LINK13"/>
      <w:r>
        <w:rPr>
          <w:rFonts w:hint="eastAsia" w:ascii="宋体" w:hAnsi="宋体" w:eastAsia="宋体" w:cs="宋体"/>
          <w:color w:val="auto"/>
          <w:sz w:val="21"/>
          <w:szCs w:val="21"/>
          <w:highlight w:val="none"/>
          <w:lang w:val="en-US" w:eastAsia="zh-CN"/>
        </w:rPr>
        <w:t>招标人或招标人权属子公司与中标人签订采购合同。</w:t>
      </w:r>
      <w:bookmarkEnd w:id="489"/>
    </w:p>
    <w:p w14:paraId="1AFFEBD0">
      <w:pPr>
        <w:pStyle w:val="129"/>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供货期：自合同签订之日起至202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年12月31日止，具体供货起始日期以</w:t>
      </w:r>
      <w:bookmarkStart w:id="490" w:name="OLE_LINK2"/>
      <w:r>
        <w:rPr>
          <w:rFonts w:hint="eastAsia" w:ascii="宋体" w:hAnsi="宋体" w:eastAsia="宋体" w:cs="宋体"/>
          <w:color w:val="auto"/>
          <w:sz w:val="21"/>
          <w:szCs w:val="21"/>
          <w:highlight w:val="none"/>
        </w:rPr>
        <w:t>招标人</w:t>
      </w:r>
      <w:bookmarkStart w:id="491" w:name="OLE_LINK14"/>
      <w:r>
        <w:rPr>
          <w:rFonts w:hint="eastAsia" w:ascii="宋体" w:hAnsi="宋体" w:eastAsia="宋体" w:cs="宋体"/>
          <w:color w:val="auto"/>
          <w:sz w:val="21"/>
          <w:szCs w:val="21"/>
          <w:highlight w:val="none"/>
        </w:rPr>
        <w:t>或招标人权属子公司</w:t>
      </w:r>
      <w:bookmarkEnd w:id="490"/>
      <w:bookmarkEnd w:id="491"/>
      <w:r>
        <w:rPr>
          <w:rFonts w:hint="eastAsia" w:ascii="宋体" w:hAnsi="宋体" w:eastAsia="宋体" w:cs="宋体"/>
          <w:color w:val="auto"/>
          <w:sz w:val="21"/>
          <w:szCs w:val="21"/>
          <w:highlight w:val="none"/>
        </w:rPr>
        <w:t>书面通知为准，投标人收到招标人</w:t>
      </w:r>
      <w:bookmarkStart w:id="492" w:name="OLE_LINK22"/>
      <w:r>
        <w:rPr>
          <w:rFonts w:hint="eastAsia" w:ascii="宋体" w:hAnsi="宋体" w:eastAsia="宋体" w:cs="宋体"/>
          <w:color w:val="auto"/>
          <w:sz w:val="21"/>
          <w:szCs w:val="21"/>
          <w:highlight w:val="none"/>
        </w:rPr>
        <w:t>或招标人权属子公司</w:t>
      </w:r>
      <w:bookmarkEnd w:id="492"/>
      <w:r>
        <w:rPr>
          <w:rFonts w:hint="eastAsia" w:ascii="宋体" w:hAnsi="宋体" w:eastAsia="宋体" w:cs="宋体"/>
          <w:color w:val="auto"/>
          <w:sz w:val="21"/>
          <w:szCs w:val="21"/>
          <w:highlight w:val="none"/>
        </w:rPr>
        <w:t>通知后必须无条件按照招标人的要求开始供货，供货期结束后，按招标人实际生产需要，经双方协商同意后，可签订补充协议延长不超过三个月的供货期。</w:t>
      </w:r>
    </w:p>
    <w:p w14:paraId="0D942C59">
      <w:pPr>
        <w:numPr>
          <w:ilvl w:val="0"/>
          <w:numId w:val="2"/>
        </w:numPr>
        <w:autoSpaceDE/>
        <w:autoSpaceDN/>
        <w:adjustRightInd/>
        <w:spacing w:line="360" w:lineRule="auto"/>
        <w:jc w:val="both"/>
        <w:outlineLvl w:val="9"/>
        <w:rPr>
          <w:rFonts w:hint="eastAsia" w:ascii="宋体" w:hAnsi="宋体" w:eastAsia="宋体" w:cs="宋体"/>
          <w:b/>
          <w:color w:val="auto"/>
          <w:sz w:val="21"/>
          <w:szCs w:val="21"/>
          <w:highlight w:val="none"/>
        </w:rPr>
      </w:pPr>
      <w:bookmarkStart w:id="493" w:name="_Toc5339"/>
      <w:bookmarkStart w:id="494" w:name="_Toc6720"/>
      <w:r>
        <w:rPr>
          <w:rFonts w:hint="eastAsia" w:ascii="宋体" w:hAnsi="宋体" w:eastAsia="宋体" w:cs="宋体"/>
          <w:b/>
          <w:color w:val="auto"/>
          <w:sz w:val="21"/>
          <w:szCs w:val="21"/>
          <w:highlight w:val="none"/>
        </w:rPr>
        <w:t>标的物</w:t>
      </w:r>
      <w:bookmarkEnd w:id="493"/>
      <w:bookmarkEnd w:id="494"/>
    </w:p>
    <w:p w14:paraId="1D72D753">
      <w:pPr>
        <w:numPr>
          <w:ilvl w:val="0"/>
          <w:numId w:val="3"/>
        </w:num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产品名称：</w:t>
      </w:r>
      <w:r>
        <w:rPr>
          <w:rFonts w:hint="eastAsia" w:ascii="宋体" w:hAnsi="宋体" w:eastAsia="宋体" w:cs="宋体"/>
          <w:color w:val="auto"/>
          <w:sz w:val="21"/>
          <w:szCs w:val="21"/>
          <w:highlight w:val="none"/>
          <w:lang w:eastAsia="zh-CN"/>
        </w:rPr>
        <w:t>液体乙酸钠</w:t>
      </w:r>
    </w:p>
    <w:p w14:paraId="60A40DDC">
      <w:pPr>
        <w:numPr>
          <w:ilvl w:val="0"/>
          <w:numId w:val="3"/>
        </w:num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暂定采购数量：</w:t>
      </w:r>
      <w:r>
        <w:rPr>
          <w:rFonts w:hint="eastAsia" w:ascii="宋体" w:hAnsi="宋体" w:eastAsia="宋体" w:cs="宋体"/>
          <w:color w:val="auto"/>
          <w:szCs w:val="21"/>
          <w:highlight w:val="none"/>
          <w:lang w:val="en-US" w:eastAsia="zh-CN"/>
        </w:rPr>
        <w:t>14427.652</w:t>
      </w:r>
      <w:r>
        <w:rPr>
          <w:rFonts w:hint="eastAsia" w:ascii="宋体" w:hAnsi="宋体" w:eastAsia="宋体" w:cs="宋体"/>
          <w:color w:val="auto"/>
          <w:sz w:val="21"/>
          <w:szCs w:val="21"/>
          <w:highlight w:val="none"/>
        </w:rPr>
        <w:t>吨</w:t>
      </w:r>
    </w:p>
    <w:p w14:paraId="442EE8B9">
      <w:pPr>
        <w:autoSpaceDE/>
        <w:autoSpaceDN/>
        <w:adjustRightInd/>
        <w:spacing w:line="360" w:lineRule="auto"/>
        <w:ind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★3、本次采购涉及招标人运营项目及采购数量为暂定，仅为便于计算暂定总合同价使用，不作为招标人最终采购数量的保证</w:t>
      </w:r>
      <w:bookmarkStart w:id="495" w:name="OLE_LINK40"/>
      <w:bookmarkStart w:id="496" w:name="OLE_LINK24"/>
      <w:bookmarkStart w:id="497" w:name="OLE_LINK38"/>
      <w:r>
        <w:rPr>
          <w:rFonts w:hint="eastAsia" w:ascii="宋体" w:hAnsi="宋体" w:eastAsia="宋体" w:cs="宋体"/>
          <w:b/>
          <w:color w:val="auto"/>
          <w:sz w:val="21"/>
          <w:szCs w:val="21"/>
          <w:highlight w:val="none"/>
        </w:rPr>
        <w:t>，招标人保留根据运营项目及新增运营项目实际情况，对采购数量进行灵活调整的权利。</w:t>
      </w:r>
      <w:bookmarkEnd w:id="495"/>
      <w:r>
        <w:rPr>
          <w:rFonts w:hint="eastAsia" w:ascii="宋体" w:hAnsi="宋体" w:eastAsia="宋体" w:cs="宋体"/>
          <w:b/>
          <w:color w:val="auto"/>
          <w:sz w:val="21"/>
          <w:szCs w:val="21"/>
          <w:highlight w:val="none"/>
        </w:rPr>
        <w:t>合同履约过程中，如</w:t>
      </w:r>
      <w:r>
        <w:rPr>
          <w:rFonts w:hint="eastAsia" w:ascii="宋体" w:hAnsi="宋体" w:eastAsia="宋体" w:cs="宋体"/>
          <w:b/>
          <w:color w:val="auto"/>
          <w:sz w:val="21"/>
          <w:szCs w:val="21"/>
          <w:highlight w:val="none"/>
          <w:lang w:val="en-US" w:eastAsia="zh-CN"/>
        </w:rPr>
        <w:t>本项目</w:t>
      </w:r>
      <w:r>
        <w:rPr>
          <w:rFonts w:hint="eastAsia" w:ascii="宋体" w:hAnsi="宋体" w:eastAsia="宋体" w:cs="宋体"/>
          <w:b/>
          <w:color w:val="auto"/>
          <w:sz w:val="21"/>
          <w:szCs w:val="21"/>
          <w:highlight w:val="none"/>
        </w:rPr>
        <w:t>因</w:t>
      </w:r>
      <w:bookmarkStart w:id="498" w:name="OLE_LINK33"/>
      <w:r>
        <w:rPr>
          <w:rFonts w:hint="eastAsia" w:ascii="宋体" w:hAnsi="宋体" w:eastAsia="宋体" w:cs="宋体"/>
          <w:b/>
          <w:color w:val="auto"/>
          <w:sz w:val="21"/>
          <w:szCs w:val="21"/>
          <w:highlight w:val="none"/>
        </w:rPr>
        <w:t>新增合同主体</w:t>
      </w:r>
      <w:bookmarkEnd w:id="498"/>
      <w:r>
        <w:rPr>
          <w:rFonts w:hint="eastAsia" w:ascii="宋体" w:hAnsi="宋体" w:eastAsia="宋体" w:cs="宋体"/>
          <w:b/>
          <w:color w:val="auto"/>
          <w:sz w:val="21"/>
          <w:szCs w:val="21"/>
          <w:highlight w:val="none"/>
        </w:rPr>
        <w:t>需要额外供货，</w:t>
      </w:r>
      <w:bookmarkStart w:id="499" w:name="OLE_LINK1"/>
      <w:r>
        <w:rPr>
          <w:rFonts w:hint="eastAsia" w:ascii="宋体" w:hAnsi="宋体" w:eastAsia="宋体" w:cs="宋体"/>
          <w:b/>
          <w:color w:val="auto"/>
          <w:sz w:val="21"/>
          <w:szCs w:val="21"/>
          <w:highlight w:val="none"/>
          <w:lang w:val="en-US" w:eastAsia="zh-CN"/>
        </w:rPr>
        <w:t>招标人权属子公司</w:t>
      </w:r>
      <w:bookmarkEnd w:id="499"/>
      <w:r>
        <w:rPr>
          <w:rFonts w:hint="eastAsia" w:ascii="宋体" w:hAnsi="宋体" w:eastAsia="宋体" w:cs="宋体"/>
          <w:b/>
          <w:color w:val="auto"/>
          <w:sz w:val="21"/>
          <w:szCs w:val="21"/>
          <w:highlight w:val="none"/>
          <w:lang w:val="en-US" w:eastAsia="zh-CN"/>
        </w:rPr>
        <w:t>、</w:t>
      </w:r>
      <w:r>
        <w:rPr>
          <w:rFonts w:hint="eastAsia" w:ascii="宋体" w:hAnsi="宋体" w:eastAsia="宋体" w:cs="Times New Roman"/>
          <w:b/>
          <w:bCs/>
          <w:snapToGrid/>
          <w:color w:val="auto"/>
          <w:kern w:val="2"/>
          <w:szCs w:val="21"/>
          <w:highlight w:val="none"/>
          <w:lang w:val="zh-CN"/>
        </w:rPr>
        <w:t>招标人权属子公司</w:t>
      </w:r>
      <w:r>
        <w:rPr>
          <w:rFonts w:hint="eastAsia" w:ascii="宋体" w:hAnsi="宋体" w:eastAsia="宋体" w:cs="Times New Roman"/>
          <w:b/>
          <w:bCs/>
          <w:snapToGrid/>
          <w:color w:val="auto"/>
          <w:kern w:val="2"/>
          <w:szCs w:val="21"/>
          <w:highlight w:val="none"/>
          <w:lang w:val="en-US" w:eastAsia="zh-CN"/>
        </w:rPr>
        <w:t>关联公司</w:t>
      </w:r>
      <w:r>
        <w:rPr>
          <w:rFonts w:hint="eastAsia" w:ascii="宋体" w:hAnsi="宋体" w:eastAsia="宋体" w:cs="宋体"/>
          <w:b/>
          <w:color w:val="auto"/>
          <w:sz w:val="21"/>
          <w:szCs w:val="21"/>
          <w:highlight w:val="none"/>
        </w:rPr>
        <w:t>有权依据不含税中标综合单价与中标人协商并签订补充协议，并确保其作为原合同的有效补充。中标人应充分理解并接受</w:t>
      </w:r>
      <w:r>
        <w:rPr>
          <w:rFonts w:hint="eastAsia" w:ascii="宋体" w:hAnsi="宋体" w:eastAsia="宋体" w:cs="宋体"/>
          <w:b/>
          <w:color w:val="auto"/>
          <w:sz w:val="21"/>
          <w:szCs w:val="21"/>
          <w:highlight w:val="none"/>
          <w:lang w:val="en-US" w:eastAsia="zh-CN"/>
        </w:rPr>
        <w:t>本项目</w:t>
      </w:r>
      <w:r>
        <w:rPr>
          <w:rFonts w:hint="eastAsia" w:ascii="宋体" w:hAnsi="宋体" w:eastAsia="宋体" w:cs="宋体"/>
          <w:b/>
          <w:color w:val="auto"/>
          <w:sz w:val="21"/>
          <w:szCs w:val="21"/>
          <w:highlight w:val="none"/>
        </w:rPr>
        <w:t>在合同履约期间可能新增合同主体的可能性，并承诺在接到</w:t>
      </w:r>
      <w:r>
        <w:rPr>
          <w:rFonts w:hint="eastAsia" w:ascii="宋体" w:hAnsi="宋体" w:eastAsia="宋体" w:cs="宋体"/>
          <w:b/>
          <w:color w:val="auto"/>
          <w:sz w:val="21"/>
          <w:szCs w:val="21"/>
          <w:highlight w:val="none"/>
          <w:lang w:val="en-US" w:eastAsia="zh-CN"/>
        </w:rPr>
        <w:t>招标人权属子公司、</w:t>
      </w:r>
      <w:r>
        <w:rPr>
          <w:rFonts w:hint="eastAsia" w:ascii="宋体" w:hAnsi="宋体" w:eastAsia="宋体" w:cs="Times New Roman"/>
          <w:b/>
          <w:bCs/>
          <w:snapToGrid/>
          <w:color w:val="auto"/>
          <w:kern w:val="2"/>
          <w:szCs w:val="21"/>
          <w:highlight w:val="none"/>
          <w:lang w:val="zh-CN"/>
        </w:rPr>
        <w:t>招标人权属子公司</w:t>
      </w:r>
      <w:r>
        <w:rPr>
          <w:rFonts w:hint="eastAsia" w:ascii="宋体" w:hAnsi="宋体" w:eastAsia="宋体" w:cs="Times New Roman"/>
          <w:b/>
          <w:bCs/>
          <w:snapToGrid/>
          <w:color w:val="auto"/>
          <w:kern w:val="2"/>
          <w:szCs w:val="21"/>
          <w:highlight w:val="none"/>
          <w:lang w:val="en-US" w:eastAsia="zh-CN"/>
        </w:rPr>
        <w:t>关联公司</w:t>
      </w:r>
      <w:r>
        <w:rPr>
          <w:rFonts w:hint="eastAsia" w:ascii="宋体" w:hAnsi="宋体" w:eastAsia="宋体" w:cs="宋体"/>
          <w:b/>
          <w:color w:val="auto"/>
          <w:sz w:val="21"/>
          <w:szCs w:val="21"/>
          <w:highlight w:val="none"/>
        </w:rPr>
        <w:t>关于新增</w:t>
      </w:r>
      <w:r>
        <w:rPr>
          <w:rFonts w:hint="eastAsia" w:ascii="宋体" w:hAnsi="宋体" w:eastAsia="宋体" w:cs="宋体"/>
          <w:b/>
          <w:color w:val="auto"/>
          <w:sz w:val="21"/>
          <w:szCs w:val="21"/>
          <w:highlight w:val="none"/>
          <w:lang w:val="en-US" w:eastAsia="zh-CN"/>
        </w:rPr>
        <w:t>合同主体</w:t>
      </w:r>
      <w:r>
        <w:rPr>
          <w:rFonts w:hint="eastAsia" w:ascii="宋体" w:hAnsi="宋体" w:eastAsia="宋体" w:cs="宋体"/>
          <w:b/>
          <w:color w:val="auto"/>
          <w:sz w:val="21"/>
          <w:szCs w:val="21"/>
          <w:highlight w:val="none"/>
        </w:rPr>
        <w:t>的供货通知及签订补充协议的要求时，积极配合并履行相应的供货义务，确保供货的及时性和质量等符合原合同的要求</w:t>
      </w:r>
      <w:bookmarkEnd w:id="496"/>
      <w:r>
        <w:rPr>
          <w:rFonts w:hint="eastAsia" w:ascii="宋体" w:hAnsi="宋体" w:eastAsia="宋体" w:cs="宋体"/>
          <w:b/>
          <w:color w:val="auto"/>
          <w:sz w:val="21"/>
          <w:szCs w:val="21"/>
          <w:highlight w:val="none"/>
        </w:rPr>
        <w:t>。</w:t>
      </w:r>
      <w:bookmarkEnd w:id="497"/>
      <w:r>
        <w:rPr>
          <w:rFonts w:hint="eastAsia" w:ascii="宋体" w:hAnsi="宋体" w:eastAsia="宋体" w:cs="宋体"/>
          <w:b/>
          <w:color w:val="auto"/>
          <w:sz w:val="21"/>
          <w:szCs w:val="21"/>
          <w:highlight w:val="none"/>
        </w:rPr>
        <w:t>实际</w:t>
      </w:r>
      <w:r>
        <w:rPr>
          <w:rFonts w:hint="eastAsia" w:ascii="宋体" w:hAnsi="宋体" w:eastAsia="宋体" w:cs="宋体"/>
          <w:b/>
          <w:bCs/>
          <w:color w:val="auto"/>
          <w:kern w:val="2"/>
          <w:sz w:val="21"/>
          <w:szCs w:val="21"/>
          <w:highlight w:val="none"/>
        </w:rPr>
        <w:t>招标人运营项目</w:t>
      </w:r>
      <w:r>
        <w:rPr>
          <w:rFonts w:hint="eastAsia" w:ascii="宋体" w:hAnsi="宋体" w:eastAsia="宋体" w:cs="宋体"/>
          <w:b/>
          <w:color w:val="auto"/>
          <w:sz w:val="21"/>
          <w:szCs w:val="21"/>
          <w:highlight w:val="none"/>
        </w:rPr>
        <w:t>根据项目工艺及性质，结合小试及项目实际使用效果选用，招标人的实际需求数量以招标人运营项目每次的供货通知为准，在供货期内投标人不得因招标人实际采购数量的减少或增加而要求提供任何形式的补偿或赔偿，或要求招标人按暂定采购数量采购相应货物。</w:t>
      </w:r>
    </w:p>
    <w:p w14:paraId="4CF7776E">
      <w:pPr>
        <w:autoSpaceDE/>
        <w:autoSpaceDN/>
        <w:adjustRightInd/>
        <w:spacing w:line="360" w:lineRule="auto"/>
        <w:ind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★4、主要技术指标</w:t>
      </w:r>
    </w:p>
    <w:p w14:paraId="61A814C5">
      <w:pPr>
        <w:spacing w:line="360" w:lineRule="auto"/>
        <w:ind w:firstLine="422" w:firstLineChars="200"/>
        <w:outlineLvl w:val="9"/>
        <w:rPr>
          <w:rFonts w:hint="eastAsia" w:ascii="宋体" w:hAnsi="宋体" w:eastAsia="宋体" w:cs="宋体"/>
          <w:b/>
          <w:color w:val="auto"/>
          <w:sz w:val="21"/>
          <w:szCs w:val="21"/>
          <w:highlight w:val="none"/>
        </w:rPr>
      </w:pPr>
      <w:bookmarkStart w:id="500" w:name="_Toc7208"/>
      <w:bookmarkStart w:id="501" w:name="_Toc12795"/>
      <w:r>
        <w:rPr>
          <w:rFonts w:hint="eastAsia" w:ascii="宋体" w:hAnsi="宋体" w:eastAsia="宋体" w:cs="宋体"/>
          <w:b/>
          <w:color w:val="auto"/>
          <w:sz w:val="21"/>
          <w:szCs w:val="21"/>
          <w:highlight w:val="none"/>
        </w:rPr>
        <w:t>（1）</w:t>
      </w:r>
      <w:r>
        <w:rPr>
          <w:rFonts w:hint="eastAsia" w:ascii="宋体" w:hAnsi="宋体" w:eastAsia="宋体" w:cs="宋体"/>
          <w:b/>
          <w:color w:val="auto"/>
          <w:szCs w:val="21"/>
          <w:highlight w:val="none"/>
        </w:rPr>
        <w:t>液体乙酸钠产品外观为无色透明液体。</w:t>
      </w:r>
      <w:bookmarkEnd w:id="500"/>
      <w:bookmarkEnd w:id="501"/>
    </w:p>
    <w:p w14:paraId="750BA4F4">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b/>
          <w:color w:val="auto"/>
          <w:szCs w:val="21"/>
          <w:highlight w:val="none"/>
        </w:rPr>
        <w:t>液体乙酸钠必须符合《生化法处理废（污）水用碳源 乙酸钠》(HG/T 5959-2021 )Ⅱ型产品质量及检测标准，主要技术指标要求如下：</w:t>
      </w:r>
    </w:p>
    <w:p w14:paraId="79792F44">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表1  </w:t>
      </w:r>
      <w:r>
        <w:rPr>
          <w:rFonts w:hint="eastAsia" w:ascii="宋体" w:hAnsi="宋体" w:eastAsia="宋体" w:cs="宋体"/>
          <w:b/>
          <w:color w:val="auto"/>
          <w:sz w:val="21"/>
          <w:szCs w:val="21"/>
          <w:highlight w:val="none"/>
          <w:lang w:eastAsia="zh-CN"/>
        </w:rPr>
        <w:t>液体乙酸钠</w:t>
      </w:r>
      <w:r>
        <w:rPr>
          <w:rFonts w:hint="eastAsia" w:ascii="宋体" w:hAnsi="宋体" w:eastAsia="宋体" w:cs="宋体"/>
          <w:b/>
          <w:color w:val="auto"/>
          <w:sz w:val="21"/>
          <w:szCs w:val="21"/>
          <w:highlight w:val="none"/>
        </w:rPr>
        <w:t>主要技术指标</w:t>
      </w:r>
    </w:p>
    <w:tbl>
      <w:tblPr>
        <w:tblStyle w:val="37"/>
        <w:tblW w:w="990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7"/>
        <w:gridCol w:w="4281"/>
      </w:tblGrid>
      <w:tr w14:paraId="73C55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9" w:hRule="atLeast"/>
        </w:trPr>
        <w:tc>
          <w:tcPr>
            <w:tcW w:w="5507" w:type="dxa"/>
            <w:noWrap w:val="0"/>
            <w:vAlign w:val="center"/>
          </w:tcPr>
          <w:p w14:paraId="3EF6AB19">
            <w:pPr>
              <w:spacing w:line="360" w:lineRule="auto"/>
              <w:ind w:firstLine="422" w:firstLineChars="20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指标项目</w:t>
            </w:r>
          </w:p>
        </w:tc>
        <w:tc>
          <w:tcPr>
            <w:tcW w:w="4281" w:type="dxa"/>
            <w:noWrap w:val="0"/>
            <w:vAlign w:val="center"/>
          </w:tcPr>
          <w:p w14:paraId="42A30663">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指标</w:t>
            </w:r>
          </w:p>
        </w:tc>
      </w:tr>
      <w:tr w14:paraId="3E364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5507" w:type="dxa"/>
            <w:noWrap w:val="0"/>
            <w:vAlign w:val="center"/>
          </w:tcPr>
          <w:p w14:paraId="581418F7">
            <w:pPr>
              <w:spacing w:line="360" w:lineRule="auto"/>
              <w:ind w:firstLine="422" w:firstLineChars="20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乙酸钠</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CH</w:t>
            </w:r>
            <w:r>
              <w:rPr>
                <w:rFonts w:hint="eastAsia" w:ascii="宋体" w:hAnsi="宋体" w:eastAsia="宋体" w:cs="宋体"/>
                <w:b/>
                <w:color w:val="auto"/>
                <w:sz w:val="21"/>
                <w:szCs w:val="21"/>
                <w:highlight w:val="none"/>
                <w:vertAlign w:val="subscript"/>
                <w:lang w:val="en-US" w:eastAsia="zh-CN"/>
              </w:rPr>
              <w:t>3</w:t>
            </w:r>
            <w:r>
              <w:rPr>
                <w:rFonts w:hint="eastAsia" w:ascii="宋体" w:hAnsi="宋体" w:eastAsia="宋体" w:cs="宋体"/>
                <w:b/>
                <w:color w:val="auto"/>
                <w:sz w:val="21"/>
                <w:szCs w:val="21"/>
                <w:highlight w:val="none"/>
                <w:lang w:val="en-US" w:eastAsia="zh-CN"/>
              </w:rPr>
              <w:t>COONa）的</w:t>
            </w:r>
            <w:r>
              <w:rPr>
                <w:rFonts w:hint="eastAsia" w:ascii="宋体" w:hAnsi="宋体" w:eastAsia="宋体" w:cs="宋体"/>
                <w:b/>
                <w:color w:val="auto"/>
                <w:sz w:val="21"/>
                <w:szCs w:val="21"/>
                <w:highlight w:val="none"/>
              </w:rPr>
              <w:t>质量分数，%</w:t>
            </w:r>
          </w:p>
        </w:tc>
        <w:tc>
          <w:tcPr>
            <w:tcW w:w="4281" w:type="dxa"/>
            <w:noWrap w:val="0"/>
            <w:vAlign w:val="center"/>
          </w:tcPr>
          <w:p w14:paraId="0C4B90FE">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≥25</w:t>
            </w:r>
          </w:p>
        </w:tc>
      </w:tr>
      <w:tr w14:paraId="31255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5507" w:type="dxa"/>
            <w:noWrap w:val="0"/>
            <w:vAlign w:val="center"/>
          </w:tcPr>
          <w:p w14:paraId="6CA3E094">
            <w:pPr>
              <w:spacing w:line="360" w:lineRule="auto"/>
              <w:ind w:firstLine="422" w:firstLineChars="20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化学需氧量（</w:t>
            </w:r>
            <w:r>
              <w:rPr>
                <w:rFonts w:hint="eastAsia" w:ascii="宋体" w:hAnsi="宋体" w:eastAsia="宋体" w:cs="宋体"/>
                <w:b/>
                <w:color w:val="auto"/>
                <w:sz w:val="21"/>
                <w:szCs w:val="21"/>
                <w:highlight w:val="none"/>
              </w:rPr>
              <w:t>COD</w:t>
            </w:r>
            <w:r>
              <w:rPr>
                <w:rFonts w:hint="eastAsia" w:ascii="宋体" w:hAnsi="宋体" w:eastAsia="宋体" w:cs="宋体"/>
                <w:b/>
                <w:color w:val="auto"/>
                <w:sz w:val="21"/>
                <w:szCs w:val="21"/>
                <w:highlight w:val="none"/>
                <w:vertAlign w:val="subscript"/>
                <w:lang w:val="en-US" w:eastAsia="zh-CN"/>
              </w:rPr>
              <w:t>Cr</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，mg/L</w:t>
            </w:r>
          </w:p>
        </w:tc>
        <w:tc>
          <w:tcPr>
            <w:tcW w:w="4281" w:type="dxa"/>
            <w:noWrap w:val="0"/>
            <w:vAlign w:val="center"/>
          </w:tcPr>
          <w:p w14:paraId="4C9C378E">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1.95×10</w:t>
            </w:r>
            <w:r>
              <w:rPr>
                <w:rFonts w:hint="eastAsia" w:ascii="宋体" w:hAnsi="宋体" w:eastAsia="宋体" w:cs="宋体"/>
                <w:b/>
                <w:color w:val="auto"/>
                <w:sz w:val="21"/>
                <w:szCs w:val="21"/>
                <w:highlight w:val="none"/>
                <w:vertAlign w:val="superscript"/>
                <w:lang w:val="en-US" w:eastAsia="zh-CN"/>
              </w:rPr>
              <w:t>5</w:t>
            </w:r>
          </w:p>
        </w:tc>
      </w:tr>
      <w:tr w14:paraId="3FA68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7" w:type="dxa"/>
            <w:noWrap w:val="0"/>
            <w:vAlign w:val="center"/>
          </w:tcPr>
          <w:p w14:paraId="177A48D8">
            <w:pPr>
              <w:spacing w:line="360" w:lineRule="auto"/>
              <w:ind w:firstLine="422" w:firstLineChars="20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pH</w:t>
            </w:r>
            <w:r>
              <w:rPr>
                <w:rFonts w:hint="eastAsia" w:ascii="宋体" w:hAnsi="宋体" w:eastAsia="宋体" w:cs="宋体"/>
                <w:b/>
                <w:color w:val="auto"/>
                <w:sz w:val="21"/>
                <w:szCs w:val="21"/>
                <w:highlight w:val="none"/>
                <w:lang w:val="en-US" w:eastAsia="zh-CN"/>
              </w:rPr>
              <w:t>值</w:t>
            </w:r>
          </w:p>
        </w:tc>
        <w:tc>
          <w:tcPr>
            <w:tcW w:w="4281" w:type="dxa"/>
            <w:noWrap w:val="0"/>
            <w:vAlign w:val="center"/>
          </w:tcPr>
          <w:p w14:paraId="1A7DF7E0">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7.5~9</w:t>
            </w:r>
          </w:p>
        </w:tc>
      </w:tr>
      <w:tr w14:paraId="4AEE0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7" w:type="dxa"/>
            <w:noWrap w:val="0"/>
            <w:vAlign w:val="center"/>
          </w:tcPr>
          <w:p w14:paraId="084A5D4D">
            <w:pPr>
              <w:spacing w:line="360" w:lineRule="auto"/>
              <w:ind w:firstLine="422" w:firstLineChars="20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水不溶物</w:t>
            </w:r>
            <w:r>
              <w:rPr>
                <w:rFonts w:hint="eastAsia" w:ascii="宋体" w:hAnsi="宋体" w:eastAsia="宋体" w:cs="宋体"/>
                <w:b/>
                <w:color w:val="auto"/>
                <w:sz w:val="21"/>
                <w:szCs w:val="21"/>
                <w:highlight w:val="none"/>
                <w:lang w:val="en-US" w:eastAsia="zh-CN"/>
              </w:rPr>
              <w:t>的质量分数</w:t>
            </w:r>
            <w:r>
              <w:rPr>
                <w:rFonts w:hint="eastAsia" w:ascii="宋体" w:hAnsi="宋体" w:eastAsia="宋体" w:cs="宋体"/>
                <w:b/>
                <w:color w:val="auto"/>
                <w:sz w:val="21"/>
                <w:szCs w:val="21"/>
                <w:highlight w:val="none"/>
              </w:rPr>
              <w:t>，%</w:t>
            </w:r>
          </w:p>
        </w:tc>
        <w:tc>
          <w:tcPr>
            <w:tcW w:w="4281" w:type="dxa"/>
            <w:noWrap w:val="0"/>
            <w:vAlign w:val="center"/>
          </w:tcPr>
          <w:p w14:paraId="7427A4A4">
            <w:pPr>
              <w:spacing w:line="360" w:lineRule="auto"/>
              <w:ind w:firstLine="276" w:firstLineChars="131"/>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0.05</w:t>
            </w:r>
          </w:p>
        </w:tc>
      </w:tr>
      <w:tr w14:paraId="7279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7" w:type="dxa"/>
            <w:noWrap w:val="0"/>
            <w:vAlign w:val="center"/>
          </w:tcPr>
          <w:p w14:paraId="1FB5D1FE">
            <w:pPr>
              <w:spacing w:line="360" w:lineRule="auto"/>
              <w:ind w:firstLine="422" w:firstLineChars="20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氯化物（按</w:t>
            </w:r>
            <w:r>
              <w:rPr>
                <w:rFonts w:hint="eastAsia" w:ascii="宋体" w:hAnsi="宋体" w:eastAsia="宋体" w:cs="宋体"/>
                <w:b/>
                <w:color w:val="auto"/>
                <w:sz w:val="21"/>
                <w:szCs w:val="21"/>
                <w:highlight w:val="none"/>
                <w:lang w:val="en-US" w:eastAsia="zh-CN"/>
              </w:rPr>
              <w:t>Cl</w:t>
            </w:r>
            <w:r>
              <w:rPr>
                <w:rFonts w:hint="eastAsia" w:ascii="宋体" w:hAnsi="宋体" w:eastAsia="宋体" w:cs="宋体"/>
                <w:b/>
                <w:color w:val="auto"/>
                <w:sz w:val="21"/>
                <w:szCs w:val="21"/>
                <w:highlight w:val="none"/>
              </w:rPr>
              <w:t>计）</w:t>
            </w:r>
            <w:r>
              <w:rPr>
                <w:rFonts w:hint="eastAsia" w:ascii="宋体" w:hAnsi="宋体" w:eastAsia="宋体" w:cs="宋体"/>
                <w:b/>
                <w:color w:val="auto"/>
                <w:sz w:val="21"/>
                <w:szCs w:val="21"/>
                <w:highlight w:val="none"/>
                <w:lang w:val="en-US" w:eastAsia="zh-CN"/>
              </w:rPr>
              <w:t>的质量分数</w:t>
            </w:r>
            <w:r>
              <w:rPr>
                <w:rFonts w:hint="eastAsia" w:ascii="宋体" w:hAnsi="宋体" w:eastAsia="宋体" w:cs="宋体"/>
                <w:b/>
                <w:color w:val="auto"/>
                <w:sz w:val="21"/>
                <w:szCs w:val="21"/>
                <w:highlight w:val="none"/>
              </w:rPr>
              <w:t>，%</w:t>
            </w:r>
          </w:p>
        </w:tc>
        <w:tc>
          <w:tcPr>
            <w:tcW w:w="4281" w:type="dxa"/>
            <w:noWrap w:val="0"/>
            <w:vAlign w:val="center"/>
          </w:tcPr>
          <w:p w14:paraId="491E8633">
            <w:pPr>
              <w:spacing w:line="360" w:lineRule="auto"/>
              <w:ind w:firstLine="276" w:firstLineChars="131"/>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0.10</w:t>
            </w:r>
          </w:p>
        </w:tc>
      </w:tr>
    </w:tbl>
    <w:p w14:paraId="7C340F8A">
      <w:pPr>
        <w:autoSpaceDE/>
        <w:autoSpaceDN/>
        <w:adjustRightInd/>
        <w:spacing w:line="360" w:lineRule="auto"/>
        <w:ind w:firstLine="422" w:firstLineChars="200"/>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lang w:eastAsia="zh-CN"/>
        </w:rPr>
        <w:t>）投标人</w:t>
      </w:r>
      <w:r>
        <w:rPr>
          <w:rFonts w:hint="eastAsia" w:ascii="宋体" w:hAnsi="宋体" w:eastAsia="宋体" w:cs="宋体"/>
          <w:b/>
          <w:color w:val="auto"/>
          <w:szCs w:val="21"/>
          <w:highlight w:val="none"/>
        </w:rPr>
        <w:t>供货的药剂的原料应符合《生化法处理废（污）水用碳源 乙酸钠》(HG/T 5959-2021 )标准要求。</w:t>
      </w:r>
    </w:p>
    <w:p w14:paraId="7AC40DA6">
      <w:pPr>
        <w:autoSpaceDE/>
        <w:autoSpaceDN/>
        <w:adjustRightInd/>
        <w:spacing w:line="360" w:lineRule="auto"/>
        <w:ind w:firstLine="422" w:firstLineChars="200"/>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val="en-US" w:eastAsia="zh-CN"/>
        </w:rPr>
        <w:t>4</w:t>
      </w:r>
      <w:r>
        <w:rPr>
          <w:rFonts w:hint="eastAsia" w:ascii="宋体" w:hAnsi="宋体" w:eastAsia="宋体" w:cs="宋体"/>
          <w:b/>
          <w:bCs w:val="0"/>
          <w:color w:val="auto"/>
          <w:sz w:val="21"/>
          <w:szCs w:val="21"/>
          <w:highlight w:val="none"/>
        </w:rPr>
        <w:t>）供货期间，如有发布最新的行业标准或国家标准，招标人有权根据招标人运营项目实际情况及有关行业标准或国家标准对合同的主要技术指标进行变更调整，投标人应无条件接受。</w:t>
      </w:r>
    </w:p>
    <w:p w14:paraId="3B47B7AD">
      <w:pPr>
        <w:autoSpaceDE/>
        <w:autoSpaceDN/>
        <w:adjustRightInd/>
        <w:spacing w:line="360" w:lineRule="auto"/>
        <w:ind w:firstLine="422" w:firstLineChars="200"/>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val="en-US" w:eastAsia="zh-CN"/>
        </w:rPr>
        <w:t>5</w:t>
      </w:r>
      <w:r>
        <w:rPr>
          <w:rFonts w:hint="eastAsia" w:ascii="宋体" w:hAnsi="宋体" w:eastAsia="宋体" w:cs="宋体"/>
          <w:b/>
          <w:bCs w:val="0"/>
          <w:color w:val="auto"/>
          <w:sz w:val="21"/>
          <w:szCs w:val="21"/>
          <w:highlight w:val="none"/>
        </w:rPr>
        <w:t>）</w:t>
      </w:r>
      <w:r>
        <w:rPr>
          <w:rFonts w:hint="eastAsia" w:ascii="宋体" w:hAnsi="宋体" w:eastAsia="宋体" w:cs="宋体"/>
          <w:b/>
          <w:color w:val="auto"/>
          <w:szCs w:val="21"/>
          <w:highlight w:val="none"/>
          <w:lang w:eastAsia="zh-CN"/>
        </w:rPr>
        <w:t>投标人</w:t>
      </w:r>
      <w:r>
        <w:rPr>
          <w:rFonts w:hint="eastAsia" w:ascii="宋体" w:hAnsi="宋体" w:eastAsia="宋体" w:cs="宋体"/>
          <w:b/>
          <w:color w:val="auto"/>
          <w:szCs w:val="21"/>
          <w:highlight w:val="none"/>
        </w:rPr>
        <w:t>应根据各项目工艺以及性质，提供保证供货的药剂用作碳源达到良好的脱氮效果；</w:t>
      </w:r>
      <w:r>
        <w:rPr>
          <w:rFonts w:hint="eastAsia" w:ascii="宋体" w:hAnsi="宋体" w:eastAsia="宋体" w:cs="宋体"/>
          <w:b/>
          <w:color w:val="auto"/>
          <w:szCs w:val="21"/>
          <w:highlight w:val="none"/>
          <w:lang w:eastAsia="zh-CN"/>
        </w:rPr>
        <w:t>投标人</w:t>
      </w:r>
      <w:r>
        <w:rPr>
          <w:rFonts w:hint="eastAsia" w:ascii="宋体" w:hAnsi="宋体" w:eastAsia="宋体" w:cs="宋体"/>
          <w:b/>
          <w:color w:val="auto"/>
          <w:szCs w:val="21"/>
          <w:highlight w:val="none"/>
        </w:rPr>
        <w:t>提供的药剂不得造成污水处理厂其他出水水质指标如氨氮、总磷明显升高</w:t>
      </w:r>
      <w:r>
        <w:rPr>
          <w:rFonts w:hint="eastAsia" w:ascii="宋体" w:hAnsi="宋体" w:eastAsia="宋体" w:cs="宋体"/>
          <w:b/>
          <w:bCs w:val="0"/>
          <w:color w:val="auto"/>
          <w:sz w:val="21"/>
          <w:szCs w:val="21"/>
          <w:highlight w:val="none"/>
        </w:rPr>
        <w:t>。</w:t>
      </w:r>
    </w:p>
    <w:p w14:paraId="3FA3CC24">
      <w:pPr>
        <w:autoSpaceDE/>
        <w:autoSpaceDN/>
        <w:adjustRightInd/>
        <w:spacing w:line="360" w:lineRule="auto"/>
        <w:ind w:firstLine="422" w:firstLineChars="200"/>
        <w:jc w:val="both"/>
        <w:rPr>
          <w:rFonts w:hint="eastAsia" w:ascii="宋体" w:hAnsi="宋体" w:eastAsia="宋体" w:cs="宋体"/>
          <w:color w:val="auto"/>
          <w:sz w:val="21"/>
          <w:szCs w:val="21"/>
          <w:highlight w:val="none"/>
        </w:rPr>
      </w:pPr>
      <w:bookmarkStart w:id="502" w:name="OLE_LINK25"/>
      <w:r>
        <w:rPr>
          <w:rFonts w:hint="eastAsia" w:ascii="宋体" w:hAnsi="宋体" w:eastAsia="宋体" w:cs="宋体"/>
          <w:b/>
          <w:bCs w:val="0"/>
          <w:color w:val="auto"/>
          <w:sz w:val="21"/>
          <w:szCs w:val="21"/>
          <w:highlight w:val="none"/>
        </w:rPr>
        <w:t>★</w:t>
      </w:r>
      <w:bookmarkEnd w:id="502"/>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投标人投标时须提供投标人</w:t>
      </w:r>
      <w:r>
        <w:rPr>
          <w:rFonts w:hint="eastAsia" w:ascii="宋体" w:hAnsi="宋体" w:eastAsia="宋体" w:cs="宋体"/>
          <w:b/>
          <w:bCs/>
          <w:color w:val="auto"/>
          <w:sz w:val="21"/>
          <w:szCs w:val="21"/>
          <w:highlight w:val="none"/>
          <w:lang w:val="en-US" w:eastAsia="zh-CN"/>
        </w:rPr>
        <w:t>或生产厂家</w:t>
      </w:r>
      <w:r>
        <w:rPr>
          <w:rFonts w:hint="eastAsia" w:ascii="宋体" w:hAnsi="宋体" w:eastAsia="宋体" w:cs="宋体"/>
          <w:b/>
          <w:bCs/>
          <w:color w:val="auto"/>
          <w:sz w:val="21"/>
          <w:szCs w:val="21"/>
          <w:highlight w:val="none"/>
        </w:rPr>
        <w:t>委托的反映报价产品性能参数的具有资质的第三方检测机构出具的</w:t>
      </w:r>
      <w:bookmarkStart w:id="503" w:name="OLE_LINK21"/>
      <w:r>
        <w:rPr>
          <w:rFonts w:hint="eastAsia" w:ascii="宋体" w:hAnsi="宋体" w:eastAsia="宋体" w:cs="宋体"/>
          <w:b/>
          <w:bCs/>
          <w:color w:val="auto"/>
          <w:sz w:val="21"/>
          <w:szCs w:val="21"/>
          <w:highlight w:val="none"/>
          <w:lang w:val="en-US" w:eastAsia="zh-CN"/>
        </w:rPr>
        <w:t>符合</w:t>
      </w:r>
      <w:r>
        <w:rPr>
          <w:rFonts w:hint="eastAsia" w:ascii="宋体" w:hAnsi="宋体" w:eastAsia="宋体" w:cs="宋体"/>
          <w:b/>
          <w:color w:val="auto"/>
          <w:sz w:val="21"/>
          <w:szCs w:val="21"/>
          <w:highlight w:val="none"/>
        </w:rPr>
        <w:t>表1《</w:t>
      </w:r>
      <w:r>
        <w:rPr>
          <w:rFonts w:hint="eastAsia" w:ascii="宋体" w:hAnsi="宋体" w:eastAsia="宋体" w:cs="宋体"/>
          <w:b/>
          <w:color w:val="auto"/>
          <w:sz w:val="21"/>
          <w:szCs w:val="21"/>
          <w:highlight w:val="none"/>
          <w:lang w:eastAsia="zh-CN"/>
        </w:rPr>
        <w:t>液体乙酸钠</w:t>
      </w:r>
      <w:r>
        <w:rPr>
          <w:rFonts w:hint="eastAsia" w:ascii="宋体" w:hAnsi="宋体" w:eastAsia="宋体" w:cs="宋体"/>
          <w:b/>
          <w:color w:val="auto"/>
          <w:sz w:val="21"/>
          <w:szCs w:val="21"/>
          <w:highlight w:val="none"/>
        </w:rPr>
        <w:t>主要技术指标》</w:t>
      </w:r>
      <w:r>
        <w:rPr>
          <w:rFonts w:hint="eastAsia" w:ascii="宋体" w:hAnsi="宋体" w:eastAsia="宋体" w:cs="宋体"/>
          <w:b/>
          <w:color w:val="auto"/>
          <w:sz w:val="21"/>
          <w:szCs w:val="21"/>
          <w:highlight w:val="none"/>
          <w:lang w:val="en-US" w:eastAsia="zh-CN"/>
        </w:rPr>
        <w:t>要求的</w:t>
      </w:r>
      <w:bookmarkEnd w:id="503"/>
      <w:r>
        <w:rPr>
          <w:rFonts w:hint="eastAsia" w:ascii="宋体" w:hAnsi="宋体" w:eastAsia="宋体" w:cs="宋体"/>
          <w:b/>
          <w:bCs/>
          <w:color w:val="auto"/>
          <w:sz w:val="21"/>
          <w:szCs w:val="21"/>
          <w:highlight w:val="none"/>
        </w:rPr>
        <w:t>检验报告，检验报告上的标徽应包括但不限于CMA认证标徽，报告日期为</w:t>
      </w:r>
      <w:r>
        <w:rPr>
          <w:rFonts w:hint="eastAsia" w:ascii="宋体" w:hAnsi="宋体" w:eastAsia="宋体" w:cs="宋体"/>
          <w:b/>
          <w:bCs/>
          <w:color w:val="auto"/>
          <w:sz w:val="21"/>
          <w:szCs w:val="21"/>
          <w:highlight w:val="none"/>
          <w:lang w:eastAsia="zh-CN"/>
        </w:rPr>
        <w:t>2024年</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lang w:eastAsia="zh-CN"/>
        </w:rPr>
        <w:t>月</w:t>
      </w:r>
      <w:r>
        <w:rPr>
          <w:rFonts w:hint="eastAsia" w:ascii="宋体" w:hAnsi="宋体" w:eastAsia="宋体" w:cs="宋体"/>
          <w:b/>
          <w:bCs/>
          <w:color w:val="auto"/>
          <w:sz w:val="21"/>
          <w:szCs w:val="21"/>
          <w:highlight w:val="none"/>
        </w:rPr>
        <w:t>1日以后，</w:t>
      </w:r>
      <w:bookmarkStart w:id="504" w:name="OLE_LINK26"/>
      <w:r>
        <w:rPr>
          <w:rFonts w:hint="eastAsia" w:ascii="宋体" w:hAnsi="宋体" w:eastAsia="宋体" w:cs="宋体"/>
          <w:b/>
          <w:bCs/>
          <w:color w:val="auto"/>
          <w:sz w:val="21"/>
          <w:szCs w:val="21"/>
          <w:highlight w:val="none"/>
        </w:rPr>
        <w:t>检验报告中检</w:t>
      </w:r>
      <w:r>
        <w:rPr>
          <w:rFonts w:hint="eastAsia" w:ascii="宋体" w:hAnsi="宋体" w:eastAsia="宋体" w:cs="宋体"/>
          <w:b/>
          <w:bCs/>
          <w:color w:val="auto"/>
          <w:sz w:val="21"/>
          <w:szCs w:val="21"/>
          <w:highlight w:val="none"/>
          <w:lang w:val="en-US" w:eastAsia="zh-CN"/>
        </w:rPr>
        <w:t>验</w:t>
      </w:r>
      <w:r>
        <w:rPr>
          <w:rFonts w:hint="eastAsia" w:ascii="宋体" w:hAnsi="宋体" w:eastAsia="宋体" w:cs="宋体"/>
          <w:b/>
          <w:bCs/>
          <w:color w:val="auto"/>
          <w:sz w:val="21"/>
          <w:szCs w:val="21"/>
          <w:highlight w:val="none"/>
        </w:rPr>
        <w:t>指标</w:t>
      </w:r>
      <w:r>
        <w:rPr>
          <w:rFonts w:hint="eastAsia" w:ascii="宋体" w:hAnsi="宋体" w:eastAsia="宋体" w:cs="宋体"/>
          <w:b/>
          <w:bCs/>
          <w:color w:val="auto"/>
          <w:sz w:val="21"/>
          <w:szCs w:val="21"/>
          <w:highlight w:val="none"/>
          <w:lang w:val="en-US" w:eastAsia="zh-CN"/>
        </w:rPr>
        <w:t>为</w:t>
      </w:r>
      <w:bookmarkEnd w:id="504"/>
      <w:r>
        <w:rPr>
          <w:rFonts w:hint="eastAsia" w:ascii="宋体" w:hAnsi="宋体" w:eastAsia="宋体" w:cs="宋体"/>
          <w:b/>
          <w:bCs/>
          <w:color w:val="auto"/>
          <w:sz w:val="21"/>
          <w:szCs w:val="21"/>
          <w:highlight w:val="none"/>
        </w:rPr>
        <w:t>表1《</w:t>
      </w:r>
      <w:bookmarkStart w:id="505" w:name="OLE_LINK5"/>
      <w:r>
        <w:rPr>
          <w:rFonts w:hint="eastAsia" w:ascii="宋体" w:hAnsi="宋体" w:eastAsia="宋体" w:cs="宋体"/>
          <w:b/>
          <w:bCs/>
          <w:color w:val="auto"/>
          <w:sz w:val="21"/>
          <w:szCs w:val="21"/>
          <w:highlight w:val="none"/>
          <w:lang w:eastAsia="zh-CN"/>
        </w:rPr>
        <w:t>液体乙酸钠</w:t>
      </w:r>
      <w:r>
        <w:rPr>
          <w:rFonts w:hint="eastAsia" w:ascii="宋体" w:hAnsi="宋体" w:eastAsia="宋体" w:cs="宋体"/>
          <w:b/>
          <w:bCs/>
          <w:color w:val="auto"/>
          <w:sz w:val="21"/>
          <w:szCs w:val="21"/>
          <w:highlight w:val="none"/>
        </w:rPr>
        <w:t>主要技术指标</w:t>
      </w:r>
      <w:bookmarkEnd w:id="505"/>
      <w:r>
        <w:rPr>
          <w:rFonts w:hint="eastAsia" w:ascii="宋体" w:hAnsi="宋体" w:eastAsia="宋体" w:cs="宋体"/>
          <w:b/>
          <w:bCs/>
          <w:color w:val="auto"/>
          <w:sz w:val="21"/>
          <w:szCs w:val="21"/>
          <w:highlight w:val="none"/>
        </w:rPr>
        <w:t>》中各指标</w:t>
      </w:r>
      <w:r>
        <w:rPr>
          <w:rFonts w:hint="eastAsia" w:ascii="宋体" w:hAnsi="宋体" w:eastAsia="宋体" w:cs="宋体"/>
          <w:b/>
          <w:bCs/>
          <w:color w:val="auto"/>
          <w:sz w:val="21"/>
          <w:szCs w:val="21"/>
          <w:highlight w:val="none"/>
          <w:lang w:val="en-US" w:eastAsia="zh-CN"/>
        </w:rPr>
        <w:t>项目</w:t>
      </w:r>
      <w:r>
        <w:rPr>
          <w:rFonts w:hint="eastAsia" w:ascii="宋体" w:hAnsi="宋体" w:eastAsia="宋体" w:cs="宋体"/>
          <w:b/>
          <w:bCs/>
          <w:color w:val="auto"/>
          <w:sz w:val="21"/>
          <w:szCs w:val="21"/>
          <w:highlight w:val="none"/>
        </w:rPr>
        <w:t>，检验报告使用的检测方法需符合</w:t>
      </w:r>
      <w:r>
        <w:rPr>
          <w:rFonts w:hint="eastAsia" w:ascii="宋体" w:hAnsi="宋体" w:eastAsia="宋体" w:cs="宋体"/>
          <w:b/>
          <w:bCs/>
          <w:color w:val="auto"/>
          <w:sz w:val="21"/>
          <w:szCs w:val="21"/>
          <w:highlight w:val="none"/>
          <w:lang w:eastAsia="zh-CN"/>
        </w:rPr>
        <w:t>《生化法处理废（污）水用碳源 乙酸钠》(HG/T 5959-2021 )</w:t>
      </w:r>
      <w:r>
        <w:rPr>
          <w:rFonts w:hint="eastAsia" w:ascii="宋体" w:hAnsi="宋体" w:eastAsia="宋体" w:cs="宋体"/>
          <w:b/>
          <w:bCs/>
          <w:color w:val="auto"/>
          <w:sz w:val="21"/>
          <w:szCs w:val="21"/>
          <w:highlight w:val="none"/>
        </w:rPr>
        <w:t>。</w:t>
      </w:r>
    </w:p>
    <w:p w14:paraId="45DA6CD8">
      <w:pPr>
        <w:pStyle w:val="15"/>
        <w:ind w:firstLine="420" w:firstLineChars="20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投标人投标时提供的第三方检测机构出具的检验报告需体现委托方</w:t>
      </w:r>
      <w:r>
        <w:rPr>
          <w:rFonts w:hint="eastAsia" w:ascii="宋体" w:hAnsi="宋体" w:eastAsia="宋体" w:cs="宋体"/>
          <w:b w:val="0"/>
          <w:bCs w:val="0"/>
          <w:color w:val="auto"/>
          <w:sz w:val="21"/>
          <w:szCs w:val="21"/>
          <w:highlight w:val="none"/>
          <w:lang w:val="en-US" w:eastAsia="zh-CN"/>
        </w:rPr>
        <w:t>或</w:t>
      </w:r>
      <w:r>
        <w:rPr>
          <w:rFonts w:hint="eastAsia" w:ascii="宋体" w:hAnsi="宋体" w:eastAsia="宋体" w:cs="宋体"/>
          <w:b w:val="0"/>
          <w:bCs w:val="0"/>
          <w:color w:val="auto"/>
          <w:sz w:val="21"/>
          <w:szCs w:val="21"/>
          <w:highlight w:val="none"/>
        </w:rPr>
        <w:t>生产厂家、送检样品的产品名称</w:t>
      </w:r>
      <w:r>
        <w:rPr>
          <w:rFonts w:hint="eastAsia" w:ascii="宋体" w:hAnsi="宋体" w:eastAsia="宋体" w:cs="宋体"/>
          <w:b w:val="0"/>
          <w:bCs w:val="0"/>
          <w:color w:val="auto"/>
          <w:sz w:val="21"/>
          <w:szCs w:val="21"/>
          <w:highlight w:val="none"/>
          <w:lang w:eastAsia="zh-CN"/>
        </w:rPr>
        <w:t>。</w:t>
      </w:r>
    </w:p>
    <w:p w14:paraId="3C817097">
      <w:pPr>
        <w:numPr>
          <w:ilvl w:val="0"/>
          <w:numId w:val="2"/>
        </w:numPr>
        <w:autoSpaceDE/>
        <w:autoSpaceDN/>
        <w:adjustRightInd/>
        <w:spacing w:line="360" w:lineRule="auto"/>
        <w:jc w:val="both"/>
        <w:outlineLvl w:val="9"/>
        <w:rPr>
          <w:rFonts w:hint="eastAsia" w:ascii="宋体" w:hAnsi="宋体" w:eastAsia="宋体" w:cs="宋体"/>
          <w:b/>
          <w:color w:val="auto"/>
          <w:sz w:val="21"/>
          <w:szCs w:val="21"/>
          <w:highlight w:val="none"/>
        </w:rPr>
      </w:pPr>
      <w:bookmarkStart w:id="506" w:name="_Toc7916"/>
      <w:bookmarkStart w:id="507" w:name="_Toc14997"/>
      <w:r>
        <w:rPr>
          <w:rFonts w:hint="eastAsia" w:ascii="宋体" w:hAnsi="宋体" w:eastAsia="宋体" w:cs="宋体"/>
          <w:b/>
          <w:color w:val="auto"/>
          <w:sz w:val="21"/>
          <w:szCs w:val="21"/>
          <w:highlight w:val="none"/>
        </w:rPr>
        <w:t>交货要求</w:t>
      </w:r>
      <w:bookmarkEnd w:id="506"/>
      <w:bookmarkEnd w:id="507"/>
    </w:p>
    <w:p w14:paraId="10F105A9">
      <w:pPr>
        <w:spacing w:line="360" w:lineRule="auto"/>
        <w:ind w:firstLine="420" w:firstLineChars="200"/>
        <w:jc w:val="both"/>
        <w:outlineLvl w:val="9"/>
        <w:rPr>
          <w:rFonts w:hint="eastAsia" w:ascii="宋体" w:hAnsi="宋体" w:eastAsia="宋体" w:cs="宋体"/>
          <w:color w:val="auto"/>
          <w:sz w:val="21"/>
          <w:szCs w:val="21"/>
          <w:highlight w:val="none"/>
        </w:rPr>
      </w:pPr>
      <w:bookmarkStart w:id="508" w:name="_Toc21273"/>
      <w:bookmarkStart w:id="509" w:name="_Toc24196"/>
      <w:r>
        <w:rPr>
          <w:rFonts w:hint="eastAsia" w:ascii="宋体" w:hAnsi="宋体" w:eastAsia="宋体" w:cs="宋体"/>
          <w:color w:val="auto"/>
          <w:sz w:val="21"/>
          <w:szCs w:val="21"/>
          <w:highlight w:val="none"/>
        </w:rPr>
        <w:t>1、交货地点：招标人</w:t>
      </w:r>
      <w:r>
        <w:rPr>
          <w:rFonts w:hint="eastAsia" w:ascii="宋体" w:hAnsi="宋体" w:eastAsia="宋体" w:cs="宋体"/>
          <w:color w:val="auto"/>
          <w:kern w:val="2"/>
          <w:sz w:val="21"/>
          <w:szCs w:val="21"/>
          <w:highlight w:val="none"/>
        </w:rPr>
        <w:t>在东莞市范围内的</w:t>
      </w:r>
      <w:r>
        <w:rPr>
          <w:rFonts w:hint="eastAsia" w:ascii="宋体" w:hAnsi="宋体" w:eastAsia="宋体" w:cs="宋体"/>
          <w:color w:val="auto"/>
          <w:sz w:val="21"/>
          <w:szCs w:val="21"/>
          <w:highlight w:val="none"/>
        </w:rPr>
        <w:t>运营项目。</w:t>
      </w:r>
      <w:bookmarkEnd w:id="508"/>
      <w:bookmarkEnd w:id="509"/>
    </w:p>
    <w:p w14:paraId="6C1BC9CF">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2、交货时间：日常供货（非加急供货</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为接到供货通知24小时内，加急供货为接到供货通知4小时内，具体交货时间以招标人运营项目供货通知为准。招标人无需因加急供货而额外支付任何费用。</w:t>
      </w:r>
    </w:p>
    <w:p w14:paraId="7AE96982">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投标人自行负责将生产药剂运送至招标人运营项目指定位置（生产药剂储存罐），未经招标人书面同意，投标人不得私自将本合同项下的货物运输义务委托第三方个人或企业。投标人承担相应的运输、装卸等费用，运输人员应配备足够防护器具。如在运输及装卸过程中，生产药剂发生泄漏，应由投标人负责清理收集，避免造成人员伤害或环境污染。</w:t>
      </w:r>
    </w:p>
    <w:p w14:paraId="418B444C">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4、每次送货，投标人须提供电子地磅的称重单（含载货时的称重单和卸货后的称重单），相关费用由投标人承担。实际供货数量以招标人运营项目和投标人双方确认的电子地磅的称重单为准。</w:t>
      </w:r>
      <w:r>
        <w:rPr>
          <w:rFonts w:hint="eastAsia" w:ascii="宋体" w:hAnsi="宋体" w:eastAsia="宋体" w:cs="宋体"/>
          <w:color w:val="auto"/>
          <w:kern w:val="2"/>
          <w:sz w:val="21"/>
          <w:szCs w:val="21"/>
          <w:highlight w:val="none"/>
        </w:rPr>
        <w:t>招标人运营项目</w:t>
      </w:r>
      <w:r>
        <w:rPr>
          <w:rFonts w:hint="eastAsia" w:ascii="宋体" w:hAnsi="宋体" w:eastAsia="宋体" w:cs="宋体"/>
          <w:color w:val="auto"/>
          <w:kern w:val="2"/>
          <w:sz w:val="21"/>
          <w:szCs w:val="21"/>
          <w:highlight w:val="none"/>
          <w:lang w:val="en-US" w:eastAsia="zh-CN"/>
        </w:rPr>
        <w:t>有电子地磅的，原则上在招标人运营项目过磅；招标人运营项目无电子地磅或电子地磅因检修等原因不可用的，在</w:t>
      </w:r>
      <w:r>
        <w:rPr>
          <w:rFonts w:hint="eastAsia" w:ascii="宋体" w:hAnsi="宋体" w:eastAsia="宋体" w:cs="宋体"/>
          <w:color w:val="auto"/>
          <w:kern w:val="2"/>
          <w:sz w:val="21"/>
          <w:szCs w:val="21"/>
          <w:highlight w:val="none"/>
        </w:rPr>
        <w:t>交货地点附近的</w:t>
      </w:r>
      <w:r>
        <w:rPr>
          <w:rFonts w:hint="eastAsia" w:ascii="宋体" w:hAnsi="宋体" w:eastAsia="宋体" w:cs="宋体"/>
          <w:color w:val="auto"/>
          <w:kern w:val="2"/>
          <w:sz w:val="21"/>
          <w:szCs w:val="21"/>
          <w:highlight w:val="none"/>
          <w:lang w:val="en-US" w:eastAsia="zh-CN"/>
        </w:rPr>
        <w:t>电子地磅过磅。</w:t>
      </w:r>
      <w:r>
        <w:rPr>
          <w:rFonts w:hint="eastAsia" w:ascii="宋体" w:hAnsi="宋体" w:eastAsia="宋体" w:cs="宋体"/>
          <w:color w:val="auto"/>
          <w:szCs w:val="21"/>
        </w:rPr>
        <w:t>招标人电子地磅的称重服务不含税单价为1.51元/吨，称重服务相关条款由招标人或招标人权属子公司与中标人签订称重服务合同另行约定。</w:t>
      </w:r>
    </w:p>
    <w:p w14:paraId="5C483C76">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5、</w:t>
      </w:r>
      <w:r>
        <w:rPr>
          <w:rFonts w:hint="eastAsia" w:ascii="宋体" w:hAnsi="宋体" w:eastAsia="宋体" w:cs="宋体"/>
          <w:color w:val="auto"/>
          <w:sz w:val="21"/>
          <w:szCs w:val="21"/>
          <w:highlight w:val="none"/>
        </w:rPr>
        <w:t>每次送货，</w:t>
      </w:r>
      <w:r>
        <w:rPr>
          <w:rFonts w:hint="eastAsia" w:ascii="宋体" w:hAnsi="宋体" w:eastAsia="宋体" w:cs="宋体"/>
          <w:color w:val="auto"/>
          <w:kern w:val="2"/>
          <w:sz w:val="21"/>
          <w:szCs w:val="21"/>
          <w:highlight w:val="none"/>
        </w:rPr>
        <w:t>投标人须随货提供生产厂家出具的具有</w:t>
      </w:r>
      <w:r>
        <w:rPr>
          <w:rFonts w:hint="eastAsia" w:ascii="宋体" w:hAnsi="宋体" w:eastAsia="宋体" w:cs="宋体"/>
          <w:b/>
          <w:bCs/>
          <w:color w:val="auto"/>
          <w:kern w:val="2"/>
          <w:sz w:val="21"/>
          <w:szCs w:val="21"/>
          <w:highlight w:val="none"/>
        </w:rPr>
        <w:t>生产厂家、出厂批号、</w:t>
      </w:r>
      <w:r>
        <w:rPr>
          <w:rFonts w:hint="eastAsia" w:ascii="宋体" w:hAnsi="宋体" w:eastAsia="宋体" w:cs="宋体"/>
          <w:b/>
          <w:bCs/>
          <w:color w:val="auto"/>
          <w:szCs w:val="21"/>
          <w:highlight w:val="none"/>
        </w:rPr>
        <w:t>乙酸钠质量分数、化学需氧量（COD</w:t>
      </w:r>
      <w:r>
        <w:rPr>
          <w:rFonts w:hint="eastAsia" w:ascii="宋体" w:hAnsi="宋体" w:eastAsia="宋体" w:cs="宋体"/>
          <w:b/>
          <w:bCs/>
          <w:color w:val="auto"/>
          <w:szCs w:val="21"/>
          <w:highlight w:val="none"/>
          <w:vertAlign w:val="subscript"/>
        </w:rPr>
        <w:t>Cr</w:t>
      </w:r>
      <w:r>
        <w:rPr>
          <w:rFonts w:hint="eastAsia" w:ascii="宋体" w:hAnsi="宋体" w:eastAsia="宋体" w:cs="宋体"/>
          <w:b/>
          <w:bCs/>
          <w:color w:val="auto"/>
          <w:szCs w:val="21"/>
          <w:highlight w:val="none"/>
        </w:rPr>
        <w:t>）、pH值、水不溶物的质量分数、氯化物的质量分数</w:t>
      </w:r>
      <w:r>
        <w:rPr>
          <w:rFonts w:hint="eastAsia" w:ascii="宋体" w:hAnsi="宋体" w:eastAsia="宋体" w:cs="宋体"/>
          <w:b/>
          <w:bCs/>
          <w:color w:val="auto"/>
          <w:kern w:val="2"/>
          <w:sz w:val="21"/>
          <w:szCs w:val="21"/>
          <w:highlight w:val="none"/>
        </w:rPr>
        <w:t>等主要信息</w:t>
      </w:r>
      <w:r>
        <w:rPr>
          <w:rFonts w:hint="eastAsia" w:ascii="宋体" w:hAnsi="宋体" w:eastAsia="宋体" w:cs="宋体"/>
          <w:color w:val="auto"/>
          <w:kern w:val="2"/>
          <w:sz w:val="21"/>
          <w:szCs w:val="21"/>
          <w:highlight w:val="none"/>
        </w:rPr>
        <w:t>的</w:t>
      </w:r>
      <w:r>
        <w:rPr>
          <w:rFonts w:hint="eastAsia" w:ascii="宋体" w:hAnsi="宋体" w:eastAsia="宋体" w:cs="宋体"/>
          <w:color w:val="auto"/>
          <w:szCs w:val="21"/>
          <w:highlight w:val="none"/>
        </w:rPr>
        <w:t>符合表1《</w:t>
      </w:r>
      <w:r>
        <w:rPr>
          <w:rFonts w:hint="eastAsia" w:ascii="宋体" w:hAnsi="宋体" w:eastAsia="宋体" w:cs="宋体"/>
          <w:color w:val="auto"/>
          <w:szCs w:val="21"/>
          <w:highlight w:val="none"/>
          <w:lang w:eastAsia="zh-CN"/>
        </w:rPr>
        <w:t>液体乙酸钠</w:t>
      </w:r>
      <w:r>
        <w:rPr>
          <w:rFonts w:hint="eastAsia" w:ascii="宋体" w:hAnsi="宋体" w:eastAsia="宋体" w:cs="宋体"/>
          <w:color w:val="auto"/>
          <w:szCs w:val="21"/>
          <w:highlight w:val="none"/>
        </w:rPr>
        <w:t>主要技术指标》要求的</w:t>
      </w:r>
      <w:r>
        <w:rPr>
          <w:rFonts w:hint="eastAsia" w:ascii="宋体" w:hAnsi="宋体" w:eastAsia="宋体" w:cs="宋体"/>
          <w:color w:val="auto"/>
          <w:kern w:val="2"/>
          <w:sz w:val="21"/>
          <w:szCs w:val="21"/>
          <w:highlight w:val="none"/>
        </w:rPr>
        <w:t>产品质量检验报告（如出厂检验报告、质量检验报告等）、供货单据等资料</w:t>
      </w:r>
      <w:r>
        <w:rPr>
          <w:rFonts w:hint="eastAsia" w:ascii="宋体" w:hAnsi="宋体" w:eastAsia="宋体" w:cs="宋体"/>
          <w:color w:val="auto"/>
          <w:sz w:val="21"/>
          <w:szCs w:val="21"/>
          <w:highlight w:val="none"/>
        </w:rPr>
        <w:t>，投标人提供的检验报告只作为招标人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参考。</w:t>
      </w:r>
    </w:p>
    <w:p w14:paraId="102351C2">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6、供货期间，在收到招标人</w:t>
      </w:r>
      <w:r>
        <w:rPr>
          <w:rFonts w:hint="eastAsia" w:ascii="宋体" w:hAnsi="宋体" w:eastAsia="宋体" w:cs="宋体"/>
          <w:color w:val="auto"/>
          <w:kern w:val="2"/>
          <w:sz w:val="21"/>
          <w:szCs w:val="21"/>
          <w:highlight w:val="none"/>
        </w:rPr>
        <w:t>运营项目供货</w:t>
      </w:r>
      <w:r>
        <w:rPr>
          <w:rFonts w:hint="eastAsia" w:ascii="宋体" w:hAnsi="宋体" w:eastAsia="宋体" w:cs="宋体"/>
          <w:color w:val="auto"/>
          <w:sz w:val="21"/>
          <w:szCs w:val="21"/>
          <w:highlight w:val="none"/>
        </w:rPr>
        <w:t>通知前，投标人无需为合同履行做准备工作。招标人运营项目相关信息见附件，仅供投标人报价参考。</w:t>
      </w:r>
    </w:p>
    <w:p w14:paraId="7562543E">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7、关于生产药剂的贮存装置、</w:t>
      </w:r>
      <w:bookmarkStart w:id="510" w:name="_Hlk111479904"/>
      <w:r>
        <w:rPr>
          <w:rFonts w:hint="eastAsia" w:ascii="宋体" w:hAnsi="宋体" w:eastAsia="宋体" w:cs="宋体"/>
          <w:color w:val="auto"/>
          <w:sz w:val="21"/>
          <w:szCs w:val="21"/>
          <w:highlight w:val="none"/>
        </w:rPr>
        <w:t>贮存</w:t>
      </w:r>
      <w:bookmarkEnd w:id="510"/>
      <w:r>
        <w:rPr>
          <w:rFonts w:hint="eastAsia" w:ascii="宋体" w:hAnsi="宋体" w:eastAsia="宋体" w:cs="宋体"/>
          <w:color w:val="auto"/>
          <w:sz w:val="21"/>
          <w:szCs w:val="21"/>
          <w:highlight w:val="none"/>
        </w:rPr>
        <w:t>条件等要求，投标人应</w:t>
      </w:r>
      <w:r>
        <w:rPr>
          <w:rFonts w:hint="eastAsia" w:ascii="宋体" w:hAnsi="宋体" w:eastAsia="宋体" w:cs="宋体"/>
          <w:color w:val="auto"/>
          <w:kern w:val="2"/>
          <w:sz w:val="21"/>
          <w:szCs w:val="21"/>
          <w:highlight w:val="none"/>
        </w:rPr>
        <w:t>以书面形式</w:t>
      </w:r>
      <w:r>
        <w:rPr>
          <w:rFonts w:hint="eastAsia" w:ascii="宋体" w:hAnsi="宋体" w:eastAsia="宋体" w:cs="宋体"/>
          <w:color w:val="auto"/>
          <w:sz w:val="21"/>
          <w:szCs w:val="21"/>
          <w:highlight w:val="none"/>
        </w:rPr>
        <w:t>详细告知招标人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w:t>
      </w:r>
    </w:p>
    <w:p w14:paraId="0CFEDE3A">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8、生产药剂的运送及输送方式应符合国家或行业规范标准。液体药剂采用聚乙烯塑料桶或专用耐酸耐腐蚀贮罐等密闭容器装运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禁止与酸性物质共运，运输过程防止药剂泄漏并避免有毒物品的污染，且</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或其委托的运输单位应当具备国家及行业规定的运输资质。</w:t>
      </w:r>
    </w:p>
    <w:p w14:paraId="6BCFB60D">
      <w:pPr>
        <w:numPr>
          <w:ilvl w:val="0"/>
          <w:numId w:val="2"/>
        </w:numPr>
        <w:autoSpaceDE/>
        <w:autoSpaceDN/>
        <w:adjustRightInd/>
        <w:spacing w:line="360" w:lineRule="auto"/>
        <w:jc w:val="both"/>
        <w:outlineLvl w:val="9"/>
        <w:rPr>
          <w:rFonts w:hint="eastAsia" w:ascii="宋体" w:hAnsi="宋体" w:eastAsia="宋体" w:cs="宋体"/>
          <w:b/>
          <w:color w:val="auto"/>
          <w:sz w:val="21"/>
          <w:szCs w:val="21"/>
          <w:highlight w:val="none"/>
        </w:rPr>
      </w:pPr>
      <w:bookmarkStart w:id="511" w:name="_Toc16213"/>
      <w:bookmarkStart w:id="512" w:name="_Toc24688"/>
      <w:r>
        <w:rPr>
          <w:rFonts w:hint="eastAsia" w:ascii="宋体" w:hAnsi="宋体" w:eastAsia="宋体" w:cs="宋体"/>
          <w:b/>
          <w:color w:val="auto"/>
          <w:sz w:val="21"/>
          <w:szCs w:val="21"/>
          <w:highlight w:val="none"/>
        </w:rPr>
        <w:t>验收要求</w:t>
      </w:r>
      <w:bookmarkEnd w:id="511"/>
      <w:bookmarkEnd w:id="512"/>
    </w:p>
    <w:p w14:paraId="7F7F391F">
      <w:pPr>
        <w:autoSpaceDE/>
        <w:autoSpaceDN/>
        <w:adjustRightInd/>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1、验收分为货到交货地点的初步验收，和货物检验合格后的最终验收。</w:t>
      </w:r>
    </w:p>
    <w:p w14:paraId="56167390">
      <w:pPr>
        <w:autoSpaceDE/>
        <w:autoSpaceDN/>
        <w:adjustRightInd/>
        <w:spacing w:line="360" w:lineRule="auto"/>
        <w:ind w:firstLine="422" w:firstLineChars="200"/>
        <w:jc w:val="both"/>
        <w:outlineLvl w:val="9"/>
        <w:rPr>
          <w:rFonts w:hint="eastAsia" w:ascii="宋体" w:hAnsi="宋体" w:eastAsia="宋体" w:cs="宋体"/>
          <w:b/>
          <w:bCs/>
          <w:color w:val="auto"/>
          <w:kern w:val="2"/>
          <w:sz w:val="21"/>
          <w:szCs w:val="21"/>
          <w:highlight w:val="none"/>
        </w:rPr>
      </w:pPr>
      <w:bookmarkStart w:id="513" w:name="_Toc26056"/>
      <w:bookmarkStart w:id="514" w:name="_Toc23730"/>
      <w:r>
        <w:rPr>
          <w:rFonts w:hint="eastAsia" w:ascii="宋体" w:hAnsi="宋体" w:eastAsia="宋体" w:cs="宋体"/>
          <w:b/>
          <w:bCs/>
          <w:color w:val="auto"/>
          <w:kern w:val="2"/>
          <w:sz w:val="21"/>
          <w:szCs w:val="21"/>
          <w:highlight w:val="none"/>
        </w:rPr>
        <w:t>（1）初步验收：</w:t>
      </w:r>
      <w:bookmarkEnd w:id="513"/>
      <w:bookmarkEnd w:id="514"/>
    </w:p>
    <w:p w14:paraId="346193CB">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1）货物运抵交货地点，招标人运营项目、投标人共同验货。招标人运营项目按照本项目合同及招标文件，对货物的数量、品种、随车产品质量检验报告、供货单据等进行核对。</w:t>
      </w:r>
    </w:p>
    <w:p w14:paraId="254E2C2E">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2）初步验收合格后，招标人运营项目、投标人双方进行相关签收手续。</w:t>
      </w:r>
    </w:p>
    <w:p w14:paraId="60C0533A">
      <w:pPr>
        <w:autoSpaceDE/>
        <w:autoSpaceDN/>
        <w:adjustRightInd/>
        <w:spacing w:line="360" w:lineRule="auto"/>
        <w:ind w:firstLine="422" w:firstLineChars="200"/>
        <w:jc w:val="both"/>
        <w:outlineLvl w:val="9"/>
        <w:rPr>
          <w:rFonts w:hint="eastAsia" w:ascii="宋体" w:hAnsi="宋体" w:eastAsia="宋体" w:cs="宋体"/>
          <w:b/>
          <w:bCs/>
          <w:color w:val="auto"/>
          <w:kern w:val="2"/>
          <w:sz w:val="21"/>
          <w:szCs w:val="21"/>
          <w:highlight w:val="none"/>
        </w:rPr>
      </w:pPr>
      <w:bookmarkStart w:id="515" w:name="_Toc24743"/>
      <w:bookmarkStart w:id="516" w:name="_Toc16461"/>
      <w:r>
        <w:rPr>
          <w:rFonts w:hint="eastAsia" w:ascii="宋体" w:hAnsi="宋体" w:eastAsia="宋体" w:cs="宋体"/>
          <w:b/>
          <w:bCs/>
          <w:color w:val="auto"/>
          <w:kern w:val="2"/>
          <w:sz w:val="21"/>
          <w:szCs w:val="21"/>
          <w:highlight w:val="none"/>
        </w:rPr>
        <w:t>（2）最终验收</w:t>
      </w:r>
      <w:bookmarkEnd w:id="515"/>
      <w:bookmarkEnd w:id="516"/>
    </w:p>
    <w:p w14:paraId="5A5E3869">
      <w:pPr>
        <w:autoSpaceDE/>
        <w:autoSpaceDN/>
        <w:adjustRightInd/>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对每次供货货物检验，检验指标由招标人在表1</w:t>
      </w:r>
      <w:r>
        <w:rPr>
          <w:rFonts w:hint="eastAsia" w:ascii="宋体" w:hAnsi="宋体" w:eastAsia="宋体" w:cs="宋体"/>
          <w:color w:val="auto"/>
          <w:sz w:val="21"/>
          <w:szCs w:val="21"/>
          <w:highlight w:val="none"/>
          <w:lang w:eastAsia="zh-CN"/>
        </w:rPr>
        <w:t>《液体乙酸钠</w:t>
      </w:r>
      <w:r>
        <w:rPr>
          <w:rFonts w:hint="eastAsia" w:ascii="宋体" w:hAnsi="宋体" w:eastAsia="宋体" w:cs="宋体"/>
          <w:color w:val="auto"/>
          <w:sz w:val="21"/>
          <w:szCs w:val="21"/>
          <w:highlight w:val="none"/>
        </w:rPr>
        <w:t>主要技术指标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中选择，其中</w:t>
      </w:r>
      <w:r>
        <w:rPr>
          <w:rFonts w:hint="eastAsia" w:ascii="宋体" w:hAnsi="宋体" w:eastAsia="宋体" w:cs="宋体"/>
          <w:color w:val="auto"/>
          <w:sz w:val="21"/>
          <w:szCs w:val="21"/>
          <w:highlight w:val="none"/>
          <w:lang w:val="en-US" w:eastAsia="zh-CN"/>
        </w:rPr>
        <w:t>乙酸钠的质量分数、化学需氧量（COD</w:t>
      </w:r>
      <w:r>
        <w:rPr>
          <w:rFonts w:hint="eastAsia" w:ascii="宋体" w:hAnsi="宋体" w:eastAsia="宋体" w:cs="宋体"/>
          <w:color w:val="auto"/>
          <w:sz w:val="21"/>
          <w:szCs w:val="21"/>
          <w:highlight w:val="none"/>
          <w:vertAlign w:val="subscript"/>
          <w:lang w:val="en-US" w:eastAsia="zh-CN"/>
        </w:rPr>
        <w:t>Cr</w:t>
      </w:r>
      <w:r>
        <w:rPr>
          <w:rFonts w:hint="eastAsia" w:ascii="宋体" w:hAnsi="宋体" w:eastAsia="宋体" w:cs="宋体"/>
          <w:color w:val="auto"/>
          <w:sz w:val="21"/>
          <w:szCs w:val="21"/>
          <w:highlight w:val="none"/>
          <w:lang w:val="en-US" w:eastAsia="zh-CN"/>
        </w:rPr>
        <w:t>）、pH值</w:t>
      </w:r>
      <w:r>
        <w:rPr>
          <w:rFonts w:hint="eastAsia" w:ascii="宋体" w:hAnsi="宋体" w:eastAsia="宋体" w:cs="宋体"/>
          <w:color w:val="auto"/>
          <w:sz w:val="21"/>
          <w:szCs w:val="21"/>
          <w:highlight w:val="none"/>
        </w:rPr>
        <w:t>为每次供货货物的批检检验指标，其余指标为招标人根据需要抽检的按需检验指标，货物批检检验指标和按需检验指标由招标人根据招标人</w:t>
      </w:r>
      <w:r>
        <w:rPr>
          <w:rFonts w:hint="eastAsia" w:ascii="宋体" w:hAnsi="宋体" w:eastAsia="宋体" w:cs="宋体"/>
          <w:color w:val="auto"/>
          <w:sz w:val="21"/>
          <w:szCs w:val="21"/>
          <w:highlight w:val="none"/>
          <w:lang w:bidi="ar"/>
        </w:rPr>
        <w:t>关于药剂的管理制度及要求适时调整。</w:t>
      </w:r>
      <w:r>
        <w:rPr>
          <w:rFonts w:hint="eastAsia" w:ascii="宋体" w:hAnsi="宋体" w:eastAsia="宋体" w:cs="宋体"/>
          <w:color w:val="auto"/>
          <w:sz w:val="21"/>
          <w:szCs w:val="21"/>
          <w:highlight w:val="none"/>
        </w:rPr>
        <w:t>每次货到现场时可由双方共同取样，供货货物合格判定以招标人实验室检验结果为准。招标人根据需要可委托具有CMA认证资质的第三方检测机构检测，招标人委托的具有CMA认证资质的第三方检测机构的检验结果与招标人实验室不一致的，该次的供货货物质量判定以招标人委托的具有CMA认证资质的第三方检测机构的检验结果为准。</w:t>
      </w:r>
    </w:p>
    <w:p w14:paraId="5BCBBCE7">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2）货物检验方法按</w:t>
      </w:r>
      <w:r>
        <w:rPr>
          <w:rFonts w:hint="eastAsia" w:ascii="宋体" w:hAnsi="宋体" w:eastAsia="宋体" w:cs="宋体"/>
          <w:color w:val="auto"/>
          <w:sz w:val="21"/>
          <w:szCs w:val="21"/>
          <w:highlight w:val="none"/>
          <w:lang w:eastAsia="zh-CN"/>
        </w:rPr>
        <w:t>《生化法处理废（污）水用碳源 乙酸钠》(HG/T 5959-2021 )</w:t>
      </w:r>
      <w:r>
        <w:rPr>
          <w:rFonts w:hint="eastAsia" w:ascii="宋体" w:hAnsi="宋体" w:eastAsia="宋体" w:cs="宋体"/>
          <w:color w:val="auto"/>
          <w:sz w:val="21"/>
          <w:szCs w:val="21"/>
          <w:highlight w:val="none"/>
        </w:rPr>
        <w:t>中的检测方法进行。供货期间，如有发布最新的行业标准或国家标准，货物检验方法按发布的最新行业标准或国家标准执行。</w:t>
      </w:r>
    </w:p>
    <w:p w14:paraId="1CE8CCAB">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3）如供货货物符合表1《</w:t>
      </w:r>
      <w:r>
        <w:rPr>
          <w:rFonts w:hint="eastAsia" w:ascii="宋体" w:hAnsi="宋体" w:eastAsia="宋体" w:cs="宋体"/>
          <w:color w:val="auto"/>
          <w:sz w:val="21"/>
          <w:szCs w:val="21"/>
          <w:highlight w:val="none"/>
          <w:lang w:eastAsia="zh-CN"/>
        </w:rPr>
        <w:t>液体乙酸钠</w:t>
      </w:r>
      <w:r>
        <w:rPr>
          <w:rFonts w:hint="eastAsia" w:ascii="宋体" w:hAnsi="宋体" w:eastAsia="宋体" w:cs="宋体"/>
          <w:color w:val="auto"/>
          <w:sz w:val="21"/>
          <w:szCs w:val="21"/>
          <w:highlight w:val="none"/>
        </w:rPr>
        <w:t>主要技术指标》要求则最终验收合格。</w:t>
      </w:r>
    </w:p>
    <w:p w14:paraId="5B7B016E">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2、货物按上述程序验收后，招标人运营项目向投标人出具书面的验收报告，投标人需对验收报告盖章确认。验收报告作为对货物供货数量及主要技术指标验收的证明，不代表对货物使用效果的认可。</w:t>
      </w:r>
    </w:p>
    <w:p w14:paraId="66A3ACBD">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3、招标人运营项目根据本条规定对货物所做出的验收，仅作为起算付款及质保期之用，不视为双方对于货物质量的最终认可，投标人仍应在质保期内对产品质量承担保证责任。</w:t>
      </w:r>
    </w:p>
    <w:p w14:paraId="5AF2F2FB">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货物在经最终验收合格前，其损耗、毁损、灭失等风险及责任由投标人承担，如因发生前述情形，导致投标人所提供的货物不能通过招标人运营项目验收的，投标人应按招标人运营项目要求无条件予以退换货，给招标人造成损失的投标人须承担全部的赔偿责任。</w:t>
      </w:r>
    </w:p>
    <w:p w14:paraId="4054ECE5">
      <w:pPr>
        <w:autoSpaceDE/>
        <w:autoSpaceDN/>
        <w:adjustRightInd/>
        <w:spacing w:line="360" w:lineRule="auto"/>
        <w:jc w:val="both"/>
        <w:outlineLvl w:val="9"/>
        <w:rPr>
          <w:rFonts w:hint="eastAsia" w:ascii="宋体" w:hAnsi="宋体" w:eastAsia="宋体" w:cs="宋体"/>
          <w:b/>
          <w:color w:val="auto"/>
          <w:sz w:val="21"/>
          <w:szCs w:val="21"/>
          <w:highlight w:val="none"/>
        </w:rPr>
      </w:pPr>
      <w:bookmarkStart w:id="517" w:name="_Toc22100"/>
      <w:bookmarkStart w:id="518" w:name="_Toc12550"/>
      <w:bookmarkStart w:id="519" w:name="_Hlk142639147"/>
      <w:r>
        <w:rPr>
          <w:rFonts w:hint="eastAsia" w:ascii="宋体" w:hAnsi="宋体" w:eastAsia="宋体" w:cs="宋体"/>
          <w:b/>
          <w:color w:val="auto"/>
          <w:sz w:val="21"/>
          <w:szCs w:val="21"/>
          <w:highlight w:val="none"/>
        </w:rPr>
        <w:t>五、</w:t>
      </w:r>
      <w:bookmarkStart w:id="520" w:name="OLE_LINK11"/>
      <w:r>
        <w:rPr>
          <w:rFonts w:hint="eastAsia" w:ascii="宋体" w:hAnsi="宋体" w:eastAsia="宋体" w:cs="宋体"/>
          <w:b/>
          <w:color w:val="auto"/>
          <w:sz w:val="21"/>
          <w:szCs w:val="21"/>
          <w:highlight w:val="none"/>
        </w:rPr>
        <w:t>资料要求</w:t>
      </w:r>
      <w:bookmarkEnd w:id="517"/>
      <w:bookmarkEnd w:id="518"/>
      <w:bookmarkEnd w:id="520"/>
    </w:p>
    <w:p w14:paraId="459C0FCE">
      <w:pPr>
        <w:snapToGrid w:val="0"/>
        <w:spacing w:line="360" w:lineRule="auto"/>
        <w:ind w:firstLine="420" w:firstLineChars="200"/>
        <w:outlineLvl w:val="9"/>
        <w:rPr>
          <w:rFonts w:hint="eastAsia" w:ascii="宋体" w:hAnsi="宋体" w:eastAsia="宋体" w:cs="宋体"/>
          <w:color w:val="auto"/>
          <w:sz w:val="21"/>
          <w:szCs w:val="21"/>
          <w:highlight w:val="none"/>
        </w:rPr>
      </w:pPr>
      <w:bookmarkStart w:id="521" w:name="_Toc28578"/>
      <w:bookmarkStart w:id="522" w:name="_Toc24104"/>
      <w:r>
        <w:rPr>
          <w:rFonts w:hint="eastAsia" w:ascii="宋体" w:hAnsi="宋体" w:eastAsia="宋体" w:cs="宋体"/>
          <w:color w:val="auto"/>
          <w:sz w:val="21"/>
          <w:szCs w:val="21"/>
          <w:highlight w:val="none"/>
        </w:rPr>
        <w:t>1、投标人需向招标人运营项目提供但不限于下述技术资料：</w:t>
      </w:r>
      <w:bookmarkEnd w:id="521"/>
      <w:bookmarkEnd w:id="522"/>
    </w:p>
    <w:p w14:paraId="43404696">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（1）符合第三条交货要求第5点要求的</w:t>
      </w:r>
      <w:r>
        <w:rPr>
          <w:rFonts w:hint="eastAsia" w:ascii="宋体" w:hAnsi="宋体" w:eastAsia="宋体" w:cs="宋体"/>
          <w:color w:val="auto"/>
          <w:kern w:val="2"/>
          <w:sz w:val="21"/>
          <w:szCs w:val="21"/>
          <w:highlight w:val="none"/>
        </w:rPr>
        <w:t>产品质量检验报告（如出厂检验报告、质量检验报告等）</w:t>
      </w:r>
      <w:r>
        <w:rPr>
          <w:rFonts w:hint="eastAsia" w:ascii="宋体" w:hAnsi="宋体" w:eastAsia="宋体" w:cs="宋体"/>
          <w:color w:val="auto"/>
          <w:sz w:val="21"/>
          <w:szCs w:val="21"/>
          <w:highlight w:val="none"/>
        </w:rPr>
        <w:t>、供货单据；</w:t>
      </w:r>
    </w:p>
    <w:p w14:paraId="11516569">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（2）验收报告；</w:t>
      </w:r>
    </w:p>
    <w:p w14:paraId="425477BB">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（3）与货物使用相关的其他文件；</w:t>
      </w:r>
    </w:p>
    <w:p w14:paraId="3D955632">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（4）招标人运营项目要求提供的其他技术资料。</w:t>
      </w:r>
    </w:p>
    <w:p w14:paraId="0586C1E7">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2、投标人需将上述资料（若上述资料为复印件的，则须加盖投标人公章）在交货时交给招标人运营项目，有关资料的收集和整理由投标人负责，招标人运营项目予以配合。</w:t>
      </w:r>
    </w:p>
    <w:p w14:paraId="79CAC5B0">
      <w:pPr>
        <w:autoSpaceDE/>
        <w:autoSpaceDN/>
        <w:adjustRightInd/>
        <w:snapToGrid w:val="0"/>
        <w:spacing w:line="360" w:lineRule="auto"/>
        <w:ind w:firstLine="420"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kern w:val="2"/>
          <w:sz w:val="21"/>
          <w:szCs w:val="21"/>
          <w:highlight w:val="none"/>
        </w:rPr>
        <w:t>供货期内，投标人需每季度委托具有CMA认证资质的第三方检测机构对供货期间所供货物进行检测，并提供第三方检测机构出具的</w:t>
      </w:r>
      <w:bookmarkStart w:id="523" w:name="OLE_LINK29"/>
      <w:r>
        <w:rPr>
          <w:rFonts w:hint="eastAsia" w:ascii="宋体" w:hAnsi="宋体" w:eastAsia="宋体" w:cs="宋体"/>
          <w:color w:val="auto"/>
          <w:szCs w:val="21"/>
          <w:highlight w:val="none"/>
        </w:rPr>
        <w:t>符合表1《</w:t>
      </w:r>
      <w:r>
        <w:rPr>
          <w:rFonts w:hint="eastAsia" w:ascii="宋体" w:hAnsi="宋体" w:eastAsia="宋体" w:cs="宋体"/>
          <w:color w:val="auto"/>
          <w:szCs w:val="21"/>
          <w:highlight w:val="none"/>
          <w:lang w:eastAsia="zh-CN"/>
        </w:rPr>
        <w:t>液体乙酸钠</w:t>
      </w:r>
      <w:r>
        <w:rPr>
          <w:rFonts w:hint="eastAsia" w:ascii="宋体" w:hAnsi="宋体" w:eastAsia="宋体" w:cs="宋体"/>
          <w:color w:val="auto"/>
          <w:szCs w:val="21"/>
          <w:highlight w:val="none"/>
        </w:rPr>
        <w:t>主要技术指标》要求的</w:t>
      </w:r>
      <w:bookmarkEnd w:id="523"/>
      <w:r>
        <w:rPr>
          <w:rFonts w:hint="eastAsia" w:ascii="宋体" w:hAnsi="宋体" w:eastAsia="宋体" w:cs="宋体"/>
          <w:color w:val="auto"/>
          <w:kern w:val="2"/>
          <w:sz w:val="21"/>
          <w:szCs w:val="21"/>
          <w:highlight w:val="none"/>
        </w:rPr>
        <w:t>检验报告，检验报告上的标徽应包括但不限于CMA认证标徽，</w:t>
      </w:r>
      <w:r>
        <w:rPr>
          <w:rFonts w:hint="eastAsia" w:ascii="宋体" w:hAnsi="宋体" w:eastAsia="宋体" w:cs="宋体"/>
          <w:b/>
          <w:bCs/>
          <w:color w:val="auto"/>
          <w:sz w:val="21"/>
          <w:szCs w:val="21"/>
          <w:highlight w:val="none"/>
        </w:rPr>
        <w:t>检验报告需体现委托方、生产厂家、送检样品的产品名称、生产批号或生产日期</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表1</w:t>
      </w:r>
      <w:r>
        <w:rPr>
          <w:rFonts w:hint="eastAsia" w:ascii="宋体" w:hAnsi="宋体" w:eastAsia="宋体" w:cs="宋体"/>
          <w:b/>
          <w:bCs/>
          <w:color w:val="auto"/>
          <w:sz w:val="21"/>
          <w:szCs w:val="21"/>
          <w:highlight w:val="none"/>
          <w:lang w:eastAsia="zh-CN"/>
        </w:rPr>
        <w:t>《液体乙酸钠</w:t>
      </w:r>
      <w:r>
        <w:rPr>
          <w:rFonts w:hint="eastAsia" w:ascii="宋体" w:hAnsi="宋体" w:eastAsia="宋体" w:cs="宋体"/>
          <w:b/>
          <w:bCs/>
          <w:color w:val="auto"/>
          <w:sz w:val="21"/>
          <w:szCs w:val="21"/>
          <w:highlight w:val="none"/>
        </w:rPr>
        <w:t>主要技术指标</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中各指标</w:t>
      </w:r>
      <w:r>
        <w:rPr>
          <w:rFonts w:hint="eastAsia" w:ascii="宋体" w:hAnsi="宋体" w:eastAsia="宋体" w:cs="宋体"/>
          <w:b/>
          <w:bCs/>
          <w:color w:val="auto"/>
          <w:sz w:val="21"/>
          <w:szCs w:val="21"/>
          <w:highlight w:val="none"/>
          <w:lang w:val="en-US" w:eastAsia="zh-CN"/>
        </w:rPr>
        <w:t>项目</w:t>
      </w:r>
      <w:r>
        <w:rPr>
          <w:rFonts w:hint="eastAsia" w:ascii="宋体" w:hAnsi="宋体" w:eastAsia="宋体" w:cs="宋体"/>
          <w:b/>
          <w:bCs/>
          <w:color w:val="auto"/>
          <w:sz w:val="21"/>
          <w:szCs w:val="21"/>
          <w:highlight w:val="none"/>
        </w:rPr>
        <w:t>检测结果，检验报告</w:t>
      </w:r>
      <w:r>
        <w:rPr>
          <w:rFonts w:hint="eastAsia" w:ascii="宋体" w:hAnsi="宋体" w:eastAsia="宋体" w:cs="宋体"/>
          <w:b/>
          <w:bCs/>
          <w:color w:val="auto"/>
          <w:kern w:val="2"/>
          <w:sz w:val="21"/>
          <w:szCs w:val="21"/>
          <w:highlight w:val="none"/>
        </w:rPr>
        <w:t>使用的检测方法需符合</w:t>
      </w:r>
      <w:r>
        <w:rPr>
          <w:rFonts w:hint="eastAsia" w:ascii="宋体" w:hAnsi="宋体" w:eastAsia="宋体" w:cs="宋体"/>
          <w:b/>
          <w:bCs/>
          <w:color w:val="auto"/>
          <w:kern w:val="2"/>
          <w:sz w:val="21"/>
          <w:szCs w:val="21"/>
          <w:highlight w:val="none"/>
          <w:lang w:eastAsia="zh-CN"/>
        </w:rPr>
        <w:t>《生化法处理废（污）水用碳源 乙酸钠》(HG/T 5959-2021 )</w:t>
      </w:r>
      <w:r>
        <w:rPr>
          <w:rFonts w:hint="eastAsia" w:ascii="宋体" w:hAnsi="宋体" w:eastAsia="宋体" w:cs="宋体"/>
          <w:b/>
          <w:bCs/>
          <w:color w:val="auto"/>
          <w:sz w:val="21"/>
          <w:szCs w:val="21"/>
          <w:highlight w:val="none"/>
        </w:rPr>
        <w:t>，</w:t>
      </w:r>
      <w:r>
        <w:rPr>
          <w:rFonts w:hint="eastAsia" w:ascii="宋体" w:hAnsi="宋体" w:eastAsia="宋体" w:cs="宋体"/>
          <w:b/>
          <w:bCs/>
          <w:color w:val="auto"/>
          <w:kern w:val="2"/>
          <w:sz w:val="21"/>
          <w:szCs w:val="21"/>
          <w:highlight w:val="none"/>
        </w:rPr>
        <w:t>检验报告中样品送检时间需在供货期内。</w:t>
      </w:r>
      <w:r>
        <w:rPr>
          <w:rFonts w:hint="eastAsia" w:ascii="宋体" w:hAnsi="宋体" w:eastAsia="宋体" w:cs="宋体"/>
          <w:color w:val="auto"/>
          <w:kern w:val="2"/>
          <w:sz w:val="21"/>
          <w:szCs w:val="21"/>
          <w:highlight w:val="none"/>
        </w:rPr>
        <w:t>供货期间，如有发布最新的行业标准或国家标准，货物检验方法按发布的最新行业标准或国家标准执行。</w:t>
      </w:r>
    </w:p>
    <w:p w14:paraId="0C4160AC">
      <w:pPr>
        <w:autoSpaceDE/>
        <w:autoSpaceDN/>
        <w:adjustRightInd/>
        <w:snapToGrid w:val="0"/>
        <w:spacing w:line="360" w:lineRule="auto"/>
        <w:ind w:firstLine="42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4、投标人提交的技术资料在出现遗漏或发现错误时，应及时补充或更正后提交招标人运营项目。</w:t>
      </w:r>
    </w:p>
    <w:bookmarkEnd w:id="519"/>
    <w:p w14:paraId="6E89808E">
      <w:pPr>
        <w:autoSpaceDE/>
        <w:autoSpaceDN/>
        <w:adjustRightInd/>
        <w:spacing w:line="360" w:lineRule="auto"/>
        <w:jc w:val="both"/>
        <w:outlineLvl w:val="9"/>
        <w:rPr>
          <w:rFonts w:hint="eastAsia" w:ascii="宋体" w:hAnsi="宋体" w:eastAsia="宋体" w:cs="宋体"/>
          <w:b/>
          <w:color w:val="auto"/>
          <w:sz w:val="21"/>
          <w:szCs w:val="21"/>
          <w:highlight w:val="none"/>
        </w:rPr>
      </w:pPr>
      <w:bookmarkStart w:id="524" w:name="_Toc27949"/>
      <w:bookmarkStart w:id="525" w:name="_Toc8972"/>
      <w:r>
        <w:rPr>
          <w:rFonts w:hint="eastAsia" w:ascii="宋体" w:hAnsi="宋体" w:eastAsia="宋体" w:cs="宋体"/>
          <w:b/>
          <w:color w:val="auto"/>
          <w:sz w:val="21"/>
          <w:szCs w:val="21"/>
          <w:highlight w:val="none"/>
        </w:rPr>
        <w:t>六、质量保证及售后要求</w:t>
      </w:r>
      <w:bookmarkEnd w:id="524"/>
      <w:bookmarkEnd w:id="525"/>
    </w:p>
    <w:p w14:paraId="63E6D57E">
      <w:pPr>
        <w:spacing w:line="360" w:lineRule="auto"/>
        <w:ind w:firstLine="420" w:firstLineChars="200"/>
        <w:jc w:val="both"/>
        <w:rPr>
          <w:rFonts w:hint="eastAsia" w:ascii="宋体" w:hAnsi="宋体" w:eastAsia="宋体" w:cs="宋体"/>
          <w:color w:val="auto"/>
          <w:sz w:val="21"/>
          <w:szCs w:val="21"/>
          <w:highlight w:val="none"/>
        </w:rPr>
      </w:pPr>
      <w:bookmarkStart w:id="526" w:name="_Hlk142639521"/>
      <w:r>
        <w:rPr>
          <w:rFonts w:hint="eastAsia" w:ascii="宋体" w:hAnsi="宋体" w:eastAsia="宋体" w:cs="宋体"/>
          <w:color w:val="auto"/>
          <w:sz w:val="21"/>
          <w:szCs w:val="21"/>
          <w:highlight w:val="none"/>
        </w:rPr>
        <w:t>1、药剂保质期：</w:t>
      </w:r>
      <w:r>
        <w:rPr>
          <w:rFonts w:hint="eastAsia" w:ascii="宋体" w:hAnsi="宋体" w:eastAsia="宋体" w:cs="宋体"/>
          <w:bCs/>
          <w:color w:val="auto"/>
          <w:szCs w:val="21"/>
          <w:highlight w:val="none"/>
        </w:rPr>
        <w:t>以</w:t>
      </w:r>
      <w:r>
        <w:rPr>
          <w:rFonts w:hint="eastAsia" w:ascii="宋体" w:hAnsi="宋体" w:eastAsia="宋体" w:cs="宋体"/>
          <w:bCs/>
          <w:color w:val="auto"/>
          <w:szCs w:val="21"/>
          <w:highlight w:val="none"/>
          <w:lang w:val="en-US" w:eastAsia="zh-CN"/>
        </w:rPr>
        <w:t>招标人</w:t>
      </w:r>
      <w:r>
        <w:rPr>
          <w:rFonts w:hint="eastAsia" w:ascii="宋体" w:hAnsi="宋体" w:eastAsia="宋体" w:cs="宋体"/>
          <w:bCs/>
          <w:color w:val="auto"/>
          <w:szCs w:val="21"/>
          <w:highlight w:val="none"/>
        </w:rPr>
        <w:t>运营项目</w:t>
      </w:r>
      <w:r>
        <w:rPr>
          <w:rFonts w:hint="eastAsia" w:ascii="宋体" w:hAnsi="宋体" w:eastAsia="宋体" w:cs="宋体"/>
          <w:bCs/>
          <w:color w:val="auto"/>
          <w:szCs w:val="21"/>
          <w:highlight w:val="none"/>
          <w:lang w:val="en-US" w:eastAsia="zh-CN"/>
        </w:rPr>
        <w:t>最终</w:t>
      </w:r>
      <w:r>
        <w:rPr>
          <w:rFonts w:hint="eastAsia" w:ascii="宋体" w:hAnsi="宋体" w:eastAsia="宋体" w:cs="宋体"/>
          <w:bCs/>
          <w:color w:val="auto"/>
          <w:szCs w:val="21"/>
          <w:highlight w:val="none"/>
        </w:rPr>
        <w:t>验收之日算起12个月，保质期内产品质量须达到所有技术指标要求</w:t>
      </w:r>
      <w:r>
        <w:rPr>
          <w:rFonts w:hint="eastAsia" w:ascii="宋体" w:hAnsi="宋体" w:eastAsia="宋体" w:cs="宋体"/>
          <w:color w:val="auto"/>
          <w:sz w:val="21"/>
          <w:szCs w:val="21"/>
          <w:highlight w:val="none"/>
        </w:rPr>
        <w:t>。</w:t>
      </w:r>
    </w:p>
    <w:p w14:paraId="494E603B">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2、投标人应具有相应的技术人员，具备供货及售前售后的服务能力。</w:t>
      </w:r>
    </w:p>
    <w:p w14:paraId="66CAC856">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3、投标人在接到质量问题通知后 4 小时内自费派工程师到达现场对问题进行处理。</w:t>
      </w:r>
    </w:p>
    <w:p w14:paraId="3DB03D33">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4、投标人应根据招标人</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需要免费提供培训，相关费用已计入综合单价，招标人无需另行支付任何费用。</w:t>
      </w:r>
    </w:p>
    <w:p w14:paraId="644397F2">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5、培训地点、规模及时间由招标人运营项目指定，根据培训内容复杂程度，招标人</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有权要求投标人提供完整的书面培训计划和方案，列明提供培训的技术人员名单及资质，以及培训完成后招标人</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人员可达到的水平等。</w:t>
      </w:r>
    </w:p>
    <w:p w14:paraId="2471569B">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6、在交货或合同履行过程中，若因所交货物（包括但不限于品种、型号、规格、质量）不符合招标人运营项目要求、或货物使用过程中出现质量问题，导致投标人提供的生产药剂如不能通过招标人运营项目验收的，招标人运营项目可拒绝收货或要求投标人承担退换货责任。原则上投标人应该在不影响招标人运营项目正常生产的情况下，自招标人运营项目</w:t>
      </w:r>
      <w:r>
        <w:rPr>
          <w:rFonts w:hint="eastAsia" w:ascii="宋体" w:hAnsi="宋体" w:eastAsia="宋体" w:cs="宋体"/>
          <w:color w:val="auto"/>
          <w:kern w:val="2"/>
          <w:sz w:val="21"/>
          <w:szCs w:val="21"/>
          <w:highlight w:val="none"/>
        </w:rPr>
        <w:t>通知之时起</w:t>
      </w:r>
      <w:r>
        <w:rPr>
          <w:rFonts w:hint="eastAsia" w:ascii="宋体" w:hAnsi="宋体" w:eastAsia="宋体" w:cs="宋体"/>
          <w:color w:val="auto"/>
          <w:sz w:val="21"/>
          <w:szCs w:val="21"/>
          <w:highlight w:val="none"/>
        </w:rPr>
        <w:t>4小时内无条件予以退换货，招标人不承担因验收造成的货物损耗</w:t>
      </w:r>
      <w:r>
        <w:rPr>
          <w:rFonts w:hint="eastAsia" w:ascii="宋体" w:hAnsi="宋体" w:eastAsia="宋体" w:cs="宋体"/>
          <w:color w:val="auto"/>
          <w:kern w:val="2"/>
          <w:sz w:val="21"/>
          <w:szCs w:val="21"/>
          <w:highlight w:val="none"/>
        </w:rPr>
        <w:t>及运输等一切</w:t>
      </w:r>
      <w:r>
        <w:rPr>
          <w:rFonts w:hint="eastAsia" w:ascii="宋体" w:hAnsi="宋体" w:eastAsia="宋体" w:cs="宋体"/>
          <w:color w:val="auto"/>
          <w:sz w:val="21"/>
          <w:szCs w:val="21"/>
          <w:highlight w:val="none"/>
        </w:rPr>
        <w:t>费用且不对货物承担保管责任，因此产生的费用及风险由投标人承担。</w:t>
      </w:r>
    </w:p>
    <w:p w14:paraId="2F7C27DC">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7、自招标人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通知货物检验不合格或货物使用过程中出现质量问题而要求投标人按照前述条款进行退换货之时起4小时之内投标人未将不合格货物运离招标人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仓库，招标人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可自行或委托第三方对不合格货物进行处置，投标人须承担招标人处置该次不合格货物所需的全部费用，以及给招标人造成的一切损失。</w:t>
      </w:r>
    </w:p>
    <w:p w14:paraId="044144E3">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8、自招标人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通知投标人货物检验不合格或货物使用过程中出现质量问题之时起，招标人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有权要求投标人按照加急供货的规定，将等量的合格货物送交招标人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，否则按加急供货的违约规定进行处理</w:t>
      </w:r>
      <w:bookmarkEnd w:id="526"/>
      <w:r>
        <w:rPr>
          <w:rFonts w:hint="eastAsia" w:ascii="宋体" w:hAnsi="宋体" w:eastAsia="宋体" w:cs="宋体"/>
          <w:color w:val="auto"/>
          <w:sz w:val="21"/>
          <w:szCs w:val="21"/>
          <w:highlight w:val="none"/>
        </w:rPr>
        <w:t>。</w:t>
      </w:r>
    </w:p>
    <w:p w14:paraId="728B79C7">
      <w:pPr>
        <w:autoSpaceDE/>
        <w:autoSpaceDN/>
        <w:adjustRightInd/>
        <w:spacing w:line="360" w:lineRule="auto"/>
        <w:jc w:val="both"/>
        <w:outlineLvl w:val="9"/>
        <w:rPr>
          <w:rFonts w:hint="eastAsia" w:ascii="宋体" w:hAnsi="宋体" w:eastAsia="宋体" w:cs="宋体"/>
          <w:b/>
          <w:color w:val="auto"/>
          <w:sz w:val="21"/>
          <w:szCs w:val="21"/>
          <w:highlight w:val="none"/>
        </w:rPr>
      </w:pPr>
      <w:bookmarkStart w:id="527" w:name="_Toc11993"/>
      <w:bookmarkStart w:id="528" w:name="_Toc20724"/>
      <w:r>
        <w:rPr>
          <w:rFonts w:hint="eastAsia" w:ascii="宋体" w:hAnsi="宋体" w:eastAsia="宋体" w:cs="宋体"/>
          <w:b/>
          <w:color w:val="auto"/>
          <w:sz w:val="21"/>
          <w:szCs w:val="21"/>
          <w:highlight w:val="none"/>
        </w:rPr>
        <w:t>七、货物的结算</w:t>
      </w:r>
      <w:bookmarkEnd w:id="527"/>
      <w:bookmarkEnd w:id="528"/>
    </w:p>
    <w:p w14:paraId="782AFAEB">
      <w:pPr>
        <w:pStyle w:val="129"/>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双方一致同意，投标人按规定提供了履约担保后，招标人通过以下方式以人民币支付合同款项给投标人：</w:t>
      </w:r>
    </w:p>
    <w:p w14:paraId="3EE004C5">
      <w:pPr>
        <w:pStyle w:val="129"/>
        <w:autoSpaceDE/>
        <w:autoSpaceDN/>
        <w:adjustRightInd/>
        <w:spacing w:line="360" w:lineRule="auto"/>
        <w:rPr>
          <w:rFonts w:hint="eastAsia" w:ascii="宋体" w:hAnsi="宋体" w:eastAsia="宋体" w:cs="宋体"/>
          <w:color w:val="auto"/>
          <w:sz w:val="21"/>
          <w:szCs w:val="21"/>
          <w:highlight w:val="none"/>
        </w:rPr>
      </w:pPr>
      <w:bookmarkStart w:id="529" w:name="_Hlk142640500"/>
      <w:r>
        <w:rPr>
          <w:rFonts w:hint="eastAsia" w:ascii="宋体" w:hAnsi="宋体" w:eastAsia="宋体" w:cs="宋体"/>
          <w:color w:val="auto"/>
          <w:sz w:val="21"/>
          <w:szCs w:val="21"/>
          <w:highlight w:val="none"/>
        </w:rPr>
        <w:t>1、合同的履约过程中，投标人根据本项目合同书约定需向招标人</w:t>
      </w:r>
      <w:bookmarkStart w:id="530" w:name="OLE_LINK27"/>
      <w:r>
        <w:rPr>
          <w:rFonts w:hint="eastAsia" w:ascii="宋体" w:hAnsi="宋体" w:eastAsia="宋体" w:cs="Times New Roman"/>
          <w:b w:val="0"/>
          <w:bCs/>
          <w:color w:val="auto"/>
          <w:szCs w:val="21"/>
          <w:highlight w:val="none"/>
          <w:u w:val="none"/>
          <w:lang w:val="en-US" w:eastAsia="zh-CN"/>
        </w:rPr>
        <w:t>或招标人权属子公司</w:t>
      </w:r>
      <w:bookmarkEnd w:id="530"/>
      <w:r>
        <w:rPr>
          <w:rFonts w:hint="eastAsia" w:ascii="宋体" w:hAnsi="宋体" w:eastAsia="宋体" w:cs="宋体"/>
          <w:color w:val="auto"/>
          <w:sz w:val="21"/>
          <w:szCs w:val="21"/>
          <w:highlight w:val="none"/>
        </w:rPr>
        <w:t>支付违约金、赔偿金、或其他应付费用等款项的，投标人必须向招标人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支付完相关款项后，招标人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才根据合同书约定向投标人支付合同价和税额。若因投标人未能支付前述费用，影响项目实施的，招标人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有权启用履约担保或直接从未付合同款项中直接扣除，且投标人必须按照扣除前述费用前的合同价（销售额）开具增值税专用发票，保证增值税税额符合法律规定。</w:t>
      </w:r>
    </w:p>
    <w:p w14:paraId="3A81AAD3">
      <w:pPr>
        <w:pStyle w:val="129"/>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2、货物供货的款项按招标人运营项目进行支付、结算。货物供货的款项每月按实结算。招标人运营项目收到货物并最终验收合格后，每月中旬办理支付上月实际供货量的款项。</w:t>
      </w:r>
    </w:p>
    <w:p w14:paraId="01D4C733">
      <w:pPr>
        <w:pStyle w:val="129"/>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3、投标人向招标人运营项目提交请款报告和请款金额等额的合法、有效的增值税专用发票，招标人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在收到前述材料并确认无误后30个工作日内支付结算上月实际供货量的货款和该货款对应的税额给投标人。</w:t>
      </w:r>
    </w:p>
    <w:p w14:paraId="759D7DF2">
      <w:pPr>
        <w:pStyle w:val="129"/>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4、支付方式：支付方式为银行转账或银行承兑汇票，汇票期限不超过三个月，每期款项支付方式由</w:t>
      </w:r>
      <w:bookmarkStart w:id="531" w:name="OLE_LINK28"/>
      <w:r>
        <w:rPr>
          <w:rFonts w:hint="eastAsia" w:ascii="宋体" w:hAnsi="宋体" w:eastAsia="宋体" w:cs="宋体"/>
          <w:color w:val="auto"/>
          <w:sz w:val="21"/>
          <w:szCs w:val="21"/>
          <w:highlight w:val="none"/>
          <w:lang w:val="en-US" w:eastAsia="zh-CN"/>
        </w:rPr>
        <w:t>招标人</w:t>
      </w:r>
      <w:r>
        <w:rPr>
          <w:rFonts w:hint="eastAsia" w:ascii="宋体" w:hAnsi="宋体" w:eastAsia="宋体" w:cs="Times New Roman"/>
          <w:b w:val="0"/>
          <w:bCs/>
          <w:color w:val="auto"/>
          <w:szCs w:val="21"/>
          <w:highlight w:val="none"/>
          <w:u w:val="none"/>
          <w:lang w:val="en-US" w:eastAsia="zh-CN"/>
        </w:rPr>
        <w:t>或招标人权属子公司</w:t>
      </w:r>
      <w:bookmarkEnd w:id="531"/>
      <w:r>
        <w:rPr>
          <w:rFonts w:hint="eastAsia" w:ascii="宋体" w:hAnsi="宋体" w:eastAsia="宋体" w:cs="宋体"/>
          <w:color w:val="auto"/>
          <w:sz w:val="21"/>
          <w:szCs w:val="21"/>
          <w:highlight w:val="none"/>
          <w:lang w:val="en-US" w:eastAsia="zh-CN"/>
        </w:rPr>
        <w:t>决定。</w:t>
      </w:r>
    </w:p>
    <w:p w14:paraId="410A952F">
      <w:pPr>
        <w:pStyle w:val="129"/>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、投标人迟延提供发票或提供的请款报告、发票不符合要求的，招标人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的付款时间可相应顺延，且招标人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不因此承担任何责任。因支付产生的相关银行手续费用，根据有关银行规定执行，如不能明确的，由双方各承担50%。由于投标人提供的发票不符合税法规定，给招标人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造成的损失由投标人承担全部的赔偿责任</w:t>
      </w:r>
      <w:bookmarkEnd w:id="529"/>
      <w:r>
        <w:rPr>
          <w:rFonts w:hint="eastAsia" w:ascii="宋体" w:hAnsi="宋体" w:eastAsia="宋体" w:cs="宋体"/>
          <w:color w:val="auto"/>
          <w:sz w:val="21"/>
          <w:szCs w:val="21"/>
          <w:highlight w:val="none"/>
        </w:rPr>
        <w:t>。</w:t>
      </w:r>
    </w:p>
    <w:p w14:paraId="1C1367A1">
      <w:pPr>
        <w:autoSpaceDE/>
        <w:autoSpaceDN/>
        <w:adjustRightInd/>
        <w:spacing w:line="360" w:lineRule="auto"/>
        <w:jc w:val="both"/>
        <w:outlineLvl w:val="9"/>
        <w:rPr>
          <w:rFonts w:hint="eastAsia" w:ascii="宋体" w:hAnsi="宋体" w:eastAsia="宋体" w:cs="宋体"/>
          <w:b/>
          <w:color w:val="auto"/>
          <w:sz w:val="21"/>
          <w:szCs w:val="21"/>
          <w:highlight w:val="none"/>
        </w:rPr>
      </w:pPr>
      <w:bookmarkStart w:id="532" w:name="_Toc14042"/>
      <w:bookmarkStart w:id="533" w:name="_Toc27955"/>
      <w:r>
        <w:rPr>
          <w:rFonts w:hint="eastAsia" w:ascii="宋体" w:hAnsi="宋体" w:eastAsia="宋体" w:cs="宋体"/>
          <w:b/>
          <w:color w:val="auto"/>
          <w:sz w:val="21"/>
          <w:szCs w:val="21"/>
          <w:highlight w:val="none"/>
        </w:rPr>
        <w:t>八、其它要求</w:t>
      </w:r>
      <w:bookmarkEnd w:id="532"/>
      <w:bookmarkEnd w:id="533"/>
    </w:p>
    <w:p w14:paraId="640E1AE8">
      <w:pPr>
        <w:pStyle w:val="129"/>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534" w:name="_Hlk142640606"/>
      <w:r>
        <w:rPr>
          <w:rFonts w:hint="eastAsia" w:ascii="宋体" w:hAnsi="宋体" w:eastAsia="宋体" w:cs="宋体"/>
          <w:color w:val="auto"/>
          <w:sz w:val="21"/>
          <w:szCs w:val="21"/>
          <w:highlight w:val="none"/>
        </w:rPr>
        <w:t>日常供货（非加急供货）时，投标人</w:t>
      </w:r>
      <w:r>
        <w:rPr>
          <w:rFonts w:hint="eastAsia" w:ascii="宋体" w:hAnsi="宋体" w:eastAsia="宋体" w:cs="宋体"/>
          <w:color w:val="auto"/>
          <w:sz w:val="21"/>
          <w:szCs w:val="21"/>
          <w:highlight w:val="none"/>
          <w:lang w:bidi="ar"/>
        </w:rPr>
        <w:t>未在约定的时间内完成交货，或未在规定的时间内承担相应的更换、退货责任的</w:t>
      </w:r>
      <w:r>
        <w:rPr>
          <w:rFonts w:hint="eastAsia" w:ascii="宋体" w:hAnsi="宋体" w:eastAsia="宋体" w:cs="宋体"/>
          <w:color w:val="auto"/>
          <w:sz w:val="21"/>
          <w:szCs w:val="21"/>
          <w:highlight w:val="none"/>
        </w:rPr>
        <w:t>，每逾期2小时，招标人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有权要求投标人按该次货物</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rPr>
        <w:t>结算货款的1%向招标人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支付违约金。投标人逾期超过12小时的，招标人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有权单方解除合同，并且没收投标人的部分或全部履约担保，投标人除支付前述逾期违约金外，招标人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有权要求投标人额外按该次货物</w:t>
      </w:r>
      <w:r>
        <w:rPr>
          <w:rFonts w:hint="eastAsia" w:ascii="宋体" w:hAnsi="宋体" w:eastAsia="宋体" w:cs="Times New Roman"/>
          <w:b w:val="0"/>
          <w:bCs/>
          <w:color w:val="auto"/>
          <w:szCs w:val="21"/>
          <w:highlight w:val="none"/>
          <w:u w:val="none"/>
          <w:lang w:val="en-US" w:eastAsia="zh-CN"/>
        </w:rPr>
        <w:t>含税</w:t>
      </w:r>
      <w:r>
        <w:rPr>
          <w:rFonts w:hint="eastAsia" w:ascii="宋体" w:hAnsi="宋体" w:eastAsia="宋体" w:cs="宋体"/>
          <w:color w:val="auto"/>
          <w:sz w:val="21"/>
          <w:szCs w:val="21"/>
          <w:highlight w:val="none"/>
        </w:rPr>
        <w:t>结算货款的5%向招标人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支付违约金，违约金不足以赔偿招标人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损失的，投标人需另行赔偿</w:t>
      </w:r>
      <w:bookmarkEnd w:id="534"/>
      <w:r>
        <w:rPr>
          <w:rFonts w:hint="eastAsia" w:ascii="宋体" w:hAnsi="宋体" w:eastAsia="宋体" w:cs="宋体"/>
          <w:color w:val="auto"/>
          <w:sz w:val="21"/>
          <w:szCs w:val="21"/>
          <w:highlight w:val="none"/>
        </w:rPr>
        <w:t>。</w:t>
      </w:r>
    </w:p>
    <w:p w14:paraId="0E2FFEC4">
      <w:pPr>
        <w:pStyle w:val="129"/>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bookmarkStart w:id="535" w:name="_Hlk142640612"/>
      <w:r>
        <w:rPr>
          <w:rFonts w:hint="eastAsia" w:ascii="宋体" w:hAnsi="宋体" w:eastAsia="宋体" w:cs="宋体"/>
          <w:color w:val="auto"/>
          <w:sz w:val="21"/>
          <w:szCs w:val="21"/>
          <w:highlight w:val="none"/>
        </w:rPr>
        <w:t>加急供货时，投标人未在约定的时间内完成交货的，或未在规定的时间内承担相应的更换、退货责任的，每逾期1小时，招标人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有权要求投标人按该次货物</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rPr>
        <w:t>结算货款的10%向招标人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支付违约金，投标人逾期超过4小时的，招标人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有权单方解除合同，并且没收投标人的部分或全部履约担保，投标人除前述逾期违约金外，招标人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有权要求投标人额外按该次货物</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rPr>
        <w:t>结算货款的20%向招标人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支付违约金，违约金不足以赔偿招标人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损失的，投标人需另行赔偿</w:t>
      </w:r>
      <w:bookmarkEnd w:id="535"/>
      <w:r>
        <w:rPr>
          <w:rFonts w:hint="eastAsia" w:ascii="宋体" w:hAnsi="宋体" w:eastAsia="宋体" w:cs="宋体"/>
          <w:color w:val="auto"/>
          <w:sz w:val="21"/>
          <w:szCs w:val="21"/>
          <w:highlight w:val="none"/>
        </w:rPr>
        <w:t>。</w:t>
      </w:r>
    </w:p>
    <w:p w14:paraId="5B998FBF">
      <w:pPr>
        <w:pStyle w:val="129"/>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536" w:name="OLE_LINK6"/>
      <w:bookmarkStart w:id="537" w:name="_Hlk142640625"/>
      <w:r>
        <w:rPr>
          <w:rFonts w:hint="eastAsia" w:ascii="宋体" w:hAnsi="宋体" w:eastAsia="宋体" w:cs="宋体"/>
          <w:color w:val="auto"/>
          <w:sz w:val="21"/>
          <w:szCs w:val="21"/>
          <w:highlight w:val="none"/>
        </w:rPr>
        <w:t>投标人所交货物经招标人实验室或招标人委托的第三方检测机构检验累计出现3次（含）</w:t>
      </w:r>
      <w:bookmarkEnd w:id="536"/>
      <w:r>
        <w:rPr>
          <w:rFonts w:hint="eastAsia" w:ascii="宋体" w:hAnsi="宋体" w:eastAsia="宋体" w:cs="宋体"/>
          <w:color w:val="auto"/>
          <w:sz w:val="21"/>
          <w:szCs w:val="21"/>
          <w:highlight w:val="none"/>
        </w:rPr>
        <w:t>以上不合格的，招标人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有权单方中止或解除合同，暂停或取消投标人的供货资格，并根据对生产造成影响的严重程度，没收投标人的部分或全部履约担保</w:t>
      </w:r>
      <w:bookmarkEnd w:id="537"/>
      <w:r>
        <w:rPr>
          <w:rFonts w:hint="eastAsia" w:ascii="宋体" w:hAnsi="宋体" w:eastAsia="宋体" w:cs="宋体"/>
          <w:color w:val="auto"/>
          <w:sz w:val="21"/>
          <w:szCs w:val="21"/>
          <w:highlight w:val="none"/>
        </w:rPr>
        <w:t>。</w:t>
      </w:r>
    </w:p>
    <w:p w14:paraId="3463815A">
      <w:pPr>
        <w:pStyle w:val="129"/>
        <w:autoSpaceDE/>
        <w:autoSpaceDN/>
        <w:adjustRightInd/>
        <w:spacing w:line="360" w:lineRule="auto"/>
        <w:rPr>
          <w:rFonts w:hint="eastAsia" w:ascii="宋体" w:hAnsi="宋体" w:eastAsia="宋体" w:cs="宋体"/>
          <w:color w:val="auto"/>
          <w:sz w:val="21"/>
          <w:szCs w:val="21"/>
          <w:highlight w:val="none"/>
        </w:rPr>
      </w:pPr>
      <w:bookmarkStart w:id="538" w:name="_Hlk142640642"/>
      <w:r>
        <w:rPr>
          <w:rFonts w:hint="eastAsia" w:ascii="宋体" w:hAnsi="宋体" w:eastAsia="宋体" w:cs="宋体"/>
          <w:color w:val="auto"/>
          <w:sz w:val="21"/>
          <w:szCs w:val="21"/>
          <w:highlight w:val="none"/>
        </w:rPr>
        <w:t>4、投标人应根据招标人运营项目工艺以及性质，配合招标人运营项目进行小试，提供符合技术指标的药剂，保证供货的药剂在招标人运营项目良好的使用效果。</w:t>
      </w:r>
    </w:p>
    <w:p w14:paraId="3B7E4C31">
      <w:pPr>
        <w:pStyle w:val="129"/>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如因药剂问题对招标人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生产、成本造成影响，招标人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有权要求投标人按该次货物</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rPr>
        <w:t>结算货款的20%向招标人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支付违约金，违约金不足以赔偿招标人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损失的，投标人需另行赔偿，同时根据对招标人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生产、成本造成影响的严重程度，招标人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有权没收投标人的部分或全部履约担保</w:t>
      </w:r>
      <w:bookmarkEnd w:id="538"/>
      <w:r>
        <w:rPr>
          <w:rFonts w:hint="eastAsia" w:ascii="宋体" w:hAnsi="宋体" w:eastAsia="宋体" w:cs="宋体"/>
          <w:color w:val="auto"/>
          <w:sz w:val="21"/>
          <w:szCs w:val="21"/>
          <w:highlight w:val="none"/>
        </w:rPr>
        <w:t>。</w:t>
      </w:r>
    </w:p>
    <w:p w14:paraId="464DA2AC">
      <w:pPr>
        <w:pStyle w:val="129"/>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、如投标人提供的药剂严重影响招标人运营项目生产或造成招标人运营项目出水水质指标超标的情况，招标人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有权追究投标人由此造成的损失，并有权单方面中止或解除合同，取消其供货资格，没收全部履约</w:t>
      </w:r>
      <w:r>
        <w:rPr>
          <w:rFonts w:hint="eastAsia" w:ascii="宋体" w:hAnsi="宋体" w:eastAsia="宋体" w:cs="宋体"/>
          <w:color w:val="auto"/>
          <w:sz w:val="21"/>
          <w:szCs w:val="21"/>
          <w:highlight w:val="none"/>
          <w:lang w:val="en-US" w:eastAsia="zh-CN"/>
        </w:rPr>
        <w:t>担保</w:t>
      </w:r>
      <w:r>
        <w:rPr>
          <w:rFonts w:hint="eastAsia" w:ascii="宋体" w:hAnsi="宋体" w:eastAsia="宋体" w:cs="宋体"/>
          <w:color w:val="auto"/>
          <w:sz w:val="21"/>
          <w:szCs w:val="21"/>
          <w:highlight w:val="none"/>
        </w:rPr>
        <w:t>。</w:t>
      </w:r>
    </w:p>
    <w:p w14:paraId="37ED0B5A">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bookmarkStart w:id="539" w:name="_Hlk142640720"/>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、对于货物最终验收不合格且招标人运营项目已经开始使用或者使用完毕无法退换的，货款按照以下方式处理：①若招标人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kern w:val="2"/>
          <w:sz w:val="21"/>
          <w:szCs w:val="21"/>
          <w:highlight w:val="none"/>
        </w:rPr>
        <w:t>已支付货款的，则投标人应向招标人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kern w:val="2"/>
          <w:sz w:val="21"/>
          <w:szCs w:val="21"/>
          <w:highlight w:val="none"/>
        </w:rPr>
        <w:t>退还已支付的货款；②若招标人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kern w:val="2"/>
          <w:sz w:val="21"/>
          <w:szCs w:val="21"/>
          <w:highlight w:val="none"/>
        </w:rPr>
        <w:t>未支付货款的，则招标人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kern w:val="2"/>
          <w:sz w:val="21"/>
          <w:szCs w:val="21"/>
          <w:highlight w:val="none"/>
        </w:rPr>
        <w:t>无需支付货款</w:t>
      </w:r>
      <w:bookmarkEnd w:id="539"/>
      <w:r>
        <w:rPr>
          <w:rFonts w:hint="eastAsia" w:ascii="宋体" w:hAnsi="宋体" w:eastAsia="宋体" w:cs="宋体"/>
          <w:color w:val="auto"/>
          <w:kern w:val="2"/>
          <w:sz w:val="21"/>
          <w:szCs w:val="21"/>
          <w:highlight w:val="none"/>
        </w:rPr>
        <w:t>。</w:t>
      </w:r>
    </w:p>
    <w:p w14:paraId="04DA615F">
      <w:pPr>
        <w:pStyle w:val="129"/>
        <w:autoSpaceDE/>
        <w:autoSpaceDN/>
        <w:adjustRightInd/>
        <w:spacing w:line="360" w:lineRule="auto"/>
        <w:ind w:firstLine="420" w:firstLineChars="200"/>
        <w:rPr>
          <w:rFonts w:hint="eastAsia" w:ascii="宋体" w:hAnsi="宋体" w:eastAsia="宋体" w:cs="宋体"/>
          <w:color w:val="auto"/>
          <w:sz w:val="21"/>
          <w:szCs w:val="21"/>
          <w:highlight w:val="none"/>
        </w:rPr>
      </w:pPr>
      <w:bookmarkStart w:id="540" w:name="_Hlk142640741"/>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、若投标人对招标人</w:t>
      </w:r>
      <w:r>
        <w:rPr>
          <w:rFonts w:hint="eastAsia" w:ascii="宋体" w:hAnsi="宋体" w:eastAsia="宋体" w:cs="宋体"/>
          <w:color w:val="auto"/>
          <w:sz w:val="21"/>
          <w:szCs w:val="21"/>
          <w:highlight w:val="none"/>
          <w:lang w:bidi="ar"/>
        </w:rPr>
        <w:t>运营项目</w:t>
      </w:r>
      <w:r>
        <w:rPr>
          <w:rFonts w:hint="eastAsia" w:ascii="宋体" w:hAnsi="宋体" w:eastAsia="宋体" w:cs="宋体"/>
          <w:color w:val="auto"/>
          <w:sz w:val="21"/>
          <w:szCs w:val="21"/>
          <w:highlight w:val="none"/>
        </w:rPr>
        <w:t>验收结果有异议，投标人应自招标人</w:t>
      </w:r>
      <w:r>
        <w:rPr>
          <w:rFonts w:hint="eastAsia" w:ascii="宋体" w:hAnsi="宋体" w:eastAsia="宋体" w:cs="Times New Roman"/>
          <w:b w:val="0"/>
          <w:bCs/>
          <w:color w:val="auto"/>
          <w:szCs w:val="21"/>
          <w:highlight w:val="none"/>
          <w:u w:val="none"/>
          <w:lang w:val="en-US" w:eastAsia="zh-CN"/>
        </w:rPr>
        <w:t>运营项目</w:t>
      </w:r>
      <w:r>
        <w:rPr>
          <w:rFonts w:hint="eastAsia" w:ascii="宋体" w:hAnsi="宋体" w:eastAsia="宋体" w:cs="宋体"/>
          <w:color w:val="auto"/>
          <w:sz w:val="21"/>
          <w:szCs w:val="21"/>
          <w:highlight w:val="none"/>
        </w:rPr>
        <w:t>书面告知投标人检验结果24小时内，书面要求通过投标人和招标人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双方确认的具有检测产品CMA认证资质的第三方单位对留样货物进行检测，最终供货产品质量判定以投标人和招标人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双方确认的具有检测产品CMA认证资质的第三方检测机构检验结果为准；因此产生的检测费、运输费等全部费用均由投标人承担</w:t>
      </w:r>
      <w:bookmarkEnd w:id="540"/>
      <w:r>
        <w:rPr>
          <w:rFonts w:hint="eastAsia" w:ascii="宋体" w:hAnsi="宋体" w:eastAsia="宋体" w:cs="宋体"/>
          <w:color w:val="auto"/>
          <w:sz w:val="21"/>
          <w:szCs w:val="21"/>
          <w:highlight w:val="none"/>
        </w:rPr>
        <w:t>。</w:t>
      </w:r>
    </w:p>
    <w:p w14:paraId="378899B4">
      <w:pPr>
        <w:pStyle w:val="129"/>
        <w:autoSpaceDE/>
        <w:autoSpaceDN/>
        <w:adjustRightInd/>
        <w:spacing w:line="360" w:lineRule="auto"/>
        <w:rPr>
          <w:rFonts w:hint="eastAsia" w:ascii="宋体" w:hAnsi="宋体" w:eastAsia="宋体" w:cs="宋体"/>
          <w:color w:val="auto"/>
          <w:sz w:val="21"/>
          <w:szCs w:val="21"/>
          <w:highlight w:val="none"/>
        </w:rPr>
      </w:pPr>
      <w:bookmarkStart w:id="541" w:name="_Hlk142640749"/>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、授予合同前或合同履行中，招标人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有权实地核查投标人在投标时提供的分支机构或服务机构的场地、生产/储存/运输设备设施及能力等材料的符合性，若发现虚假将取消中标资格，且招标人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有权终止合同。因此给招标人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造成损失的，全部由投标人承担</w:t>
      </w:r>
      <w:bookmarkEnd w:id="541"/>
      <w:r>
        <w:rPr>
          <w:rFonts w:hint="eastAsia" w:ascii="宋体" w:hAnsi="宋体" w:eastAsia="宋体" w:cs="宋体"/>
          <w:color w:val="auto"/>
          <w:sz w:val="21"/>
          <w:szCs w:val="21"/>
          <w:highlight w:val="none"/>
        </w:rPr>
        <w:t>。</w:t>
      </w:r>
    </w:p>
    <w:p w14:paraId="03C395F8">
      <w:pPr>
        <w:pStyle w:val="129"/>
        <w:autoSpaceDE/>
        <w:autoSpaceDN/>
        <w:adjustRightInd/>
        <w:spacing w:line="360" w:lineRule="auto"/>
        <w:rPr>
          <w:rFonts w:hint="eastAsia" w:ascii="宋体" w:hAnsi="宋体" w:eastAsia="宋体" w:cs="宋体"/>
          <w:color w:val="auto"/>
          <w:sz w:val="21"/>
          <w:szCs w:val="21"/>
          <w:highlight w:val="none"/>
        </w:rPr>
      </w:pPr>
      <w:bookmarkStart w:id="542" w:name="_Hlk142640756"/>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在招标文件</w:t>
      </w:r>
      <w:r>
        <w:rPr>
          <w:rFonts w:hint="eastAsia" w:ascii="宋体" w:hAnsi="宋体" w:eastAsia="宋体" w:cs="宋体"/>
          <w:color w:val="auto"/>
          <w:sz w:val="21"/>
          <w:szCs w:val="21"/>
          <w:highlight w:val="none"/>
          <w:lang w:val="en-US" w:eastAsia="zh-CN"/>
        </w:rPr>
        <w:t>及合同</w:t>
      </w:r>
      <w:r>
        <w:rPr>
          <w:rFonts w:hint="eastAsia" w:ascii="宋体" w:hAnsi="宋体" w:eastAsia="宋体" w:cs="宋体"/>
          <w:color w:val="auto"/>
          <w:sz w:val="21"/>
          <w:szCs w:val="21"/>
          <w:highlight w:val="none"/>
        </w:rPr>
        <w:t>约定的供货期限和采购范围内，招标人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有权根据项目实际情况及有关法律法规、政策的规定进行变更调整。在变更调整后，投标人应遵照执行</w:t>
      </w:r>
      <w:bookmarkEnd w:id="542"/>
      <w:r>
        <w:rPr>
          <w:rFonts w:hint="eastAsia" w:ascii="宋体" w:hAnsi="宋体" w:eastAsia="宋体" w:cs="宋体"/>
          <w:color w:val="auto"/>
          <w:sz w:val="21"/>
          <w:szCs w:val="21"/>
          <w:highlight w:val="none"/>
        </w:rPr>
        <w:t>。</w:t>
      </w:r>
    </w:p>
    <w:p w14:paraId="607F625F">
      <w:pPr>
        <w:spacing w:line="360" w:lineRule="auto"/>
        <w:ind w:firstLine="420" w:firstLineChars="200"/>
        <w:jc w:val="both"/>
        <w:rPr>
          <w:rFonts w:hint="eastAsia" w:ascii="宋体" w:hAnsi="宋体" w:eastAsia="宋体" w:cs="宋体"/>
          <w:color w:val="auto"/>
          <w:sz w:val="21"/>
          <w:szCs w:val="21"/>
          <w:highlight w:val="none"/>
        </w:rPr>
      </w:pPr>
      <w:bookmarkStart w:id="543" w:name="_Hlk142640763"/>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投标人应当为其工作人员投保足额的社会保险、商业保险及为货物的运输投保足额的商业保险，如在运输及装卸过程中，相关生产药剂发生泄漏而导致的一切人员伤亡或财产损失事故，因此产生的赔偿责任或相关法律责任均由投标人自行承担。凡由于货物包装不良、运输方式不当或非法运输造成的事故、损失、行政处罚和由此产生的其他全部费用均由投标人全部承担</w:t>
      </w:r>
      <w:bookmarkEnd w:id="543"/>
      <w:r>
        <w:rPr>
          <w:rFonts w:hint="eastAsia" w:ascii="宋体" w:hAnsi="宋体" w:eastAsia="宋体" w:cs="宋体"/>
          <w:color w:val="auto"/>
          <w:sz w:val="21"/>
          <w:szCs w:val="21"/>
          <w:highlight w:val="none"/>
        </w:rPr>
        <w:t>。</w:t>
      </w:r>
    </w:p>
    <w:p w14:paraId="2E6EB3DF">
      <w:pPr>
        <w:pStyle w:val="129"/>
        <w:widowControl/>
        <w:autoSpaceDE/>
        <w:autoSpaceDN/>
        <w:adjustRightInd/>
        <w:spacing w:line="360" w:lineRule="auto"/>
        <w:rPr>
          <w:rFonts w:hint="eastAsia" w:ascii="宋体" w:hAnsi="宋体" w:eastAsia="宋体" w:cs="宋体"/>
          <w:color w:val="auto"/>
          <w:sz w:val="21"/>
          <w:szCs w:val="21"/>
          <w:highlight w:val="none"/>
        </w:rPr>
      </w:pPr>
      <w:bookmarkStart w:id="544" w:name="_Hlk142640785"/>
      <w:r>
        <w:rPr>
          <w:rFonts w:hint="eastAsia" w:ascii="宋体" w:hAnsi="宋体" w:eastAsia="宋体" w:cs="宋体"/>
          <w:color w:val="auto"/>
          <w:sz w:val="21"/>
          <w:szCs w:val="21"/>
          <w:highlight w:val="none"/>
          <w:lang w:val="en-US" w:eastAsia="zh-CN" w:bidi="ar"/>
        </w:rPr>
        <w:t>12</w:t>
      </w:r>
      <w:r>
        <w:rPr>
          <w:rFonts w:hint="eastAsia" w:ascii="宋体" w:hAnsi="宋体" w:eastAsia="宋体" w:cs="宋体"/>
          <w:color w:val="auto"/>
          <w:sz w:val="21"/>
          <w:szCs w:val="21"/>
          <w:highlight w:val="none"/>
          <w:lang w:bidi="ar"/>
        </w:rPr>
        <w:t>、投标人有义务接受招标人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lang w:bidi="ar"/>
        </w:rPr>
        <w:t>的监督、评价及考核，且同意招标人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lang w:bidi="ar"/>
        </w:rPr>
        <w:t xml:space="preserve">关于供货资格供应商的管理规则及要求。 </w:t>
      </w:r>
    </w:p>
    <w:p w14:paraId="6CE42A23">
      <w:pPr>
        <w:pStyle w:val="129"/>
        <w:widowControl/>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13</w:t>
      </w:r>
      <w:r>
        <w:rPr>
          <w:rFonts w:hint="eastAsia" w:ascii="宋体" w:hAnsi="宋体" w:eastAsia="宋体" w:cs="宋体"/>
          <w:color w:val="auto"/>
          <w:sz w:val="21"/>
          <w:szCs w:val="21"/>
          <w:highlight w:val="none"/>
          <w:lang w:bidi="ar"/>
        </w:rPr>
        <w:t>、招标人运营项目每月在付款手续前对投标人的履约情况进行评价，填写《</w:t>
      </w:r>
      <w:bookmarkStart w:id="545" w:name="OLE_LINK15"/>
      <w:r>
        <w:rPr>
          <w:rFonts w:hint="eastAsia" w:ascii="宋体" w:hAnsi="宋体" w:eastAsia="宋体" w:cs="宋体"/>
          <w:color w:val="auto"/>
          <w:sz w:val="21"/>
          <w:szCs w:val="21"/>
          <w:highlight w:val="none"/>
          <w:lang w:bidi="ar"/>
        </w:rPr>
        <w:t>供应商履约评价表</w:t>
      </w:r>
      <w:bookmarkEnd w:id="545"/>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详见第四篇 合同条款格式 附件2</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。考核评分满分为100分，考核评分分数低于80分、达到60分时，投标人应按该</w:t>
      </w:r>
      <w:r>
        <w:rPr>
          <w:rFonts w:hint="eastAsia" w:ascii="宋体" w:hAnsi="宋体" w:eastAsia="宋体" w:cs="宋体"/>
          <w:color w:val="auto"/>
          <w:sz w:val="21"/>
          <w:szCs w:val="21"/>
          <w:highlight w:val="none"/>
          <w:lang w:val="en-US" w:eastAsia="zh-CN" w:bidi="ar"/>
        </w:rPr>
        <w:t>月</w:t>
      </w:r>
      <w:r>
        <w:rPr>
          <w:rFonts w:hint="eastAsia" w:ascii="宋体" w:hAnsi="宋体" w:eastAsia="宋体" w:cs="宋体"/>
          <w:color w:val="auto"/>
          <w:sz w:val="21"/>
          <w:szCs w:val="21"/>
          <w:highlight w:val="none"/>
          <w:lang w:bidi="ar"/>
        </w:rPr>
        <w:t>货物</w:t>
      </w:r>
      <w:bookmarkStart w:id="546" w:name="OLE_LINK30"/>
      <w:r>
        <w:rPr>
          <w:rFonts w:hint="eastAsia" w:ascii="宋体" w:hAnsi="宋体" w:eastAsia="宋体" w:cs="宋体"/>
          <w:color w:val="auto"/>
          <w:sz w:val="21"/>
          <w:szCs w:val="21"/>
          <w:highlight w:val="none"/>
          <w:lang w:val="en-US" w:eastAsia="zh-CN" w:bidi="ar"/>
        </w:rPr>
        <w:t>含税</w:t>
      </w:r>
      <w:bookmarkEnd w:id="546"/>
      <w:r>
        <w:rPr>
          <w:rFonts w:hint="eastAsia" w:ascii="宋体" w:hAnsi="宋体" w:eastAsia="宋体" w:cs="宋体"/>
          <w:color w:val="auto"/>
          <w:sz w:val="21"/>
          <w:szCs w:val="21"/>
          <w:highlight w:val="none"/>
          <w:lang w:bidi="ar"/>
        </w:rPr>
        <w:t>结算货款的20%向</w:t>
      </w:r>
      <w:bookmarkStart w:id="547" w:name="OLE_LINK10"/>
      <w:r>
        <w:rPr>
          <w:rFonts w:hint="eastAsia" w:ascii="宋体" w:hAnsi="宋体" w:eastAsia="宋体" w:cs="宋体"/>
          <w:color w:val="auto"/>
          <w:sz w:val="21"/>
          <w:szCs w:val="21"/>
          <w:highlight w:val="none"/>
          <w:lang w:bidi="ar"/>
        </w:rPr>
        <w:t>招标人</w:t>
      </w:r>
      <w:r>
        <w:rPr>
          <w:rFonts w:hint="eastAsia" w:ascii="宋体" w:hAnsi="宋体" w:eastAsia="宋体" w:cs="Times New Roman"/>
          <w:b w:val="0"/>
          <w:bCs/>
          <w:color w:val="auto"/>
          <w:szCs w:val="21"/>
          <w:highlight w:val="none"/>
          <w:u w:val="none"/>
          <w:lang w:val="en-US" w:eastAsia="zh-CN"/>
        </w:rPr>
        <w:t>或招标人权属子公司</w:t>
      </w:r>
      <w:bookmarkEnd w:id="547"/>
      <w:r>
        <w:rPr>
          <w:rFonts w:hint="eastAsia" w:ascii="宋体" w:hAnsi="宋体" w:eastAsia="宋体" w:cs="宋体"/>
          <w:color w:val="auto"/>
          <w:sz w:val="21"/>
          <w:szCs w:val="21"/>
          <w:highlight w:val="none"/>
          <w:lang w:bidi="ar"/>
        </w:rPr>
        <w:t>支付违约金；考核评分分数低于60分时，投标人应按该</w:t>
      </w:r>
      <w:r>
        <w:rPr>
          <w:rFonts w:hint="eastAsia" w:ascii="宋体" w:hAnsi="宋体" w:eastAsia="宋体" w:cs="宋体"/>
          <w:color w:val="auto"/>
          <w:sz w:val="21"/>
          <w:szCs w:val="21"/>
          <w:highlight w:val="none"/>
          <w:lang w:val="en-US" w:eastAsia="zh-CN" w:bidi="ar"/>
        </w:rPr>
        <w:t>月</w:t>
      </w:r>
      <w:r>
        <w:rPr>
          <w:rFonts w:hint="eastAsia" w:ascii="宋体" w:hAnsi="宋体" w:eastAsia="宋体" w:cs="宋体"/>
          <w:color w:val="auto"/>
          <w:sz w:val="21"/>
          <w:szCs w:val="21"/>
          <w:highlight w:val="none"/>
          <w:lang w:bidi="ar"/>
        </w:rPr>
        <w:t>货物</w:t>
      </w:r>
      <w:r>
        <w:rPr>
          <w:rFonts w:hint="eastAsia" w:ascii="宋体" w:hAnsi="宋体" w:eastAsia="宋体" w:cs="宋体"/>
          <w:color w:val="auto"/>
          <w:sz w:val="21"/>
          <w:szCs w:val="21"/>
          <w:highlight w:val="none"/>
          <w:lang w:val="en-US" w:eastAsia="zh-CN" w:bidi="ar"/>
        </w:rPr>
        <w:t>含税</w:t>
      </w:r>
      <w:r>
        <w:rPr>
          <w:rFonts w:hint="eastAsia" w:ascii="宋体" w:hAnsi="宋体" w:eastAsia="宋体" w:cs="宋体"/>
          <w:color w:val="auto"/>
          <w:sz w:val="21"/>
          <w:szCs w:val="21"/>
          <w:highlight w:val="none"/>
          <w:lang w:bidi="ar"/>
        </w:rPr>
        <w:t>结算货款的30%向招标人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lang w:bidi="ar"/>
        </w:rPr>
        <w:t>支付违约金。若供货期内累计出现3次</w:t>
      </w:r>
      <w:r>
        <w:rPr>
          <w:rFonts w:hint="eastAsia" w:ascii="宋体" w:hAnsi="宋体" w:eastAsia="宋体" w:cs="宋体"/>
          <w:color w:val="auto"/>
          <w:kern w:val="2"/>
          <w:sz w:val="21"/>
          <w:szCs w:val="21"/>
          <w:highlight w:val="none"/>
        </w:rPr>
        <w:t>（含）以上</w:t>
      </w:r>
      <w:r>
        <w:rPr>
          <w:rFonts w:hint="eastAsia" w:ascii="宋体" w:hAnsi="宋体" w:eastAsia="宋体" w:cs="宋体"/>
          <w:color w:val="auto"/>
          <w:sz w:val="21"/>
          <w:szCs w:val="21"/>
          <w:highlight w:val="none"/>
          <w:lang w:bidi="ar"/>
        </w:rPr>
        <w:t>评审结论为不合格的，招标人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lang w:bidi="ar"/>
        </w:rPr>
        <w:t>有权取消投标人的供货资格并单方解除合同、没收投标人部分或全部履约担保</w:t>
      </w:r>
      <w:bookmarkEnd w:id="544"/>
      <w:r>
        <w:rPr>
          <w:rFonts w:hint="eastAsia" w:ascii="宋体" w:hAnsi="宋体" w:eastAsia="宋体" w:cs="宋体"/>
          <w:color w:val="auto"/>
          <w:sz w:val="21"/>
          <w:szCs w:val="21"/>
          <w:highlight w:val="none"/>
          <w:lang w:bidi="ar"/>
        </w:rPr>
        <w:t>。</w:t>
      </w:r>
    </w:p>
    <w:p w14:paraId="02BDD3D2">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sectPr>
          <w:footerReference r:id="rId3" w:type="default"/>
          <w:pgSz w:w="11906" w:h="16838"/>
          <w:pgMar w:top="1191" w:right="1043" w:bottom="1191" w:left="1043" w:header="851" w:footer="992" w:gutter="0"/>
          <w:cols w:space="720" w:num="1"/>
          <w:docGrid w:type="lines" w:linePitch="312" w:charSpace="0"/>
        </w:sectPr>
      </w:pPr>
      <w:r>
        <w:rPr>
          <w:rFonts w:hint="eastAsia" w:ascii="宋体" w:hAnsi="宋体" w:eastAsia="宋体" w:cs="宋体"/>
          <w:color w:val="auto"/>
          <w:kern w:val="2"/>
          <w:sz w:val="21"/>
          <w:szCs w:val="21"/>
          <w:highlight w:val="none"/>
        </w:rPr>
        <w:t>附件：招标人运营项目相关信息</w:t>
      </w:r>
    </w:p>
    <w:p w14:paraId="6A1F84E7">
      <w:pPr>
        <w:pageBreakBefore/>
        <w:snapToGrid w:val="0"/>
        <w:spacing w:line="360" w:lineRule="auto"/>
        <w:outlineLvl w:val="9"/>
        <w:rPr>
          <w:rFonts w:hint="eastAsia" w:ascii="宋体" w:hAnsi="宋体" w:eastAsia="宋体" w:cs="宋体"/>
          <w:b/>
          <w:color w:val="auto"/>
          <w:sz w:val="21"/>
          <w:szCs w:val="21"/>
          <w:highlight w:val="none"/>
        </w:rPr>
      </w:pPr>
      <w:bookmarkStart w:id="548" w:name="_Toc1015"/>
      <w:bookmarkStart w:id="549" w:name="_Toc4994"/>
      <w:r>
        <w:rPr>
          <w:rFonts w:hint="eastAsia" w:ascii="宋体" w:hAnsi="宋体" w:eastAsia="宋体" w:cs="宋体"/>
          <w:b/>
          <w:color w:val="auto"/>
          <w:sz w:val="21"/>
          <w:szCs w:val="21"/>
          <w:highlight w:val="none"/>
          <w:lang w:val="zh-CN"/>
        </w:rPr>
        <w:t>附件：</w:t>
      </w:r>
      <w:r>
        <w:rPr>
          <w:rFonts w:hint="eastAsia" w:ascii="宋体" w:hAnsi="宋体" w:eastAsia="宋体" w:cs="宋体"/>
          <w:b/>
          <w:color w:val="auto"/>
          <w:sz w:val="21"/>
          <w:szCs w:val="21"/>
          <w:highlight w:val="none"/>
        </w:rPr>
        <w:t>招标人</w:t>
      </w:r>
      <w:r>
        <w:rPr>
          <w:rFonts w:hint="eastAsia" w:ascii="宋体" w:hAnsi="宋体" w:eastAsia="宋体" w:cs="宋体"/>
          <w:b/>
          <w:color w:val="auto"/>
          <w:sz w:val="21"/>
          <w:szCs w:val="21"/>
          <w:highlight w:val="none"/>
          <w:lang w:val="zh-CN"/>
        </w:rPr>
        <w:t>运营项目</w:t>
      </w:r>
      <w:r>
        <w:rPr>
          <w:rFonts w:hint="eastAsia" w:ascii="宋体" w:hAnsi="宋体" w:eastAsia="宋体" w:cs="宋体"/>
          <w:b/>
          <w:color w:val="auto"/>
          <w:sz w:val="21"/>
          <w:szCs w:val="21"/>
          <w:highlight w:val="none"/>
        </w:rPr>
        <w:t>相关信息</w:t>
      </w:r>
      <w:bookmarkEnd w:id="548"/>
      <w:bookmarkEnd w:id="549"/>
    </w:p>
    <w:tbl>
      <w:tblPr>
        <w:tblStyle w:val="37"/>
        <w:tblW w:w="4770" w:type="pct"/>
        <w:tblInd w:w="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73"/>
        <w:gridCol w:w="2907"/>
        <w:gridCol w:w="4550"/>
        <w:gridCol w:w="1763"/>
      </w:tblGrid>
      <w:tr w14:paraId="5B8E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340" w:type="pct"/>
            <w:shd w:val="clear" w:color="auto" w:fill="FFFFFF"/>
            <w:vAlign w:val="center"/>
          </w:tcPr>
          <w:p w14:paraId="118FD88B">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1469" w:type="pct"/>
            <w:shd w:val="clear" w:color="auto" w:fill="FFFFFF"/>
            <w:vAlign w:val="center"/>
          </w:tcPr>
          <w:p w14:paraId="17733A84">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项目名称</w:t>
            </w:r>
          </w:p>
        </w:tc>
        <w:tc>
          <w:tcPr>
            <w:tcW w:w="2299" w:type="pct"/>
            <w:shd w:val="clear" w:color="auto" w:fill="FFFFFF"/>
            <w:vAlign w:val="center"/>
          </w:tcPr>
          <w:p w14:paraId="162FE24E">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项目地址</w:t>
            </w:r>
          </w:p>
        </w:tc>
        <w:tc>
          <w:tcPr>
            <w:tcW w:w="891" w:type="pct"/>
            <w:shd w:val="clear" w:color="auto" w:fill="FFFFFF"/>
            <w:vAlign w:val="center"/>
          </w:tcPr>
          <w:p w14:paraId="55846DBD">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年暂定药剂用量（吨）</w:t>
            </w:r>
          </w:p>
        </w:tc>
      </w:tr>
      <w:tr w14:paraId="3A992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108" w:type="pct"/>
            <w:gridSpan w:val="3"/>
            <w:shd w:val="clear" w:color="auto" w:fill="FFFFFF"/>
            <w:vAlign w:val="center"/>
          </w:tcPr>
          <w:p w14:paraId="2C78D181">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一、污水处理厂项目</w:t>
            </w:r>
          </w:p>
        </w:tc>
        <w:tc>
          <w:tcPr>
            <w:tcW w:w="891" w:type="pct"/>
            <w:shd w:val="clear" w:color="auto" w:fill="FFFFFF"/>
            <w:vAlign w:val="center"/>
          </w:tcPr>
          <w:p w14:paraId="388E06AC">
            <w:pPr>
              <w:keepNext w:val="0"/>
              <w:keepLines w:val="0"/>
              <w:widowControl/>
              <w:suppressLineNumbers w:val="0"/>
              <w:jc w:val="left"/>
              <w:textAlignment w:val="center"/>
              <w:rPr>
                <w:rFonts w:hint="eastAsia" w:ascii="宋体" w:hAnsi="宋体" w:eastAsia="宋体" w:cs="宋体"/>
                <w:b/>
                <w:bCs/>
                <w:i w:val="0"/>
                <w:iCs w:val="0"/>
                <w:color w:val="auto"/>
                <w:kern w:val="0"/>
                <w:sz w:val="21"/>
                <w:szCs w:val="21"/>
                <w:u w:val="none"/>
                <w:lang w:val="en-US" w:eastAsia="zh-CN" w:bidi="ar"/>
              </w:rPr>
            </w:pPr>
          </w:p>
        </w:tc>
      </w:tr>
      <w:tr w14:paraId="5E606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340" w:type="pct"/>
            <w:shd w:val="clear" w:color="auto" w:fill="FFFFFF"/>
            <w:vAlign w:val="center"/>
          </w:tcPr>
          <w:p w14:paraId="1AFDB48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469" w:type="pct"/>
            <w:shd w:val="clear" w:color="auto" w:fill="FFFFFF"/>
            <w:vAlign w:val="center"/>
          </w:tcPr>
          <w:p w14:paraId="160123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市区污水处理厂一二期</w:t>
            </w:r>
          </w:p>
        </w:tc>
        <w:tc>
          <w:tcPr>
            <w:tcW w:w="2299" w:type="pct"/>
            <w:shd w:val="clear" w:color="auto" w:fill="FFFFFF"/>
            <w:vAlign w:val="center"/>
          </w:tcPr>
          <w:p w14:paraId="253D14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东莞市南城街道滨河路100号</w:t>
            </w:r>
          </w:p>
        </w:tc>
        <w:tc>
          <w:tcPr>
            <w:tcW w:w="1763" w:type="dxa"/>
            <w:shd w:val="clear" w:color="auto" w:fill="FFFFFF"/>
            <w:vAlign w:val="center"/>
          </w:tcPr>
          <w:p w14:paraId="688CEAF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r>
      <w:tr w14:paraId="35757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40" w:type="pct"/>
            <w:shd w:val="clear" w:color="auto" w:fill="FFFFFF"/>
            <w:vAlign w:val="center"/>
          </w:tcPr>
          <w:p w14:paraId="324E81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469" w:type="pct"/>
            <w:shd w:val="clear" w:color="auto" w:fill="FFFFFF"/>
            <w:vAlign w:val="center"/>
          </w:tcPr>
          <w:p w14:paraId="675332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市区厂污水处理厂三期</w:t>
            </w:r>
          </w:p>
        </w:tc>
        <w:tc>
          <w:tcPr>
            <w:tcW w:w="2299" w:type="pct"/>
            <w:shd w:val="clear" w:color="auto" w:fill="FFFFFF"/>
            <w:vAlign w:val="center"/>
          </w:tcPr>
          <w:p w14:paraId="4F05D6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东莞市南城街道滨河路100号</w:t>
            </w:r>
          </w:p>
        </w:tc>
        <w:tc>
          <w:tcPr>
            <w:tcW w:w="1763" w:type="dxa"/>
            <w:shd w:val="clear" w:color="auto" w:fill="FFFFFF"/>
            <w:vAlign w:val="center"/>
          </w:tcPr>
          <w:p w14:paraId="4CA8A38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r>
      <w:tr w14:paraId="67B8E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40" w:type="pct"/>
            <w:shd w:val="clear" w:color="auto" w:fill="FFFFFF"/>
            <w:vAlign w:val="center"/>
          </w:tcPr>
          <w:p w14:paraId="0386EEE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469" w:type="pct"/>
            <w:shd w:val="clear" w:color="auto" w:fill="FFFFFF"/>
            <w:vAlign w:val="center"/>
          </w:tcPr>
          <w:p w14:paraId="65E784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石碣沙腰污水处理厂二期</w:t>
            </w:r>
          </w:p>
        </w:tc>
        <w:tc>
          <w:tcPr>
            <w:tcW w:w="2299" w:type="pct"/>
            <w:shd w:val="clear" w:color="auto" w:fill="FFFFFF"/>
            <w:vAlign w:val="center"/>
          </w:tcPr>
          <w:p w14:paraId="64C0570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东莞市石碣镇沙腰村沿江西路2号</w:t>
            </w:r>
          </w:p>
        </w:tc>
        <w:tc>
          <w:tcPr>
            <w:tcW w:w="1763" w:type="dxa"/>
            <w:shd w:val="clear" w:color="auto" w:fill="FFFFFF"/>
            <w:vAlign w:val="center"/>
          </w:tcPr>
          <w:p w14:paraId="0241EB3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r>
      <w:tr w14:paraId="1EAA9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340" w:type="pct"/>
            <w:shd w:val="clear" w:color="auto" w:fill="FFFFFF"/>
            <w:vAlign w:val="center"/>
          </w:tcPr>
          <w:p w14:paraId="0124E4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1469" w:type="pct"/>
            <w:shd w:val="clear" w:color="auto" w:fill="FFFFFF"/>
            <w:vAlign w:val="center"/>
          </w:tcPr>
          <w:p w14:paraId="6D64E7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万江污水处理厂二期</w:t>
            </w:r>
          </w:p>
        </w:tc>
        <w:tc>
          <w:tcPr>
            <w:tcW w:w="2299" w:type="pct"/>
            <w:shd w:val="clear" w:color="auto" w:fill="FFFFFF"/>
            <w:vAlign w:val="center"/>
          </w:tcPr>
          <w:p w14:paraId="601CA5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东莞市万江区流涌尾村大兴工业路3号</w:t>
            </w:r>
          </w:p>
        </w:tc>
        <w:tc>
          <w:tcPr>
            <w:tcW w:w="1763" w:type="dxa"/>
            <w:shd w:val="clear" w:color="auto" w:fill="FFFFFF"/>
            <w:vAlign w:val="center"/>
          </w:tcPr>
          <w:p w14:paraId="765484A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438.102</w:t>
            </w:r>
          </w:p>
        </w:tc>
      </w:tr>
      <w:tr w14:paraId="10966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340" w:type="pct"/>
            <w:shd w:val="clear" w:color="auto" w:fill="FFFFFF"/>
            <w:vAlign w:val="center"/>
          </w:tcPr>
          <w:p w14:paraId="6C5A90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469" w:type="pct"/>
            <w:shd w:val="clear" w:color="auto" w:fill="FFFFFF"/>
            <w:vAlign w:val="center"/>
          </w:tcPr>
          <w:p w14:paraId="30B31CB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中堂污水处理厂二期</w:t>
            </w:r>
          </w:p>
        </w:tc>
        <w:tc>
          <w:tcPr>
            <w:tcW w:w="2299" w:type="pct"/>
            <w:shd w:val="clear" w:color="auto" w:fill="FFFFFF"/>
            <w:vAlign w:val="center"/>
          </w:tcPr>
          <w:p w14:paraId="78AE09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中堂镇东向村滨河东路68号101室</w:t>
            </w:r>
          </w:p>
        </w:tc>
        <w:tc>
          <w:tcPr>
            <w:tcW w:w="1763" w:type="dxa"/>
            <w:shd w:val="clear" w:color="auto" w:fill="FFFFFF"/>
            <w:vAlign w:val="center"/>
          </w:tcPr>
          <w:p w14:paraId="15B08E0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50.118</w:t>
            </w:r>
          </w:p>
        </w:tc>
      </w:tr>
      <w:tr w14:paraId="76069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40" w:type="pct"/>
            <w:shd w:val="clear" w:color="auto" w:fill="FFFFFF"/>
            <w:vAlign w:val="center"/>
          </w:tcPr>
          <w:p w14:paraId="410C65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1469" w:type="pct"/>
            <w:shd w:val="clear" w:color="auto" w:fill="FFFFFF"/>
            <w:vAlign w:val="center"/>
          </w:tcPr>
          <w:p w14:paraId="6CA7E93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麻涌污水处理厂二期</w:t>
            </w:r>
          </w:p>
        </w:tc>
        <w:tc>
          <w:tcPr>
            <w:tcW w:w="2299" w:type="pct"/>
            <w:shd w:val="clear" w:color="auto" w:fill="FFFFFF"/>
            <w:vAlign w:val="center"/>
          </w:tcPr>
          <w:p w14:paraId="02ED413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东莞市麻涌镇新沙公园南一路9号</w:t>
            </w:r>
          </w:p>
        </w:tc>
        <w:tc>
          <w:tcPr>
            <w:tcW w:w="1763" w:type="dxa"/>
            <w:shd w:val="clear" w:color="auto" w:fill="FFFFFF"/>
            <w:vAlign w:val="center"/>
          </w:tcPr>
          <w:p w14:paraId="0AD1DE0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15.269</w:t>
            </w:r>
          </w:p>
        </w:tc>
      </w:tr>
      <w:tr w14:paraId="69CF7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340" w:type="pct"/>
            <w:shd w:val="clear" w:color="auto" w:fill="FFFFFF"/>
            <w:vAlign w:val="center"/>
          </w:tcPr>
          <w:p w14:paraId="7FEC52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1469" w:type="pct"/>
            <w:shd w:val="clear" w:color="auto" w:fill="FFFFFF"/>
            <w:vAlign w:val="center"/>
          </w:tcPr>
          <w:p w14:paraId="0C79196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高埗污水处理厂二期</w:t>
            </w:r>
          </w:p>
        </w:tc>
        <w:tc>
          <w:tcPr>
            <w:tcW w:w="2299" w:type="pct"/>
            <w:shd w:val="clear" w:color="auto" w:fill="FFFFFF"/>
            <w:vAlign w:val="center"/>
          </w:tcPr>
          <w:p w14:paraId="3DA91C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东莞市高埗镇高埗洲头路13号</w:t>
            </w:r>
          </w:p>
        </w:tc>
        <w:tc>
          <w:tcPr>
            <w:tcW w:w="1763" w:type="dxa"/>
            <w:shd w:val="clear" w:color="auto" w:fill="FFFFFF"/>
            <w:vAlign w:val="center"/>
          </w:tcPr>
          <w:p w14:paraId="7AF28DE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r>
      <w:tr w14:paraId="1055B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340" w:type="pct"/>
            <w:shd w:val="clear" w:color="auto" w:fill="FFFFFF"/>
            <w:vAlign w:val="center"/>
          </w:tcPr>
          <w:p w14:paraId="6CB01B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1469" w:type="pct"/>
            <w:shd w:val="clear" w:color="auto" w:fill="auto"/>
            <w:vAlign w:val="center"/>
          </w:tcPr>
          <w:p w14:paraId="053685B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长安新区污水处理厂</w:t>
            </w:r>
          </w:p>
        </w:tc>
        <w:tc>
          <w:tcPr>
            <w:tcW w:w="2299" w:type="pct"/>
            <w:shd w:val="clear" w:color="auto" w:fill="auto"/>
            <w:vAlign w:val="center"/>
          </w:tcPr>
          <w:p w14:paraId="08B501A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东莞市长安镇乌沙社区兴发南路尽头</w:t>
            </w:r>
          </w:p>
        </w:tc>
        <w:tc>
          <w:tcPr>
            <w:tcW w:w="1763" w:type="dxa"/>
            <w:shd w:val="clear" w:color="auto" w:fill="auto"/>
            <w:vAlign w:val="center"/>
          </w:tcPr>
          <w:p w14:paraId="10DD13C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r>
      <w:tr w14:paraId="18E52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40" w:type="pct"/>
            <w:shd w:val="clear" w:color="auto" w:fill="FFFFFF"/>
            <w:vAlign w:val="center"/>
          </w:tcPr>
          <w:p w14:paraId="61E025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1469" w:type="pct"/>
            <w:shd w:val="clear" w:color="auto" w:fill="FFFFFF"/>
            <w:vAlign w:val="center"/>
          </w:tcPr>
          <w:p w14:paraId="794CC19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厚街沙塘污水处理厂二期</w:t>
            </w:r>
          </w:p>
        </w:tc>
        <w:tc>
          <w:tcPr>
            <w:tcW w:w="2299" w:type="pct"/>
            <w:shd w:val="clear" w:color="auto" w:fill="FFFFFF"/>
            <w:vAlign w:val="center"/>
          </w:tcPr>
          <w:p w14:paraId="710826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东莞市厚街镇沙塘村沙隆路39号</w:t>
            </w:r>
          </w:p>
        </w:tc>
        <w:tc>
          <w:tcPr>
            <w:tcW w:w="1763" w:type="dxa"/>
            <w:shd w:val="clear" w:color="auto" w:fill="FFFFFF"/>
            <w:vAlign w:val="center"/>
          </w:tcPr>
          <w:p w14:paraId="41E6E8E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8.069</w:t>
            </w:r>
          </w:p>
        </w:tc>
      </w:tr>
      <w:tr w14:paraId="653CF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340" w:type="pct"/>
            <w:shd w:val="clear" w:color="auto" w:fill="FFFFFF"/>
            <w:vAlign w:val="center"/>
          </w:tcPr>
          <w:p w14:paraId="5C5F753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1469" w:type="pct"/>
            <w:shd w:val="clear" w:color="auto" w:fill="FFFFFF"/>
            <w:vAlign w:val="center"/>
          </w:tcPr>
          <w:p w14:paraId="66EF46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虎门宁洲污水处理厂二期</w:t>
            </w:r>
          </w:p>
        </w:tc>
        <w:tc>
          <w:tcPr>
            <w:tcW w:w="2299" w:type="pct"/>
            <w:shd w:val="clear" w:color="auto" w:fill="FFFFFF"/>
            <w:vAlign w:val="center"/>
          </w:tcPr>
          <w:p w14:paraId="4C54D1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虎门镇南栅社区民昌路第六工业区九巷5号</w:t>
            </w:r>
          </w:p>
        </w:tc>
        <w:tc>
          <w:tcPr>
            <w:tcW w:w="1763" w:type="dxa"/>
            <w:shd w:val="clear" w:color="auto" w:fill="FFFFFF"/>
            <w:vAlign w:val="center"/>
          </w:tcPr>
          <w:p w14:paraId="160814E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r>
      <w:tr w14:paraId="0B978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340" w:type="pct"/>
            <w:shd w:val="clear" w:color="auto" w:fill="FFFFFF"/>
            <w:vAlign w:val="center"/>
          </w:tcPr>
          <w:p w14:paraId="059748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1469" w:type="pct"/>
            <w:shd w:val="clear" w:color="auto" w:fill="FFFFFF"/>
            <w:vAlign w:val="center"/>
          </w:tcPr>
          <w:p w14:paraId="5B5E2A2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虎门宁洲污水处理厂三期</w:t>
            </w:r>
          </w:p>
        </w:tc>
        <w:tc>
          <w:tcPr>
            <w:tcW w:w="2299" w:type="pct"/>
            <w:shd w:val="clear" w:color="auto" w:fill="FFFFFF"/>
            <w:vAlign w:val="center"/>
          </w:tcPr>
          <w:p w14:paraId="123CA58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虎门镇南栅社区民昌路第六工业区九巷5号</w:t>
            </w:r>
          </w:p>
        </w:tc>
        <w:tc>
          <w:tcPr>
            <w:tcW w:w="1763" w:type="dxa"/>
            <w:shd w:val="clear" w:color="auto" w:fill="FFFFFF"/>
            <w:vAlign w:val="center"/>
          </w:tcPr>
          <w:p w14:paraId="58AA3C9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r>
      <w:tr w14:paraId="1819D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340" w:type="pct"/>
            <w:shd w:val="clear" w:color="auto" w:fill="FFFFFF"/>
            <w:vAlign w:val="center"/>
          </w:tcPr>
          <w:p w14:paraId="1A0DCB2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1469" w:type="pct"/>
            <w:shd w:val="clear" w:color="auto" w:fill="FFFFFF"/>
            <w:vAlign w:val="center"/>
          </w:tcPr>
          <w:p w14:paraId="61C09E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东城牛山污水处理厂二期</w:t>
            </w:r>
          </w:p>
        </w:tc>
        <w:tc>
          <w:tcPr>
            <w:tcW w:w="2299" w:type="pct"/>
            <w:shd w:val="clear" w:color="auto" w:fill="FFFFFF"/>
            <w:vAlign w:val="center"/>
          </w:tcPr>
          <w:p w14:paraId="08BA79D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东莞市东城街道象山路7号2栋101室</w:t>
            </w:r>
          </w:p>
        </w:tc>
        <w:tc>
          <w:tcPr>
            <w:tcW w:w="1763" w:type="dxa"/>
            <w:shd w:val="clear" w:color="auto" w:fill="FFFFFF"/>
            <w:vAlign w:val="center"/>
          </w:tcPr>
          <w:p w14:paraId="75B601D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r>
      <w:tr w14:paraId="1F4D0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340" w:type="pct"/>
            <w:shd w:val="clear" w:color="auto" w:fill="FFFFFF"/>
            <w:vAlign w:val="center"/>
          </w:tcPr>
          <w:p w14:paraId="08E916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1469" w:type="pct"/>
            <w:shd w:val="clear" w:color="auto" w:fill="FFFFFF"/>
            <w:vAlign w:val="center"/>
          </w:tcPr>
          <w:p w14:paraId="7A3F2CD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虎门港立沙岛污水处理厂</w:t>
            </w:r>
          </w:p>
        </w:tc>
        <w:tc>
          <w:tcPr>
            <w:tcW w:w="2299" w:type="pct"/>
            <w:shd w:val="clear" w:color="auto" w:fill="FFFFFF"/>
            <w:vAlign w:val="center"/>
          </w:tcPr>
          <w:p w14:paraId="4DA63F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东莞市沙田镇大流村下涌</w:t>
            </w:r>
          </w:p>
        </w:tc>
        <w:tc>
          <w:tcPr>
            <w:tcW w:w="1763" w:type="dxa"/>
            <w:shd w:val="clear" w:color="auto" w:fill="FFFFFF"/>
            <w:vAlign w:val="center"/>
          </w:tcPr>
          <w:p w14:paraId="3A6125B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0.348</w:t>
            </w:r>
          </w:p>
        </w:tc>
      </w:tr>
      <w:tr w14:paraId="45452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40" w:type="pct"/>
            <w:shd w:val="clear" w:color="auto" w:fill="FFFFFF"/>
            <w:vAlign w:val="center"/>
          </w:tcPr>
          <w:p w14:paraId="60990E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1469" w:type="pct"/>
            <w:shd w:val="clear" w:color="auto" w:fill="FFFFFF"/>
            <w:vAlign w:val="center"/>
          </w:tcPr>
          <w:p w14:paraId="195BBD8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沙田福禄沙污水处理厂二期</w:t>
            </w:r>
          </w:p>
        </w:tc>
        <w:tc>
          <w:tcPr>
            <w:tcW w:w="2299" w:type="pct"/>
            <w:shd w:val="clear" w:color="auto" w:fill="FFFFFF"/>
            <w:vAlign w:val="center"/>
          </w:tcPr>
          <w:p w14:paraId="440B9D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东莞市沙田镇洲仔路1号2栋101室</w:t>
            </w:r>
          </w:p>
        </w:tc>
        <w:tc>
          <w:tcPr>
            <w:tcW w:w="1763" w:type="dxa"/>
            <w:shd w:val="clear" w:color="auto" w:fill="FFFFFF"/>
            <w:vAlign w:val="center"/>
          </w:tcPr>
          <w:p w14:paraId="022C821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r>
      <w:tr w14:paraId="44E60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40" w:type="pct"/>
            <w:shd w:val="clear" w:color="auto" w:fill="FFFFFF"/>
            <w:vAlign w:val="center"/>
          </w:tcPr>
          <w:p w14:paraId="7D22CC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1469" w:type="pct"/>
            <w:shd w:val="clear" w:color="auto" w:fill="FFFFFF"/>
            <w:vAlign w:val="center"/>
          </w:tcPr>
          <w:p w14:paraId="4104FB1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大岭山连马污水处理厂二期</w:t>
            </w:r>
          </w:p>
        </w:tc>
        <w:tc>
          <w:tcPr>
            <w:tcW w:w="2299" w:type="pct"/>
            <w:shd w:val="clear" w:color="auto" w:fill="FFFFFF"/>
            <w:vAlign w:val="center"/>
          </w:tcPr>
          <w:p w14:paraId="6014AD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东莞市大岭山镇连马路159号102室</w:t>
            </w:r>
          </w:p>
        </w:tc>
        <w:tc>
          <w:tcPr>
            <w:tcW w:w="1763" w:type="dxa"/>
            <w:shd w:val="clear" w:color="auto" w:fill="FFFFFF"/>
            <w:vAlign w:val="center"/>
          </w:tcPr>
          <w:p w14:paraId="766F040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r>
      <w:tr w14:paraId="70C04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40" w:type="pct"/>
            <w:shd w:val="clear" w:color="auto" w:fill="FFFFFF"/>
            <w:vAlign w:val="center"/>
          </w:tcPr>
          <w:p w14:paraId="531E2D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1469" w:type="pct"/>
            <w:shd w:val="clear" w:color="auto" w:fill="FFFFFF"/>
            <w:vAlign w:val="center"/>
          </w:tcPr>
          <w:p w14:paraId="5ECB04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东城温塘污水处理厂</w:t>
            </w:r>
          </w:p>
        </w:tc>
        <w:tc>
          <w:tcPr>
            <w:tcW w:w="2299" w:type="pct"/>
            <w:shd w:val="clear" w:color="auto" w:fill="FFFFFF"/>
            <w:vAlign w:val="center"/>
          </w:tcPr>
          <w:p w14:paraId="5902E64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东莞市东城街道创盈路东城段86号</w:t>
            </w:r>
          </w:p>
        </w:tc>
        <w:tc>
          <w:tcPr>
            <w:tcW w:w="1763" w:type="dxa"/>
            <w:shd w:val="clear" w:color="auto" w:fill="FFFFFF"/>
            <w:vAlign w:val="center"/>
          </w:tcPr>
          <w:p w14:paraId="3A332A6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r>
      <w:tr w14:paraId="4EF84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40" w:type="pct"/>
            <w:shd w:val="clear" w:color="auto" w:fill="FFFFFF"/>
            <w:vAlign w:val="center"/>
          </w:tcPr>
          <w:p w14:paraId="6271206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1469" w:type="pct"/>
            <w:shd w:val="clear" w:color="auto" w:fill="FFFFFF"/>
            <w:vAlign w:val="center"/>
          </w:tcPr>
          <w:p w14:paraId="77CE55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东城温塘污水处理厂二期</w:t>
            </w:r>
          </w:p>
        </w:tc>
        <w:tc>
          <w:tcPr>
            <w:tcW w:w="2299" w:type="pct"/>
            <w:shd w:val="clear" w:color="auto" w:fill="FFFFFF"/>
            <w:vAlign w:val="center"/>
          </w:tcPr>
          <w:p w14:paraId="205D46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东莞市东城街道创盈路东城段86号</w:t>
            </w:r>
          </w:p>
        </w:tc>
        <w:tc>
          <w:tcPr>
            <w:tcW w:w="1763" w:type="dxa"/>
            <w:shd w:val="clear" w:color="auto" w:fill="FFFFFF"/>
            <w:vAlign w:val="center"/>
          </w:tcPr>
          <w:p w14:paraId="6593177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r>
      <w:tr w14:paraId="29E92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40" w:type="pct"/>
            <w:shd w:val="clear" w:color="auto" w:fill="FFFFFF"/>
            <w:vAlign w:val="center"/>
          </w:tcPr>
          <w:p w14:paraId="4226429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1469" w:type="pct"/>
            <w:shd w:val="clear" w:color="auto" w:fill="FFFFFF"/>
            <w:vAlign w:val="center"/>
          </w:tcPr>
          <w:p w14:paraId="221FBDC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黄江污水处理厂二期</w:t>
            </w:r>
          </w:p>
        </w:tc>
        <w:tc>
          <w:tcPr>
            <w:tcW w:w="2299" w:type="pct"/>
            <w:shd w:val="clear" w:color="auto" w:fill="FFFFFF"/>
            <w:vAlign w:val="center"/>
          </w:tcPr>
          <w:p w14:paraId="24178E7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东莞市黄江镇合路村创业一路一号</w:t>
            </w:r>
          </w:p>
        </w:tc>
        <w:tc>
          <w:tcPr>
            <w:tcW w:w="1763" w:type="dxa"/>
            <w:shd w:val="clear" w:color="auto" w:fill="FFFFFF"/>
            <w:vAlign w:val="center"/>
          </w:tcPr>
          <w:p w14:paraId="4B52AF9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2.850</w:t>
            </w:r>
          </w:p>
        </w:tc>
      </w:tr>
      <w:tr w14:paraId="46F8E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340" w:type="pct"/>
            <w:shd w:val="clear" w:color="auto" w:fill="FFFFFF"/>
            <w:vAlign w:val="center"/>
          </w:tcPr>
          <w:p w14:paraId="52B57E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1469" w:type="pct"/>
            <w:shd w:val="clear" w:color="auto" w:fill="auto"/>
            <w:vAlign w:val="center"/>
          </w:tcPr>
          <w:p w14:paraId="3780AF9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松山湖北部污水处理厂二期</w:t>
            </w:r>
          </w:p>
        </w:tc>
        <w:tc>
          <w:tcPr>
            <w:tcW w:w="2299" w:type="pct"/>
            <w:shd w:val="clear" w:color="auto" w:fill="auto"/>
            <w:vAlign w:val="center"/>
          </w:tcPr>
          <w:p w14:paraId="6179003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东莞市松山湖高新科技产业园区工业西三路3号</w:t>
            </w:r>
          </w:p>
        </w:tc>
        <w:tc>
          <w:tcPr>
            <w:tcW w:w="1763" w:type="dxa"/>
            <w:shd w:val="clear" w:color="auto" w:fill="auto"/>
            <w:vAlign w:val="center"/>
          </w:tcPr>
          <w:p w14:paraId="50E82C7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r>
      <w:tr w14:paraId="52A69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340" w:type="pct"/>
            <w:shd w:val="clear" w:color="auto" w:fill="FFFFFF"/>
            <w:vAlign w:val="center"/>
          </w:tcPr>
          <w:p w14:paraId="692A4F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1469" w:type="pct"/>
            <w:shd w:val="clear" w:color="auto" w:fill="FFFFFF"/>
            <w:vAlign w:val="center"/>
          </w:tcPr>
          <w:p w14:paraId="0970059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寮步竹园污水处理厂二期</w:t>
            </w:r>
          </w:p>
        </w:tc>
        <w:tc>
          <w:tcPr>
            <w:tcW w:w="2299" w:type="pct"/>
            <w:shd w:val="clear" w:color="auto" w:fill="FFFFFF"/>
            <w:vAlign w:val="center"/>
          </w:tcPr>
          <w:p w14:paraId="25A3E3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东莞市寮步镇竹园村横岭工业区18号</w:t>
            </w:r>
          </w:p>
        </w:tc>
        <w:tc>
          <w:tcPr>
            <w:tcW w:w="1763" w:type="dxa"/>
            <w:shd w:val="clear" w:color="auto" w:fill="FFFFFF"/>
            <w:vAlign w:val="center"/>
          </w:tcPr>
          <w:p w14:paraId="2B748D0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r>
      <w:tr w14:paraId="13CD3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340" w:type="pct"/>
            <w:shd w:val="clear" w:color="auto" w:fill="FFFFFF"/>
            <w:vAlign w:val="center"/>
          </w:tcPr>
          <w:p w14:paraId="26C38C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1469" w:type="pct"/>
            <w:shd w:val="clear" w:color="auto" w:fill="FFFFFF"/>
            <w:vAlign w:val="center"/>
          </w:tcPr>
          <w:p w14:paraId="21F9B1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寮步竹园污水处理厂三期</w:t>
            </w:r>
          </w:p>
        </w:tc>
        <w:tc>
          <w:tcPr>
            <w:tcW w:w="2299" w:type="pct"/>
            <w:shd w:val="clear" w:color="auto" w:fill="FFFFFF"/>
            <w:vAlign w:val="center"/>
          </w:tcPr>
          <w:p w14:paraId="69A475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东莞市寮步镇竹园村横岭工业区18号</w:t>
            </w:r>
          </w:p>
        </w:tc>
        <w:tc>
          <w:tcPr>
            <w:tcW w:w="1763" w:type="dxa"/>
            <w:shd w:val="clear" w:color="auto" w:fill="FFFFFF"/>
            <w:vAlign w:val="center"/>
          </w:tcPr>
          <w:p w14:paraId="5C29FE4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62.558</w:t>
            </w:r>
          </w:p>
        </w:tc>
      </w:tr>
      <w:tr w14:paraId="15C66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40" w:type="pct"/>
            <w:shd w:val="clear" w:color="auto" w:fill="FFFFFF"/>
            <w:vAlign w:val="center"/>
          </w:tcPr>
          <w:p w14:paraId="5B00161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1469" w:type="pct"/>
            <w:shd w:val="clear" w:color="auto" w:fill="FFFFFF"/>
            <w:vAlign w:val="center"/>
          </w:tcPr>
          <w:p w14:paraId="6D2BCD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大朗松山湖南部污水处理厂二期</w:t>
            </w:r>
          </w:p>
        </w:tc>
        <w:tc>
          <w:tcPr>
            <w:tcW w:w="2299" w:type="pct"/>
            <w:shd w:val="clear" w:color="auto" w:fill="FFFFFF"/>
            <w:vAlign w:val="center"/>
          </w:tcPr>
          <w:p w14:paraId="79D4FE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东莞市大朗镇沙步村杨沙路153号十三栋101室</w:t>
            </w:r>
          </w:p>
        </w:tc>
        <w:tc>
          <w:tcPr>
            <w:tcW w:w="1763" w:type="dxa"/>
            <w:shd w:val="clear" w:color="auto" w:fill="FFFFFF"/>
            <w:vAlign w:val="center"/>
          </w:tcPr>
          <w:p w14:paraId="7BEF460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r>
      <w:tr w14:paraId="33D43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340" w:type="pct"/>
            <w:shd w:val="clear" w:color="auto" w:fill="FFFFFF"/>
            <w:vAlign w:val="center"/>
          </w:tcPr>
          <w:p w14:paraId="57C722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p>
        </w:tc>
        <w:tc>
          <w:tcPr>
            <w:tcW w:w="1469" w:type="pct"/>
            <w:shd w:val="clear" w:color="auto" w:fill="FFFFFF"/>
            <w:vAlign w:val="center"/>
          </w:tcPr>
          <w:p w14:paraId="350D1F2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樟村水质净化厂</w:t>
            </w:r>
          </w:p>
        </w:tc>
        <w:tc>
          <w:tcPr>
            <w:tcW w:w="2299" w:type="pct"/>
            <w:shd w:val="clear" w:color="auto" w:fill="FFFFFF"/>
            <w:vAlign w:val="center"/>
          </w:tcPr>
          <w:p w14:paraId="1D97A2C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东莞市东城区运河路5号</w:t>
            </w:r>
          </w:p>
        </w:tc>
        <w:tc>
          <w:tcPr>
            <w:tcW w:w="1763" w:type="dxa"/>
            <w:shd w:val="clear" w:color="auto" w:fill="FFFFFF"/>
            <w:vAlign w:val="center"/>
          </w:tcPr>
          <w:p w14:paraId="22A0D78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r>
      <w:tr w14:paraId="29C78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40" w:type="pct"/>
            <w:shd w:val="clear" w:color="auto" w:fill="FFFFFF"/>
            <w:vAlign w:val="center"/>
          </w:tcPr>
          <w:p w14:paraId="16D38EC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1469" w:type="pct"/>
            <w:shd w:val="clear" w:color="auto" w:fill="FFFFFF"/>
            <w:vAlign w:val="center"/>
          </w:tcPr>
          <w:p w14:paraId="4AFEF6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常平东污水处理厂二期</w:t>
            </w:r>
          </w:p>
        </w:tc>
        <w:tc>
          <w:tcPr>
            <w:tcW w:w="2299" w:type="pct"/>
            <w:shd w:val="clear" w:color="auto" w:fill="FFFFFF"/>
            <w:vAlign w:val="center"/>
          </w:tcPr>
          <w:p w14:paraId="1A56B53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东莞市常平镇沙湖口村污水处理厂二期</w:t>
            </w:r>
          </w:p>
        </w:tc>
        <w:tc>
          <w:tcPr>
            <w:tcW w:w="1763" w:type="dxa"/>
            <w:shd w:val="clear" w:color="auto" w:fill="FFFFFF"/>
            <w:vAlign w:val="center"/>
          </w:tcPr>
          <w:p w14:paraId="0D4573D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r>
      <w:tr w14:paraId="6A8E6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340" w:type="pct"/>
            <w:shd w:val="clear" w:color="auto" w:fill="FFFFFF"/>
            <w:vAlign w:val="center"/>
          </w:tcPr>
          <w:p w14:paraId="6BE84A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1469" w:type="pct"/>
            <w:shd w:val="clear" w:color="auto" w:fill="FFFFFF"/>
            <w:vAlign w:val="center"/>
          </w:tcPr>
          <w:p w14:paraId="0905B9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常平西污水处理厂二期</w:t>
            </w:r>
          </w:p>
        </w:tc>
        <w:tc>
          <w:tcPr>
            <w:tcW w:w="2299" w:type="pct"/>
            <w:shd w:val="clear" w:color="auto" w:fill="FFFFFF"/>
            <w:vAlign w:val="center"/>
          </w:tcPr>
          <w:p w14:paraId="5D573E5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东莞市常平镇常平沿河东一路20号</w:t>
            </w:r>
          </w:p>
        </w:tc>
        <w:tc>
          <w:tcPr>
            <w:tcW w:w="1763" w:type="dxa"/>
            <w:shd w:val="clear" w:color="auto" w:fill="FFFFFF"/>
            <w:vAlign w:val="center"/>
          </w:tcPr>
          <w:p w14:paraId="78E440A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r>
      <w:tr w14:paraId="55513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340" w:type="pct"/>
            <w:shd w:val="clear" w:color="auto" w:fill="FFFFFF"/>
            <w:vAlign w:val="center"/>
          </w:tcPr>
          <w:p w14:paraId="5ACF326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w:t>
            </w:r>
          </w:p>
        </w:tc>
        <w:tc>
          <w:tcPr>
            <w:tcW w:w="1469" w:type="pct"/>
            <w:shd w:val="clear" w:color="auto" w:fill="FFFFFF"/>
            <w:vAlign w:val="center"/>
          </w:tcPr>
          <w:p w14:paraId="74F2BF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横沥东坑污水处理厂二期</w:t>
            </w:r>
          </w:p>
        </w:tc>
        <w:tc>
          <w:tcPr>
            <w:tcW w:w="2299" w:type="pct"/>
            <w:shd w:val="clear" w:color="auto" w:fill="FFFFFF"/>
            <w:vAlign w:val="center"/>
          </w:tcPr>
          <w:p w14:paraId="2867D7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东莞市横沥镇石涌恒富路1号1号楼101室</w:t>
            </w:r>
          </w:p>
        </w:tc>
        <w:tc>
          <w:tcPr>
            <w:tcW w:w="1763" w:type="dxa"/>
            <w:shd w:val="clear" w:color="auto" w:fill="FFFFFF"/>
            <w:vAlign w:val="center"/>
          </w:tcPr>
          <w:p w14:paraId="5523A8E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r>
      <w:tr w14:paraId="64123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40" w:type="pct"/>
            <w:shd w:val="clear" w:color="auto" w:fill="FFFFFF"/>
            <w:vAlign w:val="center"/>
          </w:tcPr>
          <w:p w14:paraId="79DDA3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w:t>
            </w:r>
          </w:p>
        </w:tc>
        <w:tc>
          <w:tcPr>
            <w:tcW w:w="1469" w:type="pct"/>
            <w:shd w:val="clear" w:color="auto" w:fill="FFFFFF"/>
            <w:vAlign w:val="center"/>
          </w:tcPr>
          <w:p w14:paraId="05C73B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黄江梅塘污水处理厂</w:t>
            </w:r>
          </w:p>
        </w:tc>
        <w:tc>
          <w:tcPr>
            <w:tcW w:w="2299" w:type="pct"/>
            <w:shd w:val="clear" w:color="auto" w:fill="FFFFFF"/>
            <w:vAlign w:val="center"/>
          </w:tcPr>
          <w:p w14:paraId="45E16F9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广东省东莞市黄江镇星光村附件</w:t>
            </w:r>
          </w:p>
        </w:tc>
        <w:tc>
          <w:tcPr>
            <w:tcW w:w="1763" w:type="dxa"/>
            <w:shd w:val="clear" w:color="auto" w:fill="FFFFFF"/>
            <w:vAlign w:val="center"/>
          </w:tcPr>
          <w:p w14:paraId="4EC7315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r>
      <w:tr w14:paraId="7E51F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40" w:type="pct"/>
            <w:shd w:val="clear" w:color="auto" w:fill="FFFFFF"/>
            <w:vAlign w:val="center"/>
          </w:tcPr>
          <w:p w14:paraId="6E8836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w:t>
            </w:r>
          </w:p>
        </w:tc>
        <w:tc>
          <w:tcPr>
            <w:tcW w:w="1469" w:type="pct"/>
            <w:shd w:val="clear" w:color="auto" w:fill="FFFFFF"/>
            <w:vAlign w:val="center"/>
          </w:tcPr>
          <w:p w14:paraId="2A869B0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凤岗虾公潭污水处理厂</w:t>
            </w:r>
          </w:p>
        </w:tc>
        <w:tc>
          <w:tcPr>
            <w:tcW w:w="2299" w:type="pct"/>
            <w:shd w:val="clear" w:color="auto" w:fill="FFFFFF"/>
            <w:vAlign w:val="center"/>
          </w:tcPr>
          <w:p w14:paraId="459D48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东莞市凤岗镇油甘埔村同兴路3号101</w:t>
            </w:r>
          </w:p>
        </w:tc>
        <w:tc>
          <w:tcPr>
            <w:tcW w:w="1763" w:type="dxa"/>
            <w:shd w:val="clear" w:color="auto" w:fill="FFFFFF"/>
            <w:vAlign w:val="center"/>
          </w:tcPr>
          <w:p w14:paraId="31F30BA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r>
      <w:tr w14:paraId="6ADC0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340" w:type="pct"/>
            <w:shd w:val="clear" w:color="auto" w:fill="FFFFFF"/>
            <w:vAlign w:val="center"/>
          </w:tcPr>
          <w:p w14:paraId="181AAB5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w:t>
            </w:r>
          </w:p>
        </w:tc>
        <w:tc>
          <w:tcPr>
            <w:tcW w:w="1469" w:type="pct"/>
            <w:shd w:val="clear" w:color="auto" w:fill="FFFFFF"/>
            <w:vAlign w:val="center"/>
          </w:tcPr>
          <w:p w14:paraId="5C49FC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桥头污水处理厂二期</w:t>
            </w:r>
          </w:p>
        </w:tc>
        <w:tc>
          <w:tcPr>
            <w:tcW w:w="2299" w:type="pct"/>
            <w:shd w:val="clear" w:color="auto" w:fill="FFFFFF"/>
            <w:vAlign w:val="center"/>
          </w:tcPr>
          <w:p w14:paraId="2F5789E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东莞市桥头镇东深路桥头段6号2号楼</w:t>
            </w:r>
          </w:p>
        </w:tc>
        <w:tc>
          <w:tcPr>
            <w:tcW w:w="1763" w:type="dxa"/>
            <w:shd w:val="clear" w:color="auto" w:fill="FFFFFF"/>
            <w:vAlign w:val="center"/>
          </w:tcPr>
          <w:p w14:paraId="6A38FE8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r>
      <w:tr w14:paraId="52D7A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340" w:type="pct"/>
            <w:shd w:val="clear" w:color="auto" w:fill="FFFFFF"/>
            <w:vAlign w:val="center"/>
          </w:tcPr>
          <w:p w14:paraId="4D5B53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1469" w:type="pct"/>
            <w:shd w:val="clear" w:color="auto" w:fill="FFFFFF"/>
            <w:vAlign w:val="center"/>
          </w:tcPr>
          <w:p w14:paraId="496DD2B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谢岗污水处理厂二期</w:t>
            </w:r>
          </w:p>
        </w:tc>
        <w:tc>
          <w:tcPr>
            <w:tcW w:w="2299" w:type="pct"/>
            <w:shd w:val="clear" w:color="auto" w:fill="FFFFFF"/>
            <w:vAlign w:val="center"/>
          </w:tcPr>
          <w:p w14:paraId="69D16C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东莞市谢岗镇禾尚岗路16号</w:t>
            </w:r>
          </w:p>
        </w:tc>
        <w:tc>
          <w:tcPr>
            <w:tcW w:w="1763" w:type="dxa"/>
            <w:shd w:val="clear" w:color="auto" w:fill="FFFFFF"/>
            <w:vAlign w:val="center"/>
          </w:tcPr>
          <w:p w14:paraId="1F60222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r>
      <w:tr w14:paraId="2E1C4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40" w:type="pct"/>
            <w:shd w:val="clear" w:color="auto" w:fill="FFFFFF"/>
            <w:vAlign w:val="center"/>
          </w:tcPr>
          <w:p w14:paraId="4AD14C5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w:t>
            </w:r>
          </w:p>
        </w:tc>
        <w:tc>
          <w:tcPr>
            <w:tcW w:w="1469" w:type="pct"/>
            <w:shd w:val="clear" w:color="auto" w:fill="FFFFFF"/>
            <w:vAlign w:val="center"/>
          </w:tcPr>
          <w:p w14:paraId="0311947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凤岗竹塘污水处理厂二期</w:t>
            </w:r>
          </w:p>
        </w:tc>
        <w:tc>
          <w:tcPr>
            <w:tcW w:w="2299" w:type="pct"/>
            <w:shd w:val="clear" w:color="auto" w:fill="FFFFFF"/>
            <w:vAlign w:val="center"/>
          </w:tcPr>
          <w:p w14:paraId="13998E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凤岗镇竹塘村浸校塘组</w:t>
            </w:r>
          </w:p>
        </w:tc>
        <w:tc>
          <w:tcPr>
            <w:tcW w:w="1763" w:type="dxa"/>
            <w:shd w:val="clear" w:color="auto" w:fill="FFFFFF"/>
            <w:vAlign w:val="center"/>
          </w:tcPr>
          <w:p w14:paraId="05F53EE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r>
      <w:tr w14:paraId="3DEB4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40" w:type="pct"/>
            <w:shd w:val="clear" w:color="auto" w:fill="FFFFFF"/>
            <w:vAlign w:val="center"/>
          </w:tcPr>
          <w:p w14:paraId="6025197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1469" w:type="pct"/>
            <w:shd w:val="clear" w:color="auto" w:fill="FFFFFF"/>
            <w:vAlign w:val="center"/>
          </w:tcPr>
          <w:p w14:paraId="3A11AC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塘厦林村污水处理厂二期</w:t>
            </w:r>
          </w:p>
        </w:tc>
        <w:tc>
          <w:tcPr>
            <w:tcW w:w="2299" w:type="pct"/>
            <w:shd w:val="clear" w:color="auto" w:fill="FFFFFF"/>
            <w:vAlign w:val="center"/>
          </w:tcPr>
          <w:p w14:paraId="403888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塘厦镇林村村委会鸡爪桥猪仔沥</w:t>
            </w:r>
          </w:p>
        </w:tc>
        <w:tc>
          <w:tcPr>
            <w:tcW w:w="1763" w:type="dxa"/>
            <w:shd w:val="clear" w:color="auto" w:fill="FFFFFF"/>
            <w:vAlign w:val="center"/>
          </w:tcPr>
          <w:p w14:paraId="425DAD2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r>
      <w:tr w14:paraId="45922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40" w:type="pct"/>
            <w:shd w:val="clear" w:color="auto" w:fill="FFFFFF"/>
            <w:vAlign w:val="center"/>
          </w:tcPr>
          <w:p w14:paraId="4C90FF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w:t>
            </w:r>
          </w:p>
        </w:tc>
        <w:tc>
          <w:tcPr>
            <w:tcW w:w="1469" w:type="pct"/>
            <w:shd w:val="clear" w:color="auto" w:fill="FFFFFF"/>
            <w:vAlign w:val="center"/>
          </w:tcPr>
          <w:p w14:paraId="2DD42C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樟木头污水处理厂三期</w:t>
            </w:r>
          </w:p>
        </w:tc>
        <w:tc>
          <w:tcPr>
            <w:tcW w:w="2299" w:type="pct"/>
            <w:shd w:val="clear" w:color="auto" w:fill="FFFFFF"/>
            <w:vAlign w:val="center"/>
          </w:tcPr>
          <w:p w14:paraId="313374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樟木头镇柏地社区柏峰路169号</w:t>
            </w:r>
          </w:p>
        </w:tc>
        <w:tc>
          <w:tcPr>
            <w:tcW w:w="1763" w:type="dxa"/>
            <w:shd w:val="clear" w:color="auto" w:fill="FFFFFF"/>
            <w:vAlign w:val="center"/>
          </w:tcPr>
          <w:p w14:paraId="6ACCBAA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r>
      <w:tr w14:paraId="302A9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340" w:type="pct"/>
            <w:shd w:val="clear" w:color="auto" w:fill="FFFFFF"/>
            <w:vAlign w:val="center"/>
          </w:tcPr>
          <w:p w14:paraId="37E35E0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w:t>
            </w:r>
          </w:p>
        </w:tc>
        <w:tc>
          <w:tcPr>
            <w:tcW w:w="1469" w:type="pct"/>
            <w:shd w:val="clear" w:color="auto" w:fill="FFFFFF"/>
            <w:vAlign w:val="center"/>
          </w:tcPr>
          <w:p w14:paraId="669736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樟木头裕丰</w:t>
            </w:r>
          </w:p>
        </w:tc>
        <w:tc>
          <w:tcPr>
            <w:tcW w:w="2299" w:type="pct"/>
            <w:shd w:val="clear" w:color="auto" w:fill="FFFFFF"/>
            <w:vAlign w:val="center"/>
          </w:tcPr>
          <w:p w14:paraId="67EDC69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东莞市樟木头镇裕丰社区莞樟东路西侧</w:t>
            </w:r>
          </w:p>
        </w:tc>
        <w:tc>
          <w:tcPr>
            <w:tcW w:w="1763" w:type="dxa"/>
            <w:shd w:val="clear" w:color="auto" w:fill="FFFFFF"/>
            <w:vAlign w:val="center"/>
          </w:tcPr>
          <w:p w14:paraId="4BD9926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r>
      <w:tr w14:paraId="7C81E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40" w:type="pct"/>
            <w:shd w:val="clear" w:color="auto" w:fill="FFFFFF"/>
            <w:vAlign w:val="center"/>
          </w:tcPr>
          <w:p w14:paraId="69F114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w:t>
            </w:r>
          </w:p>
        </w:tc>
        <w:tc>
          <w:tcPr>
            <w:tcW w:w="1469" w:type="pct"/>
            <w:shd w:val="clear" w:color="auto" w:fill="FFFFFF"/>
            <w:vAlign w:val="center"/>
          </w:tcPr>
          <w:p w14:paraId="3C32628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塘厦白泥湖水质净化厂改造工程</w:t>
            </w:r>
          </w:p>
        </w:tc>
        <w:tc>
          <w:tcPr>
            <w:tcW w:w="2299" w:type="pct"/>
            <w:shd w:val="clear" w:color="auto" w:fill="FFFFFF"/>
            <w:vAlign w:val="center"/>
          </w:tcPr>
          <w:p w14:paraId="5832E99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东莞市塘厦镇塘厦南一横路21号</w:t>
            </w:r>
          </w:p>
        </w:tc>
        <w:tc>
          <w:tcPr>
            <w:tcW w:w="1763" w:type="dxa"/>
            <w:shd w:val="clear" w:color="auto" w:fill="FFFFFF"/>
            <w:vAlign w:val="center"/>
          </w:tcPr>
          <w:p w14:paraId="095D98D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r>
      <w:tr w14:paraId="6706A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40" w:type="pct"/>
            <w:shd w:val="clear" w:color="auto" w:fill="FFFFFF"/>
            <w:vAlign w:val="center"/>
          </w:tcPr>
          <w:p w14:paraId="1CDAAB9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1469" w:type="pct"/>
            <w:shd w:val="clear" w:color="auto" w:fill="FFFFFF"/>
            <w:vAlign w:val="center"/>
          </w:tcPr>
          <w:p w14:paraId="2D69F69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竹塘污水处理厂三期</w:t>
            </w:r>
          </w:p>
        </w:tc>
        <w:tc>
          <w:tcPr>
            <w:tcW w:w="2299" w:type="pct"/>
            <w:shd w:val="clear" w:color="auto" w:fill="FFFFFF"/>
            <w:vAlign w:val="center"/>
          </w:tcPr>
          <w:p w14:paraId="6543BA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凤岗镇竹塘村浸校塘组</w:t>
            </w:r>
          </w:p>
        </w:tc>
        <w:tc>
          <w:tcPr>
            <w:tcW w:w="1763" w:type="dxa"/>
            <w:shd w:val="clear" w:color="auto" w:fill="FFFFFF"/>
            <w:vAlign w:val="center"/>
          </w:tcPr>
          <w:p w14:paraId="4EA5D9A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r>
      <w:tr w14:paraId="0D1C0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340" w:type="pct"/>
            <w:shd w:val="clear" w:color="auto" w:fill="FFFFFF"/>
            <w:vAlign w:val="center"/>
          </w:tcPr>
          <w:p w14:paraId="4285DAA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w:t>
            </w:r>
          </w:p>
        </w:tc>
        <w:tc>
          <w:tcPr>
            <w:tcW w:w="1469" w:type="pct"/>
            <w:shd w:val="clear" w:color="auto" w:fill="FFFFFF"/>
            <w:vAlign w:val="center"/>
          </w:tcPr>
          <w:p w14:paraId="056944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清溪厦坭污水处理厂二期</w:t>
            </w:r>
          </w:p>
        </w:tc>
        <w:tc>
          <w:tcPr>
            <w:tcW w:w="2299" w:type="pct"/>
            <w:shd w:val="clear" w:color="auto" w:fill="FFFFFF"/>
            <w:vAlign w:val="center"/>
          </w:tcPr>
          <w:p w14:paraId="5BF0E9E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东莞市清溪镇江背路33号</w:t>
            </w:r>
          </w:p>
        </w:tc>
        <w:tc>
          <w:tcPr>
            <w:tcW w:w="1763" w:type="dxa"/>
            <w:shd w:val="clear" w:color="auto" w:fill="FFFFFF"/>
            <w:vAlign w:val="center"/>
          </w:tcPr>
          <w:p w14:paraId="0412AE9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r>
      <w:tr w14:paraId="1DC4B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340" w:type="pct"/>
            <w:shd w:val="clear" w:color="auto" w:fill="FFFFFF"/>
            <w:vAlign w:val="center"/>
          </w:tcPr>
          <w:p w14:paraId="33B82D9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w:t>
            </w:r>
          </w:p>
        </w:tc>
        <w:tc>
          <w:tcPr>
            <w:tcW w:w="1469" w:type="pct"/>
            <w:shd w:val="clear" w:color="auto" w:fill="FFFFFF"/>
            <w:vAlign w:val="center"/>
          </w:tcPr>
          <w:p w14:paraId="59799A2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塘厦大坪污水处理厂一期</w:t>
            </w:r>
          </w:p>
        </w:tc>
        <w:tc>
          <w:tcPr>
            <w:tcW w:w="2299" w:type="pct"/>
            <w:shd w:val="clear" w:color="auto" w:fill="FFFFFF"/>
            <w:vAlign w:val="center"/>
          </w:tcPr>
          <w:p w14:paraId="795B9B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763" w:type="dxa"/>
            <w:shd w:val="clear" w:color="auto" w:fill="FFFFFF"/>
            <w:vAlign w:val="center"/>
          </w:tcPr>
          <w:p w14:paraId="027689E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527.060</w:t>
            </w:r>
          </w:p>
        </w:tc>
      </w:tr>
      <w:tr w14:paraId="43B5C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108" w:type="pct"/>
            <w:gridSpan w:val="3"/>
            <w:shd w:val="clear" w:color="auto" w:fill="FFFFFF"/>
            <w:vAlign w:val="center"/>
          </w:tcPr>
          <w:p w14:paraId="6887DB4C">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二、提标项目</w:t>
            </w:r>
          </w:p>
        </w:tc>
        <w:tc>
          <w:tcPr>
            <w:tcW w:w="1763" w:type="dxa"/>
            <w:shd w:val="clear" w:color="auto" w:fill="FFFFFF"/>
            <w:vAlign w:val="center"/>
          </w:tcPr>
          <w:p w14:paraId="1ABE3174">
            <w:pPr>
              <w:keepNext w:val="0"/>
              <w:keepLines w:val="0"/>
              <w:widowControl/>
              <w:suppressLineNumbers w:val="0"/>
              <w:jc w:val="left"/>
              <w:textAlignment w:val="center"/>
              <w:rPr>
                <w:rFonts w:hint="eastAsia" w:ascii="宋体" w:hAnsi="宋体" w:eastAsia="宋体" w:cs="宋体"/>
                <w:b/>
                <w:bCs/>
                <w:i w:val="0"/>
                <w:iCs w:val="0"/>
                <w:color w:val="auto"/>
                <w:kern w:val="0"/>
                <w:sz w:val="21"/>
                <w:szCs w:val="21"/>
                <w:u w:val="none"/>
                <w:lang w:val="en-US" w:eastAsia="zh-CN" w:bidi="ar"/>
              </w:rPr>
            </w:pPr>
          </w:p>
        </w:tc>
      </w:tr>
      <w:tr w14:paraId="0579E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40" w:type="pct"/>
            <w:shd w:val="clear" w:color="auto" w:fill="FFFFFF"/>
            <w:vAlign w:val="center"/>
          </w:tcPr>
          <w:p w14:paraId="6649CA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469" w:type="pct"/>
            <w:shd w:val="clear" w:color="auto" w:fill="FFFFFF"/>
            <w:vAlign w:val="center"/>
          </w:tcPr>
          <w:p w14:paraId="2588966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石碣沙腰污水处理厂二期提标</w:t>
            </w:r>
          </w:p>
        </w:tc>
        <w:tc>
          <w:tcPr>
            <w:tcW w:w="2299" w:type="pct"/>
            <w:shd w:val="clear" w:color="auto" w:fill="FFFFFF"/>
            <w:vAlign w:val="center"/>
          </w:tcPr>
          <w:p w14:paraId="4889FF8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东莞市石碣镇沙腰村沿江西路2号</w:t>
            </w:r>
          </w:p>
        </w:tc>
        <w:tc>
          <w:tcPr>
            <w:tcW w:w="1763" w:type="dxa"/>
            <w:shd w:val="clear" w:color="auto" w:fill="FFFFFF"/>
            <w:vAlign w:val="center"/>
          </w:tcPr>
          <w:p w14:paraId="55C517C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r>
      <w:tr w14:paraId="17ACF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40" w:type="pct"/>
            <w:shd w:val="clear" w:color="auto" w:fill="FFFFFF"/>
            <w:vAlign w:val="center"/>
          </w:tcPr>
          <w:p w14:paraId="050C00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469" w:type="pct"/>
            <w:shd w:val="clear" w:color="auto" w:fill="FFFFFF"/>
            <w:vAlign w:val="center"/>
          </w:tcPr>
          <w:p w14:paraId="6ECCFB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望洪污水处理厂一期提标工程</w:t>
            </w:r>
          </w:p>
        </w:tc>
        <w:tc>
          <w:tcPr>
            <w:tcW w:w="2299" w:type="pct"/>
            <w:shd w:val="clear" w:color="auto" w:fill="FFFFFF"/>
            <w:vAlign w:val="center"/>
          </w:tcPr>
          <w:p w14:paraId="2754072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东莞市望牛墩镇朱平沙村</w:t>
            </w:r>
          </w:p>
        </w:tc>
        <w:tc>
          <w:tcPr>
            <w:tcW w:w="1763" w:type="dxa"/>
            <w:shd w:val="clear" w:color="auto" w:fill="FFFFFF"/>
            <w:vAlign w:val="center"/>
          </w:tcPr>
          <w:p w14:paraId="3A16F27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169.505</w:t>
            </w:r>
          </w:p>
        </w:tc>
      </w:tr>
      <w:tr w14:paraId="17D64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340" w:type="pct"/>
            <w:shd w:val="clear" w:color="auto" w:fill="FFFFFF"/>
            <w:vAlign w:val="center"/>
          </w:tcPr>
          <w:p w14:paraId="71A84D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469" w:type="pct"/>
            <w:shd w:val="clear" w:color="auto" w:fill="FFFFFF"/>
            <w:vAlign w:val="center"/>
          </w:tcPr>
          <w:p w14:paraId="2A8CCC9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麻涌污水处理厂一期提标工程</w:t>
            </w:r>
          </w:p>
        </w:tc>
        <w:tc>
          <w:tcPr>
            <w:tcW w:w="2299" w:type="pct"/>
            <w:shd w:val="clear" w:color="auto" w:fill="FFFFFF"/>
            <w:vAlign w:val="center"/>
          </w:tcPr>
          <w:p w14:paraId="4F6488F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东莞市麻涌镇新沙公园南一路9号</w:t>
            </w:r>
          </w:p>
        </w:tc>
        <w:tc>
          <w:tcPr>
            <w:tcW w:w="1763" w:type="dxa"/>
            <w:shd w:val="clear" w:color="auto" w:fill="FFFFFF"/>
            <w:vAlign w:val="center"/>
          </w:tcPr>
          <w:p w14:paraId="3D9C584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308.346 </w:t>
            </w:r>
          </w:p>
        </w:tc>
      </w:tr>
      <w:tr w14:paraId="3FB03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340" w:type="pct"/>
            <w:shd w:val="clear" w:color="auto" w:fill="FFFFFF"/>
            <w:vAlign w:val="center"/>
          </w:tcPr>
          <w:p w14:paraId="3F35A6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1469" w:type="pct"/>
            <w:shd w:val="clear" w:color="auto" w:fill="FFFFFF"/>
            <w:vAlign w:val="center"/>
          </w:tcPr>
          <w:p w14:paraId="04E1D2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石碣沙腰污水处理厂一期提标工程</w:t>
            </w:r>
          </w:p>
        </w:tc>
        <w:tc>
          <w:tcPr>
            <w:tcW w:w="2299" w:type="pct"/>
            <w:shd w:val="clear" w:color="auto" w:fill="FFFFFF"/>
            <w:vAlign w:val="center"/>
          </w:tcPr>
          <w:p w14:paraId="1BF174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东莞市石碣镇沙腰村沿江西路2号</w:t>
            </w:r>
          </w:p>
        </w:tc>
        <w:tc>
          <w:tcPr>
            <w:tcW w:w="1763" w:type="dxa"/>
            <w:shd w:val="clear" w:color="auto" w:fill="FFFFFF"/>
            <w:vAlign w:val="center"/>
          </w:tcPr>
          <w:p w14:paraId="76F0567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53.243 </w:t>
            </w:r>
          </w:p>
        </w:tc>
      </w:tr>
      <w:tr w14:paraId="762AB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40" w:type="pct"/>
            <w:shd w:val="clear" w:color="auto" w:fill="FFFFFF"/>
            <w:vAlign w:val="center"/>
          </w:tcPr>
          <w:p w14:paraId="3228FF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469" w:type="pct"/>
            <w:shd w:val="clear" w:color="auto" w:fill="FFFFFF"/>
            <w:vAlign w:val="center"/>
          </w:tcPr>
          <w:p w14:paraId="465DAB3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市区污水处理厂提标工程</w:t>
            </w:r>
          </w:p>
        </w:tc>
        <w:tc>
          <w:tcPr>
            <w:tcW w:w="2299" w:type="pct"/>
            <w:shd w:val="clear" w:color="auto" w:fill="FFFFFF"/>
            <w:vAlign w:val="center"/>
          </w:tcPr>
          <w:p w14:paraId="5816BD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东莞市南城街道滨河路100号</w:t>
            </w:r>
          </w:p>
        </w:tc>
        <w:tc>
          <w:tcPr>
            <w:tcW w:w="1763" w:type="dxa"/>
            <w:shd w:val="clear" w:color="auto" w:fill="FFFFFF"/>
            <w:vAlign w:val="center"/>
          </w:tcPr>
          <w:p w14:paraId="7CFDAE7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7199.061 </w:t>
            </w:r>
          </w:p>
        </w:tc>
      </w:tr>
      <w:tr w14:paraId="0AEB3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40" w:type="pct"/>
            <w:shd w:val="clear" w:color="auto" w:fill="FFFFFF"/>
            <w:vAlign w:val="center"/>
          </w:tcPr>
          <w:p w14:paraId="3E3EFE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1469" w:type="pct"/>
            <w:shd w:val="clear" w:color="auto" w:fill="FFFFFF"/>
            <w:vAlign w:val="center"/>
          </w:tcPr>
          <w:p w14:paraId="646AAC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虎门海岛污水处理厂一期提标工程</w:t>
            </w:r>
          </w:p>
        </w:tc>
        <w:tc>
          <w:tcPr>
            <w:tcW w:w="2299" w:type="pct"/>
            <w:shd w:val="clear" w:color="auto" w:fill="FFFFFF"/>
            <w:vAlign w:val="center"/>
          </w:tcPr>
          <w:p w14:paraId="4AA2DC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东莞市虎门镇威远岛武山沙五围</w:t>
            </w:r>
          </w:p>
        </w:tc>
        <w:tc>
          <w:tcPr>
            <w:tcW w:w="1763" w:type="dxa"/>
            <w:shd w:val="clear" w:color="auto" w:fill="FFFFFF"/>
            <w:vAlign w:val="center"/>
          </w:tcPr>
          <w:p w14:paraId="1D51D3C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19.273 </w:t>
            </w:r>
          </w:p>
        </w:tc>
      </w:tr>
      <w:tr w14:paraId="74066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40" w:type="pct"/>
            <w:shd w:val="clear" w:color="auto" w:fill="FFFFFF"/>
            <w:vAlign w:val="center"/>
          </w:tcPr>
          <w:p w14:paraId="68491C5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1469" w:type="pct"/>
            <w:shd w:val="clear" w:color="auto" w:fill="FFFFFF"/>
            <w:vAlign w:val="center"/>
          </w:tcPr>
          <w:p w14:paraId="6EE9D0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虎门宁洲污水处理厂一期提标工程</w:t>
            </w:r>
          </w:p>
        </w:tc>
        <w:tc>
          <w:tcPr>
            <w:tcW w:w="2299" w:type="pct"/>
            <w:shd w:val="clear" w:color="auto" w:fill="FFFFFF"/>
            <w:vAlign w:val="center"/>
          </w:tcPr>
          <w:p w14:paraId="75CC02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东莞市虎门镇南栅第六工业区民昌路十巷5号</w:t>
            </w:r>
          </w:p>
        </w:tc>
        <w:tc>
          <w:tcPr>
            <w:tcW w:w="1763" w:type="dxa"/>
            <w:shd w:val="clear" w:color="auto" w:fill="FFFFFF"/>
            <w:vAlign w:val="center"/>
          </w:tcPr>
          <w:p w14:paraId="602F6BA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1758.209 </w:t>
            </w:r>
          </w:p>
        </w:tc>
      </w:tr>
      <w:tr w14:paraId="7510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40" w:type="pct"/>
            <w:shd w:val="clear" w:color="auto" w:fill="FFFFFF"/>
            <w:vAlign w:val="center"/>
          </w:tcPr>
          <w:p w14:paraId="6E495B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1469" w:type="pct"/>
            <w:shd w:val="clear" w:color="auto" w:fill="FFFFFF"/>
            <w:vAlign w:val="center"/>
          </w:tcPr>
          <w:p w14:paraId="4B984E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长安锦厦三洲水质净化厂提标工程</w:t>
            </w:r>
          </w:p>
        </w:tc>
        <w:tc>
          <w:tcPr>
            <w:tcW w:w="2299" w:type="pct"/>
            <w:shd w:val="clear" w:color="auto" w:fill="FFFFFF"/>
            <w:vAlign w:val="center"/>
          </w:tcPr>
          <w:p w14:paraId="55CD85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东莞市长安镇锦厦三洲路2号</w:t>
            </w:r>
          </w:p>
        </w:tc>
        <w:tc>
          <w:tcPr>
            <w:tcW w:w="1763" w:type="dxa"/>
            <w:shd w:val="clear" w:color="auto" w:fill="FFFFFF"/>
            <w:vAlign w:val="center"/>
          </w:tcPr>
          <w:p w14:paraId="0B3FC14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222.752 </w:t>
            </w:r>
          </w:p>
        </w:tc>
      </w:tr>
      <w:tr w14:paraId="26A87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40" w:type="pct"/>
            <w:shd w:val="clear" w:color="auto" w:fill="FFFFFF"/>
            <w:vAlign w:val="center"/>
          </w:tcPr>
          <w:p w14:paraId="591AE3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1469" w:type="pct"/>
            <w:shd w:val="clear" w:color="auto" w:fill="FFFFFF"/>
            <w:vAlign w:val="center"/>
          </w:tcPr>
          <w:p w14:paraId="136FFF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东城牛山污水处理厂一期提标工程</w:t>
            </w:r>
          </w:p>
        </w:tc>
        <w:tc>
          <w:tcPr>
            <w:tcW w:w="2299" w:type="pct"/>
            <w:shd w:val="clear" w:color="auto" w:fill="FFFFFF"/>
            <w:vAlign w:val="center"/>
          </w:tcPr>
          <w:p w14:paraId="39D9D9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东莞市东城牛山老围村工业区象山路1号</w:t>
            </w:r>
          </w:p>
        </w:tc>
        <w:tc>
          <w:tcPr>
            <w:tcW w:w="1763" w:type="dxa"/>
            <w:shd w:val="clear" w:color="auto" w:fill="FFFFFF"/>
            <w:vAlign w:val="center"/>
          </w:tcPr>
          <w:p w14:paraId="5C9EC2C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r>
      <w:tr w14:paraId="09DB0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340" w:type="pct"/>
            <w:shd w:val="clear" w:color="auto" w:fill="FFFFFF"/>
            <w:vAlign w:val="center"/>
          </w:tcPr>
          <w:p w14:paraId="3D72986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1469" w:type="pct"/>
            <w:shd w:val="clear" w:color="auto" w:fill="FFFFFF"/>
            <w:vAlign w:val="center"/>
          </w:tcPr>
          <w:p w14:paraId="5339E9A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黄江污水处理厂一期提标工程</w:t>
            </w:r>
          </w:p>
        </w:tc>
        <w:tc>
          <w:tcPr>
            <w:tcW w:w="2299" w:type="pct"/>
            <w:shd w:val="clear" w:color="auto" w:fill="FFFFFF"/>
            <w:vAlign w:val="center"/>
          </w:tcPr>
          <w:p w14:paraId="0BDFBF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东莞市黄江镇合路创业一路1号</w:t>
            </w:r>
          </w:p>
        </w:tc>
        <w:tc>
          <w:tcPr>
            <w:tcW w:w="1763" w:type="dxa"/>
            <w:shd w:val="clear" w:color="auto" w:fill="FFFFFF"/>
            <w:vAlign w:val="center"/>
          </w:tcPr>
          <w:p w14:paraId="5D48C76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r>
      <w:tr w14:paraId="7703B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40" w:type="pct"/>
            <w:shd w:val="clear" w:color="auto" w:fill="FFFFFF"/>
            <w:vAlign w:val="center"/>
          </w:tcPr>
          <w:p w14:paraId="22D0057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1469" w:type="pct"/>
            <w:shd w:val="clear" w:color="auto" w:fill="FFFFFF"/>
            <w:vAlign w:val="center"/>
          </w:tcPr>
          <w:p w14:paraId="7806D9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大朗松山湖南部污水处理厂一期提标工程</w:t>
            </w:r>
          </w:p>
        </w:tc>
        <w:tc>
          <w:tcPr>
            <w:tcW w:w="2299" w:type="pct"/>
            <w:shd w:val="clear" w:color="auto" w:fill="FFFFFF"/>
            <w:vAlign w:val="center"/>
          </w:tcPr>
          <w:p w14:paraId="1387DC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东莞市大朗镇沙步村杨沙路153号</w:t>
            </w:r>
          </w:p>
        </w:tc>
        <w:tc>
          <w:tcPr>
            <w:tcW w:w="1763" w:type="dxa"/>
            <w:shd w:val="clear" w:color="auto" w:fill="FFFFFF"/>
            <w:vAlign w:val="center"/>
          </w:tcPr>
          <w:p w14:paraId="38602C0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1704.006 </w:t>
            </w:r>
          </w:p>
        </w:tc>
      </w:tr>
      <w:tr w14:paraId="04BE4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40" w:type="pct"/>
            <w:shd w:val="clear" w:color="auto" w:fill="FFFFFF"/>
            <w:vAlign w:val="center"/>
          </w:tcPr>
          <w:p w14:paraId="5CC051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1469" w:type="pct"/>
            <w:shd w:val="clear" w:color="auto" w:fill="FFFFFF"/>
            <w:vAlign w:val="center"/>
          </w:tcPr>
          <w:p w14:paraId="74845E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凤岗竹塘污水处理厂一期提标</w:t>
            </w:r>
          </w:p>
        </w:tc>
        <w:tc>
          <w:tcPr>
            <w:tcW w:w="2299" w:type="pct"/>
            <w:shd w:val="clear" w:color="auto" w:fill="FFFFFF"/>
            <w:vAlign w:val="center"/>
          </w:tcPr>
          <w:p w14:paraId="4D5DFA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东莞市凤岗镇竹塘村浸校塘组</w:t>
            </w:r>
          </w:p>
        </w:tc>
        <w:tc>
          <w:tcPr>
            <w:tcW w:w="1763" w:type="dxa"/>
            <w:shd w:val="clear" w:color="auto" w:fill="FFFFFF"/>
            <w:vAlign w:val="center"/>
          </w:tcPr>
          <w:p w14:paraId="44F7B06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32.431 </w:t>
            </w:r>
          </w:p>
        </w:tc>
      </w:tr>
      <w:tr w14:paraId="328B5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340" w:type="pct"/>
            <w:shd w:val="clear" w:color="auto" w:fill="FFFFFF"/>
            <w:vAlign w:val="center"/>
          </w:tcPr>
          <w:p w14:paraId="33EC828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1469" w:type="pct"/>
            <w:shd w:val="clear" w:color="auto" w:fill="FFFFFF"/>
            <w:vAlign w:val="center"/>
          </w:tcPr>
          <w:p w14:paraId="4430D00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凤岗虾公潭污水处理厂提标工程</w:t>
            </w:r>
          </w:p>
        </w:tc>
        <w:tc>
          <w:tcPr>
            <w:tcW w:w="2299" w:type="pct"/>
            <w:shd w:val="clear" w:color="auto" w:fill="FFFFFF"/>
            <w:vAlign w:val="center"/>
          </w:tcPr>
          <w:p w14:paraId="3F268D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东莞市凤岗镇油甘埔村同兴路3号101</w:t>
            </w:r>
          </w:p>
        </w:tc>
        <w:tc>
          <w:tcPr>
            <w:tcW w:w="1763" w:type="dxa"/>
            <w:shd w:val="clear" w:color="auto" w:fill="FFFFFF"/>
            <w:vAlign w:val="center"/>
          </w:tcPr>
          <w:p w14:paraId="61AB619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6.537 </w:t>
            </w:r>
          </w:p>
        </w:tc>
      </w:tr>
      <w:tr w14:paraId="6DD22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340" w:type="pct"/>
            <w:shd w:val="clear" w:color="auto" w:fill="FFFFFF"/>
            <w:vAlign w:val="center"/>
          </w:tcPr>
          <w:p w14:paraId="22669B5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1469" w:type="pct"/>
            <w:shd w:val="clear" w:color="auto" w:fill="FFFFFF"/>
            <w:vAlign w:val="center"/>
          </w:tcPr>
          <w:p w14:paraId="0B4819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谢岗污水处理厂一期提标工程</w:t>
            </w:r>
          </w:p>
        </w:tc>
        <w:tc>
          <w:tcPr>
            <w:tcW w:w="2299" w:type="pct"/>
            <w:shd w:val="clear" w:color="auto" w:fill="FFFFFF"/>
            <w:vAlign w:val="center"/>
          </w:tcPr>
          <w:p w14:paraId="17E02B5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东莞市谢岗镇禾尚岗路16号</w:t>
            </w:r>
          </w:p>
        </w:tc>
        <w:tc>
          <w:tcPr>
            <w:tcW w:w="1763" w:type="dxa"/>
            <w:shd w:val="clear" w:color="auto" w:fill="FFFFFF"/>
            <w:vAlign w:val="center"/>
          </w:tcPr>
          <w:p w14:paraId="4C45A0D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37.685 </w:t>
            </w:r>
          </w:p>
        </w:tc>
      </w:tr>
      <w:tr w14:paraId="3A043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40" w:type="pct"/>
            <w:shd w:val="clear" w:color="auto" w:fill="FFFFFF"/>
            <w:vAlign w:val="center"/>
          </w:tcPr>
          <w:p w14:paraId="2AAA731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1469" w:type="pct"/>
            <w:shd w:val="clear" w:color="auto" w:fill="FFFFFF"/>
            <w:vAlign w:val="center"/>
          </w:tcPr>
          <w:p w14:paraId="17A5AD1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塘厦林村一期提标</w:t>
            </w:r>
          </w:p>
        </w:tc>
        <w:tc>
          <w:tcPr>
            <w:tcW w:w="2299" w:type="pct"/>
            <w:shd w:val="clear" w:color="auto" w:fill="FFFFFF"/>
            <w:vAlign w:val="center"/>
          </w:tcPr>
          <w:p w14:paraId="1F0B46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塘厦镇林村村委会鸡爪桥猪仔沥</w:t>
            </w:r>
          </w:p>
        </w:tc>
        <w:tc>
          <w:tcPr>
            <w:tcW w:w="1763" w:type="dxa"/>
            <w:shd w:val="clear" w:color="auto" w:fill="FFFFFF"/>
            <w:vAlign w:val="center"/>
          </w:tcPr>
          <w:p w14:paraId="0B62813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263.248 </w:t>
            </w:r>
          </w:p>
        </w:tc>
      </w:tr>
      <w:tr w14:paraId="24634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340" w:type="pct"/>
            <w:shd w:val="clear" w:color="auto" w:fill="FFFFFF"/>
            <w:vAlign w:val="center"/>
          </w:tcPr>
          <w:p w14:paraId="35E76E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1469" w:type="pct"/>
            <w:shd w:val="clear" w:color="auto" w:fill="FFFFFF"/>
            <w:vAlign w:val="center"/>
          </w:tcPr>
          <w:p w14:paraId="43F2CF9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桥头污水处理厂一期提标工程</w:t>
            </w:r>
          </w:p>
        </w:tc>
        <w:tc>
          <w:tcPr>
            <w:tcW w:w="2299" w:type="pct"/>
            <w:shd w:val="clear" w:color="auto" w:fill="FFFFFF"/>
            <w:vAlign w:val="center"/>
          </w:tcPr>
          <w:p w14:paraId="1121080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东莞市桥头镇东深路8号</w:t>
            </w:r>
          </w:p>
        </w:tc>
        <w:tc>
          <w:tcPr>
            <w:tcW w:w="1763" w:type="dxa"/>
            <w:shd w:val="clear" w:color="auto" w:fill="FFFFFF"/>
            <w:vAlign w:val="center"/>
          </w:tcPr>
          <w:p w14:paraId="5AE6A24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41.672 </w:t>
            </w:r>
          </w:p>
        </w:tc>
      </w:tr>
      <w:tr w14:paraId="7C0B5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40" w:type="pct"/>
            <w:shd w:val="clear" w:color="auto" w:fill="FFFFFF"/>
            <w:vAlign w:val="center"/>
          </w:tcPr>
          <w:p w14:paraId="457EFF0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1469" w:type="pct"/>
            <w:shd w:val="clear" w:color="auto" w:fill="FFFFFF"/>
            <w:vAlign w:val="center"/>
          </w:tcPr>
          <w:p w14:paraId="1B0DC8E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樟木头污水处理厂一二期提标工程</w:t>
            </w:r>
          </w:p>
        </w:tc>
        <w:tc>
          <w:tcPr>
            <w:tcW w:w="2299" w:type="pct"/>
            <w:shd w:val="clear" w:color="auto" w:fill="FFFFFF"/>
            <w:vAlign w:val="center"/>
          </w:tcPr>
          <w:p w14:paraId="466910F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东莞市樟木头镇柏地旗岭村柏峰路169号</w:t>
            </w:r>
          </w:p>
        </w:tc>
        <w:tc>
          <w:tcPr>
            <w:tcW w:w="1763" w:type="dxa"/>
            <w:shd w:val="clear" w:color="auto" w:fill="FFFFFF"/>
            <w:vAlign w:val="center"/>
          </w:tcPr>
          <w:p w14:paraId="52C0CF5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415.042 </w:t>
            </w:r>
          </w:p>
        </w:tc>
      </w:tr>
      <w:tr w14:paraId="39F07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340" w:type="pct"/>
            <w:shd w:val="clear" w:color="auto" w:fill="FFFFFF"/>
            <w:vAlign w:val="center"/>
          </w:tcPr>
          <w:p w14:paraId="7AE2395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1469" w:type="pct"/>
            <w:shd w:val="clear" w:color="auto" w:fill="FFFFFF"/>
            <w:vAlign w:val="center"/>
          </w:tcPr>
          <w:p w14:paraId="5EBCC88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清溪厦坭污水处理厂一期提标工程</w:t>
            </w:r>
          </w:p>
        </w:tc>
        <w:tc>
          <w:tcPr>
            <w:tcW w:w="2299" w:type="pct"/>
            <w:shd w:val="clear" w:color="auto" w:fill="FFFFFF"/>
            <w:vAlign w:val="center"/>
          </w:tcPr>
          <w:p w14:paraId="0D52AD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东莞市清溪镇厦坭村江背路75号</w:t>
            </w:r>
          </w:p>
        </w:tc>
        <w:tc>
          <w:tcPr>
            <w:tcW w:w="1763" w:type="dxa"/>
            <w:shd w:val="clear" w:color="auto" w:fill="FFFFFF"/>
            <w:vAlign w:val="center"/>
          </w:tcPr>
          <w:p w14:paraId="3F41CAC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353.733 </w:t>
            </w:r>
          </w:p>
        </w:tc>
      </w:tr>
      <w:tr w14:paraId="780E4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40" w:type="pct"/>
            <w:shd w:val="clear" w:color="auto" w:fill="FFFFFF"/>
            <w:vAlign w:val="center"/>
          </w:tcPr>
          <w:p w14:paraId="363892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1469" w:type="pct"/>
            <w:shd w:val="clear" w:color="auto" w:fill="FFFFFF"/>
            <w:vAlign w:val="center"/>
          </w:tcPr>
          <w:p w14:paraId="3D37C6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塘厦石桥头污水处理厂提标工程</w:t>
            </w:r>
          </w:p>
        </w:tc>
        <w:tc>
          <w:tcPr>
            <w:tcW w:w="2299" w:type="pct"/>
            <w:shd w:val="clear" w:color="auto" w:fill="FFFFFF"/>
            <w:vAlign w:val="center"/>
          </w:tcPr>
          <w:p w14:paraId="05F790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东莞市塘厦镇凤凰岗村环市南路132号</w:t>
            </w:r>
          </w:p>
        </w:tc>
        <w:tc>
          <w:tcPr>
            <w:tcW w:w="1763" w:type="dxa"/>
            <w:shd w:val="clear" w:color="auto" w:fill="FFFFFF"/>
            <w:vAlign w:val="center"/>
          </w:tcPr>
          <w:p w14:paraId="3CA9952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7.842 </w:t>
            </w:r>
          </w:p>
        </w:tc>
      </w:tr>
      <w:tr w14:paraId="60765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340" w:type="pct"/>
            <w:shd w:val="clear" w:color="auto" w:fill="FFFFFF"/>
            <w:vAlign w:val="center"/>
          </w:tcPr>
          <w:p w14:paraId="619287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1469" w:type="pct"/>
            <w:shd w:val="clear" w:color="auto" w:fill="FFFFFF"/>
            <w:vAlign w:val="center"/>
          </w:tcPr>
          <w:p w14:paraId="3905C8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凤岗雁田污水处理厂提标工程</w:t>
            </w:r>
          </w:p>
        </w:tc>
        <w:tc>
          <w:tcPr>
            <w:tcW w:w="2299" w:type="pct"/>
            <w:shd w:val="clear" w:color="auto" w:fill="FFFFFF"/>
            <w:vAlign w:val="center"/>
          </w:tcPr>
          <w:p w14:paraId="017424A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东莞市凤岗雁田污水处理厂（凤深大道310号）</w:t>
            </w:r>
          </w:p>
        </w:tc>
        <w:tc>
          <w:tcPr>
            <w:tcW w:w="1763" w:type="dxa"/>
            <w:shd w:val="clear" w:color="auto" w:fill="FFFFFF"/>
            <w:vAlign w:val="center"/>
          </w:tcPr>
          <w:p w14:paraId="35340DE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730.693 </w:t>
            </w:r>
          </w:p>
        </w:tc>
      </w:tr>
    </w:tbl>
    <w:p w14:paraId="163F6028">
      <w:pPr>
        <w:widowControl/>
        <w:autoSpaceDE/>
        <w:autoSpaceDN/>
        <w:adjustRightInd/>
        <w:spacing w:line="360" w:lineRule="auto"/>
        <w:ind w:left="0" w:leftChars="0" w:firstLine="0" w:firstLineChars="0"/>
        <w:jc w:val="left"/>
        <w:rPr>
          <w:rFonts w:hint="eastAsia" w:ascii="宋体" w:hAnsi="宋体" w:eastAsia="宋体" w:cs="宋体"/>
          <w:color w:val="auto"/>
          <w:kern w:val="2"/>
          <w:sz w:val="21"/>
          <w:szCs w:val="21"/>
          <w:highlight w:val="none"/>
          <w:lang w:val="zh-CN"/>
        </w:rPr>
      </w:pPr>
      <w:r>
        <w:rPr>
          <w:rFonts w:hint="eastAsia" w:ascii="宋体" w:hAnsi="宋体" w:eastAsia="宋体" w:cs="宋体"/>
          <w:b/>
          <w:bCs/>
          <w:color w:val="auto"/>
          <w:sz w:val="21"/>
          <w:szCs w:val="21"/>
          <w:highlight w:val="none"/>
        </w:rPr>
        <w:t>备注：</w:t>
      </w:r>
      <w:r>
        <w:rPr>
          <w:rFonts w:hint="eastAsia" w:ascii="宋体" w:hAnsi="宋体" w:eastAsia="宋体" w:cs="宋体"/>
          <w:b/>
          <w:color w:val="auto"/>
          <w:kern w:val="2"/>
          <w:sz w:val="21"/>
          <w:szCs w:val="21"/>
          <w:highlight w:val="none"/>
        </w:rPr>
        <w:t>以上</w:t>
      </w:r>
      <w:r>
        <w:rPr>
          <w:rFonts w:hint="eastAsia" w:ascii="宋体" w:hAnsi="宋体" w:eastAsia="宋体" w:cs="宋体"/>
          <w:b/>
          <w:color w:val="auto"/>
          <w:kern w:val="2"/>
          <w:sz w:val="21"/>
          <w:szCs w:val="21"/>
          <w:highlight w:val="none"/>
          <w:lang w:val="en-US" w:eastAsia="zh-CN"/>
        </w:rPr>
        <w:t>运营项目为暂定，</w:t>
      </w:r>
      <w:r>
        <w:rPr>
          <w:rFonts w:hint="eastAsia" w:ascii="宋体" w:hAnsi="宋体" w:eastAsia="宋体" w:cs="宋体"/>
          <w:b/>
          <w:bCs/>
          <w:color w:val="auto"/>
          <w:sz w:val="21"/>
          <w:szCs w:val="21"/>
          <w:highlight w:val="none"/>
        </w:rPr>
        <w:t>具体情况以实际为准，如有疑问可实地考察。</w:t>
      </w:r>
    </w:p>
    <w:p w14:paraId="2DEF77BA">
      <w:pPr>
        <w:rPr>
          <w:rFonts w:ascii="宋体" w:hAnsi="宋体" w:eastAsia="宋体" w:cs="Times New Roman"/>
          <w:b/>
          <w:color w:val="auto"/>
          <w:szCs w:val="21"/>
          <w:highlight w:val="none"/>
        </w:rPr>
      </w:pPr>
    </w:p>
    <w:p w14:paraId="2A9865A4">
      <w:pPr>
        <w:pageBreakBefore/>
        <w:tabs>
          <w:tab w:val="left" w:pos="1080"/>
        </w:tabs>
        <w:autoSpaceDE w:val="0"/>
        <w:autoSpaceDN w:val="0"/>
        <w:adjustRightInd w:val="0"/>
        <w:spacing w:line="360" w:lineRule="auto"/>
        <w:ind w:left="357" w:leftChars="-100" w:hanging="567"/>
        <w:jc w:val="center"/>
        <w:outlineLvl w:val="1"/>
        <w:rPr>
          <w:rFonts w:hint="eastAsia" w:ascii="宋体" w:hAnsi="宋体" w:eastAsia="宋体" w:cs="宋体"/>
          <w:b/>
          <w:bCs/>
          <w:color w:val="auto"/>
          <w:kern w:val="44"/>
          <w:sz w:val="32"/>
          <w:szCs w:val="32"/>
          <w:highlight w:val="none"/>
          <w:lang w:val="zh-CN"/>
        </w:rPr>
      </w:pPr>
      <w:bookmarkStart w:id="550" w:name="_Toc27343"/>
      <w:r>
        <w:rPr>
          <w:rFonts w:hint="eastAsia" w:ascii="宋体" w:hAnsi="宋体" w:eastAsia="宋体" w:cs="宋体"/>
          <w:b/>
          <w:bCs/>
          <w:color w:val="auto"/>
          <w:kern w:val="44"/>
          <w:sz w:val="32"/>
          <w:szCs w:val="32"/>
          <w:highlight w:val="none"/>
          <w:lang w:val="zh-CN"/>
        </w:rPr>
        <w:t>第四篇 合同条款格式</w:t>
      </w:r>
      <w:bookmarkEnd w:id="550"/>
    </w:p>
    <w:p w14:paraId="37BF3C26">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50BC40FF">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137755CF">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3CA697BA">
      <w:pPr>
        <w:autoSpaceDE w:val="0"/>
        <w:autoSpaceDN w:val="0"/>
        <w:adjustRightInd w:val="0"/>
        <w:spacing w:line="360" w:lineRule="auto"/>
        <w:jc w:val="center"/>
        <w:rPr>
          <w:rFonts w:hint="eastAsia" w:ascii="宋体" w:hAnsi="宋体" w:eastAsia="宋体" w:cs="Times New Roman"/>
          <w:b/>
          <w:color w:val="auto"/>
          <w:kern w:val="0"/>
          <w:sz w:val="52"/>
          <w:szCs w:val="96"/>
          <w:highlight w:val="none"/>
          <w:lang w:eastAsia="zh-CN"/>
        </w:rPr>
      </w:pPr>
      <w:r>
        <w:rPr>
          <w:rFonts w:hint="eastAsia" w:ascii="宋体" w:hAnsi="宋体" w:eastAsia="宋体" w:cs="Times New Roman"/>
          <w:b/>
          <w:color w:val="auto"/>
          <w:kern w:val="0"/>
          <w:sz w:val="52"/>
          <w:szCs w:val="96"/>
          <w:highlight w:val="none"/>
          <w:lang w:eastAsia="zh-CN"/>
        </w:rPr>
        <w:t>东莞市水务集团净水有限公司2025年生产药剂液体乙酸钠采购项目</w:t>
      </w:r>
    </w:p>
    <w:p w14:paraId="7D55327D">
      <w:pPr>
        <w:autoSpaceDE w:val="0"/>
        <w:autoSpaceDN w:val="0"/>
        <w:adjustRightInd w:val="0"/>
        <w:spacing w:line="360" w:lineRule="auto"/>
        <w:jc w:val="center"/>
        <w:rPr>
          <w:rFonts w:ascii="宋体" w:hAnsi="宋体" w:eastAsia="宋体" w:cs="Times New Roman"/>
          <w:bCs/>
          <w:color w:val="auto"/>
          <w:kern w:val="0"/>
          <w:sz w:val="52"/>
          <w:szCs w:val="52"/>
          <w:highlight w:val="none"/>
        </w:rPr>
      </w:pPr>
    </w:p>
    <w:p w14:paraId="7C09F2C1">
      <w:pPr>
        <w:autoSpaceDE w:val="0"/>
        <w:autoSpaceDN w:val="0"/>
        <w:adjustRightInd w:val="0"/>
        <w:spacing w:before="840" w:beforeLines="350" w:after="360" w:afterLines="150" w:line="360" w:lineRule="auto"/>
        <w:jc w:val="center"/>
        <w:rPr>
          <w:rFonts w:ascii="宋体" w:hAnsi="宋体" w:eastAsia="宋体" w:cs="Times New Roman"/>
          <w:b/>
          <w:bCs/>
          <w:color w:val="auto"/>
          <w:spacing w:val="60"/>
          <w:kern w:val="0"/>
          <w:sz w:val="52"/>
          <w:szCs w:val="52"/>
          <w:highlight w:val="none"/>
        </w:rPr>
      </w:pPr>
      <w:r>
        <w:rPr>
          <w:rFonts w:hint="eastAsia" w:ascii="宋体" w:hAnsi="宋体" w:eastAsia="宋体" w:cs="Times New Roman"/>
          <w:b/>
          <w:bCs/>
          <w:color w:val="auto"/>
          <w:spacing w:val="60"/>
          <w:kern w:val="0"/>
          <w:sz w:val="52"/>
          <w:szCs w:val="52"/>
          <w:highlight w:val="none"/>
        </w:rPr>
        <w:t>采购合同</w:t>
      </w:r>
    </w:p>
    <w:p w14:paraId="3DDB2FEC">
      <w:pPr>
        <w:autoSpaceDE w:val="0"/>
        <w:autoSpaceDN w:val="0"/>
        <w:adjustRightInd w:val="0"/>
        <w:spacing w:line="360" w:lineRule="auto"/>
        <w:jc w:val="center"/>
        <w:rPr>
          <w:rFonts w:ascii="宋体" w:hAnsi="宋体" w:eastAsia="宋体" w:cs="Times New Roman"/>
          <w:b/>
          <w:bCs/>
          <w:color w:val="auto"/>
          <w:kern w:val="0"/>
          <w:sz w:val="24"/>
          <w:szCs w:val="21"/>
          <w:highlight w:val="none"/>
        </w:rPr>
      </w:pPr>
      <w:r>
        <w:rPr>
          <w:rFonts w:hint="eastAsia" w:ascii="宋体" w:hAnsi="宋体" w:eastAsia="宋体" w:cs="Times New Roman"/>
          <w:b/>
          <w:bCs/>
          <w:color w:val="auto"/>
          <w:kern w:val="0"/>
          <w:sz w:val="24"/>
          <w:szCs w:val="21"/>
          <w:highlight w:val="none"/>
        </w:rPr>
        <w:t>（合同编号：       ）</w:t>
      </w:r>
    </w:p>
    <w:p w14:paraId="52007E08">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50643951">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576B7A9F">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69ADEAB0">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63978B25">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Times New Roman"/>
          <w:b/>
          <w:bCs/>
          <w:color w:val="auto"/>
          <w:kern w:val="0"/>
          <w:sz w:val="28"/>
          <w:szCs w:val="28"/>
          <w:highlight w:val="none"/>
          <w:u w:val="single"/>
          <w:lang w:val="en-US" w:eastAsia="zh-CN"/>
        </w:rPr>
        <w:t xml:space="preserve">                        </w:t>
      </w:r>
      <w:r>
        <w:rPr>
          <w:rFonts w:hint="eastAsia" w:ascii="宋体" w:hAnsi="宋体" w:eastAsia="宋体" w:cs="Times New Roman"/>
          <w:b/>
          <w:bCs/>
          <w:color w:val="auto"/>
          <w:kern w:val="0"/>
          <w:sz w:val="28"/>
          <w:szCs w:val="28"/>
          <w:highlight w:val="none"/>
          <w:u w:val="single"/>
        </w:rPr>
        <w:t xml:space="preserve"> </w:t>
      </w:r>
      <w:r>
        <w:rPr>
          <w:rFonts w:ascii="宋体" w:hAnsi="宋体" w:eastAsia="宋体" w:cs="Times New Roman"/>
          <w:b/>
          <w:bCs/>
          <w:color w:val="auto"/>
          <w:kern w:val="0"/>
          <w:sz w:val="28"/>
          <w:szCs w:val="28"/>
          <w:highlight w:val="none"/>
        </w:rPr>
        <w:t xml:space="preserve"> </w:t>
      </w:r>
    </w:p>
    <w:p w14:paraId="73A248E9">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14:paraId="6FD0122B">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p>
    <w:p w14:paraId="4223B7D8">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14:paraId="4EEF268D">
      <w:pPr>
        <w:autoSpaceDE w:val="0"/>
        <w:autoSpaceDN w:val="0"/>
        <w:adjustRightInd w:val="0"/>
        <w:jc w:val="left"/>
        <w:rPr>
          <w:rFonts w:ascii="宋体" w:hAnsi="宋体" w:eastAsia="宋体" w:cs="宋体"/>
          <w:b/>
          <w:bCs/>
          <w:color w:val="auto"/>
          <w:kern w:val="0"/>
          <w:sz w:val="28"/>
          <w:szCs w:val="28"/>
          <w:highlight w:val="none"/>
        </w:rPr>
      </w:pPr>
    </w:p>
    <w:p w14:paraId="2A6B078E">
      <w:pPr>
        <w:autoSpaceDE w:val="0"/>
        <w:autoSpaceDN w:val="0"/>
        <w:adjustRightInd w:val="0"/>
        <w:jc w:val="left"/>
        <w:rPr>
          <w:rFonts w:ascii="宋体" w:hAnsi="宋体" w:eastAsia="宋体" w:cs="宋体"/>
          <w:b/>
          <w:bCs/>
          <w:color w:val="auto"/>
          <w:kern w:val="0"/>
          <w:sz w:val="28"/>
          <w:szCs w:val="28"/>
          <w:highlight w:val="none"/>
        </w:rPr>
      </w:pPr>
    </w:p>
    <w:p w14:paraId="4D9A590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2C4724C4">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u w:val="single"/>
        </w:rPr>
        <w:t xml:space="preserve">                           </w:t>
      </w:r>
    </w:p>
    <w:p w14:paraId="7A84B6AB">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u w:val="single"/>
        </w:rPr>
        <w:t xml:space="preserve">                           </w:t>
      </w:r>
    </w:p>
    <w:p w14:paraId="303C0459">
      <w:pPr>
        <w:snapToGrid w:val="0"/>
        <w:spacing w:line="360" w:lineRule="auto"/>
        <w:rPr>
          <w:rFonts w:hint="eastAsia" w:ascii="宋体" w:hAnsi="宋体" w:eastAsia="宋体" w:cs="宋体"/>
          <w:color w:val="auto"/>
          <w:sz w:val="21"/>
          <w:szCs w:val="21"/>
          <w:highlight w:val="none"/>
        </w:rPr>
      </w:pPr>
    </w:p>
    <w:p w14:paraId="1783340A">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根据《中华人民共和国民法典》及</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日通知的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项目中标结果（招标编号：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）和招标文件的要求，经双方协商一致，签订本合同。</w:t>
      </w:r>
    </w:p>
    <w:p w14:paraId="72BC06EF">
      <w:pPr>
        <w:snapToGrid w:val="0"/>
        <w:spacing w:line="360" w:lineRule="auto"/>
        <w:ind w:firstLine="373" w:firstLineChars="177"/>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第一条 合同项目</w:t>
      </w:r>
    </w:p>
    <w:p w14:paraId="0ED7D3D3">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1、合同货物清单如下：</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5"/>
        <w:gridCol w:w="1386"/>
        <w:gridCol w:w="1386"/>
        <w:gridCol w:w="1386"/>
        <w:gridCol w:w="1389"/>
        <w:gridCol w:w="2107"/>
      </w:tblGrid>
      <w:tr w14:paraId="7688B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5" w:type="dxa"/>
            <w:tcBorders>
              <w:top w:val="single" w:color="auto" w:sz="4" w:space="0"/>
              <w:left w:val="single" w:color="auto" w:sz="4" w:space="0"/>
              <w:bottom w:val="single" w:color="auto" w:sz="4" w:space="0"/>
              <w:right w:val="single" w:color="auto" w:sz="4" w:space="0"/>
            </w:tcBorders>
            <w:noWrap w:val="0"/>
            <w:vAlign w:val="center"/>
          </w:tcPr>
          <w:p w14:paraId="6529D155">
            <w:pPr>
              <w:autoSpaceDE/>
              <w:autoSpaceDN/>
              <w:adjustRightInd/>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货物名称</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7B2A5D44">
            <w:pPr>
              <w:autoSpaceDE/>
              <w:autoSpaceDN/>
              <w:adjustRightInd/>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品牌</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62CAED73">
            <w:pPr>
              <w:autoSpaceDE/>
              <w:autoSpaceDN/>
              <w:adjustRightInd/>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产地</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5AD3DD7E">
            <w:pPr>
              <w:autoSpaceDE/>
              <w:autoSpaceDN/>
              <w:adjustRightInd/>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c>
          <w:tcPr>
            <w:tcW w:w="1389" w:type="dxa"/>
            <w:tcBorders>
              <w:top w:val="single" w:color="auto" w:sz="4" w:space="0"/>
              <w:left w:val="single" w:color="auto" w:sz="4" w:space="0"/>
              <w:bottom w:val="single" w:color="auto" w:sz="4" w:space="0"/>
              <w:right w:val="single" w:color="auto" w:sz="4" w:space="0"/>
            </w:tcBorders>
            <w:noWrap w:val="0"/>
            <w:vAlign w:val="center"/>
          </w:tcPr>
          <w:p w14:paraId="67FC09C1">
            <w:pPr>
              <w:autoSpaceDE/>
              <w:autoSpaceDN/>
              <w:adjustRightInd/>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暂定数量</w:t>
            </w:r>
          </w:p>
        </w:tc>
        <w:tc>
          <w:tcPr>
            <w:tcW w:w="2107" w:type="dxa"/>
            <w:tcBorders>
              <w:top w:val="single" w:color="auto" w:sz="4" w:space="0"/>
              <w:left w:val="single" w:color="auto" w:sz="4" w:space="0"/>
              <w:bottom w:val="single" w:color="auto" w:sz="4" w:space="0"/>
              <w:right w:val="single" w:color="auto" w:sz="4" w:space="0"/>
            </w:tcBorders>
            <w:noWrap w:val="0"/>
            <w:vAlign w:val="top"/>
          </w:tcPr>
          <w:p w14:paraId="1C7B741A">
            <w:pPr>
              <w:autoSpaceDE/>
              <w:autoSpaceDN/>
              <w:adjustRightInd/>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综合单价（元/吨）（不含销项税）</w:t>
            </w:r>
          </w:p>
        </w:tc>
      </w:tr>
      <w:tr w14:paraId="588E4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5" w:type="dxa"/>
            <w:tcBorders>
              <w:top w:val="single" w:color="auto" w:sz="4" w:space="0"/>
              <w:left w:val="single" w:color="auto" w:sz="4" w:space="0"/>
              <w:bottom w:val="single" w:color="auto" w:sz="4" w:space="0"/>
              <w:right w:val="single" w:color="auto" w:sz="4" w:space="0"/>
            </w:tcBorders>
            <w:noWrap w:val="0"/>
            <w:vAlign w:val="center"/>
          </w:tcPr>
          <w:p w14:paraId="1BB13BBE">
            <w:pPr>
              <w:autoSpaceDE/>
              <w:autoSpaceDN/>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液体乙酸钠</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6E800173">
            <w:pPr>
              <w:autoSpaceDE/>
              <w:autoSpaceDN/>
              <w:adjustRightInd/>
              <w:snapToGrid w:val="0"/>
              <w:spacing w:line="360" w:lineRule="auto"/>
              <w:jc w:val="center"/>
              <w:rPr>
                <w:rFonts w:hint="eastAsia" w:ascii="宋体" w:hAnsi="宋体" w:eastAsia="宋体" w:cs="宋体"/>
                <w:color w:val="auto"/>
                <w:sz w:val="21"/>
                <w:szCs w:val="21"/>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3C9CF58A">
            <w:pPr>
              <w:autoSpaceDE/>
              <w:autoSpaceDN/>
              <w:adjustRightInd/>
              <w:snapToGrid w:val="0"/>
              <w:spacing w:line="360" w:lineRule="auto"/>
              <w:jc w:val="center"/>
              <w:rPr>
                <w:rFonts w:hint="eastAsia" w:ascii="宋体" w:hAnsi="宋体" w:eastAsia="宋体" w:cs="宋体"/>
                <w:color w:val="auto"/>
                <w:sz w:val="21"/>
                <w:szCs w:val="21"/>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1B10434B">
            <w:pPr>
              <w:autoSpaceDE/>
              <w:autoSpaceDN/>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吨</w:t>
            </w:r>
          </w:p>
        </w:tc>
        <w:tc>
          <w:tcPr>
            <w:tcW w:w="1389" w:type="dxa"/>
            <w:tcBorders>
              <w:top w:val="single" w:color="auto" w:sz="4" w:space="0"/>
              <w:left w:val="single" w:color="auto" w:sz="4" w:space="0"/>
              <w:bottom w:val="single" w:color="auto" w:sz="4" w:space="0"/>
              <w:right w:val="single" w:color="auto" w:sz="4" w:space="0"/>
            </w:tcBorders>
            <w:noWrap w:val="0"/>
            <w:vAlign w:val="center"/>
          </w:tcPr>
          <w:p w14:paraId="549C3597">
            <w:pPr>
              <w:autoSpaceDE/>
              <w:autoSpaceDN/>
              <w:adjustRightInd/>
              <w:snapToGrid w:val="0"/>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14427.652</w:t>
            </w:r>
          </w:p>
        </w:tc>
        <w:tc>
          <w:tcPr>
            <w:tcW w:w="2107" w:type="dxa"/>
            <w:tcBorders>
              <w:top w:val="single" w:color="auto" w:sz="4" w:space="0"/>
              <w:left w:val="single" w:color="auto" w:sz="4" w:space="0"/>
              <w:bottom w:val="single" w:color="auto" w:sz="4" w:space="0"/>
              <w:right w:val="single" w:color="auto" w:sz="4" w:space="0"/>
            </w:tcBorders>
            <w:noWrap w:val="0"/>
            <w:vAlign w:val="top"/>
          </w:tcPr>
          <w:p w14:paraId="5E8C0270">
            <w:pPr>
              <w:autoSpaceDE/>
              <w:autoSpaceDN/>
              <w:adjustRightInd/>
              <w:snapToGrid w:val="0"/>
              <w:spacing w:line="360" w:lineRule="auto"/>
              <w:jc w:val="center"/>
              <w:rPr>
                <w:rFonts w:hint="eastAsia" w:ascii="宋体" w:hAnsi="宋体" w:eastAsia="宋体" w:cs="宋体"/>
                <w:color w:val="auto"/>
                <w:sz w:val="21"/>
                <w:szCs w:val="21"/>
                <w:highlight w:val="none"/>
              </w:rPr>
            </w:pPr>
          </w:p>
        </w:tc>
      </w:tr>
    </w:tbl>
    <w:p w14:paraId="6126AB81">
      <w:pPr>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备注：上述暂定数量仅为便于计算暂定合同总价使用，不作为甲方最终采购数量的保证</w:t>
      </w:r>
      <w:bookmarkStart w:id="551" w:name="OLE_LINK41"/>
      <w:r>
        <w:rPr>
          <w:rFonts w:hint="eastAsia" w:ascii="宋体" w:hAnsi="宋体" w:eastAsia="宋体" w:cs="宋体"/>
          <w:b/>
          <w:color w:val="auto"/>
          <w:sz w:val="21"/>
          <w:szCs w:val="21"/>
          <w:highlight w:val="none"/>
        </w:rPr>
        <w:t>，甲方保留根据运营项目及新增运营项目实际情况，对采购数量进行灵活调整的权利</w:t>
      </w:r>
      <w:bookmarkEnd w:id="551"/>
      <w:r>
        <w:rPr>
          <w:rFonts w:hint="eastAsia" w:ascii="宋体" w:hAnsi="宋体" w:eastAsia="宋体" w:cs="宋体"/>
          <w:b/>
          <w:color w:val="auto"/>
          <w:sz w:val="21"/>
          <w:szCs w:val="21"/>
          <w:highlight w:val="none"/>
        </w:rPr>
        <w:t>。</w:t>
      </w:r>
      <w:bookmarkStart w:id="552" w:name="OLE_LINK39"/>
      <w:r>
        <w:rPr>
          <w:rFonts w:hint="eastAsia" w:ascii="宋体" w:hAnsi="宋体" w:eastAsia="宋体" w:cs="宋体"/>
          <w:b/>
          <w:color w:val="auto"/>
          <w:sz w:val="21"/>
          <w:szCs w:val="21"/>
          <w:highlight w:val="none"/>
        </w:rPr>
        <w:t>合</w:t>
      </w:r>
      <w:bookmarkStart w:id="553" w:name="OLE_LINK37"/>
      <w:r>
        <w:rPr>
          <w:rFonts w:hint="eastAsia" w:ascii="宋体" w:hAnsi="宋体" w:eastAsia="宋体" w:cs="宋体"/>
          <w:b/>
          <w:color w:val="auto"/>
          <w:sz w:val="21"/>
          <w:szCs w:val="21"/>
          <w:highlight w:val="none"/>
        </w:rPr>
        <w:t>同履约过程中，如</w:t>
      </w:r>
      <w:r>
        <w:rPr>
          <w:rFonts w:hint="eastAsia" w:ascii="宋体" w:hAnsi="宋体" w:eastAsia="宋体" w:cs="宋体"/>
          <w:b/>
          <w:color w:val="auto"/>
          <w:sz w:val="21"/>
          <w:szCs w:val="21"/>
          <w:highlight w:val="none"/>
          <w:lang w:val="en-US" w:eastAsia="zh-CN"/>
        </w:rPr>
        <w:t>本项目</w:t>
      </w:r>
      <w:r>
        <w:rPr>
          <w:rFonts w:hint="eastAsia" w:ascii="宋体" w:hAnsi="宋体" w:eastAsia="宋体" w:cs="宋体"/>
          <w:b/>
          <w:color w:val="auto"/>
          <w:sz w:val="21"/>
          <w:szCs w:val="21"/>
          <w:highlight w:val="none"/>
        </w:rPr>
        <w:t>因新增</w:t>
      </w:r>
      <w:r>
        <w:rPr>
          <w:rFonts w:hint="eastAsia" w:ascii="宋体" w:hAnsi="宋体" w:eastAsia="宋体" w:cs="宋体"/>
          <w:b/>
          <w:color w:val="auto"/>
          <w:sz w:val="21"/>
          <w:szCs w:val="21"/>
          <w:highlight w:val="none"/>
          <w:lang w:val="en-US" w:eastAsia="zh-CN"/>
        </w:rPr>
        <w:t>合同主体</w:t>
      </w:r>
      <w:r>
        <w:rPr>
          <w:rFonts w:hint="eastAsia" w:ascii="宋体" w:hAnsi="宋体" w:eastAsia="宋体" w:cs="宋体"/>
          <w:b/>
          <w:color w:val="auto"/>
          <w:sz w:val="21"/>
          <w:szCs w:val="21"/>
          <w:highlight w:val="none"/>
        </w:rPr>
        <w:t>需要额外供货，甲方</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甲方关联公司</w:t>
      </w:r>
      <w:r>
        <w:rPr>
          <w:rFonts w:hint="eastAsia" w:ascii="宋体" w:hAnsi="宋体" w:eastAsia="宋体" w:cs="宋体"/>
          <w:b/>
          <w:color w:val="auto"/>
          <w:sz w:val="21"/>
          <w:szCs w:val="21"/>
          <w:highlight w:val="none"/>
        </w:rPr>
        <w:t>有权依据不含税</w:t>
      </w:r>
      <w:r>
        <w:rPr>
          <w:rFonts w:hint="eastAsia" w:ascii="宋体" w:hAnsi="宋体" w:eastAsia="宋体" w:cs="宋体"/>
          <w:b/>
          <w:color w:val="auto"/>
          <w:sz w:val="21"/>
          <w:szCs w:val="21"/>
          <w:highlight w:val="none"/>
          <w:lang w:val="en-US" w:eastAsia="zh-CN"/>
        </w:rPr>
        <w:t>中标</w:t>
      </w:r>
      <w:r>
        <w:rPr>
          <w:rFonts w:hint="eastAsia" w:ascii="宋体" w:hAnsi="宋体" w:eastAsia="宋体" w:cs="宋体"/>
          <w:b/>
          <w:color w:val="auto"/>
          <w:sz w:val="21"/>
          <w:szCs w:val="21"/>
          <w:highlight w:val="none"/>
        </w:rPr>
        <w:t>综合单价与乙方协商并签订补充协议，并确保其作为原合同的有效补充。乙方应充分理解并接受</w:t>
      </w:r>
      <w:r>
        <w:rPr>
          <w:rFonts w:hint="eastAsia" w:ascii="宋体" w:hAnsi="宋体" w:eastAsia="宋体" w:cs="宋体"/>
          <w:b/>
          <w:color w:val="auto"/>
          <w:sz w:val="21"/>
          <w:szCs w:val="21"/>
          <w:highlight w:val="none"/>
          <w:lang w:val="en-US" w:eastAsia="zh-CN"/>
        </w:rPr>
        <w:t>本项目在</w:t>
      </w:r>
      <w:r>
        <w:rPr>
          <w:rFonts w:hint="eastAsia" w:ascii="宋体" w:hAnsi="宋体" w:eastAsia="宋体" w:cs="宋体"/>
          <w:b/>
          <w:color w:val="auto"/>
          <w:sz w:val="21"/>
          <w:szCs w:val="21"/>
          <w:highlight w:val="none"/>
        </w:rPr>
        <w:t>合同履约期间可能新增合同主体的可能性，并承诺在接到甲方</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甲方关联公司</w:t>
      </w:r>
      <w:r>
        <w:rPr>
          <w:rFonts w:hint="eastAsia" w:ascii="宋体" w:hAnsi="宋体" w:eastAsia="宋体" w:cs="宋体"/>
          <w:b/>
          <w:color w:val="auto"/>
          <w:sz w:val="21"/>
          <w:szCs w:val="21"/>
          <w:highlight w:val="none"/>
        </w:rPr>
        <w:t>关于新增</w:t>
      </w:r>
      <w:r>
        <w:rPr>
          <w:rFonts w:hint="eastAsia" w:ascii="宋体" w:hAnsi="宋体" w:eastAsia="宋体" w:cs="宋体"/>
          <w:b/>
          <w:color w:val="auto"/>
          <w:sz w:val="21"/>
          <w:szCs w:val="21"/>
          <w:highlight w:val="none"/>
          <w:lang w:val="en-US" w:eastAsia="zh-CN"/>
        </w:rPr>
        <w:t>合同主体</w:t>
      </w:r>
      <w:r>
        <w:rPr>
          <w:rFonts w:hint="eastAsia" w:ascii="宋体" w:hAnsi="宋体" w:eastAsia="宋体" w:cs="宋体"/>
          <w:b/>
          <w:color w:val="auto"/>
          <w:sz w:val="21"/>
          <w:szCs w:val="21"/>
          <w:highlight w:val="none"/>
        </w:rPr>
        <w:t>的供货通知及签订补充协议的要求时，积极配合并履行相应的供货义务，确保供货的及时性和质量等符合原合同的要求。</w:t>
      </w:r>
      <w:bookmarkEnd w:id="552"/>
      <w:bookmarkEnd w:id="553"/>
      <w:r>
        <w:rPr>
          <w:rFonts w:hint="eastAsia" w:ascii="宋体" w:hAnsi="宋体" w:eastAsia="宋体" w:cs="宋体"/>
          <w:b/>
          <w:color w:val="auto"/>
          <w:sz w:val="21"/>
          <w:szCs w:val="21"/>
          <w:highlight w:val="none"/>
        </w:rPr>
        <w:t>实际甲方运营项目根据项目工艺及性质，结合小试及项目实际使用效果选用，甲方的实际需求数量以甲方运营项目每次的供货通知为准，在供货期内乙方不得因甲方实际采购数量的减少或增加而要求提供任何形式的补偿或赔偿，或要求甲方按暂定数量采购相应货物。</w:t>
      </w:r>
    </w:p>
    <w:p w14:paraId="79D6E8DD">
      <w:pPr>
        <w:snapToGrid w:val="0"/>
        <w:spacing w:line="360" w:lineRule="auto"/>
        <w:ind w:firstLine="420" w:firstLineChars="200"/>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lang w:val="zh-CN"/>
        </w:rPr>
        <w:t>、本合同的供货期</w:t>
      </w:r>
    </w:p>
    <w:p w14:paraId="4F186B0A">
      <w:pPr>
        <w:snapToGrid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自合同签订之日起至202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年12月31日</w:t>
      </w:r>
      <w:r>
        <w:rPr>
          <w:rFonts w:hint="eastAsia" w:ascii="宋体" w:hAnsi="宋体" w:eastAsia="宋体" w:cs="宋体"/>
          <w:color w:val="auto"/>
          <w:sz w:val="21"/>
          <w:szCs w:val="21"/>
          <w:highlight w:val="none"/>
          <w:lang w:val="en-US" w:eastAsia="zh-CN"/>
        </w:rPr>
        <w:t>止</w:t>
      </w:r>
      <w:r>
        <w:rPr>
          <w:rFonts w:hint="eastAsia" w:ascii="宋体" w:hAnsi="宋体" w:eastAsia="宋体" w:cs="宋体"/>
          <w:color w:val="auto"/>
          <w:sz w:val="21"/>
          <w:szCs w:val="21"/>
          <w:highlight w:val="none"/>
        </w:rPr>
        <w:t>，具体供货起始日期以甲方书面通知为准，乙方收到甲方通知后必须无条件按照甲方的要求开始供货，供货期结束后，按甲方实际生产需要，经双方协商同意后，可签订补充协议延长不超过三个月的供货期。</w:t>
      </w:r>
    </w:p>
    <w:p w14:paraId="6F50B843">
      <w:pPr>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合同履行中，甲方在本合同约定的供货期限和采购范围内，甲方有权根据运营项目实际情况及有关法律法规、政策的规定对合同的相应条款进行变更调整，造成乙方已生产的产品过剩、过质保期等，甲方无需承担任何责任和费用。在变更调整后，乙方应按变更后的约定遵照执行。如有违反，甲方有权按本暂定合同</w:t>
      </w:r>
      <w:r>
        <w:rPr>
          <w:rFonts w:hint="eastAsia" w:ascii="宋体" w:hAnsi="宋体" w:eastAsia="宋体" w:cs="宋体"/>
          <w:b/>
          <w:color w:val="auto"/>
          <w:sz w:val="21"/>
          <w:szCs w:val="21"/>
          <w:highlight w:val="none"/>
          <w:lang w:val="en-US" w:eastAsia="zh-CN"/>
        </w:rPr>
        <w:t>含税总</w:t>
      </w:r>
      <w:r>
        <w:rPr>
          <w:rFonts w:hint="eastAsia" w:ascii="宋体" w:hAnsi="宋体" w:eastAsia="宋体" w:cs="宋体"/>
          <w:b/>
          <w:color w:val="auto"/>
          <w:sz w:val="21"/>
          <w:szCs w:val="21"/>
          <w:highlight w:val="none"/>
        </w:rPr>
        <w:t>价的20%要求乙方承担违约金。</w:t>
      </w:r>
    </w:p>
    <w:p w14:paraId="663A9BBD">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4、乙方应承担完成合同义务的全部费用，包括但不限于：</w:t>
      </w:r>
    </w:p>
    <w:p w14:paraId="192476AD">
      <w:pPr>
        <w:snapToGrid w:val="0"/>
        <w:spacing w:line="360" w:lineRule="auto"/>
        <w:ind w:left="2" w:firstLine="564" w:firstLineChars="26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（1）合同范围内所有货物的研究、采购、制造、检验、配合试验（含小试）、包装、储存、运输（退换货运输）、称重、装卸、安全、保险、培训、验收等费用；</w:t>
      </w:r>
    </w:p>
    <w:p w14:paraId="0CACA19E">
      <w:pPr>
        <w:snapToGrid w:val="0"/>
        <w:spacing w:line="360" w:lineRule="auto"/>
        <w:ind w:left="2" w:firstLine="564" w:firstLineChars="26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应急供货费用、为满足项目调试需求导致的小批量、多频次分散供货的成本以及货物运输、货物验收合格前发生的安全事故所产生的一切费用；</w:t>
      </w:r>
    </w:p>
    <w:p w14:paraId="06ABAFCA">
      <w:pPr>
        <w:snapToGrid w:val="0"/>
        <w:spacing w:line="360" w:lineRule="auto"/>
        <w:ind w:left="2" w:firstLine="564" w:firstLineChars="26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zh-CN"/>
        </w:rPr>
        <w:t>）货物及其工艺所有制造方、使用方应支付的对专有技术、商标权、专利权和版权、设计或其他知识产权而需要向其他方支付的版税；</w:t>
      </w:r>
    </w:p>
    <w:p w14:paraId="132C0437">
      <w:pPr>
        <w:snapToGrid w:val="0"/>
        <w:spacing w:line="360" w:lineRule="auto"/>
        <w:ind w:left="2" w:firstLine="564" w:firstLineChars="26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（4）日常技术指导，免费的质保服务，包括但不限于免费对具有质量问题的货物进行处理或更换</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sz w:val="21"/>
          <w:szCs w:val="21"/>
          <w:highlight w:val="none"/>
        </w:rPr>
        <w:t>按甲方要求小试，并以甲方确认的最优化的产品成分配比向甲方供货</w:t>
      </w:r>
      <w:r>
        <w:rPr>
          <w:rFonts w:hint="eastAsia" w:ascii="宋体" w:hAnsi="宋体" w:eastAsia="宋体" w:cs="宋体"/>
          <w:color w:val="auto"/>
          <w:sz w:val="21"/>
          <w:szCs w:val="21"/>
          <w:highlight w:val="none"/>
          <w:lang w:val="zh-CN"/>
        </w:rPr>
        <w:t>；</w:t>
      </w:r>
    </w:p>
    <w:p w14:paraId="0CCE4985">
      <w:pPr>
        <w:snapToGrid w:val="0"/>
        <w:spacing w:line="360" w:lineRule="auto"/>
        <w:ind w:left="1018" w:leftChars="235" w:hanging="525" w:hangingChars="25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（5）合理利润、</w:t>
      </w:r>
      <w:r>
        <w:rPr>
          <w:rFonts w:hint="eastAsia" w:ascii="宋体" w:hAnsi="宋体" w:eastAsia="宋体" w:cs="宋体"/>
          <w:color w:val="auto"/>
          <w:kern w:val="2"/>
          <w:sz w:val="21"/>
          <w:szCs w:val="21"/>
          <w:highlight w:val="none"/>
          <w:lang w:val="zh-CN"/>
        </w:rPr>
        <w:t>乙方销项税额以外的税费</w:t>
      </w:r>
      <w:r>
        <w:rPr>
          <w:rFonts w:hint="eastAsia" w:ascii="宋体" w:hAnsi="宋体" w:eastAsia="宋体" w:cs="宋体"/>
          <w:color w:val="auto"/>
          <w:sz w:val="21"/>
          <w:szCs w:val="21"/>
          <w:highlight w:val="none"/>
        </w:rPr>
        <w:t>等；</w:t>
      </w:r>
    </w:p>
    <w:p w14:paraId="20E451E1">
      <w:pPr>
        <w:snapToGrid w:val="0"/>
        <w:spacing w:line="360" w:lineRule="auto"/>
        <w:ind w:left="1018" w:leftChars="235" w:hanging="525" w:hangingChars="250"/>
        <w:rPr>
          <w:rFonts w:hint="eastAsia" w:ascii="宋体" w:hAnsi="宋体" w:eastAsia="宋体" w:cs="宋体"/>
          <w:color w:val="auto"/>
          <w:kern w:val="2"/>
          <w:sz w:val="21"/>
          <w:szCs w:val="21"/>
          <w:highlight w:val="none"/>
          <w:lang w:val="zh-CN"/>
        </w:rPr>
      </w:pPr>
      <w:r>
        <w:rPr>
          <w:rFonts w:hint="eastAsia" w:ascii="宋体" w:hAnsi="宋体" w:eastAsia="宋体" w:cs="宋体"/>
          <w:color w:val="auto"/>
          <w:sz w:val="21"/>
          <w:szCs w:val="21"/>
          <w:highlight w:val="none"/>
          <w:lang w:val="zh-CN"/>
        </w:rPr>
        <w:t>（6）法律法规、商业公认、招标文件规定由乙方承担的其他直接及间接费用</w:t>
      </w:r>
      <w:r>
        <w:rPr>
          <w:rFonts w:hint="eastAsia" w:ascii="宋体" w:hAnsi="宋体" w:eastAsia="宋体" w:cs="宋体"/>
          <w:color w:val="auto"/>
          <w:kern w:val="2"/>
          <w:sz w:val="21"/>
          <w:szCs w:val="21"/>
          <w:highlight w:val="none"/>
          <w:lang w:val="zh-CN"/>
        </w:rPr>
        <w:t>。</w:t>
      </w:r>
    </w:p>
    <w:p w14:paraId="536AEABB">
      <w:pPr>
        <w:autoSpaceDE/>
        <w:autoSpaceDN/>
        <w:adjustRightInd/>
        <w:spacing w:line="360" w:lineRule="auto"/>
        <w:ind w:left="124" w:leftChars="59" w:firstLine="424" w:firstLineChars="201"/>
        <w:jc w:val="both"/>
        <w:rPr>
          <w:rFonts w:hint="eastAsia" w:ascii="宋体" w:hAnsi="宋体" w:eastAsia="宋体" w:cs="宋体"/>
          <w:b/>
          <w:bCs/>
          <w:color w:val="auto"/>
          <w:sz w:val="21"/>
          <w:szCs w:val="21"/>
          <w:highlight w:val="none"/>
        </w:rPr>
      </w:pPr>
      <w:r>
        <w:rPr>
          <w:rFonts w:hint="eastAsia" w:ascii="宋体" w:hAnsi="宋体" w:eastAsia="宋体" w:cs="宋体"/>
          <w:b/>
          <w:color w:val="auto"/>
          <w:kern w:val="2"/>
          <w:sz w:val="21"/>
          <w:szCs w:val="21"/>
          <w:highlight w:val="none"/>
          <w:lang w:val="zh-CN"/>
        </w:rPr>
        <w:t>5、另外液体乙酸钠的供货须按照甲方运营项目的实际供货需求，将会存在不同项目、不同时间</w:t>
      </w:r>
      <w:r>
        <w:rPr>
          <w:rFonts w:hint="eastAsia" w:ascii="宋体" w:hAnsi="宋体" w:eastAsia="宋体" w:cs="宋体"/>
          <w:b/>
          <w:color w:val="auto"/>
          <w:kern w:val="2"/>
          <w:sz w:val="21"/>
          <w:szCs w:val="21"/>
          <w:highlight w:val="none"/>
        </w:rPr>
        <w:t>分</w:t>
      </w:r>
      <w:r>
        <w:rPr>
          <w:rFonts w:hint="eastAsia" w:ascii="宋体" w:hAnsi="宋体" w:eastAsia="宋体" w:cs="宋体"/>
          <w:b/>
          <w:color w:val="auto"/>
          <w:kern w:val="2"/>
          <w:sz w:val="21"/>
          <w:szCs w:val="21"/>
          <w:highlight w:val="none"/>
          <w:lang w:val="zh-CN"/>
        </w:rPr>
        <w:t>次供货的情况，乙方应充分考虑上述因素可能导致的增加成本，并且该成本已包含在上述全部费用内。</w:t>
      </w:r>
    </w:p>
    <w:p w14:paraId="4E2E8B80">
      <w:pPr>
        <w:snapToGrid w:val="0"/>
        <w:spacing w:line="360" w:lineRule="auto"/>
        <w:ind w:firstLine="420" w:firstLineChars="200"/>
        <w:rPr>
          <w:rFonts w:hint="eastAsia" w:ascii="宋体" w:hAnsi="宋体" w:eastAsia="宋体" w:cs="宋体"/>
          <w:color w:val="auto"/>
          <w:sz w:val="21"/>
          <w:szCs w:val="21"/>
          <w:highlight w:val="none"/>
        </w:rPr>
      </w:pPr>
    </w:p>
    <w:p w14:paraId="7AB93FE0">
      <w:pPr>
        <w:snapToGrid w:val="0"/>
        <w:spacing w:line="360" w:lineRule="auto"/>
        <w:ind w:firstLine="373" w:firstLineChars="177"/>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第二条 合同价款及销项税价</w:t>
      </w:r>
    </w:p>
    <w:p w14:paraId="7BBF2773">
      <w:pPr>
        <w:spacing w:line="360" w:lineRule="auto"/>
        <w:ind w:firstLine="476" w:firstLineChars="2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1、本合同综合单价（即销售额，不含乙方销项税额）为¥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元/吨（大写人民币每吨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在本合同履行过程中，综合单</w:t>
      </w:r>
      <w:r>
        <w:rPr>
          <w:rFonts w:hint="eastAsia" w:ascii="宋体" w:hAnsi="宋体" w:eastAsia="宋体" w:cs="宋体"/>
          <w:color w:val="auto"/>
          <w:sz w:val="21"/>
          <w:szCs w:val="21"/>
          <w:highlight w:val="none"/>
        </w:rPr>
        <w:t>价（即销售额，不含乙方销项税额）</w:t>
      </w:r>
      <w:r>
        <w:rPr>
          <w:rFonts w:hint="eastAsia" w:ascii="宋体" w:hAnsi="宋体" w:eastAsia="宋体" w:cs="宋体"/>
          <w:color w:val="auto"/>
          <w:sz w:val="21"/>
          <w:szCs w:val="21"/>
          <w:highlight w:val="none"/>
          <w:lang w:val="zh-CN"/>
        </w:rPr>
        <w:t>固定不变，不因材料、成分比例调整、劳务成本、运输成本、货物等行业标准或国家标准的变动等其他理由予以变更。</w:t>
      </w:r>
      <w:r>
        <w:rPr>
          <w:rFonts w:hint="eastAsia" w:ascii="宋体" w:hAnsi="宋体" w:eastAsia="宋体" w:cs="宋体"/>
          <w:color w:val="auto"/>
          <w:sz w:val="21"/>
          <w:szCs w:val="21"/>
          <w:highlight w:val="none"/>
        </w:rPr>
        <w:t>未经甲方书面确认，乙方无权增加任何费用。</w:t>
      </w:r>
    </w:p>
    <w:p w14:paraId="13FB8C8E">
      <w:pPr>
        <w:spacing w:line="360" w:lineRule="auto"/>
        <w:ind w:firstLine="476" w:firstLineChars="2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2、依法计得并根据本合同约定确定的销项税额由甲方承担。根据</w:t>
      </w:r>
      <w:r>
        <w:rPr>
          <w:rFonts w:hint="eastAsia" w:ascii="宋体" w:hAnsi="宋体" w:eastAsia="宋体" w:cs="宋体"/>
          <w:color w:val="auto"/>
          <w:kern w:val="2"/>
          <w:sz w:val="21"/>
          <w:szCs w:val="21"/>
          <w:highlight w:val="none"/>
          <w:lang w:val="zh-CN"/>
        </w:rPr>
        <w:t>《中华人民共和国增值税暂行条例》（国务院令第691号修订版）</w:t>
      </w:r>
      <w:r>
        <w:rPr>
          <w:rFonts w:hint="eastAsia" w:ascii="宋体" w:hAnsi="宋体" w:eastAsia="宋体" w:cs="宋体"/>
          <w:color w:val="auto"/>
          <w:kern w:val="2"/>
          <w:sz w:val="21"/>
          <w:szCs w:val="21"/>
          <w:highlight w:val="none"/>
        </w:rPr>
        <w:t>及当前税务部门的相关规定，本合同项目的增值税税率为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，对应的销项税额为¥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元/吨（大写人民币每吨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在本合同履行过程中，税收政策变动导致</w:t>
      </w:r>
      <w:r>
        <w:rPr>
          <w:rFonts w:hint="eastAsia" w:ascii="宋体" w:hAnsi="宋体" w:eastAsia="宋体" w:cs="宋体"/>
          <w:color w:val="auto"/>
          <w:kern w:val="2"/>
          <w:sz w:val="21"/>
          <w:szCs w:val="21"/>
          <w:highlight w:val="none"/>
        </w:rPr>
        <w:t>增值税</w:t>
      </w:r>
      <w:r>
        <w:rPr>
          <w:rFonts w:hint="eastAsia" w:ascii="宋体" w:hAnsi="宋体" w:eastAsia="宋体" w:cs="宋体"/>
          <w:color w:val="auto"/>
          <w:sz w:val="21"/>
          <w:szCs w:val="21"/>
          <w:highlight w:val="none"/>
          <w:lang w:val="zh-CN"/>
        </w:rPr>
        <w:t>税率调整，依法应调整</w:t>
      </w:r>
      <w:r>
        <w:rPr>
          <w:rFonts w:hint="eastAsia" w:ascii="宋体" w:hAnsi="宋体" w:eastAsia="宋体" w:cs="宋体"/>
          <w:color w:val="auto"/>
          <w:sz w:val="21"/>
          <w:szCs w:val="21"/>
          <w:highlight w:val="none"/>
        </w:rPr>
        <w:t>销项税额的，依法调整；但因乙方未按合同约定供货、未根据合同约定提供合法、完整的请款资料、货物验收不合格导致的返工或退货、货物验收合格前的非正常损耗等原因导致销项税额增加的，相应损失由乙方承担。</w:t>
      </w:r>
    </w:p>
    <w:p w14:paraId="28CD0742">
      <w:pPr>
        <w:spacing w:line="360" w:lineRule="auto"/>
        <w:ind w:firstLine="476" w:firstLineChars="227"/>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因乙方未按法定税率计算税额或未根据本合同约定出具对应税额的增值税专用发票等乙方原因导致甲方多支付税额的，乙方必须退还甲方，给甲方造成损失的，乙方须向甲方赔偿</w:t>
      </w:r>
      <w:r>
        <w:rPr>
          <w:rFonts w:hint="eastAsia" w:ascii="宋体" w:hAnsi="宋体" w:eastAsia="宋体" w:cs="宋体"/>
          <w:color w:val="auto"/>
          <w:sz w:val="21"/>
          <w:szCs w:val="21"/>
          <w:highlight w:val="none"/>
        </w:rPr>
        <w:t>相应损失。</w:t>
      </w:r>
    </w:p>
    <w:p w14:paraId="17F88574">
      <w:pPr>
        <w:spacing w:line="360" w:lineRule="auto"/>
        <w:ind w:firstLine="476" w:firstLineChars="2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本合同综合单价</w:t>
      </w:r>
      <w:r>
        <w:rPr>
          <w:rFonts w:hint="eastAsia" w:ascii="宋体" w:hAnsi="宋体" w:eastAsia="宋体" w:cs="宋体"/>
          <w:color w:val="auto"/>
          <w:sz w:val="21"/>
          <w:szCs w:val="21"/>
          <w:highlight w:val="none"/>
        </w:rPr>
        <w:t>价税合计为¥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元/吨（大写人民币每吨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），合同履行期间根据本条第2项规定调整销项税额的，结算合同价税合计对应调整。</w:t>
      </w:r>
    </w:p>
    <w:p w14:paraId="26418863">
      <w:pPr>
        <w:spacing w:line="360" w:lineRule="auto"/>
        <w:ind w:firstLine="476" w:firstLineChars="2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4、采购合同下暂定采购数量对应的</w:t>
      </w:r>
      <w:bookmarkStart w:id="554" w:name="OLE_LINK18"/>
      <w:r>
        <w:rPr>
          <w:rFonts w:hint="eastAsia" w:ascii="宋体" w:hAnsi="宋体" w:eastAsia="宋体" w:cs="宋体"/>
          <w:color w:val="auto"/>
          <w:sz w:val="21"/>
          <w:szCs w:val="21"/>
          <w:highlight w:val="none"/>
        </w:rPr>
        <w:t>暂定总合同价</w:t>
      </w:r>
      <w:bookmarkEnd w:id="554"/>
      <w:r>
        <w:rPr>
          <w:rFonts w:hint="eastAsia" w:ascii="宋体" w:hAnsi="宋体" w:eastAsia="宋体" w:cs="宋体"/>
          <w:color w:val="auto"/>
          <w:sz w:val="21"/>
          <w:szCs w:val="21"/>
          <w:highlight w:val="none"/>
        </w:rPr>
        <w:t>为</w:t>
      </w:r>
      <w:bookmarkStart w:id="555" w:name="OLE_LINK17"/>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（大写人民币</w:t>
      </w:r>
      <w:r>
        <w:rPr>
          <w:rFonts w:hint="eastAsia" w:ascii="宋体" w:hAnsi="宋体" w:eastAsia="宋体" w:cs="宋体"/>
          <w:color w:val="auto"/>
          <w:sz w:val="21"/>
          <w:szCs w:val="21"/>
          <w:highlight w:val="none"/>
          <w:u w:val="single"/>
        </w:rPr>
        <w:t xml:space="preserve">              </w:t>
      </w:r>
      <w:bookmarkEnd w:id="555"/>
      <w:r>
        <w:rPr>
          <w:rFonts w:hint="eastAsia" w:ascii="宋体" w:hAnsi="宋体" w:eastAsia="宋体" w:cs="宋体"/>
          <w:color w:val="auto"/>
          <w:sz w:val="21"/>
          <w:szCs w:val="21"/>
          <w:highlight w:val="none"/>
        </w:rPr>
        <w:t>，不含增值税）</w:t>
      </w:r>
      <w:bookmarkStart w:id="556" w:name="OLE_LINK23"/>
      <w:r>
        <w:rPr>
          <w:rFonts w:hint="eastAsia" w:ascii="宋体" w:hAnsi="宋体" w:eastAsia="宋体" w:cs="宋体"/>
          <w:color w:val="auto"/>
          <w:sz w:val="21"/>
          <w:szCs w:val="21"/>
          <w:highlight w:val="none"/>
          <w:lang w:eastAsia="zh-CN"/>
        </w:rPr>
        <w:t>；</w:t>
      </w:r>
      <w:bookmarkStart w:id="557" w:name="OLE_LINK19"/>
      <w:r>
        <w:rPr>
          <w:rFonts w:hint="eastAsia" w:ascii="宋体" w:hAnsi="宋体" w:eastAsia="宋体" w:cs="宋体"/>
          <w:color w:val="auto"/>
          <w:sz w:val="21"/>
          <w:szCs w:val="21"/>
          <w:highlight w:val="none"/>
        </w:rPr>
        <w:t>暂定采购数量对应的暂定合同含税总价为¥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bookmarkEnd w:id="556"/>
      <w:bookmarkEnd w:id="557"/>
      <w:r>
        <w:rPr>
          <w:rFonts w:hint="eastAsia" w:ascii="宋体" w:hAnsi="宋体" w:eastAsia="宋体" w:cs="宋体"/>
          <w:color w:val="auto"/>
          <w:sz w:val="21"/>
          <w:szCs w:val="21"/>
          <w:highlight w:val="none"/>
        </w:rPr>
        <w:t>。</w:t>
      </w:r>
    </w:p>
    <w:p w14:paraId="19058413">
      <w:pPr>
        <w:spacing w:line="360" w:lineRule="auto"/>
        <w:ind w:firstLine="476" w:firstLineChars="2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5、合同履约过程中，在供货期内按综合单价乘以实际供货数量进行结算。</w:t>
      </w:r>
    </w:p>
    <w:p w14:paraId="620C8D9F">
      <w:pPr>
        <w:spacing w:line="360" w:lineRule="auto"/>
        <w:ind w:firstLine="476" w:firstLineChars="227"/>
        <w:rPr>
          <w:rFonts w:hint="eastAsia" w:ascii="宋体" w:hAnsi="宋体" w:eastAsia="宋体" w:cs="宋体"/>
          <w:color w:val="auto"/>
          <w:sz w:val="21"/>
          <w:szCs w:val="21"/>
          <w:highlight w:val="none"/>
        </w:rPr>
      </w:pPr>
    </w:p>
    <w:p w14:paraId="095E8F2B">
      <w:pPr>
        <w:snapToGrid w:val="0"/>
        <w:spacing w:line="360" w:lineRule="auto"/>
        <w:ind w:firstLine="373" w:firstLineChars="177"/>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第三条 合同组成</w:t>
      </w:r>
    </w:p>
    <w:p w14:paraId="703F2274">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细价格组成、技术说明及其它有关合同货物的特定信息可由合同附件说明。所有附件及本项目的招标文件、答疑文件、投标文件及相关承诺、协议等均为本合同不可分割之一部分，该等文件与本合同正文约定不一致的，以有利于甲方的约定为准。</w:t>
      </w:r>
    </w:p>
    <w:p w14:paraId="6D90A618">
      <w:pPr>
        <w:snapToGrid w:val="0"/>
        <w:spacing w:line="360" w:lineRule="auto"/>
        <w:ind w:firstLine="422" w:firstLineChars="200"/>
        <w:rPr>
          <w:rFonts w:hint="eastAsia" w:ascii="宋体" w:hAnsi="宋体" w:eastAsia="宋体" w:cs="宋体"/>
          <w:b/>
          <w:color w:val="auto"/>
          <w:sz w:val="21"/>
          <w:szCs w:val="21"/>
          <w:highlight w:val="none"/>
        </w:rPr>
      </w:pPr>
    </w:p>
    <w:p w14:paraId="419810CA">
      <w:pPr>
        <w:snapToGrid w:val="0"/>
        <w:spacing w:line="360" w:lineRule="auto"/>
        <w:ind w:firstLine="373" w:firstLineChars="177"/>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第四条 技术要求及质量要求</w:t>
      </w:r>
    </w:p>
    <w:p w14:paraId="0A815F15">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保证所提供货物均为采用合格材料和工艺制成的全新的未使用过的，并完全符合甲方招标文件要求及乙方投标文件承诺的质量、规格标准；同时乙方所提供货物，必须符合国家有关法律法规和环保、主管部门要求及甲方的技术要求，不存在侵犯第三人知识产权或其他权益的情况。</w:t>
      </w:r>
    </w:p>
    <w:p w14:paraId="5E178265">
      <w:pPr>
        <w:spacing w:line="360" w:lineRule="auto"/>
        <w:ind w:firstLine="482" w:firstLineChars="23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2、液体乙酸钠产品外观为无色透明液体。</w:t>
      </w:r>
    </w:p>
    <w:p w14:paraId="1110D7FE">
      <w:pPr>
        <w:spacing w:line="360" w:lineRule="auto"/>
        <w:ind w:firstLine="482" w:firstLineChars="23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3、液体乙酸钠必须符合《生化法处理废（污）水用碳源 乙酸钠》(HG/T 5959-2021 )Ⅱ型产品质量及检测标准，主要技术指标要求如下：</w:t>
      </w:r>
    </w:p>
    <w:p w14:paraId="32420D70">
      <w:pPr>
        <w:autoSpaceDE/>
        <w:autoSpaceDN/>
        <w:adjustRightInd/>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表1  </w:t>
      </w:r>
      <w:r>
        <w:rPr>
          <w:rFonts w:hint="eastAsia" w:ascii="宋体" w:hAnsi="宋体" w:eastAsia="宋体" w:cs="宋体"/>
          <w:color w:val="auto"/>
          <w:sz w:val="21"/>
          <w:szCs w:val="21"/>
          <w:highlight w:val="none"/>
          <w:lang w:eastAsia="zh-CN"/>
        </w:rPr>
        <w:t>液体乙酸钠</w:t>
      </w:r>
      <w:r>
        <w:rPr>
          <w:rFonts w:hint="eastAsia" w:ascii="宋体" w:hAnsi="宋体" w:eastAsia="宋体" w:cs="宋体"/>
          <w:color w:val="auto"/>
          <w:sz w:val="21"/>
          <w:szCs w:val="21"/>
          <w:highlight w:val="none"/>
        </w:rPr>
        <w:t>主要技术指标</w:t>
      </w:r>
    </w:p>
    <w:tbl>
      <w:tblPr>
        <w:tblStyle w:val="37"/>
        <w:tblW w:w="990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7"/>
        <w:gridCol w:w="4281"/>
      </w:tblGrid>
      <w:tr w14:paraId="62960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5507" w:type="dxa"/>
            <w:noWrap w:val="0"/>
            <w:vAlign w:val="center"/>
          </w:tcPr>
          <w:p w14:paraId="76AD6412">
            <w:pPr>
              <w:autoSpaceDE/>
              <w:autoSpaceDN/>
              <w:adjustRightInd/>
              <w:spacing w:line="360" w:lineRule="auto"/>
              <w:ind w:left="0" w:lef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指标项目</w:t>
            </w:r>
          </w:p>
        </w:tc>
        <w:tc>
          <w:tcPr>
            <w:tcW w:w="4281" w:type="dxa"/>
            <w:noWrap w:val="0"/>
            <w:vAlign w:val="center"/>
          </w:tcPr>
          <w:p w14:paraId="2BDBCE22">
            <w:pPr>
              <w:autoSpaceDE/>
              <w:autoSpaceDN/>
              <w:adjustRightInd/>
              <w:spacing w:line="360" w:lineRule="auto"/>
              <w:ind w:left="0" w:lef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指标</w:t>
            </w:r>
          </w:p>
        </w:tc>
      </w:tr>
      <w:tr w14:paraId="418F0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5507" w:type="dxa"/>
            <w:noWrap w:val="0"/>
            <w:vAlign w:val="center"/>
          </w:tcPr>
          <w:p w14:paraId="51328E3D">
            <w:pPr>
              <w:autoSpaceDE/>
              <w:autoSpaceDN/>
              <w:adjustRightInd/>
              <w:spacing w:line="360" w:lineRule="auto"/>
              <w:ind w:left="0" w:leftChars="0" w:firstLine="0" w:firstLineChars="0"/>
              <w:jc w:val="center"/>
              <w:rPr>
                <w:rFonts w:hint="default" w:ascii="Times New Roman" w:hAnsi="Times New Roman" w:eastAsia="宋体" w:cs="Times New Roman"/>
                <w:color w:val="auto"/>
                <w:sz w:val="21"/>
                <w:szCs w:val="21"/>
                <w:highlight w:val="none"/>
              </w:rPr>
            </w:pPr>
            <w:r>
              <w:rPr>
                <w:rFonts w:hint="eastAsia" w:ascii="宋体" w:hAnsi="宋体" w:eastAsia="宋体" w:cs="宋体"/>
                <w:b/>
                <w:color w:val="auto"/>
                <w:sz w:val="21"/>
                <w:szCs w:val="21"/>
                <w:highlight w:val="none"/>
              </w:rPr>
              <w:t>乙酸钠</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CH</w:t>
            </w:r>
            <w:r>
              <w:rPr>
                <w:rFonts w:hint="eastAsia" w:ascii="宋体" w:hAnsi="宋体" w:eastAsia="宋体" w:cs="宋体"/>
                <w:b/>
                <w:color w:val="auto"/>
                <w:sz w:val="21"/>
                <w:szCs w:val="21"/>
                <w:highlight w:val="none"/>
                <w:vertAlign w:val="subscript"/>
                <w:lang w:val="en-US" w:eastAsia="zh-CN"/>
              </w:rPr>
              <w:t>3</w:t>
            </w:r>
            <w:r>
              <w:rPr>
                <w:rFonts w:hint="eastAsia" w:ascii="宋体" w:hAnsi="宋体" w:eastAsia="宋体" w:cs="宋体"/>
                <w:b/>
                <w:color w:val="auto"/>
                <w:sz w:val="21"/>
                <w:szCs w:val="21"/>
                <w:highlight w:val="none"/>
                <w:lang w:val="en-US" w:eastAsia="zh-CN"/>
              </w:rPr>
              <w:t>COONa）的</w:t>
            </w:r>
            <w:r>
              <w:rPr>
                <w:rFonts w:hint="eastAsia" w:ascii="宋体" w:hAnsi="宋体" w:eastAsia="宋体" w:cs="宋体"/>
                <w:b/>
                <w:color w:val="auto"/>
                <w:sz w:val="21"/>
                <w:szCs w:val="21"/>
                <w:highlight w:val="none"/>
              </w:rPr>
              <w:t>质量分数，%</w:t>
            </w:r>
          </w:p>
        </w:tc>
        <w:tc>
          <w:tcPr>
            <w:tcW w:w="4281" w:type="dxa"/>
            <w:noWrap w:val="0"/>
            <w:vAlign w:val="center"/>
          </w:tcPr>
          <w:p w14:paraId="7831E440">
            <w:pPr>
              <w:autoSpaceDE/>
              <w:autoSpaceDN/>
              <w:adjustRightInd/>
              <w:spacing w:line="360" w:lineRule="auto"/>
              <w:ind w:left="0" w:lef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≥25</w:t>
            </w:r>
          </w:p>
        </w:tc>
      </w:tr>
      <w:tr w14:paraId="55C4E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5507" w:type="dxa"/>
            <w:noWrap w:val="0"/>
            <w:vAlign w:val="center"/>
          </w:tcPr>
          <w:p w14:paraId="1F8B6116">
            <w:pPr>
              <w:autoSpaceDE/>
              <w:autoSpaceDN/>
              <w:adjustRightInd/>
              <w:spacing w:line="360" w:lineRule="auto"/>
              <w:ind w:left="0" w:leftChars="0" w:firstLine="0" w:firstLineChars="0"/>
              <w:jc w:val="center"/>
              <w:rPr>
                <w:rFonts w:hint="default" w:ascii="Times New Roman" w:hAnsi="Times New Roman" w:eastAsia="宋体" w:cs="Times New Roman"/>
                <w:color w:val="auto"/>
                <w:sz w:val="21"/>
                <w:szCs w:val="21"/>
                <w:highlight w:val="none"/>
              </w:rPr>
            </w:pPr>
            <w:r>
              <w:rPr>
                <w:rFonts w:hint="eastAsia" w:ascii="宋体" w:hAnsi="宋体" w:eastAsia="宋体" w:cs="宋体"/>
                <w:b/>
                <w:color w:val="auto"/>
                <w:sz w:val="21"/>
                <w:szCs w:val="21"/>
                <w:highlight w:val="none"/>
                <w:lang w:val="en-US" w:eastAsia="zh-CN"/>
              </w:rPr>
              <w:t>化学需氧量（</w:t>
            </w:r>
            <w:r>
              <w:rPr>
                <w:rFonts w:hint="eastAsia" w:ascii="宋体" w:hAnsi="宋体" w:eastAsia="宋体" w:cs="宋体"/>
                <w:b/>
                <w:color w:val="auto"/>
                <w:sz w:val="21"/>
                <w:szCs w:val="21"/>
                <w:highlight w:val="none"/>
              </w:rPr>
              <w:t>COD</w:t>
            </w:r>
            <w:r>
              <w:rPr>
                <w:rFonts w:hint="eastAsia" w:ascii="宋体" w:hAnsi="宋体" w:eastAsia="宋体" w:cs="宋体"/>
                <w:b/>
                <w:color w:val="auto"/>
                <w:sz w:val="21"/>
                <w:szCs w:val="21"/>
                <w:highlight w:val="none"/>
                <w:vertAlign w:val="subscript"/>
                <w:lang w:val="en-US" w:eastAsia="zh-CN"/>
              </w:rPr>
              <w:t>Cr</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，mg/L</w:t>
            </w:r>
          </w:p>
        </w:tc>
        <w:tc>
          <w:tcPr>
            <w:tcW w:w="4281" w:type="dxa"/>
            <w:noWrap w:val="0"/>
            <w:vAlign w:val="center"/>
          </w:tcPr>
          <w:p w14:paraId="29B5F4E9">
            <w:pPr>
              <w:autoSpaceDE/>
              <w:autoSpaceDN/>
              <w:adjustRightInd/>
              <w:spacing w:line="360" w:lineRule="auto"/>
              <w:ind w:left="0" w:lef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1.95×10</w:t>
            </w:r>
            <w:r>
              <w:rPr>
                <w:rFonts w:hint="eastAsia" w:ascii="宋体" w:hAnsi="宋体" w:eastAsia="宋体" w:cs="宋体"/>
                <w:b/>
                <w:bCs/>
                <w:color w:val="auto"/>
                <w:sz w:val="21"/>
                <w:szCs w:val="21"/>
                <w:highlight w:val="none"/>
                <w:vertAlign w:val="superscript"/>
                <w:lang w:val="en-US" w:eastAsia="zh-CN"/>
              </w:rPr>
              <w:t>5</w:t>
            </w:r>
          </w:p>
        </w:tc>
      </w:tr>
      <w:tr w14:paraId="37DEC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7" w:type="dxa"/>
            <w:noWrap w:val="0"/>
            <w:vAlign w:val="center"/>
          </w:tcPr>
          <w:p w14:paraId="4DD7164D">
            <w:pPr>
              <w:autoSpaceDE/>
              <w:autoSpaceDN/>
              <w:adjustRightInd/>
              <w:spacing w:line="360" w:lineRule="auto"/>
              <w:ind w:left="0" w:leftChars="0" w:firstLine="0" w:firstLineChars="0"/>
              <w:jc w:val="center"/>
              <w:rPr>
                <w:rFonts w:hint="default" w:ascii="Times New Roman" w:hAnsi="Times New Roman" w:eastAsia="宋体" w:cs="Times New Roman"/>
                <w:color w:val="auto"/>
                <w:sz w:val="21"/>
                <w:szCs w:val="21"/>
                <w:highlight w:val="none"/>
              </w:rPr>
            </w:pPr>
            <w:r>
              <w:rPr>
                <w:rFonts w:hint="eastAsia" w:ascii="宋体" w:hAnsi="宋体" w:eastAsia="宋体" w:cs="宋体"/>
                <w:b/>
                <w:color w:val="auto"/>
                <w:sz w:val="21"/>
                <w:szCs w:val="21"/>
                <w:highlight w:val="none"/>
              </w:rPr>
              <w:t>pH</w:t>
            </w:r>
            <w:r>
              <w:rPr>
                <w:rFonts w:hint="eastAsia" w:ascii="宋体" w:hAnsi="宋体" w:eastAsia="宋体" w:cs="宋体"/>
                <w:b/>
                <w:color w:val="auto"/>
                <w:sz w:val="21"/>
                <w:szCs w:val="21"/>
                <w:highlight w:val="none"/>
                <w:lang w:val="en-US" w:eastAsia="zh-CN"/>
              </w:rPr>
              <w:t>值</w:t>
            </w:r>
          </w:p>
        </w:tc>
        <w:tc>
          <w:tcPr>
            <w:tcW w:w="4281" w:type="dxa"/>
            <w:noWrap w:val="0"/>
            <w:vAlign w:val="center"/>
          </w:tcPr>
          <w:p w14:paraId="22622EEF">
            <w:pPr>
              <w:autoSpaceDE/>
              <w:autoSpaceDN/>
              <w:adjustRightInd/>
              <w:spacing w:line="360" w:lineRule="auto"/>
              <w:ind w:left="0" w:lef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7.5~9</w:t>
            </w:r>
          </w:p>
        </w:tc>
      </w:tr>
      <w:tr w14:paraId="47CB6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7" w:type="dxa"/>
            <w:noWrap w:val="0"/>
            <w:vAlign w:val="center"/>
          </w:tcPr>
          <w:p w14:paraId="666F3FD6">
            <w:pPr>
              <w:autoSpaceDE/>
              <w:autoSpaceDN/>
              <w:adjustRightInd/>
              <w:spacing w:line="360" w:lineRule="auto"/>
              <w:ind w:left="0" w:leftChars="0" w:firstLine="0" w:firstLineChars="0"/>
              <w:jc w:val="center"/>
              <w:rPr>
                <w:rFonts w:hint="default" w:ascii="Times New Roman" w:hAnsi="Times New Roman" w:eastAsia="宋体" w:cs="Times New Roman"/>
                <w:color w:val="auto"/>
                <w:sz w:val="21"/>
                <w:szCs w:val="21"/>
                <w:highlight w:val="none"/>
              </w:rPr>
            </w:pPr>
            <w:r>
              <w:rPr>
                <w:rFonts w:hint="eastAsia" w:ascii="宋体" w:hAnsi="宋体" w:eastAsia="宋体" w:cs="宋体"/>
                <w:b/>
                <w:color w:val="auto"/>
                <w:sz w:val="21"/>
                <w:szCs w:val="21"/>
                <w:highlight w:val="none"/>
              </w:rPr>
              <w:t>水不溶物</w:t>
            </w:r>
            <w:r>
              <w:rPr>
                <w:rFonts w:hint="eastAsia" w:ascii="宋体" w:hAnsi="宋体" w:eastAsia="宋体" w:cs="宋体"/>
                <w:b/>
                <w:color w:val="auto"/>
                <w:sz w:val="21"/>
                <w:szCs w:val="21"/>
                <w:highlight w:val="none"/>
                <w:lang w:val="en-US" w:eastAsia="zh-CN"/>
              </w:rPr>
              <w:t>的质量分数</w:t>
            </w:r>
            <w:r>
              <w:rPr>
                <w:rFonts w:hint="eastAsia" w:ascii="宋体" w:hAnsi="宋体" w:eastAsia="宋体" w:cs="宋体"/>
                <w:b/>
                <w:color w:val="auto"/>
                <w:sz w:val="21"/>
                <w:szCs w:val="21"/>
                <w:highlight w:val="none"/>
              </w:rPr>
              <w:t>，%</w:t>
            </w:r>
          </w:p>
        </w:tc>
        <w:tc>
          <w:tcPr>
            <w:tcW w:w="4281" w:type="dxa"/>
            <w:noWrap w:val="0"/>
            <w:vAlign w:val="center"/>
          </w:tcPr>
          <w:p w14:paraId="29047684">
            <w:pPr>
              <w:autoSpaceDE/>
              <w:autoSpaceDN/>
              <w:adjustRightInd/>
              <w:spacing w:line="360" w:lineRule="auto"/>
              <w:ind w:left="0" w:leftChars="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0.05</w:t>
            </w:r>
          </w:p>
        </w:tc>
      </w:tr>
      <w:tr w14:paraId="33F5B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7" w:type="dxa"/>
            <w:noWrap w:val="0"/>
            <w:vAlign w:val="center"/>
          </w:tcPr>
          <w:p w14:paraId="74F4AD12">
            <w:pPr>
              <w:autoSpaceDE/>
              <w:autoSpaceDN/>
              <w:adjustRightInd/>
              <w:spacing w:line="360" w:lineRule="auto"/>
              <w:ind w:left="0" w:leftChars="0" w:firstLine="0" w:firstLineChars="0"/>
              <w:jc w:val="center"/>
              <w:rPr>
                <w:rFonts w:hint="default" w:ascii="Times New Roman" w:hAnsi="Times New Roman" w:eastAsia="宋体" w:cs="Times New Roman"/>
                <w:color w:val="auto"/>
                <w:sz w:val="21"/>
                <w:szCs w:val="21"/>
                <w:highlight w:val="none"/>
              </w:rPr>
            </w:pPr>
            <w:r>
              <w:rPr>
                <w:rFonts w:hint="eastAsia" w:ascii="宋体" w:hAnsi="宋体" w:eastAsia="宋体" w:cs="宋体"/>
                <w:b/>
                <w:color w:val="auto"/>
                <w:sz w:val="21"/>
                <w:szCs w:val="21"/>
                <w:highlight w:val="none"/>
              </w:rPr>
              <w:t>氯化物（按</w:t>
            </w:r>
            <w:r>
              <w:rPr>
                <w:rFonts w:hint="eastAsia" w:ascii="宋体" w:hAnsi="宋体" w:eastAsia="宋体" w:cs="宋体"/>
                <w:b/>
                <w:color w:val="auto"/>
                <w:sz w:val="21"/>
                <w:szCs w:val="21"/>
                <w:highlight w:val="none"/>
                <w:lang w:val="en-US" w:eastAsia="zh-CN"/>
              </w:rPr>
              <w:t>Cl</w:t>
            </w:r>
            <w:r>
              <w:rPr>
                <w:rFonts w:hint="eastAsia" w:ascii="宋体" w:hAnsi="宋体" w:eastAsia="宋体" w:cs="宋体"/>
                <w:b/>
                <w:color w:val="auto"/>
                <w:sz w:val="21"/>
                <w:szCs w:val="21"/>
                <w:highlight w:val="none"/>
              </w:rPr>
              <w:t>计）</w:t>
            </w:r>
            <w:r>
              <w:rPr>
                <w:rFonts w:hint="eastAsia" w:ascii="宋体" w:hAnsi="宋体" w:eastAsia="宋体" w:cs="宋体"/>
                <w:b/>
                <w:color w:val="auto"/>
                <w:sz w:val="21"/>
                <w:szCs w:val="21"/>
                <w:highlight w:val="none"/>
                <w:lang w:val="en-US" w:eastAsia="zh-CN"/>
              </w:rPr>
              <w:t>的质量分数</w:t>
            </w:r>
            <w:r>
              <w:rPr>
                <w:rFonts w:hint="eastAsia" w:ascii="宋体" w:hAnsi="宋体" w:eastAsia="宋体" w:cs="宋体"/>
                <w:b/>
                <w:color w:val="auto"/>
                <w:sz w:val="21"/>
                <w:szCs w:val="21"/>
                <w:highlight w:val="none"/>
              </w:rPr>
              <w:t>，%</w:t>
            </w:r>
          </w:p>
        </w:tc>
        <w:tc>
          <w:tcPr>
            <w:tcW w:w="4281" w:type="dxa"/>
            <w:noWrap w:val="0"/>
            <w:vAlign w:val="center"/>
          </w:tcPr>
          <w:p w14:paraId="20E67722">
            <w:pPr>
              <w:autoSpaceDE/>
              <w:autoSpaceDN/>
              <w:adjustRightInd/>
              <w:spacing w:line="360" w:lineRule="auto"/>
              <w:ind w:left="0" w:leftChars="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0.10</w:t>
            </w:r>
          </w:p>
        </w:tc>
      </w:tr>
    </w:tbl>
    <w:p w14:paraId="7715CAAE">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4、乙方供货的药剂的原料应符合《生化法处理废（污）水用碳源 乙酸钠》(HG/T 5959-2021 )标准要求。</w:t>
      </w:r>
    </w:p>
    <w:p w14:paraId="6DDC8FC1">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供货期间，如有发布最新的行业标准或国家标准，甲方有权根据甲方运营项目实际情况及有关行业标准或国家标准对合同的主要技术指标进行变更调整，乙方应无条件接受。</w:t>
      </w:r>
    </w:p>
    <w:p w14:paraId="2489BA8C">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、乙方应根据各项目工艺以及性质，提供保证供货的药剂用作碳源达到良好的脱氮效果；乙方提供的药剂不得造成污水处理厂其他出水水质指标如氨氮、总磷明显升高。</w:t>
      </w:r>
    </w:p>
    <w:p w14:paraId="58FA3C86">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、乙方所供产品的真实质量，必须满足本合同约定及招标文件用户需求书规定的所有技术指标。</w:t>
      </w:r>
    </w:p>
    <w:p w14:paraId="1C7F62F5">
      <w:pPr>
        <w:snapToGrid w:val="0"/>
        <w:spacing w:line="360" w:lineRule="auto"/>
        <w:ind w:firstLine="420" w:firstLineChars="200"/>
        <w:rPr>
          <w:rFonts w:hint="eastAsia" w:ascii="宋体" w:hAnsi="宋体" w:eastAsia="宋体" w:cs="宋体"/>
          <w:color w:val="auto"/>
          <w:sz w:val="21"/>
          <w:szCs w:val="21"/>
          <w:highlight w:val="none"/>
        </w:rPr>
      </w:pPr>
    </w:p>
    <w:p w14:paraId="625754FE">
      <w:pPr>
        <w:snapToGrid w:val="0"/>
        <w:spacing w:line="360" w:lineRule="auto"/>
        <w:ind w:firstLine="373" w:firstLineChars="177"/>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第五条 交货要求</w:t>
      </w:r>
    </w:p>
    <w:p w14:paraId="31473919">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1、交货地点：甲方在东莞市范围内的运营项目。</w:t>
      </w:r>
    </w:p>
    <w:p w14:paraId="4DC8E0DA">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2、交货时间：</w:t>
      </w:r>
      <w:r>
        <w:rPr>
          <w:rFonts w:hint="eastAsia" w:ascii="宋体" w:hAnsi="宋体" w:eastAsia="宋体" w:cs="宋体"/>
          <w:color w:val="auto"/>
          <w:kern w:val="2"/>
          <w:sz w:val="21"/>
          <w:szCs w:val="21"/>
          <w:highlight w:val="none"/>
        </w:rPr>
        <w:t>日常供货（非加急供货)为接到供货通知24小时内，加急供货为接到供货通知4小时内，具体交货时间以甲方运营项目供货通知为准。甲方无需因加急供货而额外支付任何费用</w:t>
      </w:r>
      <w:r>
        <w:rPr>
          <w:rFonts w:hint="eastAsia" w:ascii="宋体" w:hAnsi="宋体" w:eastAsia="宋体" w:cs="宋体"/>
          <w:color w:val="auto"/>
          <w:sz w:val="21"/>
          <w:szCs w:val="21"/>
          <w:highlight w:val="none"/>
        </w:rPr>
        <w:t>。</w:t>
      </w:r>
    </w:p>
    <w:p w14:paraId="0662B08B">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自行负责将生产药剂运送至甲方运营项目指定位置（生产药剂储存罐），未经甲方书面同意，乙方不得私自将本合同项下的货物运输义务委托第三方个人或企业。乙方承担相应的运输、装卸等费用，运输人员应配备足够防护器具。如在运输及装卸过程中，生产药剂发生泄漏，应由乙方负责清理收集，避免造成人员伤害或环境污染。</w:t>
      </w:r>
    </w:p>
    <w:p w14:paraId="33FA36FF">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4、每次送货，乙方须提供电子地磅的称重单（含载货时的称重单和卸货后的称重单），相关费用由乙方承担。实际供货数量以甲方运营项目和乙方双方确认的电子地磅的称重单为准。</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运营项目有电子地磅的，原则上在</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运营项目过磅；</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运营项目无电子地磅或电子地磅因检修等原因不可用的，在交货地点附近的电子地磅过磅。</w:t>
      </w: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val="en-US" w:eastAsia="zh-CN"/>
        </w:rPr>
        <w:t>及甲方关联公司</w:t>
      </w:r>
      <w:r>
        <w:rPr>
          <w:rFonts w:hint="eastAsia" w:ascii="宋体" w:hAnsi="宋体" w:eastAsia="宋体" w:cs="宋体"/>
          <w:color w:val="auto"/>
          <w:szCs w:val="21"/>
          <w:highlight w:val="none"/>
        </w:rPr>
        <w:t>电子地磅的称重服务不含税单价为1.51元/吨，称重服务相关条款由甲方</w:t>
      </w:r>
      <w:r>
        <w:rPr>
          <w:rFonts w:hint="eastAsia" w:ascii="宋体" w:hAnsi="宋体" w:eastAsia="宋体" w:cs="宋体"/>
          <w:color w:val="auto"/>
          <w:szCs w:val="21"/>
          <w:highlight w:val="none"/>
          <w:lang w:val="en-US" w:eastAsia="zh-CN"/>
        </w:rPr>
        <w:t>或甲方关联公司</w:t>
      </w:r>
      <w:r>
        <w:rPr>
          <w:rFonts w:hint="eastAsia" w:ascii="宋体" w:hAnsi="宋体" w:eastAsia="宋体" w:cs="宋体"/>
          <w:color w:val="auto"/>
          <w:szCs w:val="21"/>
          <w:highlight w:val="none"/>
        </w:rPr>
        <w:t>与</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签订称重服务合同另行约定。</w:t>
      </w:r>
    </w:p>
    <w:p w14:paraId="5B593A7F">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5、每次送货，乙方须随货提供生产厂家出具的具有</w:t>
      </w:r>
      <w:r>
        <w:rPr>
          <w:rFonts w:hint="eastAsia" w:ascii="宋体" w:hAnsi="宋体" w:eastAsia="宋体" w:cs="宋体"/>
          <w:b/>
          <w:bCs/>
          <w:color w:val="auto"/>
          <w:sz w:val="21"/>
          <w:szCs w:val="21"/>
          <w:highlight w:val="none"/>
        </w:rPr>
        <w:t>生产厂家、出厂批号、乙酸钠质量分数、化学需氧量</w:t>
      </w:r>
      <w:r>
        <w:rPr>
          <w:rFonts w:hint="eastAsia" w:ascii="宋体" w:hAnsi="宋体" w:eastAsia="宋体" w:cs="宋体"/>
          <w:b/>
          <w:bCs/>
          <w:color w:val="auto"/>
          <w:szCs w:val="21"/>
          <w:highlight w:val="none"/>
        </w:rPr>
        <w:t>（COD</w:t>
      </w:r>
      <w:r>
        <w:rPr>
          <w:rFonts w:hint="eastAsia" w:ascii="宋体" w:hAnsi="宋体" w:eastAsia="宋体" w:cs="宋体"/>
          <w:b/>
          <w:bCs/>
          <w:color w:val="auto"/>
          <w:szCs w:val="21"/>
          <w:highlight w:val="none"/>
          <w:vertAlign w:val="subscript"/>
        </w:rPr>
        <w:t>Cr</w:t>
      </w:r>
      <w:r>
        <w:rPr>
          <w:rFonts w:hint="eastAsia" w:ascii="宋体" w:hAnsi="宋体" w:eastAsia="宋体" w:cs="宋体"/>
          <w:b/>
          <w:bCs/>
          <w:color w:val="auto"/>
          <w:szCs w:val="21"/>
          <w:highlight w:val="none"/>
        </w:rPr>
        <w:t>）</w:t>
      </w:r>
      <w:r>
        <w:rPr>
          <w:rFonts w:hint="eastAsia" w:ascii="宋体" w:hAnsi="宋体" w:eastAsia="宋体" w:cs="宋体"/>
          <w:b/>
          <w:bCs/>
          <w:color w:val="auto"/>
          <w:sz w:val="21"/>
          <w:szCs w:val="21"/>
          <w:highlight w:val="none"/>
        </w:rPr>
        <w:t>、pH值、水不溶物的质量分数、氯化物的质量分数等主要信息</w:t>
      </w:r>
      <w:r>
        <w:rPr>
          <w:rFonts w:hint="eastAsia" w:ascii="宋体" w:hAnsi="宋体" w:eastAsia="宋体" w:cs="宋体"/>
          <w:color w:val="auto"/>
          <w:sz w:val="21"/>
          <w:szCs w:val="21"/>
          <w:highlight w:val="none"/>
        </w:rPr>
        <w:t>的</w:t>
      </w:r>
      <w:r>
        <w:rPr>
          <w:rFonts w:hint="eastAsia" w:ascii="宋体" w:hAnsi="宋体" w:eastAsia="宋体" w:cs="宋体"/>
          <w:color w:val="auto"/>
          <w:szCs w:val="21"/>
          <w:highlight w:val="none"/>
        </w:rPr>
        <w:t>符合表1《</w:t>
      </w:r>
      <w:r>
        <w:rPr>
          <w:rFonts w:hint="eastAsia" w:ascii="宋体" w:hAnsi="宋体" w:eastAsia="宋体" w:cs="宋体"/>
          <w:color w:val="auto"/>
          <w:szCs w:val="21"/>
          <w:highlight w:val="none"/>
          <w:lang w:eastAsia="zh-CN"/>
        </w:rPr>
        <w:t>液体乙酸钠</w:t>
      </w:r>
      <w:r>
        <w:rPr>
          <w:rFonts w:hint="eastAsia" w:ascii="宋体" w:hAnsi="宋体" w:eastAsia="宋体" w:cs="宋体"/>
          <w:color w:val="auto"/>
          <w:szCs w:val="21"/>
          <w:highlight w:val="none"/>
        </w:rPr>
        <w:t>主要技术指标》要求的</w:t>
      </w:r>
      <w:r>
        <w:rPr>
          <w:rFonts w:hint="eastAsia" w:ascii="宋体" w:hAnsi="宋体" w:eastAsia="宋体" w:cs="宋体"/>
          <w:color w:val="auto"/>
          <w:sz w:val="21"/>
          <w:szCs w:val="21"/>
          <w:highlight w:val="none"/>
        </w:rPr>
        <w:t>产品质量检验报告（如出厂检验报告、质量检验报告等）、供货单据等资料，乙方提供的检验报告只作为甲方运营项目参考。</w:t>
      </w:r>
    </w:p>
    <w:p w14:paraId="66D901A6">
      <w:pPr>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6、供货期间，在收到甲方运营项目供货通知前，乙方无需为合同履行做准备工作。</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运营项目相关信息见附件</w:t>
      </w:r>
      <w:r>
        <w:rPr>
          <w:rFonts w:hint="eastAsia" w:ascii="宋体" w:hAnsi="宋体" w:eastAsia="宋体" w:cs="宋体"/>
          <w:color w:val="auto"/>
          <w:sz w:val="21"/>
          <w:szCs w:val="21"/>
          <w:highlight w:val="none"/>
          <w:lang w:eastAsia="zh-CN"/>
        </w:rPr>
        <w:t>。</w:t>
      </w:r>
    </w:p>
    <w:p w14:paraId="1E1AC9C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7、关于生产药剂的贮存装置、贮存条件等要求，乙方应以书面形式详细告知甲方运营项目。</w:t>
      </w:r>
    </w:p>
    <w:p w14:paraId="5B7E2703">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8、生产药剂的运送及输送方式应符合国家或行业规范标准。液体药剂采用聚乙烯塑料桶或专用耐酸耐腐蚀贮罐等密闭容器装运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禁止与酸性物质共运，运输过程防止药剂泄漏并避免有毒物品的污染，且乙方或其委托的运输单位应当具备国家及行业规定的运输资质。</w:t>
      </w:r>
    </w:p>
    <w:p w14:paraId="4CF34788">
      <w:pPr>
        <w:snapToGrid w:val="0"/>
        <w:spacing w:line="360" w:lineRule="auto"/>
        <w:ind w:firstLine="420" w:firstLineChars="200"/>
        <w:rPr>
          <w:rFonts w:hint="eastAsia" w:ascii="宋体" w:hAnsi="宋体" w:eastAsia="宋体" w:cs="宋体"/>
          <w:color w:val="auto"/>
          <w:sz w:val="21"/>
          <w:szCs w:val="21"/>
          <w:highlight w:val="none"/>
        </w:rPr>
      </w:pPr>
    </w:p>
    <w:p w14:paraId="12FF08E7">
      <w:pPr>
        <w:snapToGrid w:val="0"/>
        <w:spacing w:line="360" w:lineRule="auto"/>
        <w:ind w:firstLine="422" w:firstLineChars="20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第六条 储存</w:t>
      </w:r>
    </w:p>
    <w:p w14:paraId="4876BCC8">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乙方应协助和指导甲方进行货物的储存，对甲方的储存方式、方法、储存数量、仓库的安全设施设备、安全生产规章制度等是否符合国家标准或者国家有关规定提出合理的建议，并进行技术指导。</w:t>
      </w:r>
    </w:p>
    <w:p w14:paraId="26B4AE76">
      <w:pPr>
        <w:snapToGrid w:val="0"/>
        <w:spacing w:line="360" w:lineRule="auto"/>
        <w:ind w:firstLine="373" w:firstLineChars="177"/>
        <w:rPr>
          <w:rFonts w:hint="eastAsia" w:ascii="宋体" w:hAnsi="宋体" w:eastAsia="宋体" w:cs="宋体"/>
          <w:b/>
          <w:color w:val="auto"/>
          <w:sz w:val="21"/>
          <w:szCs w:val="21"/>
          <w:highlight w:val="none"/>
        </w:rPr>
      </w:pPr>
    </w:p>
    <w:p w14:paraId="23487568">
      <w:pPr>
        <w:snapToGrid w:val="0"/>
        <w:spacing w:line="360" w:lineRule="auto"/>
        <w:ind w:firstLine="373" w:firstLineChars="177"/>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第七条 验收要求</w:t>
      </w:r>
    </w:p>
    <w:p w14:paraId="17354FB2">
      <w:pPr>
        <w:autoSpaceDE/>
        <w:autoSpaceDN/>
        <w:adjustRightInd/>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rPr>
        <w:t>1、验收分为货到交货地点的初步验收，和货物检验合格后的最终验收。</w:t>
      </w:r>
    </w:p>
    <w:p w14:paraId="2C2418DF">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（1）初步验收：</w:t>
      </w:r>
    </w:p>
    <w:p w14:paraId="59627752">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1）货物运抵交货地点，甲方运营项目、乙方共同验货。甲方运营项目按照本合同及招标文件，对货物的数量、品种、随车产品质量检验报告、供货单据等进行核对。</w:t>
      </w:r>
    </w:p>
    <w:p w14:paraId="09BB6BF0">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2）初步验收合格后，甲方运营项目、乙方双方进行相关签收手续。</w:t>
      </w:r>
    </w:p>
    <w:p w14:paraId="12684AB2">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（2）最终验收</w:t>
      </w:r>
    </w:p>
    <w:p w14:paraId="0F6E47F8">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对每次供货货物检验，检验指标由</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在</w:t>
      </w:r>
      <w:bookmarkStart w:id="558" w:name="OLE_LINK12"/>
      <w:r>
        <w:rPr>
          <w:rFonts w:hint="eastAsia" w:ascii="宋体" w:hAnsi="宋体" w:eastAsia="宋体" w:cs="宋体"/>
          <w:b/>
          <w:bCs/>
          <w:color w:val="auto"/>
          <w:sz w:val="21"/>
          <w:szCs w:val="21"/>
          <w:highlight w:val="none"/>
        </w:rPr>
        <w:t>表1</w:t>
      </w:r>
      <w:r>
        <w:rPr>
          <w:rFonts w:hint="eastAsia" w:ascii="宋体" w:hAnsi="宋体" w:eastAsia="宋体" w:cs="宋体"/>
          <w:b/>
          <w:bCs/>
          <w:color w:val="auto"/>
          <w:sz w:val="21"/>
          <w:szCs w:val="21"/>
          <w:highlight w:val="none"/>
          <w:lang w:eastAsia="zh-CN"/>
        </w:rPr>
        <w:t>《液体乙酸钠主要技术指标》</w:t>
      </w:r>
      <w:bookmarkEnd w:id="558"/>
      <w:r>
        <w:rPr>
          <w:rFonts w:hint="eastAsia" w:ascii="宋体" w:hAnsi="宋体" w:eastAsia="宋体" w:cs="宋体"/>
          <w:b/>
          <w:bCs/>
          <w:color w:val="auto"/>
          <w:sz w:val="21"/>
          <w:szCs w:val="21"/>
          <w:highlight w:val="none"/>
        </w:rPr>
        <w:t>中选择，</w:t>
      </w:r>
      <w:r>
        <w:rPr>
          <w:rFonts w:hint="eastAsia" w:ascii="宋体" w:hAnsi="宋体" w:eastAsia="宋体" w:cs="宋体"/>
          <w:color w:val="auto"/>
          <w:sz w:val="21"/>
          <w:szCs w:val="21"/>
          <w:highlight w:val="none"/>
        </w:rPr>
        <w:t>其中</w:t>
      </w:r>
      <w:r>
        <w:rPr>
          <w:rFonts w:hint="eastAsia" w:ascii="宋体" w:hAnsi="宋体" w:eastAsia="宋体" w:cs="宋体"/>
          <w:color w:val="auto"/>
          <w:sz w:val="21"/>
          <w:szCs w:val="21"/>
          <w:highlight w:val="none"/>
          <w:lang w:val="en-US" w:eastAsia="zh-CN"/>
        </w:rPr>
        <w:t>乙酸钠的质量分数、化学需氧量（COD</w:t>
      </w:r>
      <w:r>
        <w:rPr>
          <w:rFonts w:hint="eastAsia" w:ascii="宋体" w:hAnsi="宋体" w:eastAsia="宋体" w:cs="宋体"/>
          <w:color w:val="auto"/>
          <w:sz w:val="21"/>
          <w:szCs w:val="21"/>
          <w:highlight w:val="none"/>
          <w:vertAlign w:val="subscript"/>
          <w:lang w:val="en-US" w:eastAsia="zh-CN"/>
        </w:rPr>
        <w:t>Cr</w:t>
      </w:r>
      <w:r>
        <w:rPr>
          <w:rFonts w:hint="eastAsia" w:ascii="宋体" w:hAnsi="宋体" w:eastAsia="宋体" w:cs="宋体"/>
          <w:color w:val="auto"/>
          <w:sz w:val="21"/>
          <w:szCs w:val="21"/>
          <w:highlight w:val="none"/>
          <w:lang w:val="en-US" w:eastAsia="zh-CN"/>
        </w:rPr>
        <w:t>）、pH值</w:t>
      </w:r>
      <w:r>
        <w:rPr>
          <w:rFonts w:hint="eastAsia" w:ascii="宋体" w:hAnsi="宋体" w:eastAsia="宋体" w:cs="宋体"/>
          <w:color w:val="auto"/>
          <w:sz w:val="21"/>
          <w:szCs w:val="21"/>
          <w:highlight w:val="none"/>
        </w:rPr>
        <w:t>为每次供货货物的批检检验指标，其余指标为甲方根据需要抽检的按需检验指标，货物批检检验指标和按需检验指标由甲方根据甲方</w:t>
      </w:r>
      <w:r>
        <w:rPr>
          <w:rFonts w:hint="eastAsia" w:ascii="宋体" w:hAnsi="宋体" w:eastAsia="宋体" w:cs="宋体"/>
          <w:color w:val="auto"/>
          <w:sz w:val="21"/>
          <w:szCs w:val="21"/>
          <w:highlight w:val="none"/>
          <w:lang w:bidi="ar"/>
        </w:rPr>
        <w:t>关于药剂的管理制度及要求适时调整。</w:t>
      </w:r>
      <w:r>
        <w:rPr>
          <w:rFonts w:hint="eastAsia" w:ascii="宋体" w:hAnsi="宋体" w:eastAsia="宋体" w:cs="宋体"/>
          <w:color w:val="auto"/>
          <w:sz w:val="21"/>
          <w:szCs w:val="21"/>
          <w:highlight w:val="none"/>
        </w:rPr>
        <w:t>每次货到现场时可由双方共同取样，供货货物合格判定以甲方实验室检验结果为准。甲方根据需要可委托具有CMA认证资质的第三方检测机构检测，甲方委托的具有CMA认证资质的第三方检测机构的检验结果与甲方实验室不一致的，该次的供货货物质量判定以甲方委托的具有CMA认证资质的第三方检测机构的检验结果为准。</w:t>
      </w:r>
    </w:p>
    <w:p w14:paraId="1C780ED6">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color w:val="auto"/>
          <w:sz w:val="21"/>
          <w:szCs w:val="21"/>
          <w:highlight w:val="none"/>
        </w:rPr>
        <w:t>货物检验方法按《</w:t>
      </w:r>
      <w:r>
        <w:rPr>
          <w:rFonts w:hint="eastAsia" w:ascii="宋体" w:hAnsi="宋体" w:eastAsia="宋体" w:cs="宋体"/>
          <w:b/>
          <w:color w:val="auto"/>
          <w:sz w:val="21"/>
          <w:szCs w:val="21"/>
          <w:highlight w:val="none"/>
          <w:lang w:eastAsia="zh-CN"/>
        </w:rPr>
        <w:t xml:space="preserve">生化法处理废（污）水用碳源 乙酸钠》(HG/T 5959-2021 </w:t>
      </w:r>
      <w:r>
        <w:rPr>
          <w:rFonts w:hint="eastAsia" w:ascii="宋体" w:hAnsi="宋体" w:eastAsia="宋体" w:cs="宋体"/>
          <w:b/>
          <w:color w:val="auto"/>
          <w:sz w:val="21"/>
          <w:szCs w:val="21"/>
          <w:highlight w:val="none"/>
        </w:rPr>
        <w:t>）中的检测方法进行</w:t>
      </w:r>
      <w:r>
        <w:rPr>
          <w:rFonts w:hint="eastAsia" w:ascii="宋体" w:hAnsi="宋体" w:eastAsia="宋体" w:cs="宋体"/>
          <w:color w:val="auto"/>
          <w:sz w:val="21"/>
          <w:szCs w:val="21"/>
          <w:highlight w:val="none"/>
        </w:rPr>
        <w:t>。供货期间，如有发布最新的行业标准或国家标准，货物检验方法按发布的最新行业标准或国家标准执行。</w:t>
      </w:r>
    </w:p>
    <w:p w14:paraId="42121474">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3）如供货货物符合</w:t>
      </w:r>
      <w:bookmarkStart w:id="559" w:name="OLE_LINK20"/>
      <w:r>
        <w:rPr>
          <w:rFonts w:hint="eastAsia" w:ascii="宋体" w:hAnsi="宋体" w:eastAsia="宋体" w:cs="宋体"/>
          <w:b/>
          <w:color w:val="auto"/>
          <w:sz w:val="21"/>
          <w:szCs w:val="21"/>
          <w:highlight w:val="none"/>
        </w:rPr>
        <w:t>表1《</w:t>
      </w:r>
      <w:r>
        <w:rPr>
          <w:rFonts w:hint="eastAsia" w:ascii="宋体" w:hAnsi="宋体" w:eastAsia="宋体" w:cs="宋体"/>
          <w:b/>
          <w:color w:val="auto"/>
          <w:sz w:val="21"/>
          <w:szCs w:val="21"/>
          <w:highlight w:val="none"/>
          <w:lang w:eastAsia="zh-CN"/>
        </w:rPr>
        <w:t>液体乙酸钠</w:t>
      </w:r>
      <w:r>
        <w:rPr>
          <w:rFonts w:hint="eastAsia" w:ascii="宋体" w:hAnsi="宋体" w:eastAsia="宋体" w:cs="宋体"/>
          <w:b/>
          <w:color w:val="auto"/>
          <w:sz w:val="21"/>
          <w:szCs w:val="21"/>
          <w:highlight w:val="none"/>
        </w:rPr>
        <w:t>主要技术指标》</w:t>
      </w:r>
      <w:bookmarkEnd w:id="559"/>
      <w:r>
        <w:rPr>
          <w:rFonts w:hint="eastAsia" w:ascii="宋体" w:hAnsi="宋体" w:eastAsia="宋体" w:cs="宋体"/>
          <w:color w:val="auto"/>
          <w:sz w:val="21"/>
          <w:szCs w:val="21"/>
          <w:highlight w:val="none"/>
        </w:rPr>
        <w:t>要求则最终验收合格。</w:t>
      </w:r>
    </w:p>
    <w:p w14:paraId="157CD640">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2、货物按上述程序验收后，甲方运营项目向乙方出具书面的验收报告，乙方需对验收报告盖章确认。验收报告作为对货物供货数量及主要技术指标验收的证明，不代表对货物使用效果的认可。</w:t>
      </w:r>
    </w:p>
    <w:p w14:paraId="6A3A4A52">
      <w:pPr>
        <w:autoSpaceDE/>
        <w:autoSpaceDN/>
        <w:adjustRightInd/>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rPr>
        <w:t>3、甲方运营项目根据本条规定对货物所做出的验收，仅作为起算付款及质保期之用，不视为双方对于货物质量的最终认可，乙方仍应在质保期内对产品质量承担保证责任。</w:t>
      </w:r>
    </w:p>
    <w:p w14:paraId="2A601B3F">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4、货物在经最终验收合格前，其损耗、毁损、灭失等风险及责任由乙方承担，如因发生前述情形，导致乙方所提供的货物不能通过甲方运营项目验收的，乙方应按甲方运营项目要求无条件予以退换货，给甲方造成损失的乙方须承担全部的赔偿责任</w:t>
      </w:r>
      <w:r>
        <w:rPr>
          <w:rFonts w:hint="eastAsia" w:ascii="宋体" w:hAnsi="宋体" w:eastAsia="宋体" w:cs="宋体"/>
          <w:color w:val="auto"/>
          <w:sz w:val="21"/>
          <w:szCs w:val="21"/>
          <w:highlight w:val="none"/>
        </w:rPr>
        <w:t>。</w:t>
      </w:r>
    </w:p>
    <w:p w14:paraId="65E93DD6">
      <w:pPr>
        <w:snapToGrid w:val="0"/>
        <w:spacing w:line="360" w:lineRule="auto"/>
        <w:ind w:firstLine="420" w:firstLineChars="200"/>
        <w:outlineLvl w:val="9"/>
        <w:rPr>
          <w:rFonts w:hint="eastAsia" w:ascii="宋体" w:hAnsi="宋体" w:eastAsia="宋体" w:cs="宋体"/>
          <w:color w:val="auto"/>
          <w:sz w:val="21"/>
          <w:szCs w:val="21"/>
          <w:highlight w:val="none"/>
        </w:rPr>
      </w:pPr>
    </w:p>
    <w:p w14:paraId="2BC5054B">
      <w:pPr>
        <w:autoSpaceDE/>
        <w:autoSpaceDN/>
        <w:adjustRightInd/>
        <w:spacing w:line="360" w:lineRule="auto"/>
        <w:ind w:firstLine="422" w:firstLineChars="200"/>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第八条 资料要求</w:t>
      </w:r>
    </w:p>
    <w:p w14:paraId="0D07BE93">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1、乙方需向甲方运营项目提供但不限于下述技术资料：</w:t>
      </w:r>
    </w:p>
    <w:p w14:paraId="097EB40A">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kern w:val="2"/>
          <w:sz w:val="21"/>
          <w:szCs w:val="21"/>
          <w:highlight w:val="none"/>
        </w:rPr>
        <w:t>符合第五条交货要求第5点要求的产品质量检验报告（如出厂检验报告、质量检验报告等）</w:t>
      </w:r>
      <w:r>
        <w:rPr>
          <w:rFonts w:hint="eastAsia" w:ascii="宋体" w:hAnsi="宋体" w:eastAsia="宋体" w:cs="宋体"/>
          <w:color w:val="auto"/>
          <w:sz w:val="21"/>
          <w:szCs w:val="21"/>
          <w:highlight w:val="none"/>
        </w:rPr>
        <w:t>、供货单据；</w:t>
      </w:r>
    </w:p>
    <w:p w14:paraId="32A13BBB">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（2）验收报告；</w:t>
      </w:r>
    </w:p>
    <w:p w14:paraId="6724B70C">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（3）与货物使用相关的其他文件；</w:t>
      </w:r>
    </w:p>
    <w:p w14:paraId="40BD0FD9">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（4）甲方运营项目要求提供的其他技术资料。</w:t>
      </w:r>
    </w:p>
    <w:p w14:paraId="4C3A29C8">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2、乙方需将上述资料（若上述资料为复印件的，则须加盖乙方公章）在交货时交给甲方运营项目，有关资料的收集和整理由乙方负责，甲方运营项目予以配合。</w:t>
      </w:r>
    </w:p>
    <w:p w14:paraId="4CAB7071">
      <w:pPr>
        <w:autoSpaceDE/>
        <w:autoSpaceDN/>
        <w:adjustRightInd/>
        <w:spacing w:line="360" w:lineRule="auto"/>
        <w:ind w:firstLine="420"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kern w:val="2"/>
          <w:sz w:val="21"/>
          <w:szCs w:val="21"/>
          <w:highlight w:val="none"/>
        </w:rPr>
        <w:t>供货期内，</w:t>
      </w:r>
      <w:r>
        <w:rPr>
          <w:rFonts w:hint="eastAsia" w:ascii="宋体" w:hAnsi="宋体" w:eastAsia="宋体" w:cs="宋体"/>
          <w:color w:val="auto"/>
          <w:sz w:val="21"/>
          <w:szCs w:val="21"/>
          <w:highlight w:val="none"/>
        </w:rPr>
        <w:t>乙方</w:t>
      </w:r>
      <w:r>
        <w:rPr>
          <w:rFonts w:hint="eastAsia" w:ascii="宋体" w:hAnsi="宋体" w:eastAsia="宋体" w:cs="宋体"/>
          <w:color w:val="auto"/>
          <w:kern w:val="2"/>
          <w:sz w:val="21"/>
          <w:szCs w:val="21"/>
          <w:highlight w:val="none"/>
        </w:rPr>
        <w:t>需每季度委托具有CMA认证资质的第三方检测机构对供货期间所供货物进行检测，并提供第三方检测机构出具的</w:t>
      </w:r>
      <w:r>
        <w:rPr>
          <w:rFonts w:hint="eastAsia" w:ascii="宋体" w:hAnsi="宋体" w:eastAsia="宋体" w:cs="宋体"/>
          <w:color w:val="auto"/>
          <w:szCs w:val="21"/>
          <w:highlight w:val="none"/>
        </w:rPr>
        <w:t>符合表1《</w:t>
      </w:r>
      <w:r>
        <w:rPr>
          <w:rFonts w:hint="eastAsia" w:ascii="宋体" w:hAnsi="宋体" w:eastAsia="宋体" w:cs="宋体"/>
          <w:color w:val="auto"/>
          <w:szCs w:val="21"/>
          <w:highlight w:val="none"/>
          <w:lang w:eastAsia="zh-CN"/>
        </w:rPr>
        <w:t>液体乙酸钠</w:t>
      </w:r>
      <w:r>
        <w:rPr>
          <w:rFonts w:hint="eastAsia" w:ascii="宋体" w:hAnsi="宋体" w:eastAsia="宋体" w:cs="宋体"/>
          <w:color w:val="auto"/>
          <w:szCs w:val="21"/>
          <w:highlight w:val="none"/>
        </w:rPr>
        <w:t>主要技术指标》要求的</w:t>
      </w:r>
      <w:r>
        <w:rPr>
          <w:rFonts w:hint="eastAsia" w:ascii="宋体" w:hAnsi="宋体" w:eastAsia="宋体" w:cs="宋体"/>
          <w:color w:val="auto"/>
          <w:kern w:val="2"/>
          <w:sz w:val="21"/>
          <w:szCs w:val="21"/>
          <w:highlight w:val="none"/>
        </w:rPr>
        <w:t>检验报告，检验报告上的标徽应包括但不限于CMA认证标徽，</w:t>
      </w:r>
      <w:r>
        <w:rPr>
          <w:rFonts w:hint="eastAsia" w:ascii="宋体" w:hAnsi="宋体" w:eastAsia="宋体" w:cs="宋体"/>
          <w:b/>
          <w:bCs/>
          <w:color w:val="auto"/>
          <w:sz w:val="21"/>
          <w:szCs w:val="21"/>
          <w:highlight w:val="none"/>
        </w:rPr>
        <w:t>检验报告需体现委托方、生产厂家、送检样品的产品名称、生产批号或生产日期、表1《</w:t>
      </w:r>
      <w:r>
        <w:rPr>
          <w:rFonts w:hint="eastAsia" w:ascii="宋体" w:hAnsi="宋体" w:eastAsia="宋体" w:cs="宋体"/>
          <w:b/>
          <w:bCs/>
          <w:color w:val="auto"/>
          <w:szCs w:val="21"/>
          <w:highlight w:val="none"/>
          <w:lang w:eastAsia="zh-CN"/>
        </w:rPr>
        <w:t>液体乙酸钠</w:t>
      </w:r>
      <w:r>
        <w:rPr>
          <w:rFonts w:hint="eastAsia" w:ascii="宋体" w:hAnsi="宋体" w:eastAsia="宋体" w:cs="宋体"/>
          <w:b/>
          <w:bCs/>
          <w:color w:val="auto"/>
          <w:szCs w:val="21"/>
          <w:highlight w:val="none"/>
        </w:rPr>
        <w:t>主要技术指标</w:t>
      </w:r>
      <w:r>
        <w:rPr>
          <w:rFonts w:hint="eastAsia" w:ascii="宋体" w:hAnsi="宋体" w:eastAsia="宋体" w:cs="宋体"/>
          <w:b/>
          <w:bCs/>
          <w:color w:val="auto"/>
          <w:sz w:val="21"/>
          <w:szCs w:val="21"/>
          <w:highlight w:val="none"/>
        </w:rPr>
        <w:t>》中各指标</w:t>
      </w:r>
      <w:r>
        <w:rPr>
          <w:rFonts w:hint="eastAsia" w:ascii="宋体" w:hAnsi="宋体" w:eastAsia="宋体" w:cs="宋体"/>
          <w:b/>
          <w:bCs/>
          <w:color w:val="auto"/>
          <w:sz w:val="21"/>
          <w:szCs w:val="21"/>
          <w:highlight w:val="none"/>
          <w:lang w:val="en-US" w:eastAsia="zh-CN"/>
        </w:rPr>
        <w:t>项目</w:t>
      </w:r>
      <w:r>
        <w:rPr>
          <w:rFonts w:hint="eastAsia" w:ascii="宋体" w:hAnsi="宋体" w:eastAsia="宋体" w:cs="宋体"/>
          <w:b/>
          <w:bCs/>
          <w:color w:val="auto"/>
          <w:sz w:val="21"/>
          <w:szCs w:val="21"/>
          <w:highlight w:val="none"/>
        </w:rPr>
        <w:t>检测结果，检验报告</w:t>
      </w:r>
      <w:r>
        <w:rPr>
          <w:rFonts w:hint="eastAsia" w:ascii="宋体" w:hAnsi="宋体" w:eastAsia="宋体" w:cs="宋体"/>
          <w:b/>
          <w:bCs/>
          <w:color w:val="auto"/>
          <w:kern w:val="2"/>
          <w:sz w:val="21"/>
          <w:szCs w:val="21"/>
          <w:highlight w:val="none"/>
        </w:rPr>
        <w:t>使用的检测方法需符合《</w:t>
      </w:r>
      <w:r>
        <w:rPr>
          <w:rFonts w:hint="eastAsia" w:ascii="宋体" w:hAnsi="宋体" w:eastAsia="宋体" w:cs="宋体"/>
          <w:b/>
          <w:bCs/>
          <w:color w:val="auto"/>
          <w:kern w:val="2"/>
          <w:sz w:val="21"/>
          <w:szCs w:val="21"/>
          <w:highlight w:val="none"/>
          <w:lang w:eastAsia="zh-CN"/>
        </w:rPr>
        <w:t>生化法处理废（污）水用碳源 乙酸钠》(HG/T 5959-2021</w:t>
      </w:r>
      <w:r>
        <w:rPr>
          <w:rFonts w:hint="eastAsia" w:ascii="宋体" w:hAnsi="宋体" w:eastAsia="宋体" w:cs="宋体"/>
          <w:b/>
          <w:bCs/>
          <w:color w:val="auto"/>
          <w:kern w:val="2"/>
          <w:sz w:val="21"/>
          <w:szCs w:val="21"/>
          <w:highlight w:val="none"/>
        </w:rPr>
        <w:t>）</w:t>
      </w:r>
      <w:r>
        <w:rPr>
          <w:rFonts w:hint="eastAsia" w:ascii="宋体" w:hAnsi="宋体" w:eastAsia="宋体" w:cs="宋体"/>
          <w:b/>
          <w:bCs/>
          <w:color w:val="auto"/>
          <w:sz w:val="21"/>
          <w:szCs w:val="21"/>
          <w:highlight w:val="none"/>
        </w:rPr>
        <w:t>，</w:t>
      </w:r>
      <w:r>
        <w:rPr>
          <w:rFonts w:hint="eastAsia" w:ascii="宋体" w:hAnsi="宋体" w:eastAsia="宋体" w:cs="宋体"/>
          <w:b/>
          <w:bCs/>
          <w:color w:val="auto"/>
          <w:kern w:val="2"/>
          <w:sz w:val="21"/>
          <w:szCs w:val="21"/>
          <w:highlight w:val="none"/>
        </w:rPr>
        <w:t>检验报告中样品送检时间需在供货期内。</w:t>
      </w:r>
      <w:r>
        <w:rPr>
          <w:rFonts w:hint="eastAsia" w:ascii="宋体" w:hAnsi="宋体" w:eastAsia="宋体" w:cs="宋体"/>
          <w:color w:val="auto"/>
          <w:kern w:val="2"/>
          <w:sz w:val="21"/>
          <w:szCs w:val="21"/>
          <w:highlight w:val="none"/>
        </w:rPr>
        <w:t>供货期间，如有发布最新的行业标准或国家标准，货物检验方法按发布的最新行业标准或国家标准执行。</w:t>
      </w:r>
    </w:p>
    <w:p w14:paraId="126FF1C9">
      <w:pPr>
        <w:autoSpaceDE/>
        <w:autoSpaceDN/>
        <w:adjustRightInd/>
        <w:spacing w:line="360" w:lineRule="auto"/>
        <w:ind w:firstLine="42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w:t>
      </w:r>
      <w:r>
        <w:rPr>
          <w:rFonts w:hint="eastAsia" w:ascii="宋体" w:hAnsi="宋体" w:eastAsia="宋体" w:cs="宋体"/>
          <w:color w:val="auto"/>
          <w:sz w:val="21"/>
          <w:szCs w:val="21"/>
          <w:highlight w:val="none"/>
        </w:rPr>
        <w:t>乙方</w:t>
      </w:r>
      <w:r>
        <w:rPr>
          <w:rFonts w:hint="eastAsia" w:ascii="宋体" w:hAnsi="宋体" w:eastAsia="宋体" w:cs="宋体"/>
          <w:color w:val="auto"/>
          <w:kern w:val="2"/>
          <w:sz w:val="21"/>
          <w:szCs w:val="21"/>
          <w:highlight w:val="none"/>
        </w:rPr>
        <w:t>提交的技术资料在出现遗漏或发现错误时，应及时补充或更正后提交甲方运营项目。</w:t>
      </w:r>
    </w:p>
    <w:p w14:paraId="3B4308B2">
      <w:pPr>
        <w:snapToGrid w:val="0"/>
        <w:spacing w:line="360" w:lineRule="auto"/>
        <w:ind w:firstLine="420" w:firstLineChars="200"/>
        <w:rPr>
          <w:rFonts w:hint="eastAsia" w:ascii="宋体" w:hAnsi="宋体" w:eastAsia="宋体" w:cs="宋体"/>
          <w:color w:val="auto"/>
          <w:sz w:val="21"/>
          <w:szCs w:val="21"/>
          <w:highlight w:val="none"/>
        </w:rPr>
      </w:pPr>
    </w:p>
    <w:p w14:paraId="08F17E88">
      <w:pPr>
        <w:snapToGrid w:val="0"/>
        <w:spacing w:line="360" w:lineRule="auto"/>
        <w:ind w:firstLine="422" w:firstLineChars="20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第九条 权利保证</w:t>
      </w:r>
    </w:p>
    <w:p w14:paraId="0139C9D8">
      <w:pPr>
        <w:snapToGrid w:val="0"/>
        <w:spacing w:line="360" w:lineRule="auto"/>
        <w:ind w:firstLine="371" w:firstLineChars="177"/>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乙方应保证合同项下提供的货物不侵犯任何第三方的专利、商标、版权以及其它权利，否则，乙方须承担因此产生的全部责任及费用，如因此造成甲方损失的，乙方应予以足额赔偿。如果任何第三方提出侵权指控，乙方须与第三方交涉并承担由此发生的一切责任、费用和经济赔偿。由于乙方提供的货物或货物的任何一部分不符合知识产权规定，由乙方承担因此给甲方造成的全部损失。</w:t>
      </w:r>
    </w:p>
    <w:p w14:paraId="3F9F4941">
      <w:pPr>
        <w:snapToGrid w:val="0"/>
        <w:spacing w:line="360" w:lineRule="auto"/>
        <w:ind w:firstLine="373" w:firstLineChars="177"/>
        <w:rPr>
          <w:rFonts w:hint="eastAsia" w:ascii="宋体" w:hAnsi="宋体" w:eastAsia="宋体" w:cs="宋体"/>
          <w:b/>
          <w:color w:val="auto"/>
          <w:sz w:val="21"/>
          <w:szCs w:val="21"/>
          <w:highlight w:val="none"/>
        </w:rPr>
      </w:pPr>
    </w:p>
    <w:p w14:paraId="3E198CFA">
      <w:pPr>
        <w:snapToGrid w:val="0"/>
        <w:spacing w:line="360" w:lineRule="auto"/>
        <w:ind w:firstLine="373" w:firstLineChars="177"/>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第十条 质量保证及售后服务</w:t>
      </w:r>
    </w:p>
    <w:p w14:paraId="3D9C9959">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1、药剂保质期：</w:t>
      </w:r>
      <w:r>
        <w:rPr>
          <w:rFonts w:hint="eastAsia" w:ascii="宋体" w:hAnsi="宋体" w:eastAsia="宋体" w:cs="宋体"/>
          <w:b/>
          <w:color w:val="auto"/>
          <w:sz w:val="21"/>
          <w:szCs w:val="21"/>
          <w:highlight w:val="none"/>
        </w:rPr>
        <w:t>以</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运营项目</w:t>
      </w:r>
      <w:r>
        <w:rPr>
          <w:rFonts w:hint="eastAsia" w:ascii="宋体" w:hAnsi="宋体" w:eastAsia="宋体" w:cs="宋体"/>
          <w:b/>
          <w:color w:val="auto"/>
          <w:sz w:val="21"/>
          <w:szCs w:val="21"/>
          <w:highlight w:val="none"/>
          <w:lang w:val="en-US" w:eastAsia="zh-CN"/>
        </w:rPr>
        <w:t>最终</w:t>
      </w:r>
      <w:r>
        <w:rPr>
          <w:rFonts w:hint="eastAsia" w:ascii="宋体" w:hAnsi="宋体" w:eastAsia="宋体" w:cs="宋体"/>
          <w:b/>
          <w:color w:val="auto"/>
          <w:sz w:val="21"/>
          <w:szCs w:val="21"/>
          <w:highlight w:val="none"/>
        </w:rPr>
        <w:t>验收之日算起</w:t>
      </w:r>
      <w:r>
        <w:rPr>
          <w:rFonts w:hint="eastAsia" w:ascii="宋体" w:hAnsi="宋体" w:eastAsia="宋体" w:cs="宋体"/>
          <w:b/>
          <w:color w:val="auto"/>
          <w:sz w:val="21"/>
          <w:szCs w:val="21"/>
          <w:highlight w:val="none"/>
          <w:lang w:val="en-US" w:eastAsia="zh-CN"/>
        </w:rPr>
        <w:t>12</w:t>
      </w:r>
      <w:r>
        <w:rPr>
          <w:rFonts w:hint="eastAsia" w:ascii="宋体" w:hAnsi="宋体" w:eastAsia="宋体" w:cs="宋体"/>
          <w:b/>
          <w:color w:val="auto"/>
          <w:sz w:val="21"/>
          <w:szCs w:val="21"/>
          <w:highlight w:val="none"/>
        </w:rPr>
        <w:t>个月</w:t>
      </w:r>
      <w:r>
        <w:rPr>
          <w:rFonts w:hint="eastAsia" w:ascii="宋体" w:hAnsi="宋体" w:eastAsia="宋体" w:cs="宋体"/>
          <w:color w:val="auto"/>
          <w:sz w:val="21"/>
          <w:szCs w:val="21"/>
          <w:highlight w:val="none"/>
        </w:rPr>
        <w:t>，保质期内产品质量须达到本合同所有技术指标要求。</w:t>
      </w:r>
    </w:p>
    <w:p w14:paraId="12836062">
      <w:pPr>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2、乙方应具有相应的技术人员，具备供货及售前售后的服务能力。</w:t>
      </w:r>
    </w:p>
    <w:p w14:paraId="2E2E54C7">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3、乙方在接到质量问题通知后 4 小时内自费派工程师到达现场对问题进行处理。</w:t>
      </w:r>
    </w:p>
    <w:p w14:paraId="0C141CCF">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w:t>
      </w:r>
      <w:r>
        <w:rPr>
          <w:rFonts w:hint="eastAsia" w:ascii="宋体" w:hAnsi="宋体" w:eastAsia="宋体" w:cs="宋体"/>
          <w:color w:val="auto"/>
          <w:sz w:val="21"/>
          <w:szCs w:val="21"/>
          <w:highlight w:val="none"/>
        </w:rPr>
        <w:t>乙方</w:t>
      </w:r>
      <w:r>
        <w:rPr>
          <w:rFonts w:hint="eastAsia" w:ascii="宋体" w:hAnsi="宋体" w:eastAsia="宋体" w:cs="宋体"/>
          <w:color w:val="auto"/>
          <w:kern w:val="2"/>
          <w:sz w:val="21"/>
          <w:szCs w:val="21"/>
          <w:highlight w:val="none"/>
        </w:rPr>
        <w:t>应根据甲方</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需要免费提供培训，相关费用已计入综合单价，甲方无需另行支付任何费用。</w:t>
      </w:r>
    </w:p>
    <w:p w14:paraId="1FE3C8F2">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5、培训地点、规模及时间由</w:t>
      </w:r>
      <w:r>
        <w:rPr>
          <w:rFonts w:hint="eastAsia" w:ascii="宋体" w:hAnsi="宋体" w:eastAsia="宋体" w:cs="宋体"/>
          <w:color w:val="auto"/>
          <w:sz w:val="21"/>
          <w:szCs w:val="21"/>
          <w:highlight w:val="none"/>
        </w:rPr>
        <w:t>甲方运营项目</w:t>
      </w:r>
      <w:r>
        <w:rPr>
          <w:rFonts w:hint="eastAsia" w:ascii="宋体" w:hAnsi="宋体" w:eastAsia="宋体" w:cs="宋体"/>
          <w:color w:val="auto"/>
          <w:kern w:val="2"/>
          <w:sz w:val="21"/>
          <w:szCs w:val="21"/>
          <w:highlight w:val="none"/>
        </w:rPr>
        <w:t>指定，根据培训内容复杂程度，甲方</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有权要求乙方提供完整的书面培训计划和方案，列明提供培训的技术人员名单及资质，以及培训完成后甲方</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人员可达到的水平等。</w:t>
      </w:r>
    </w:p>
    <w:p w14:paraId="07CD813B">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6、在交货或合同履行过程中，若因所交货物（包括但不限于品种、型号、规格、质量）不符合</w:t>
      </w:r>
      <w:r>
        <w:rPr>
          <w:rFonts w:hint="eastAsia" w:ascii="宋体" w:hAnsi="宋体" w:eastAsia="宋体" w:cs="宋体"/>
          <w:color w:val="auto"/>
          <w:kern w:val="2"/>
          <w:sz w:val="21"/>
          <w:szCs w:val="21"/>
          <w:highlight w:val="none"/>
        </w:rPr>
        <w:t>甲方</w:t>
      </w:r>
      <w:r>
        <w:rPr>
          <w:rFonts w:hint="eastAsia" w:ascii="宋体" w:hAnsi="宋体" w:eastAsia="宋体" w:cs="宋体"/>
          <w:color w:val="auto"/>
          <w:sz w:val="21"/>
          <w:szCs w:val="21"/>
          <w:highlight w:val="none"/>
        </w:rPr>
        <w:t>运营项目要求、或货物使用过程中出现质量问题，导致乙方提供的生产药剂如不能通过</w:t>
      </w:r>
      <w:r>
        <w:rPr>
          <w:rFonts w:hint="eastAsia" w:ascii="宋体" w:hAnsi="宋体" w:eastAsia="宋体" w:cs="宋体"/>
          <w:color w:val="auto"/>
          <w:kern w:val="2"/>
          <w:sz w:val="21"/>
          <w:szCs w:val="21"/>
          <w:highlight w:val="none"/>
        </w:rPr>
        <w:t>甲方</w:t>
      </w:r>
      <w:r>
        <w:rPr>
          <w:rFonts w:hint="eastAsia" w:ascii="宋体" w:hAnsi="宋体" w:eastAsia="宋体" w:cs="宋体"/>
          <w:color w:val="auto"/>
          <w:sz w:val="21"/>
          <w:szCs w:val="21"/>
          <w:highlight w:val="none"/>
        </w:rPr>
        <w:t>运营项目验收的，</w:t>
      </w:r>
      <w:r>
        <w:rPr>
          <w:rFonts w:hint="eastAsia" w:ascii="宋体" w:hAnsi="宋体" w:eastAsia="宋体" w:cs="宋体"/>
          <w:color w:val="auto"/>
          <w:kern w:val="2"/>
          <w:sz w:val="21"/>
          <w:szCs w:val="21"/>
          <w:highlight w:val="none"/>
        </w:rPr>
        <w:t>甲方</w:t>
      </w:r>
      <w:r>
        <w:rPr>
          <w:rFonts w:hint="eastAsia" w:ascii="宋体" w:hAnsi="宋体" w:eastAsia="宋体" w:cs="宋体"/>
          <w:color w:val="auto"/>
          <w:sz w:val="21"/>
          <w:szCs w:val="21"/>
          <w:highlight w:val="none"/>
        </w:rPr>
        <w:t>运营项目可拒绝收货或要求乙方承担退换货责任。原则上乙方应该在不影响</w:t>
      </w:r>
      <w:r>
        <w:rPr>
          <w:rFonts w:hint="eastAsia" w:ascii="宋体" w:hAnsi="宋体" w:eastAsia="宋体" w:cs="宋体"/>
          <w:color w:val="auto"/>
          <w:kern w:val="2"/>
          <w:sz w:val="21"/>
          <w:szCs w:val="21"/>
          <w:highlight w:val="none"/>
        </w:rPr>
        <w:t>甲方</w:t>
      </w:r>
      <w:r>
        <w:rPr>
          <w:rFonts w:hint="eastAsia" w:ascii="宋体" w:hAnsi="宋体" w:eastAsia="宋体" w:cs="宋体"/>
          <w:color w:val="auto"/>
          <w:sz w:val="21"/>
          <w:szCs w:val="21"/>
          <w:highlight w:val="none"/>
        </w:rPr>
        <w:t>运营项目正常生产的情况下，自</w:t>
      </w:r>
      <w:r>
        <w:rPr>
          <w:rFonts w:hint="eastAsia" w:ascii="宋体" w:hAnsi="宋体" w:eastAsia="宋体" w:cs="宋体"/>
          <w:color w:val="auto"/>
          <w:kern w:val="2"/>
          <w:sz w:val="21"/>
          <w:szCs w:val="21"/>
          <w:highlight w:val="none"/>
        </w:rPr>
        <w:t>甲方</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通知之时起</w:t>
      </w:r>
      <w:r>
        <w:rPr>
          <w:rFonts w:hint="eastAsia" w:ascii="宋体" w:hAnsi="宋体" w:eastAsia="宋体" w:cs="宋体"/>
          <w:color w:val="auto"/>
          <w:sz w:val="21"/>
          <w:szCs w:val="21"/>
          <w:highlight w:val="none"/>
        </w:rPr>
        <w:t>4小时内无条件予以退换货，</w:t>
      </w:r>
      <w:r>
        <w:rPr>
          <w:rFonts w:hint="eastAsia" w:ascii="宋体" w:hAnsi="宋体" w:eastAsia="宋体" w:cs="宋体"/>
          <w:color w:val="auto"/>
          <w:kern w:val="2"/>
          <w:sz w:val="21"/>
          <w:szCs w:val="21"/>
          <w:highlight w:val="none"/>
        </w:rPr>
        <w:t>甲方</w:t>
      </w:r>
      <w:r>
        <w:rPr>
          <w:rFonts w:hint="eastAsia" w:ascii="宋体" w:hAnsi="宋体" w:eastAsia="宋体" w:cs="宋体"/>
          <w:color w:val="auto"/>
          <w:sz w:val="21"/>
          <w:szCs w:val="21"/>
          <w:highlight w:val="none"/>
        </w:rPr>
        <w:t>不承担因验收造成的货物损耗</w:t>
      </w:r>
      <w:r>
        <w:rPr>
          <w:rFonts w:hint="eastAsia" w:ascii="宋体" w:hAnsi="宋体" w:eastAsia="宋体" w:cs="宋体"/>
          <w:color w:val="auto"/>
          <w:kern w:val="2"/>
          <w:sz w:val="21"/>
          <w:szCs w:val="21"/>
          <w:highlight w:val="none"/>
        </w:rPr>
        <w:t>及运输等一切</w:t>
      </w:r>
      <w:r>
        <w:rPr>
          <w:rFonts w:hint="eastAsia" w:ascii="宋体" w:hAnsi="宋体" w:eastAsia="宋体" w:cs="宋体"/>
          <w:color w:val="auto"/>
          <w:sz w:val="21"/>
          <w:szCs w:val="21"/>
          <w:highlight w:val="none"/>
        </w:rPr>
        <w:t>费用且不对货物承担保管责任，因此产生的费用及风险由乙方承担。</w:t>
      </w:r>
    </w:p>
    <w:p w14:paraId="57F60FF6">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7、自</w:t>
      </w:r>
      <w:r>
        <w:rPr>
          <w:rFonts w:hint="eastAsia" w:ascii="宋体" w:hAnsi="宋体" w:eastAsia="宋体" w:cs="宋体"/>
          <w:color w:val="auto"/>
          <w:kern w:val="2"/>
          <w:sz w:val="21"/>
          <w:szCs w:val="21"/>
          <w:highlight w:val="none"/>
        </w:rPr>
        <w:t>甲方运营项目</w:t>
      </w:r>
      <w:r>
        <w:rPr>
          <w:rFonts w:hint="eastAsia" w:ascii="宋体" w:hAnsi="宋体" w:eastAsia="宋体" w:cs="宋体"/>
          <w:color w:val="auto"/>
          <w:sz w:val="21"/>
          <w:szCs w:val="21"/>
          <w:highlight w:val="none"/>
        </w:rPr>
        <w:t>通知货物检验不合格或货物使用过程中出现质量问题而要求乙方按照前述条款进行退换货之时起4小时之内乙方未将不合格货物运离</w:t>
      </w:r>
      <w:r>
        <w:rPr>
          <w:rFonts w:hint="eastAsia" w:ascii="宋体" w:hAnsi="宋体" w:eastAsia="宋体" w:cs="宋体"/>
          <w:color w:val="auto"/>
          <w:kern w:val="2"/>
          <w:sz w:val="21"/>
          <w:szCs w:val="21"/>
          <w:highlight w:val="none"/>
        </w:rPr>
        <w:t>甲方运营项目</w:t>
      </w:r>
      <w:r>
        <w:rPr>
          <w:rFonts w:hint="eastAsia" w:ascii="宋体" w:hAnsi="宋体" w:eastAsia="宋体" w:cs="宋体"/>
          <w:color w:val="auto"/>
          <w:sz w:val="21"/>
          <w:szCs w:val="21"/>
          <w:highlight w:val="none"/>
        </w:rPr>
        <w:t>仓库，</w:t>
      </w:r>
      <w:r>
        <w:rPr>
          <w:rFonts w:hint="eastAsia" w:ascii="宋体" w:hAnsi="宋体" w:eastAsia="宋体" w:cs="宋体"/>
          <w:color w:val="auto"/>
          <w:kern w:val="2"/>
          <w:sz w:val="21"/>
          <w:szCs w:val="21"/>
          <w:highlight w:val="none"/>
        </w:rPr>
        <w:t>甲方运营项目</w:t>
      </w:r>
      <w:r>
        <w:rPr>
          <w:rFonts w:hint="eastAsia" w:ascii="宋体" w:hAnsi="宋体" w:eastAsia="宋体" w:cs="宋体"/>
          <w:color w:val="auto"/>
          <w:sz w:val="21"/>
          <w:szCs w:val="21"/>
          <w:highlight w:val="none"/>
        </w:rPr>
        <w:t>可自行或委托第三方对不合格货物进行处置，乙方须承担</w:t>
      </w:r>
      <w:r>
        <w:rPr>
          <w:rFonts w:hint="eastAsia" w:ascii="宋体" w:hAnsi="宋体" w:eastAsia="宋体" w:cs="宋体"/>
          <w:color w:val="auto"/>
          <w:kern w:val="2"/>
          <w:sz w:val="21"/>
          <w:szCs w:val="21"/>
          <w:highlight w:val="none"/>
        </w:rPr>
        <w:t>甲方</w:t>
      </w:r>
      <w:r>
        <w:rPr>
          <w:rFonts w:hint="eastAsia" w:ascii="宋体" w:hAnsi="宋体" w:eastAsia="宋体" w:cs="宋体"/>
          <w:color w:val="auto"/>
          <w:sz w:val="21"/>
          <w:szCs w:val="21"/>
          <w:highlight w:val="none"/>
        </w:rPr>
        <w:t>处置该次不合格货物所需的全部费用，以及给甲方造成的一切损失。</w:t>
      </w:r>
    </w:p>
    <w:p w14:paraId="78FA7748">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8、自</w:t>
      </w:r>
      <w:r>
        <w:rPr>
          <w:rFonts w:hint="eastAsia" w:ascii="宋体" w:hAnsi="宋体" w:eastAsia="宋体" w:cs="宋体"/>
          <w:color w:val="auto"/>
          <w:kern w:val="2"/>
          <w:sz w:val="21"/>
          <w:szCs w:val="21"/>
          <w:highlight w:val="none"/>
        </w:rPr>
        <w:t>甲方运营项目</w:t>
      </w:r>
      <w:r>
        <w:rPr>
          <w:rFonts w:hint="eastAsia" w:ascii="宋体" w:hAnsi="宋体" w:eastAsia="宋体" w:cs="宋体"/>
          <w:color w:val="auto"/>
          <w:sz w:val="21"/>
          <w:szCs w:val="21"/>
          <w:highlight w:val="none"/>
        </w:rPr>
        <w:t>通知乙方货物检验不合格或货物使用过程中出现质量问题之时起，</w:t>
      </w:r>
      <w:r>
        <w:rPr>
          <w:rFonts w:hint="eastAsia" w:ascii="宋体" w:hAnsi="宋体" w:eastAsia="宋体" w:cs="宋体"/>
          <w:color w:val="auto"/>
          <w:kern w:val="2"/>
          <w:sz w:val="21"/>
          <w:szCs w:val="21"/>
          <w:highlight w:val="none"/>
        </w:rPr>
        <w:t>甲方运营项目</w:t>
      </w:r>
      <w:r>
        <w:rPr>
          <w:rFonts w:hint="eastAsia" w:ascii="宋体" w:hAnsi="宋体" w:eastAsia="宋体" w:cs="宋体"/>
          <w:color w:val="auto"/>
          <w:sz w:val="21"/>
          <w:szCs w:val="21"/>
          <w:highlight w:val="none"/>
        </w:rPr>
        <w:t>有权要求乙方按照加急供货的规定，将等量的合格货物送交</w:t>
      </w:r>
      <w:r>
        <w:rPr>
          <w:rFonts w:hint="eastAsia" w:ascii="宋体" w:hAnsi="宋体" w:eastAsia="宋体" w:cs="宋体"/>
          <w:color w:val="auto"/>
          <w:kern w:val="2"/>
          <w:sz w:val="21"/>
          <w:szCs w:val="21"/>
          <w:highlight w:val="none"/>
        </w:rPr>
        <w:t>甲方运营项目</w:t>
      </w:r>
      <w:r>
        <w:rPr>
          <w:rFonts w:hint="eastAsia" w:ascii="宋体" w:hAnsi="宋体" w:eastAsia="宋体" w:cs="宋体"/>
          <w:color w:val="auto"/>
          <w:sz w:val="21"/>
          <w:szCs w:val="21"/>
          <w:highlight w:val="none"/>
        </w:rPr>
        <w:t>，否则按加急供货的违约规定进行处理。</w:t>
      </w:r>
    </w:p>
    <w:p w14:paraId="528CFB08">
      <w:pPr>
        <w:rPr>
          <w:rFonts w:hint="eastAsia" w:ascii="宋体" w:hAnsi="宋体" w:eastAsia="宋体" w:cs="宋体"/>
          <w:color w:val="auto"/>
          <w:highlight w:val="none"/>
        </w:rPr>
      </w:pPr>
    </w:p>
    <w:p w14:paraId="0204E00F">
      <w:pPr>
        <w:snapToGrid w:val="0"/>
        <w:spacing w:line="360" w:lineRule="auto"/>
        <w:ind w:firstLine="373" w:firstLineChars="177"/>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第十一条 履约担保</w:t>
      </w:r>
    </w:p>
    <w:p w14:paraId="0020FCD0">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1、乙方应当根据招标文件的规定在签订本合同前向甲方提供履约担保，履约担保形式及金额由乙方从以下方式中任选一种：</w:t>
      </w:r>
    </w:p>
    <w:p w14:paraId="2A276E04">
      <w:pPr>
        <w:snapToGrid w:val="0"/>
        <w:spacing w:line="360" w:lineRule="auto"/>
        <w:ind w:firstLine="371" w:firstLineChars="177"/>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履约保证金（银行转账形式）金额为¥     </w:t>
      </w:r>
      <w:r>
        <w:rPr>
          <w:rFonts w:hint="eastAsia" w:ascii="宋体" w:hAnsi="宋体" w:eastAsia="宋体" w:cs="宋体"/>
          <w:color w:val="auto"/>
          <w:sz w:val="21"/>
          <w:szCs w:val="21"/>
          <w:highlight w:val="none"/>
          <w:u w:val="single"/>
          <w:lang w:val="en-US" w:eastAsia="zh-CN"/>
        </w:rPr>
        <w:t>元（</w:t>
      </w:r>
      <w:r>
        <w:rPr>
          <w:rFonts w:hint="eastAsia" w:ascii="宋体" w:hAnsi="宋体" w:eastAsia="宋体" w:cs="宋体"/>
          <w:color w:val="auto"/>
          <w:sz w:val="21"/>
          <w:szCs w:val="21"/>
          <w:highlight w:val="none"/>
          <w:u w:val="single"/>
        </w:rPr>
        <w:t xml:space="preserve">大写人民币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rPr>
        <w:t>；</w:t>
      </w:r>
    </w:p>
    <w:p w14:paraId="25C60A93">
      <w:pPr>
        <w:snapToGrid w:val="0"/>
        <w:spacing w:line="360" w:lineRule="auto"/>
        <w:ind w:firstLine="371" w:firstLineChars="177"/>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不可撤销银行履约保函金额为</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lang w:val="en-US" w:eastAsia="zh-CN"/>
        </w:rPr>
        <w:t>元（</w:t>
      </w:r>
      <w:r>
        <w:rPr>
          <w:rFonts w:hint="eastAsia" w:ascii="宋体" w:hAnsi="宋体" w:eastAsia="宋体" w:cs="宋体"/>
          <w:color w:val="auto"/>
          <w:sz w:val="21"/>
          <w:szCs w:val="21"/>
          <w:highlight w:val="none"/>
          <w:u w:val="single"/>
          <w:lang w:val="zh-CN"/>
        </w:rPr>
        <w:t>大写人民币         ）</w:t>
      </w:r>
      <w:r>
        <w:rPr>
          <w:rFonts w:hint="eastAsia" w:ascii="宋体" w:hAnsi="宋体" w:eastAsia="宋体" w:cs="宋体"/>
          <w:color w:val="auto"/>
          <w:sz w:val="21"/>
          <w:szCs w:val="21"/>
          <w:highlight w:val="none"/>
          <w:lang w:val="zh-CN"/>
        </w:rPr>
        <w:t>；</w:t>
      </w:r>
    </w:p>
    <w:p w14:paraId="24BD8852">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履约保证保险金额为¥     元（大写人民币     ）</w:t>
      </w:r>
      <w:r>
        <w:rPr>
          <w:rFonts w:hint="eastAsia" w:ascii="宋体" w:hAnsi="宋体" w:eastAsia="宋体" w:cs="宋体"/>
          <w:color w:val="auto"/>
          <w:szCs w:val="21"/>
          <w:highlight w:val="none"/>
        </w:rPr>
        <w:t>；</w:t>
      </w:r>
    </w:p>
    <w:p w14:paraId="2D66E8BB">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担保公司履约担保书金额为¥     </w:t>
      </w:r>
      <w:r>
        <w:rPr>
          <w:rFonts w:hint="eastAsia" w:ascii="宋体" w:hAnsi="宋体" w:eastAsia="宋体" w:cs="宋体"/>
          <w:color w:val="auto"/>
          <w:sz w:val="21"/>
          <w:szCs w:val="21"/>
          <w:highlight w:val="none"/>
          <w:u w:val="single"/>
          <w:lang w:val="en-US" w:eastAsia="zh-CN"/>
        </w:rPr>
        <w:t>元（</w:t>
      </w:r>
      <w:r>
        <w:rPr>
          <w:rFonts w:hint="eastAsia" w:ascii="宋体" w:hAnsi="宋体" w:eastAsia="宋体" w:cs="宋体"/>
          <w:color w:val="auto"/>
          <w:sz w:val="21"/>
          <w:szCs w:val="21"/>
          <w:highlight w:val="none"/>
          <w:u w:val="single"/>
        </w:rPr>
        <w:t xml:space="preserve">大写人民币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rPr>
        <w:t>。</w:t>
      </w:r>
    </w:p>
    <w:p w14:paraId="10AA54D9">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bCs w:val="0"/>
          <w:color w:val="auto"/>
          <w:kern w:val="2"/>
          <w:szCs w:val="21"/>
          <w:highlight w:val="none"/>
        </w:rPr>
        <w:t>合同履行过程中，</w:t>
      </w:r>
      <w:r>
        <w:rPr>
          <w:rFonts w:hint="eastAsia" w:ascii="宋体" w:hAnsi="宋体" w:eastAsia="宋体" w:cs="宋体"/>
          <w:color w:val="auto"/>
          <w:sz w:val="21"/>
          <w:szCs w:val="21"/>
          <w:highlight w:val="none"/>
        </w:rPr>
        <w:t>乙方</w:t>
      </w:r>
      <w:r>
        <w:rPr>
          <w:rFonts w:hint="eastAsia" w:ascii="宋体" w:hAnsi="宋体" w:eastAsia="宋体" w:cs="宋体"/>
          <w:color w:val="auto"/>
          <w:kern w:val="2"/>
          <w:szCs w:val="21"/>
          <w:highlight w:val="none"/>
        </w:rPr>
        <w:t>给</w:t>
      </w:r>
      <w:r>
        <w:rPr>
          <w:rFonts w:hint="eastAsia" w:ascii="宋体" w:hAnsi="宋体" w:eastAsia="宋体" w:cs="宋体"/>
          <w:color w:val="auto"/>
          <w:kern w:val="2"/>
          <w:sz w:val="21"/>
          <w:szCs w:val="21"/>
          <w:highlight w:val="none"/>
        </w:rPr>
        <w:t>甲方</w:t>
      </w:r>
      <w:r>
        <w:rPr>
          <w:rFonts w:hint="eastAsia" w:ascii="宋体" w:hAnsi="宋体" w:eastAsia="宋体" w:cs="宋体"/>
          <w:color w:val="auto"/>
          <w:kern w:val="2"/>
          <w:szCs w:val="21"/>
          <w:highlight w:val="none"/>
        </w:rPr>
        <w:t>造成的损失超过履约担保数额的，</w:t>
      </w:r>
      <w:r>
        <w:rPr>
          <w:rFonts w:hint="eastAsia" w:ascii="宋体" w:hAnsi="宋体" w:eastAsia="宋体" w:cs="宋体"/>
          <w:color w:val="auto"/>
          <w:sz w:val="21"/>
          <w:szCs w:val="21"/>
          <w:highlight w:val="none"/>
        </w:rPr>
        <w:t>乙方</w:t>
      </w:r>
      <w:r>
        <w:rPr>
          <w:rFonts w:hint="eastAsia" w:ascii="宋体" w:hAnsi="宋体" w:eastAsia="宋体" w:cs="宋体"/>
          <w:color w:val="auto"/>
          <w:kern w:val="2"/>
          <w:szCs w:val="21"/>
          <w:highlight w:val="none"/>
        </w:rPr>
        <w:t>还应当对超过部分予以赔偿，</w:t>
      </w:r>
      <w:r>
        <w:rPr>
          <w:rFonts w:hint="eastAsia" w:ascii="宋体" w:hAnsi="宋体" w:eastAsia="宋体" w:cs="宋体"/>
          <w:color w:val="auto"/>
          <w:kern w:val="2"/>
          <w:sz w:val="21"/>
          <w:szCs w:val="21"/>
          <w:highlight w:val="none"/>
        </w:rPr>
        <w:t>甲方</w:t>
      </w:r>
      <w:r>
        <w:rPr>
          <w:rFonts w:hint="eastAsia" w:ascii="宋体" w:hAnsi="宋体" w:eastAsia="宋体" w:cs="宋体"/>
          <w:color w:val="auto"/>
          <w:kern w:val="2"/>
          <w:szCs w:val="21"/>
          <w:highlight w:val="none"/>
        </w:rPr>
        <w:t>并依法追究</w:t>
      </w:r>
      <w:r>
        <w:rPr>
          <w:rFonts w:hint="eastAsia" w:ascii="宋体" w:hAnsi="宋体" w:eastAsia="宋体" w:cs="宋体"/>
          <w:color w:val="auto"/>
          <w:sz w:val="21"/>
          <w:szCs w:val="21"/>
          <w:highlight w:val="none"/>
        </w:rPr>
        <w:t>乙方</w:t>
      </w:r>
      <w:r>
        <w:rPr>
          <w:rFonts w:hint="eastAsia" w:ascii="宋体" w:hAnsi="宋体" w:eastAsia="宋体" w:cs="宋体"/>
          <w:color w:val="auto"/>
          <w:kern w:val="2"/>
          <w:szCs w:val="21"/>
          <w:highlight w:val="none"/>
        </w:rPr>
        <w:t>的相应责任。</w:t>
      </w:r>
    </w:p>
    <w:p w14:paraId="5C580959">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2、履约担保用于补偿甲方因乙方不能完全履行其合同义务而蒙受的损失或其他合同约定的事项，如发生下列任一情况时，甲方有权依合同追究乙方违约责任外，</w:t>
      </w:r>
      <w:r>
        <w:rPr>
          <w:rFonts w:hint="eastAsia" w:ascii="宋体" w:hAnsi="宋体" w:eastAsia="宋体" w:cs="宋体"/>
          <w:color w:val="auto"/>
          <w:sz w:val="21"/>
          <w:szCs w:val="21"/>
          <w:highlight w:val="none"/>
          <w:lang w:val="en-US" w:eastAsia="zh-CN"/>
        </w:rPr>
        <w:t>同时</w:t>
      </w:r>
      <w:r>
        <w:rPr>
          <w:rFonts w:hint="eastAsia" w:ascii="宋体" w:hAnsi="宋体" w:eastAsia="宋体" w:cs="宋体"/>
          <w:color w:val="auto"/>
          <w:sz w:val="21"/>
          <w:szCs w:val="21"/>
          <w:highlight w:val="none"/>
        </w:rPr>
        <w:t>有权提取履约担保并进行相应处理：</w:t>
      </w:r>
    </w:p>
    <w:p w14:paraId="3424C585">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（1）乙方将合同项下的</w:t>
      </w:r>
      <w:r>
        <w:rPr>
          <w:rFonts w:hint="eastAsia" w:ascii="宋体" w:hAnsi="宋体" w:eastAsia="宋体" w:cs="宋体"/>
          <w:color w:val="auto"/>
          <w:sz w:val="21"/>
          <w:szCs w:val="21"/>
          <w:highlight w:val="none"/>
          <w:lang w:val="en-US" w:eastAsia="zh-CN"/>
        </w:rPr>
        <w:t>乙方的</w:t>
      </w:r>
      <w:r>
        <w:rPr>
          <w:rFonts w:hint="eastAsia" w:ascii="宋体" w:hAnsi="宋体" w:eastAsia="宋体" w:cs="宋体"/>
          <w:color w:val="auto"/>
          <w:sz w:val="21"/>
          <w:szCs w:val="21"/>
          <w:highlight w:val="none"/>
        </w:rPr>
        <w:t>权利义务全部转让给第三方，或未经甲方书面同意将部分权利义务转让给第三方的，甲方有权没收其履约担保。</w:t>
      </w:r>
    </w:p>
    <w:p w14:paraId="23B7664C">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（2）在合同履行期间，乙方怠于履行合同义务，经甲方通知或要求承担暂定合同</w:t>
      </w:r>
      <w:r>
        <w:rPr>
          <w:rFonts w:hint="eastAsia" w:ascii="宋体" w:hAnsi="宋体" w:eastAsia="宋体" w:cs="宋体"/>
          <w:color w:val="auto"/>
          <w:sz w:val="21"/>
          <w:szCs w:val="21"/>
          <w:highlight w:val="none"/>
          <w:lang w:val="en-US" w:eastAsia="zh-CN"/>
        </w:rPr>
        <w:t>含税总</w:t>
      </w:r>
      <w:r>
        <w:rPr>
          <w:rFonts w:hint="eastAsia" w:ascii="宋体" w:hAnsi="宋体" w:eastAsia="宋体" w:cs="宋体"/>
          <w:color w:val="auto"/>
          <w:sz w:val="21"/>
          <w:szCs w:val="21"/>
          <w:highlight w:val="none"/>
        </w:rPr>
        <w:t>价20%的违约金后仍拒不改正的，甲方可依法没收或适当扣除其履约担保。</w:t>
      </w:r>
    </w:p>
    <w:p w14:paraId="6B4C7CF1">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合同履行期间，因乙方货物、服务质量问题造成损害、侵权损失（包括但不限于甲方经济损失、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782C952C">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（4）在合同履行期间，乙方违约产生的违约金、赔偿、罚款或其他应付费用等</w:t>
      </w:r>
      <w:r>
        <w:rPr>
          <w:rFonts w:hint="eastAsia" w:ascii="宋体" w:hAnsi="宋体" w:eastAsia="宋体" w:cs="宋体"/>
          <w:color w:val="auto"/>
          <w:sz w:val="21"/>
          <w:szCs w:val="21"/>
          <w:highlight w:val="none"/>
          <w:lang w:val="en-US" w:eastAsia="zh-CN"/>
        </w:rPr>
        <w:t>款</w:t>
      </w:r>
      <w:r>
        <w:rPr>
          <w:rFonts w:hint="eastAsia" w:ascii="宋体" w:hAnsi="宋体" w:eastAsia="宋体" w:cs="宋体"/>
          <w:color w:val="auto"/>
          <w:sz w:val="21"/>
          <w:szCs w:val="21"/>
          <w:highlight w:val="none"/>
        </w:rPr>
        <w:t>项，甲方有权直接从未付货款中扣除或</w:t>
      </w:r>
      <w:r>
        <w:rPr>
          <w:rFonts w:hint="eastAsia" w:ascii="宋体" w:hAnsi="宋体" w:eastAsia="宋体" w:cs="宋体"/>
          <w:color w:val="auto"/>
          <w:sz w:val="21"/>
          <w:szCs w:val="21"/>
          <w:highlight w:val="none"/>
          <w:lang w:val="en-US" w:eastAsia="zh-CN"/>
        </w:rPr>
        <w:t>启用</w:t>
      </w:r>
      <w:r>
        <w:rPr>
          <w:rFonts w:hint="eastAsia" w:ascii="宋体" w:hAnsi="宋体" w:eastAsia="宋体" w:cs="宋体"/>
          <w:color w:val="auto"/>
          <w:sz w:val="21"/>
          <w:szCs w:val="21"/>
          <w:highlight w:val="none"/>
        </w:rPr>
        <w:t>履约担保予以支付。</w:t>
      </w:r>
    </w:p>
    <w:p w14:paraId="66723EF1">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（5）合同期内，乙方不能及时完成合同某项义务的，甲方有权使用履约担保用于处理该项工作。</w:t>
      </w:r>
    </w:p>
    <w:p w14:paraId="3D71EFE1">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（6）其他根据本合同约定或法律规定，甲方可</w:t>
      </w:r>
      <w:r>
        <w:rPr>
          <w:rFonts w:hint="eastAsia" w:ascii="宋体" w:hAnsi="宋体" w:eastAsia="宋体" w:cs="宋体"/>
          <w:color w:val="auto"/>
          <w:sz w:val="21"/>
          <w:szCs w:val="21"/>
          <w:highlight w:val="none"/>
          <w:lang w:val="en-US" w:eastAsia="zh-CN"/>
        </w:rPr>
        <w:t>启用</w:t>
      </w:r>
      <w:r>
        <w:rPr>
          <w:rFonts w:hint="eastAsia" w:ascii="宋体" w:hAnsi="宋体" w:eastAsia="宋体" w:cs="宋体"/>
          <w:color w:val="auto"/>
          <w:sz w:val="21"/>
          <w:szCs w:val="21"/>
          <w:highlight w:val="none"/>
        </w:rPr>
        <w:t>履约担保的情形。</w:t>
      </w:r>
    </w:p>
    <w:p w14:paraId="677DB3B9">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3、乙方以履约保证金（银行转账形式）提供履约担保的，在合同期限届满并全部货物经最终验收合格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甲方向乙方支付全部货款（除质保金）后二十八（28）日后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经甲方确认，乙方可向甲方提交退回履约担保的申请。甲方审核无异议后，办理履约担保退还手续，退回时一律以银行转账的形式无息退回到乙方的账户。</w:t>
      </w:r>
    </w:p>
    <w:p w14:paraId="430D846C">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4、如乙方提供不可撤销银行履约保函或履约保证保险或担保公司履约担保书作为履约担保的，不可撤销银行履约保函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或履约保证保险或担保公司履约担保书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应从合同签订之日起</w:t>
      </w:r>
      <w:r>
        <w:rPr>
          <w:rFonts w:hint="eastAsia" w:ascii="宋体" w:hAnsi="宋体" w:eastAsia="宋体" w:cs="宋体"/>
          <w:b w:val="0"/>
          <w:bCs/>
          <w:color w:val="auto"/>
          <w:sz w:val="21"/>
          <w:szCs w:val="21"/>
          <w:highlight w:val="none"/>
        </w:rPr>
        <w:t>（或签订合同前）</w:t>
      </w:r>
      <w:r>
        <w:rPr>
          <w:rFonts w:hint="eastAsia" w:ascii="宋体" w:hAnsi="宋体" w:eastAsia="宋体" w:cs="宋体"/>
          <w:color w:val="auto"/>
          <w:sz w:val="21"/>
          <w:szCs w:val="21"/>
          <w:highlight w:val="none"/>
        </w:rPr>
        <w:t>至合同期限届满并全部货物经最终验收合格、甲方向乙方支付全部货款（除质保金）后二十八（28）日内保持有效。如不可撤销银行履约保函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rPr>
        <w:t>或履约保证保险</w:t>
      </w:r>
      <w:r>
        <w:rPr>
          <w:rFonts w:hint="eastAsia" w:ascii="宋体" w:hAnsi="宋体" w:eastAsia="宋体" w:cs="宋体"/>
          <w:color w:val="auto"/>
          <w:sz w:val="21"/>
          <w:szCs w:val="21"/>
          <w:highlight w:val="none"/>
        </w:rPr>
        <w:t>或担保公司履约担保书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在规定有效期届满而货物尚未全部最终验收合格或甲方未支付完全部货款（除质保金）的，乙方必须在不可撤销银行履约保函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rPr>
        <w:t>或履约保证保险</w:t>
      </w:r>
      <w:r>
        <w:rPr>
          <w:rFonts w:hint="eastAsia" w:ascii="宋体" w:hAnsi="宋体" w:eastAsia="宋体" w:cs="宋体"/>
          <w:color w:val="auto"/>
          <w:sz w:val="21"/>
          <w:szCs w:val="21"/>
          <w:highlight w:val="none"/>
        </w:rPr>
        <w:t>或担保公司履约担保书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到期15日前无条件办理办妥符合甲方要求的延期手续或重新提供不可撤销银行履约保函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rPr>
        <w:t>或履约保证保险</w:t>
      </w:r>
      <w:r>
        <w:rPr>
          <w:rFonts w:hint="eastAsia" w:ascii="宋体" w:hAnsi="宋体" w:eastAsia="宋体" w:cs="宋体"/>
          <w:color w:val="auto"/>
          <w:sz w:val="21"/>
          <w:szCs w:val="21"/>
          <w:highlight w:val="none"/>
        </w:rPr>
        <w:t>或担保公司履约担保书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；否则视为乙方违约，甲方有权在不可撤销银行履约保函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rPr>
        <w:t>或履约保证保险</w:t>
      </w:r>
      <w:r>
        <w:rPr>
          <w:rFonts w:hint="eastAsia" w:ascii="宋体" w:hAnsi="宋体" w:eastAsia="宋体" w:cs="宋体"/>
          <w:color w:val="auto"/>
          <w:sz w:val="21"/>
          <w:szCs w:val="21"/>
          <w:highlight w:val="none"/>
        </w:rPr>
        <w:t>或担保公司履约担保书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到期前向出具履约担保的机构提取履约担保金。在不可撤销银行履约保函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rPr>
        <w:t>或履约保证保险</w:t>
      </w:r>
      <w:r>
        <w:rPr>
          <w:rFonts w:hint="eastAsia" w:ascii="宋体" w:hAnsi="宋体" w:eastAsia="宋体" w:cs="宋体"/>
          <w:color w:val="auto"/>
          <w:sz w:val="21"/>
          <w:szCs w:val="21"/>
          <w:highlight w:val="none"/>
        </w:rPr>
        <w:t>或担保公司履约担保书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到期后乙方未按甲方要求重新提供的，甲方有权要求乙方以履约担保金额为限承担违约金，违约金可直接从未付货款中扣除。</w:t>
      </w:r>
    </w:p>
    <w:p w14:paraId="11C71071">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违约金可直接从未付合同款或履约担保中扣除。</w:t>
      </w:r>
    </w:p>
    <w:p w14:paraId="259E2CE5">
      <w:pPr>
        <w:snapToGrid w:val="0"/>
        <w:spacing w:line="360" w:lineRule="auto"/>
        <w:ind w:firstLine="373" w:firstLineChars="177"/>
        <w:rPr>
          <w:rFonts w:hint="eastAsia" w:ascii="宋体" w:hAnsi="宋体" w:eastAsia="宋体" w:cs="宋体"/>
          <w:b/>
          <w:color w:val="auto"/>
          <w:sz w:val="21"/>
          <w:szCs w:val="21"/>
          <w:highlight w:val="none"/>
        </w:rPr>
      </w:pPr>
    </w:p>
    <w:p w14:paraId="3ED6C616">
      <w:pPr>
        <w:snapToGrid w:val="0"/>
        <w:spacing w:line="360" w:lineRule="auto"/>
        <w:ind w:firstLine="373" w:firstLineChars="177"/>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第十二条 付款方式</w:t>
      </w:r>
    </w:p>
    <w:p w14:paraId="4EB92A1A">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双方一致同意，乙方按规定提供了履约担保后，甲方通过以下方式以人民币支付合同款项给乙方：</w:t>
      </w:r>
    </w:p>
    <w:p w14:paraId="23C7933C">
      <w:pPr>
        <w:pStyle w:val="129"/>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的履约过程中，乙方根据本项目合同书约定需向甲方支付违约金、赔偿金、或其他应付费用等款项的，乙方必须向甲方支付完相关款项后，甲方才根据本合同书约定向乙方支付合同价和税额。若因乙方未能支付前述费用，影响项目实施的，甲方有权启用履约担保或直接从未付合同款项中直接扣除，且乙方必须按照扣除前述费用前的合同价（销售额）开具增值税专用发票，保证增值税税额符合法律规定。</w:t>
      </w:r>
    </w:p>
    <w:p w14:paraId="70D1CB9B">
      <w:pPr>
        <w:pStyle w:val="129"/>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2、货物供货的款项按甲方运营项目进行支付、结算。货物供货的款项每月按实结算。甲方运营项目收到货物并最终验收合格后，每月中旬办理支付上月实际供货量的款项。</w:t>
      </w:r>
    </w:p>
    <w:p w14:paraId="4CD844FF">
      <w:pPr>
        <w:pStyle w:val="129"/>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3、乙方向甲方运营项目提交请款报告和请款金额等额的合法、有效的增值税专用发票，甲方在收到前述材料并确认无误后30个工作日内支付结算上月实际供货量的货款和该货款对应的税额给乙方。</w:t>
      </w:r>
    </w:p>
    <w:p w14:paraId="2D3DAF0D">
      <w:pPr>
        <w:pStyle w:val="129"/>
        <w:autoSpaceDE/>
        <w:autoSpaceDN/>
        <w:adjustRightInd/>
        <w:spacing w:line="360" w:lineRule="auto"/>
        <w:rPr>
          <w:rFonts w:hint="eastAsia" w:ascii="宋体" w:hAnsi="宋体" w:eastAsia="宋体" w:cs="宋体"/>
          <w:color w:val="auto"/>
          <w:sz w:val="21"/>
          <w:szCs w:val="21"/>
          <w:highlight w:val="none"/>
        </w:rPr>
      </w:pPr>
      <w:r>
        <w:rPr>
          <w:rFonts w:hint="eastAsia"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w:t>
      </w:r>
      <w:r>
        <w:rPr>
          <w:rFonts w:hint="eastAsia"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CN"/>
        </w:rPr>
        <w:t>通过银行转账或</w:t>
      </w:r>
      <w:bookmarkStart w:id="560" w:name="OLE_LINK7"/>
      <w:r>
        <w:rPr>
          <w:rFonts w:hint="eastAsia" w:ascii="宋体" w:hAnsi="宋体" w:eastAsia="宋体" w:cs="宋体"/>
          <w:color w:val="auto"/>
          <w:sz w:val="21"/>
          <w:szCs w:val="21"/>
          <w:highlight w:val="none"/>
          <w:lang w:val="en-US" w:eastAsia="zh-CN"/>
        </w:rPr>
        <w:t>银行承兑汇票</w:t>
      </w:r>
      <w:bookmarkEnd w:id="560"/>
      <w:r>
        <w:rPr>
          <w:rFonts w:hint="eastAsia" w:ascii="宋体" w:hAnsi="宋体" w:eastAsia="宋体" w:cs="宋体"/>
          <w:color w:val="auto"/>
          <w:sz w:val="21"/>
          <w:szCs w:val="21"/>
          <w:highlight w:val="none"/>
          <w:lang w:val="en-US" w:eastAsia="zh-CN"/>
        </w:rPr>
        <w:t>方式支付相应款项至</w:t>
      </w:r>
      <w:r>
        <w:rPr>
          <w:rFonts w:hint="eastAsia"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CN"/>
        </w:rPr>
        <w:t>银行账户中，汇票期限不超过三个月，每期款项支付方式由甲方决定。</w:t>
      </w:r>
    </w:p>
    <w:p w14:paraId="57F3044D">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乙方迟延提供发票或提供的请款报告、发票不符合要求的，甲方的付款时间可相应顺延，且甲方不因此承担任何责任。因支付产生的相关银行手续费用，根据有关银行规定执行，如不能明确的，由双方各承担50%。由于乙方提供的发票不符合税法规定，给甲方造成的损失由乙方承担全部的赔偿责任。</w:t>
      </w:r>
    </w:p>
    <w:p w14:paraId="559507B7">
      <w:pPr>
        <w:rPr>
          <w:rFonts w:hint="eastAsia" w:ascii="宋体" w:hAnsi="宋体" w:eastAsia="宋体" w:cs="宋体"/>
          <w:color w:val="auto"/>
          <w:highlight w:val="none"/>
        </w:rPr>
      </w:pPr>
    </w:p>
    <w:p w14:paraId="45C24E90">
      <w:pPr>
        <w:snapToGrid w:val="0"/>
        <w:spacing w:line="360" w:lineRule="auto"/>
        <w:ind w:firstLine="373" w:firstLineChars="177"/>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第十三条 不可抗力</w:t>
      </w:r>
    </w:p>
    <w:p w14:paraId="0F1D290F">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031F1850">
      <w:pPr>
        <w:snapToGrid w:val="0"/>
        <w:spacing w:line="360" w:lineRule="auto"/>
        <w:ind w:firstLine="371" w:firstLineChars="177"/>
        <w:rPr>
          <w:rFonts w:hint="eastAsia" w:ascii="宋体" w:hAnsi="宋体" w:eastAsia="宋体" w:cs="宋体"/>
          <w:color w:val="auto"/>
          <w:sz w:val="21"/>
          <w:szCs w:val="21"/>
          <w:highlight w:val="none"/>
        </w:rPr>
      </w:pPr>
    </w:p>
    <w:p w14:paraId="5D5C3774">
      <w:pPr>
        <w:snapToGrid w:val="0"/>
        <w:spacing w:line="360" w:lineRule="auto"/>
        <w:ind w:firstLine="373" w:firstLineChars="177"/>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第十四条 索赔</w:t>
      </w:r>
    </w:p>
    <w:p w14:paraId="50EF8BBF">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货物验收、使用过程中，甲方如对货物（包括但不限于其规格、数量、质量等）有异议的，有权向乙方提出索赔，乙方应在甲方发出索赔通知后7日内作出答复，并与甲方现场确认货物的质量问题后进行理赔。乙方根据合同约定应承担退换货责任的，乙方应立即根据本合同的约定承担退换货责任。</w:t>
      </w:r>
    </w:p>
    <w:p w14:paraId="6BA2B0F8">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2、如果乙方对甲方提出的异议及索赔负有责任，乙方应按照甲方同意的下列一种或多种方式解决索赔事宜：</w:t>
      </w:r>
    </w:p>
    <w:p w14:paraId="0149E1BE">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（1）根据甲方要求予以更换相应合同货物，乙方在甲方发出换货通知后未在甲方规定的时间内将换货货物运离甲方及更换等量的合格货物给甲方，乙方应承担因此产生的全部费用并赔偿甲方因此遭受的损失。</w:t>
      </w:r>
    </w:p>
    <w:p w14:paraId="1DB18D43">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（2）根据甲方要求予以退回相应合同货物，并返还甲方已支付的相应货款（含合同价款及税费）。如造成甲方其他损失的，由乙方承担赔偿责任。</w:t>
      </w:r>
    </w:p>
    <w:p w14:paraId="10FB3B91">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（3）甲方可根据货物低劣程度、损坏程度以及甲方所遭受损失的数额，要求乙方承担赔偿责任。</w:t>
      </w:r>
    </w:p>
    <w:p w14:paraId="149F0AC8">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3、如果在甲方发出索赔通知后7日内，乙方未作答复或未配合现场确认的，视为乙方确认相关违约事实及认可甲方索赔要求。</w:t>
      </w:r>
    </w:p>
    <w:p w14:paraId="2C4A31CE">
      <w:pPr>
        <w:snapToGrid w:val="0"/>
        <w:spacing w:line="360" w:lineRule="auto"/>
        <w:ind w:firstLine="373" w:firstLineChars="177"/>
        <w:rPr>
          <w:rFonts w:hint="eastAsia" w:ascii="宋体" w:hAnsi="宋体" w:eastAsia="宋体" w:cs="宋体"/>
          <w:b/>
          <w:color w:val="auto"/>
          <w:sz w:val="21"/>
          <w:szCs w:val="21"/>
          <w:highlight w:val="none"/>
        </w:rPr>
      </w:pPr>
    </w:p>
    <w:p w14:paraId="650B22EF">
      <w:pPr>
        <w:snapToGrid w:val="0"/>
        <w:spacing w:line="360" w:lineRule="auto"/>
        <w:ind w:firstLine="373" w:firstLineChars="177"/>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第十五条 违约责任</w:t>
      </w:r>
    </w:p>
    <w:p w14:paraId="7E868F53">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1、日常供货（非加急供货）时，乙方</w:t>
      </w:r>
      <w:r>
        <w:rPr>
          <w:rFonts w:hint="eastAsia" w:ascii="宋体" w:hAnsi="宋体" w:eastAsia="宋体" w:cs="宋体"/>
          <w:color w:val="auto"/>
          <w:sz w:val="21"/>
          <w:szCs w:val="21"/>
          <w:highlight w:val="none"/>
          <w:lang w:bidi="ar"/>
        </w:rPr>
        <w:t>未在约定的时间内完成交货，或未在规定的时间内承担相应的更换、退货责任的</w:t>
      </w:r>
      <w:r>
        <w:rPr>
          <w:rFonts w:hint="eastAsia" w:ascii="宋体" w:hAnsi="宋体" w:eastAsia="宋体" w:cs="宋体"/>
          <w:color w:val="auto"/>
          <w:sz w:val="21"/>
          <w:szCs w:val="21"/>
          <w:highlight w:val="none"/>
        </w:rPr>
        <w:t>，每逾期2小时，甲方有权要求乙方按该次货物</w:t>
      </w:r>
      <w:r>
        <w:rPr>
          <w:rFonts w:hint="eastAsia" w:ascii="宋体" w:hAnsi="宋体" w:eastAsia="宋体" w:cs="宋体"/>
          <w:color w:val="auto"/>
          <w:sz w:val="21"/>
          <w:szCs w:val="21"/>
          <w:highlight w:val="none"/>
          <w:lang w:val="en-US" w:eastAsia="zh-CN" w:bidi="ar"/>
        </w:rPr>
        <w:t>含税</w:t>
      </w:r>
      <w:r>
        <w:rPr>
          <w:rFonts w:hint="eastAsia" w:ascii="宋体" w:hAnsi="宋体" w:eastAsia="宋体" w:cs="宋体"/>
          <w:color w:val="auto"/>
          <w:sz w:val="21"/>
          <w:szCs w:val="21"/>
          <w:highlight w:val="none"/>
        </w:rPr>
        <w:t>结算货款的1%向甲方支付违约金。乙方逾期超过12小时的，甲方有权要求乙方额外按该次货物</w:t>
      </w:r>
      <w:r>
        <w:rPr>
          <w:rFonts w:hint="eastAsia" w:ascii="宋体" w:hAnsi="宋体" w:eastAsia="宋体" w:cs="宋体"/>
          <w:color w:val="auto"/>
          <w:sz w:val="21"/>
          <w:szCs w:val="21"/>
          <w:highlight w:val="none"/>
          <w:lang w:val="en-US" w:eastAsia="zh-CN" w:bidi="ar"/>
        </w:rPr>
        <w:t>含税</w:t>
      </w:r>
      <w:r>
        <w:rPr>
          <w:rFonts w:hint="eastAsia" w:ascii="宋体" w:hAnsi="宋体" w:eastAsia="宋体" w:cs="宋体"/>
          <w:color w:val="auto"/>
          <w:sz w:val="21"/>
          <w:szCs w:val="21"/>
          <w:highlight w:val="none"/>
        </w:rPr>
        <w:t>结算货款的 5 %向甲方支付违约金，违约金不足以赔偿甲方损失的，</w:t>
      </w:r>
      <w:r>
        <w:rPr>
          <w:rFonts w:hint="eastAsia" w:ascii="宋体" w:hAnsi="宋体" w:eastAsia="宋体" w:cs="宋体"/>
          <w:color w:val="auto"/>
          <w:sz w:val="21"/>
          <w:szCs w:val="21"/>
          <w:highlight w:val="none"/>
          <w:lang w:val="en-US" w:eastAsia="zh-CN"/>
        </w:rPr>
        <w:t>甲方有权没收乙方的部分或全部履约担保，还不足以赔偿甲方损失的，乙方需按损失足额赔偿。</w:t>
      </w:r>
    </w:p>
    <w:p w14:paraId="63FDB49E">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2、加急供货时，乙方未在约定的时间内完成交货的，或未在规定的时间内承担相应的更换、退货责任的，每逾期1小时，甲方有权要求乙方按该次货物</w:t>
      </w:r>
      <w:r>
        <w:rPr>
          <w:rFonts w:hint="eastAsia" w:ascii="宋体" w:hAnsi="宋体" w:eastAsia="宋体" w:cs="宋体"/>
          <w:color w:val="auto"/>
          <w:sz w:val="21"/>
          <w:szCs w:val="21"/>
          <w:highlight w:val="none"/>
          <w:lang w:val="en-US" w:eastAsia="zh-CN" w:bidi="ar"/>
        </w:rPr>
        <w:t>含税</w:t>
      </w:r>
      <w:r>
        <w:rPr>
          <w:rFonts w:hint="eastAsia" w:ascii="宋体" w:hAnsi="宋体" w:eastAsia="宋体" w:cs="宋体"/>
          <w:color w:val="auto"/>
          <w:sz w:val="21"/>
          <w:szCs w:val="21"/>
          <w:highlight w:val="none"/>
        </w:rPr>
        <w:t>结算货款的10%向甲方支付违约金，乙方逾期超过4小时的，甲方有权单方解除合同，并且没收乙方的部分或全部履约担保，乙方除前述逾期违约金外，甲方有权要求乙方额外按该次货物</w:t>
      </w:r>
      <w:r>
        <w:rPr>
          <w:rFonts w:hint="eastAsia" w:ascii="宋体" w:hAnsi="宋体" w:eastAsia="宋体" w:cs="宋体"/>
          <w:color w:val="auto"/>
          <w:sz w:val="21"/>
          <w:szCs w:val="21"/>
          <w:highlight w:val="none"/>
          <w:lang w:val="en-US" w:eastAsia="zh-CN" w:bidi="ar"/>
        </w:rPr>
        <w:t>含税</w:t>
      </w:r>
      <w:r>
        <w:rPr>
          <w:rFonts w:hint="eastAsia" w:ascii="宋体" w:hAnsi="宋体" w:eastAsia="宋体" w:cs="宋体"/>
          <w:color w:val="auto"/>
          <w:sz w:val="21"/>
          <w:szCs w:val="21"/>
          <w:highlight w:val="none"/>
        </w:rPr>
        <w:t>结算货款的20%向甲方支付违约金，违约金不足以赔偿甲方损失的，</w:t>
      </w:r>
      <w:r>
        <w:rPr>
          <w:rFonts w:hint="eastAsia" w:ascii="宋体" w:hAnsi="宋体" w:eastAsia="宋体" w:cs="宋体"/>
          <w:color w:val="auto"/>
          <w:sz w:val="21"/>
          <w:szCs w:val="21"/>
          <w:highlight w:val="none"/>
          <w:lang w:val="en-US" w:eastAsia="zh-CN"/>
        </w:rPr>
        <w:t>乙方需按损失足额赔偿。</w:t>
      </w:r>
    </w:p>
    <w:p w14:paraId="4175C7E9">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所交货物经甲方实验室或甲方委托的第三方检测机构检验累计出现3次（含）以上不合格的，甲方有权单方中止或解除合同，暂停或取消乙方的供货资格，并根据对生产造成影响的严重程度，没收乙方的部分或全部履约担保。</w:t>
      </w:r>
    </w:p>
    <w:p w14:paraId="7D4C955B">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4、乙方应根据甲方运营项目工艺以及性质，配合甲方运营项目进行小试，提供符合技术指标的药剂，保证供货的药剂在甲方运营项目良好的使用效果。</w:t>
      </w:r>
    </w:p>
    <w:p w14:paraId="14B60447">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如因药剂问题对甲方生产、成本造成影响，甲方有权要求乙方按该次货物</w:t>
      </w:r>
      <w:r>
        <w:rPr>
          <w:rFonts w:hint="eastAsia" w:ascii="宋体" w:hAnsi="宋体" w:eastAsia="宋体" w:cs="宋体"/>
          <w:color w:val="auto"/>
          <w:sz w:val="21"/>
          <w:szCs w:val="21"/>
          <w:highlight w:val="none"/>
          <w:lang w:val="en-US" w:eastAsia="zh-CN" w:bidi="ar"/>
        </w:rPr>
        <w:t>含税</w:t>
      </w:r>
      <w:r>
        <w:rPr>
          <w:rFonts w:hint="eastAsia" w:ascii="宋体" w:hAnsi="宋体" w:eastAsia="宋体" w:cs="宋体"/>
          <w:color w:val="auto"/>
          <w:sz w:val="21"/>
          <w:szCs w:val="21"/>
          <w:highlight w:val="none"/>
        </w:rPr>
        <w:t>结算货款的20%向甲方支付违约金，违约金不足以赔偿甲方损失的，乙方需另行赔偿，同时根据对甲方生产、成本造成影响的严重程度，甲方有权没收乙方的部分或全部履约担保。</w:t>
      </w:r>
    </w:p>
    <w:p w14:paraId="05589F37">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、如乙方提供的药剂严重影响甲方运营项目生产或造成甲方运营项目出水水质指标超标的情况，甲方有权追究乙方由此造成的损失，并有权单方面中止或解除合同，取消其供货资格，没收全部履约</w:t>
      </w:r>
      <w:r>
        <w:rPr>
          <w:rFonts w:hint="eastAsia" w:ascii="宋体" w:hAnsi="宋体" w:eastAsia="宋体" w:cs="宋体"/>
          <w:color w:val="auto"/>
          <w:sz w:val="21"/>
          <w:szCs w:val="21"/>
          <w:highlight w:val="none"/>
          <w:lang w:val="en-US" w:eastAsia="zh-CN"/>
        </w:rPr>
        <w:t>担保</w:t>
      </w:r>
      <w:r>
        <w:rPr>
          <w:rFonts w:hint="eastAsia" w:ascii="宋体" w:hAnsi="宋体" w:eastAsia="宋体" w:cs="宋体"/>
          <w:color w:val="auto"/>
          <w:sz w:val="21"/>
          <w:szCs w:val="21"/>
          <w:highlight w:val="none"/>
        </w:rPr>
        <w:t>。</w:t>
      </w:r>
    </w:p>
    <w:p w14:paraId="16BF250D">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对于货物最终验收不合格且甲方运营项目已经开始使用或者使用完毕无法退换的，货款按照以下方式处理：①若甲方已支付货款的，则乙方应向甲方退还已支付的货款；②若甲方未支付货款的，则甲方无需支付货款。</w:t>
      </w:r>
    </w:p>
    <w:p w14:paraId="63D5DE20">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、若乙方对甲方</w:t>
      </w:r>
      <w:r>
        <w:rPr>
          <w:rFonts w:hint="eastAsia" w:ascii="宋体" w:hAnsi="宋体" w:eastAsia="宋体" w:cs="宋体"/>
          <w:color w:val="auto"/>
          <w:sz w:val="21"/>
          <w:szCs w:val="21"/>
          <w:highlight w:val="none"/>
          <w:lang w:bidi="ar"/>
        </w:rPr>
        <w:t>运营项目</w:t>
      </w:r>
      <w:r>
        <w:rPr>
          <w:rFonts w:hint="eastAsia" w:ascii="宋体" w:hAnsi="宋体" w:eastAsia="宋体" w:cs="宋体"/>
          <w:color w:val="auto"/>
          <w:sz w:val="21"/>
          <w:szCs w:val="21"/>
          <w:highlight w:val="none"/>
        </w:rPr>
        <w:t>验收结果有异议，乙方应自甲方</w:t>
      </w:r>
      <w:r>
        <w:rPr>
          <w:rFonts w:hint="eastAsia" w:ascii="宋体" w:hAnsi="宋体" w:eastAsia="宋体" w:cs="宋体"/>
          <w:color w:val="auto"/>
          <w:sz w:val="21"/>
          <w:szCs w:val="21"/>
          <w:highlight w:val="none"/>
          <w:lang w:bidi="ar"/>
        </w:rPr>
        <w:t>运营项目</w:t>
      </w:r>
      <w:r>
        <w:rPr>
          <w:rFonts w:hint="eastAsia" w:ascii="宋体" w:hAnsi="宋体" w:eastAsia="宋体" w:cs="宋体"/>
          <w:color w:val="auto"/>
          <w:sz w:val="21"/>
          <w:szCs w:val="21"/>
          <w:highlight w:val="none"/>
        </w:rPr>
        <w:t>书面告知乙方检验结果24小时内，书面要求通过乙方和甲方双方确认的具有检测产品CMA认证资质的第三方单位对留样货物进行检测，最终供货产品质量判定以乙方和甲方双方确认的具有检测产品CMA认证资质的第三方检测机构检验结果为准；因此产生的检测费、运输费等全部费用均由乙方承担。</w:t>
      </w:r>
    </w:p>
    <w:p w14:paraId="64EF08F3">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授予合同前或合同履行中，甲方有权实地核查乙方在投标时提供的分支机构或服务机构的场地、生产/储存/运输设备设施及能力等材料的符合性，若发现虚假将取消中标资格，且甲方有权终止合同。因此给甲方造成损失的，全部由乙方承担。</w:t>
      </w:r>
    </w:p>
    <w:p w14:paraId="2DBA2767">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、甲方在招标文件</w:t>
      </w:r>
      <w:r>
        <w:rPr>
          <w:rFonts w:hint="eastAsia" w:ascii="宋体" w:hAnsi="宋体" w:eastAsia="宋体" w:cs="宋体"/>
          <w:color w:val="auto"/>
          <w:sz w:val="21"/>
          <w:szCs w:val="21"/>
          <w:highlight w:val="none"/>
          <w:lang w:val="en-US" w:eastAsia="zh-CN"/>
        </w:rPr>
        <w:t>及合同</w:t>
      </w:r>
      <w:r>
        <w:rPr>
          <w:rFonts w:hint="eastAsia" w:ascii="宋体" w:hAnsi="宋体" w:eastAsia="宋体" w:cs="宋体"/>
          <w:color w:val="auto"/>
          <w:sz w:val="21"/>
          <w:szCs w:val="21"/>
          <w:highlight w:val="none"/>
        </w:rPr>
        <w:t>约定的供货期限和采购范围内，甲方有权根据项目实际情况及有关法律法规、政策的规定进行变更调整。在变更调整后，乙方应遵照执行。</w:t>
      </w:r>
    </w:p>
    <w:p w14:paraId="366593B9">
      <w:pPr>
        <w:snapToGrid w:val="0"/>
        <w:spacing w:line="360" w:lineRule="auto"/>
        <w:ind w:firstLine="371" w:firstLineChars="177"/>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乙方应当为其工作人员投保足额的社会保险、商业保险及为货物的运输投保足额的商业保险，如在运输及装卸过程中，相关生产药剂发生泄漏而导致的一切人员伤亡或财产损失事故，因此产生的赔偿责任或相关法律责任均由乙方自行承担。凡由于货物包装不良、运输方式不当或非法运输造成的事故、损失、行政处罚和由此产生的其他全部费用均由乙方全部承担</w:t>
      </w:r>
      <w:r>
        <w:rPr>
          <w:rFonts w:hint="eastAsia" w:ascii="宋体" w:hAnsi="宋体" w:eastAsia="宋体" w:cs="宋体"/>
          <w:color w:val="auto"/>
          <w:sz w:val="21"/>
          <w:szCs w:val="21"/>
          <w:highlight w:val="none"/>
          <w:lang w:eastAsia="zh-CN"/>
        </w:rPr>
        <w:t>。</w:t>
      </w:r>
    </w:p>
    <w:p w14:paraId="2E824CA7">
      <w:pPr>
        <w:pStyle w:val="129"/>
        <w:widowControl/>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12</w:t>
      </w:r>
      <w:r>
        <w:rPr>
          <w:rFonts w:hint="eastAsia" w:ascii="宋体" w:hAnsi="宋体" w:eastAsia="宋体" w:cs="宋体"/>
          <w:color w:val="auto"/>
          <w:sz w:val="21"/>
          <w:szCs w:val="21"/>
          <w:highlight w:val="none"/>
          <w:lang w:bidi="ar"/>
        </w:rPr>
        <w:t xml:space="preserve">、乙方有义务接受甲方的监督、评价及考核，且同意甲方关于供货资格供应商的管理规则及要求。 </w:t>
      </w:r>
    </w:p>
    <w:p w14:paraId="0C380F00">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13</w:t>
      </w:r>
      <w:r>
        <w:rPr>
          <w:rFonts w:hint="eastAsia" w:ascii="宋体" w:hAnsi="宋体" w:eastAsia="宋体" w:cs="宋体"/>
          <w:color w:val="auto"/>
          <w:sz w:val="21"/>
          <w:szCs w:val="21"/>
          <w:highlight w:val="none"/>
          <w:lang w:bidi="ar"/>
        </w:rPr>
        <w:t>、甲方运营项目每月在付款手续前对乙方的履约情况进行评价，填写《供应商履约评价表》。考核评分满分为100分，考核评分分数低于80分、达到60分时，</w:t>
      </w:r>
      <w:bookmarkStart w:id="561" w:name="OLE_LINK8"/>
      <w:r>
        <w:rPr>
          <w:rFonts w:hint="eastAsia" w:ascii="宋体" w:hAnsi="宋体" w:eastAsia="宋体" w:cs="宋体"/>
          <w:color w:val="auto"/>
          <w:sz w:val="21"/>
          <w:szCs w:val="21"/>
          <w:highlight w:val="none"/>
          <w:lang w:bidi="ar"/>
        </w:rPr>
        <w:t>乙方应按该</w:t>
      </w:r>
      <w:r>
        <w:rPr>
          <w:rFonts w:hint="eastAsia" w:ascii="宋体" w:hAnsi="宋体" w:eastAsia="宋体" w:cs="宋体"/>
          <w:color w:val="auto"/>
          <w:sz w:val="21"/>
          <w:szCs w:val="21"/>
          <w:highlight w:val="none"/>
          <w:lang w:val="en-US" w:eastAsia="zh-CN" w:bidi="ar"/>
        </w:rPr>
        <w:t>月</w:t>
      </w:r>
      <w:r>
        <w:rPr>
          <w:rFonts w:hint="eastAsia" w:ascii="宋体" w:hAnsi="宋体" w:eastAsia="宋体" w:cs="宋体"/>
          <w:color w:val="auto"/>
          <w:sz w:val="21"/>
          <w:szCs w:val="21"/>
          <w:highlight w:val="none"/>
          <w:lang w:bidi="ar"/>
        </w:rPr>
        <w:t>货物</w:t>
      </w:r>
      <w:r>
        <w:rPr>
          <w:rFonts w:hint="eastAsia" w:ascii="宋体" w:hAnsi="宋体" w:eastAsia="宋体" w:cs="宋体"/>
          <w:color w:val="auto"/>
          <w:sz w:val="21"/>
          <w:szCs w:val="21"/>
          <w:highlight w:val="none"/>
          <w:lang w:val="en-US" w:eastAsia="zh-CN" w:bidi="ar"/>
        </w:rPr>
        <w:t>含税</w:t>
      </w:r>
      <w:r>
        <w:rPr>
          <w:rFonts w:hint="eastAsia" w:ascii="宋体" w:hAnsi="宋体" w:eastAsia="宋体" w:cs="宋体"/>
          <w:color w:val="auto"/>
          <w:sz w:val="21"/>
          <w:szCs w:val="21"/>
          <w:highlight w:val="none"/>
          <w:lang w:bidi="ar"/>
        </w:rPr>
        <w:t>结算货款的20%向甲方支付违约金；</w:t>
      </w:r>
      <w:bookmarkEnd w:id="561"/>
      <w:r>
        <w:rPr>
          <w:rFonts w:hint="eastAsia" w:ascii="宋体" w:hAnsi="宋体" w:eastAsia="宋体" w:cs="宋体"/>
          <w:color w:val="auto"/>
          <w:sz w:val="21"/>
          <w:szCs w:val="21"/>
          <w:highlight w:val="none"/>
          <w:lang w:bidi="ar"/>
        </w:rPr>
        <w:t>考核评分分数低于60分时，乙方应按该</w:t>
      </w:r>
      <w:r>
        <w:rPr>
          <w:rFonts w:hint="eastAsia" w:ascii="宋体" w:hAnsi="宋体" w:eastAsia="宋体" w:cs="宋体"/>
          <w:color w:val="auto"/>
          <w:sz w:val="21"/>
          <w:szCs w:val="21"/>
          <w:highlight w:val="none"/>
          <w:lang w:val="en-US" w:eastAsia="zh-CN" w:bidi="ar"/>
        </w:rPr>
        <w:t>月</w:t>
      </w:r>
      <w:r>
        <w:rPr>
          <w:rFonts w:hint="eastAsia" w:ascii="宋体" w:hAnsi="宋体" w:eastAsia="宋体" w:cs="宋体"/>
          <w:color w:val="auto"/>
          <w:sz w:val="21"/>
          <w:szCs w:val="21"/>
          <w:highlight w:val="none"/>
          <w:lang w:bidi="ar"/>
        </w:rPr>
        <w:t>货物</w:t>
      </w:r>
      <w:r>
        <w:rPr>
          <w:rFonts w:hint="eastAsia" w:ascii="宋体" w:hAnsi="宋体" w:eastAsia="宋体" w:cs="宋体"/>
          <w:color w:val="auto"/>
          <w:sz w:val="21"/>
          <w:szCs w:val="21"/>
          <w:highlight w:val="none"/>
          <w:lang w:val="en-US" w:eastAsia="zh-CN" w:bidi="ar"/>
        </w:rPr>
        <w:t>含税</w:t>
      </w:r>
      <w:r>
        <w:rPr>
          <w:rFonts w:hint="eastAsia" w:ascii="宋体" w:hAnsi="宋体" w:eastAsia="宋体" w:cs="宋体"/>
          <w:color w:val="auto"/>
          <w:sz w:val="21"/>
          <w:szCs w:val="21"/>
          <w:highlight w:val="none"/>
          <w:lang w:bidi="ar"/>
        </w:rPr>
        <w:t>结算货款的30%向甲方支付违约金。若供货期内累计出现3次</w:t>
      </w:r>
      <w:r>
        <w:rPr>
          <w:rFonts w:hint="eastAsia" w:ascii="宋体" w:hAnsi="宋体" w:eastAsia="宋体" w:cs="宋体"/>
          <w:color w:val="auto"/>
          <w:sz w:val="21"/>
          <w:szCs w:val="21"/>
          <w:highlight w:val="none"/>
        </w:rPr>
        <w:t>（含）以上</w:t>
      </w:r>
      <w:r>
        <w:rPr>
          <w:rFonts w:hint="eastAsia" w:ascii="宋体" w:hAnsi="宋体" w:eastAsia="宋体" w:cs="宋体"/>
          <w:color w:val="auto"/>
          <w:sz w:val="21"/>
          <w:szCs w:val="21"/>
          <w:highlight w:val="none"/>
          <w:lang w:bidi="ar"/>
        </w:rPr>
        <w:t>评审结论为不合格的，甲方有权取消乙方的供货资格并单方解除合同、没收乙方部分或全部履约担保。</w:t>
      </w:r>
    </w:p>
    <w:p w14:paraId="1302E491">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从合同生效之日起，若因乙方所提供的产品导致甲方运营项目处理系统生产运行出现异常或故障，妨碍水处理系统正常生产运行，甲方将根据需要通知乙方到指定地点提供技术服务，如乙方接到通知，应在4小时内自费派工程师到达现场，并在甲方要求的限期内排除故障，确保不影响甲方运营项目的生产运营，且乙方须承担由此给甲方造成的一切损失。</w:t>
      </w:r>
    </w:p>
    <w:p w14:paraId="0FAEAE98">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在本合同履行过程中，乙方不得消极怠工或拒不履行合同义务（包括但不限于按合同要求交货、换货、培训、技术支持、售后等），否则将视为乙方违约，甲方除可按本合同约定追究乙方违约责任外，甲方仍有权就违约事宜提出改正，如乙方在甲方限期内仍未完成整改或整改后仍不合格的，甲方有权单方解除合同，没收乙方的部分或全部履约担保，并有权依法委托有资质的第三方继续履行本合同义务，由此造成的一切损失（包括但不限于再行采购的费用、委托第三人继续履行时超出本合同费用部分等）由乙方全部承担。</w:t>
      </w:r>
    </w:p>
    <w:p w14:paraId="4C648FE2">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、无论是否在质保期内，因货物质量问题发生安全事故或引起其他损失、造成不良后果的，乙方应承担全部责任及损失赔偿，</w:t>
      </w:r>
      <w:r>
        <w:rPr>
          <w:rFonts w:hint="eastAsia" w:ascii="宋体" w:hAnsi="宋体" w:eastAsia="宋体" w:cs="宋体"/>
          <w:color w:val="auto"/>
          <w:sz w:val="21"/>
          <w:szCs w:val="21"/>
          <w:highlight w:val="none"/>
          <w:lang w:eastAsia="zh-Hans"/>
        </w:rPr>
        <w:t>同时甲方有权单方解除本合同及</w:t>
      </w:r>
      <w:r>
        <w:rPr>
          <w:rFonts w:hint="eastAsia" w:ascii="宋体" w:hAnsi="宋体" w:eastAsia="宋体" w:cs="宋体"/>
          <w:color w:val="auto"/>
          <w:sz w:val="21"/>
          <w:szCs w:val="21"/>
          <w:highlight w:val="none"/>
        </w:rPr>
        <w:t>没收履约担保</w:t>
      </w:r>
      <w:r>
        <w:rPr>
          <w:rFonts w:hint="eastAsia" w:ascii="宋体" w:hAnsi="宋体" w:eastAsia="宋体" w:cs="宋体"/>
          <w:color w:val="auto"/>
          <w:sz w:val="21"/>
          <w:szCs w:val="21"/>
          <w:highlight w:val="none"/>
          <w:lang w:eastAsia="zh-Hans"/>
        </w:rPr>
        <w:t>且要求乙方一次性支付</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eastAsia="zh-Hans"/>
        </w:rPr>
        <w:t>100000元</w:t>
      </w:r>
      <w:r>
        <w:rPr>
          <w:rFonts w:hint="eastAsia" w:ascii="宋体" w:hAnsi="宋体" w:eastAsia="宋体" w:cs="宋体"/>
          <w:color w:val="auto"/>
          <w:sz w:val="21"/>
          <w:szCs w:val="21"/>
          <w:highlight w:val="none"/>
          <w:u w:val="single"/>
        </w:rPr>
        <w:t>（大写人民币拾万元整）</w:t>
      </w:r>
      <w:r>
        <w:rPr>
          <w:rFonts w:hint="eastAsia" w:ascii="宋体" w:hAnsi="宋体" w:eastAsia="宋体" w:cs="宋体"/>
          <w:color w:val="auto"/>
          <w:sz w:val="21"/>
          <w:szCs w:val="21"/>
          <w:highlight w:val="none"/>
          <w:lang w:eastAsia="zh-Hans"/>
        </w:rPr>
        <w:t>的违约金</w:t>
      </w:r>
      <w:r>
        <w:rPr>
          <w:rFonts w:hint="eastAsia" w:ascii="宋体" w:hAnsi="宋体" w:eastAsia="宋体" w:cs="宋体"/>
          <w:color w:val="auto"/>
          <w:sz w:val="21"/>
          <w:szCs w:val="21"/>
          <w:highlight w:val="none"/>
        </w:rPr>
        <w:t>。</w:t>
      </w:r>
    </w:p>
    <w:p w14:paraId="4A7B6E2F">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乙方应保证合同项下提供的货物不侵犯任何第三方的专利、商标、版权以及其它权利，否则，乙方须承担因此产生的全部责任及费用，如因此造成甲方损失的，乙方应予以足额赔偿。如果任何第三方提出侵权指控，乙方须与第三方交涉并承担由此发生的一切责任、费用和经济赔偿。由于乙方提供的货物或货物的任何一部分不符合知识产权规定，由乙方承担因此给甲方造成的全部损失。</w:t>
      </w:r>
    </w:p>
    <w:p w14:paraId="003E78DA">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18</w:t>
      </w:r>
      <w:r>
        <w:rPr>
          <w:rFonts w:hint="eastAsia" w:ascii="宋体" w:hAnsi="宋体" w:eastAsia="宋体" w:cs="宋体"/>
          <w:bCs/>
          <w:color w:val="auto"/>
          <w:sz w:val="21"/>
          <w:szCs w:val="21"/>
          <w:highlight w:val="none"/>
        </w:rPr>
        <w:t>、乙方保证对其在讨论、签订、履行本合同过程中所获悉的属于甲方的且无法从公开渠道获得的文件资料及项目信息予以严格保密并应采取相应的保密措施，保证其自身及工作人员不私自使用或向任何第三方泄露，否则，视为乙方违约，甲方有权要求乙方一次性支付</w:t>
      </w:r>
      <w:r>
        <w:rPr>
          <w:rFonts w:hint="eastAsia" w:ascii="宋体" w:hAnsi="宋体" w:eastAsia="宋体" w:cs="宋体"/>
          <w:color w:val="auto"/>
          <w:sz w:val="21"/>
          <w:szCs w:val="21"/>
          <w:highlight w:val="none"/>
          <w:u w:val="single"/>
        </w:rPr>
        <w:t>¥10000元（大写人民币壹万元整）</w:t>
      </w:r>
      <w:r>
        <w:rPr>
          <w:rFonts w:hint="eastAsia" w:ascii="宋体" w:hAnsi="宋体" w:eastAsia="宋体" w:cs="宋体"/>
          <w:color w:val="auto"/>
          <w:sz w:val="21"/>
          <w:szCs w:val="21"/>
          <w:highlight w:val="none"/>
        </w:rPr>
        <w:t>的违约金</w:t>
      </w:r>
      <w:r>
        <w:rPr>
          <w:rFonts w:hint="eastAsia" w:ascii="宋体" w:hAnsi="宋体" w:eastAsia="宋体" w:cs="宋体"/>
          <w:bCs/>
          <w:color w:val="auto"/>
          <w:sz w:val="21"/>
          <w:szCs w:val="21"/>
          <w:highlight w:val="none"/>
        </w:rPr>
        <w:t>，且乙方须承担由此给甲方造成的一切损失。乙方及其工作人员的保密义务不因本合同的终止而终止，直至相关保密信息被合法公开时止。</w:t>
      </w:r>
    </w:p>
    <w:p w14:paraId="20155E5C">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乙方无条件配合甲方接受安监局等政府管理部门的相关检查工作，提供各类资质证明材料，并对材料的真实性负责，协助甲方办理政府相关部门所要求各类手续、材料事宜。如乙方不配合或提供的资料不符合政府管理部门要求影响甲方业务正常开展的，乙方应向甲方一次性支付</w:t>
      </w:r>
      <w:r>
        <w:rPr>
          <w:rFonts w:hint="eastAsia" w:ascii="宋体" w:hAnsi="宋体" w:eastAsia="宋体" w:cs="宋体"/>
          <w:color w:val="auto"/>
          <w:sz w:val="21"/>
          <w:szCs w:val="21"/>
          <w:highlight w:val="none"/>
          <w:u w:val="single"/>
        </w:rPr>
        <w:t>¥10000元（大写人民币壹万元整）</w:t>
      </w:r>
      <w:r>
        <w:rPr>
          <w:rFonts w:hint="eastAsia" w:ascii="宋体" w:hAnsi="宋体" w:eastAsia="宋体" w:cs="宋体"/>
          <w:color w:val="auto"/>
          <w:sz w:val="21"/>
          <w:szCs w:val="21"/>
          <w:highlight w:val="none"/>
        </w:rPr>
        <w:t>的违约金，违约金不够赔偿甲方损失的，乙方需继续赔偿，且甲方有权单方解除合同，并没收乙方部分或全部履约担保。</w:t>
      </w:r>
    </w:p>
    <w:p w14:paraId="09450B52">
      <w:pPr>
        <w:snapToGrid w:val="0"/>
        <w:spacing w:line="360" w:lineRule="auto"/>
        <w:ind w:firstLine="371" w:firstLineChars="177"/>
        <w:rPr>
          <w:rFonts w:hint="eastAsia" w:ascii="宋体" w:hAnsi="宋体" w:eastAsia="宋体" w:cs="宋体"/>
          <w:color w:val="auto"/>
          <w:highlight w:val="none"/>
        </w:rPr>
      </w:pP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在合同的履行期间，乙方应当保持相应资质的有效性</w:t>
      </w:r>
      <w:r>
        <w:rPr>
          <w:rFonts w:hint="eastAsia" w:ascii="宋体" w:hAnsi="宋体" w:eastAsia="宋体" w:cs="宋体"/>
          <w:color w:val="auto"/>
          <w:sz w:val="21"/>
          <w:szCs w:val="21"/>
          <w:highlight w:val="none"/>
        </w:rPr>
        <w:t>，并符合国家的相关规定。若乙方在合同期内有关资质不符合招标要求及国家规定的，甲方有权单方解除合同，没收乙方部分或全部履约担保，并有权依法委托有资质的第三方继续履行本合同义务，由此造成的一切损失（包括但不限于重新采购的差价、委托第三方的费用）由乙方全部承担。</w:t>
      </w:r>
    </w:p>
    <w:p w14:paraId="0D75D2C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、乙方车辆在甲方运营项目行驶时，必须严格遵守厂区道路限行，限速和限重要求，如因乙方未遵守前述要求，对厂区/甲方（含其人员）、乙方人员、第三方造成损失的，乙方须承担赔偿责任。</w:t>
      </w:r>
    </w:p>
    <w:p w14:paraId="1540CAF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乙方人员在甲方运营项目的安全由乙方自行负责。在进行卸货等工作时，必须严格遵守相关劳动安全规定，并按要求佩戴相关安全劳动防护用具。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0693E18B">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、在本合同履行期限内，乙方未经甲方书面同意即将本合同约定项下的全部项目或部分项目转包给第三方的，甲方有权单方解除本合同，没收乙方部分或全部履约担保。</w:t>
      </w:r>
    </w:p>
    <w:p w14:paraId="33E778C6">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、因乙方违反本合同约定导致甲方权益受损的，甲方为维护自身权益所支付的所有费用均由乙方承担，包括但不限于甲方为此支付的诉讼费、律师费、鉴定费、公证费、交通住宿费等全部费用。</w:t>
      </w:r>
    </w:p>
    <w:p w14:paraId="1126E1C6">
      <w:pPr>
        <w:snapToGrid w:val="0"/>
        <w:spacing w:line="360" w:lineRule="auto"/>
        <w:ind w:firstLine="371" w:firstLineChars="177"/>
        <w:rPr>
          <w:rFonts w:hint="eastAsia" w:ascii="宋体" w:hAnsi="宋体" w:eastAsia="宋体" w:cs="宋体"/>
          <w:color w:val="auto"/>
          <w:highlight w:val="none"/>
        </w:rPr>
      </w:pP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、本合同中因乙方违约产生的违约金、赔偿损失等的费用，甲方有权从未付货款中先予扣除。</w:t>
      </w:r>
    </w:p>
    <w:p w14:paraId="593DC408">
      <w:pPr>
        <w:snapToGrid w:val="0"/>
        <w:spacing w:line="360" w:lineRule="auto"/>
        <w:ind w:firstLine="373" w:firstLineChars="177"/>
        <w:rPr>
          <w:rFonts w:hint="eastAsia" w:ascii="宋体" w:hAnsi="宋体" w:eastAsia="宋体" w:cs="宋体"/>
          <w:b/>
          <w:color w:val="auto"/>
          <w:sz w:val="21"/>
          <w:szCs w:val="21"/>
          <w:highlight w:val="none"/>
        </w:rPr>
      </w:pPr>
    </w:p>
    <w:p w14:paraId="4EF5CF10">
      <w:pPr>
        <w:snapToGrid w:val="0"/>
        <w:spacing w:line="360" w:lineRule="auto"/>
        <w:ind w:firstLine="373" w:firstLineChars="177"/>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第十六条 争议解决</w:t>
      </w:r>
    </w:p>
    <w:p w14:paraId="71E48AF4">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双方在履约中发生争执和分歧，双方应通过友好协商解决，如不能通过友好协商解决的，任何一方均可向甲方住所地有管辖权的人民法院提起诉讼解决。</w:t>
      </w:r>
    </w:p>
    <w:p w14:paraId="5223C578">
      <w:pPr>
        <w:snapToGrid w:val="0"/>
        <w:spacing w:line="360" w:lineRule="auto"/>
        <w:ind w:firstLine="371" w:firstLineChars="177"/>
        <w:rPr>
          <w:rFonts w:hint="eastAsia" w:ascii="宋体" w:hAnsi="宋体" w:eastAsia="宋体" w:cs="宋体"/>
          <w:color w:val="auto"/>
          <w:sz w:val="21"/>
          <w:szCs w:val="21"/>
          <w:highlight w:val="none"/>
        </w:rPr>
      </w:pPr>
    </w:p>
    <w:p w14:paraId="41CE78EB">
      <w:pPr>
        <w:snapToGrid w:val="0"/>
        <w:spacing w:line="360" w:lineRule="auto"/>
        <w:ind w:firstLine="373" w:firstLineChars="177"/>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第十七条 其他</w:t>
      </w:r>
    </w:p>
    <w:p w14:paraId="2F14A0F4">
      <w:pPr>
        <w:snapToGrid w:val="0"/>
        <w:spacing w:line="360" w:lineRule="auto"/>
        <w:ind w:firstLine="371" w:firstLineChars="177"/>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1、乙方必须清楚理解：</w:t>
      </w:r>
      <w:r>
        <w:rPr>
          <w:rFonts w:hint="eastAsia" w:ascii="宋体" w:hAnsi="宋体" w:eastAsia="宋体" w:cs="宋体"/>
          <w:color w:val="auto"/>
          <w:sz w:val="21"/>
          <w:szCs w:val="21"/>
          <w:highlight w:val="none"/>
        </w:rPr>
        <w:t>本合同不具排他性，甲方对本合同范围内的具体项目享有自主选择的权利。</w:t>
      </w:r>
      <w:r>
        <w:rPr>
          <w:rFonts w:hint="eastAsia" w:ascii="宋体" w:hAnsi="宋体" w:eastAsia="宋体" w:cs="宋体"/>
          <w:bCs/>
          <w:color w:val="auto"/>
          <w:sz w:val="21"/>
          <w:szCs w:val="21"/>
          <w:highlight w:val="none"/>
        </w:rPr>
        <w:t>本合同仅作为乙方在本合同期限内取得向甲方供应</w:t>
      </w:r>
      <w:r>
        <w:rPr>
          <w:rFonts w:hint="eastAsia" w:ascii="宋体" w:hAnsi="宋体" w:eastAsia="宋体" w:cs="宋体"/>
          <w:b/>
          <w:bCs/>
          <w:color w:val="auto"/>
          <w:sz w:val="21"/>
          <w:szCs w:val="21"/>
          <w:highlight w:val="none"/>
          <w:lang w:eastAsia="zh-CN"/>
        </w:rPr>
        <w:t>液体乙酸钠</w:t>
      </w:r>
      <w:r>
        <w:rPr>
          <w:rFonts w:hint="eastAsia" w:ascii="宋体" w:hAnsi="宋体" w:eastAsia="宋体" w:cs="宋体"/>
          <w:bCs/>
          <w:color w:val="auto"/>
          <w:sz w:val="21"/>
          <w:szCs w:val="21"/>
          <w:highlight w:val="none"/>
        </w:rPr>
        <w:t>的资格，但并不代表乙方必然取得具体运营项目供货的权利。甲方根据乙方资质条件、履约能力和实际履约情况、甲方根据具体运营项目实际需求仍有权另行采购其他第三方进行本合同范围内的货物供货服务。</w:t>
      </w:r>
    </w:p>
    <w:p w14:paraId="364855E5">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合同期内，乙方在进入甲方场地前应签订《安全生产管理协议》。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74BCBBEA">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有义务配合甲方运营项目进行货物的小试，以确定货物的适用性选型，或者货物的最优化成分配比，并在适用性的前提下按最优化的成分配比进行供货，以实现低药耗、高效率的运营目标，同时合同综合单价固定不变。如果乙方提供的货物无法满足单个项目低耗、高效的要求，或者乙方提供的货物无法达到甲方另行选择的货物的投加综合效益，甲方有权另行选择供应商。</w:t>
      </w:r>
    </w:p>
    <w:p w14:paraId="3515B417">
      <w:pPr>
        <w:snapToGrid w:val="0"/>
        <w:spacing w:line="360" w:lineRule="auto"/>
        <w:ind w:firstLine="371" w:firstLineChars="177"/>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4、乙方配合甲方运营项目进行小试，提供小试生产药剂，做好</w:t>
      </w:r>
      <w:r>
        <w:rPr>
          <w:rFonts w:hint="eastAsia" w:ascii="宋体" w:hAnsi="宋体" w:eastAsia="宋体" w:cs="宋体"/>
          <w:color w:val="auto"/>
          <w:sz w:val="21"/>
          <w:szCs w:val="21"/>
          <w:highlight w:val="none"/>
        </w:rPr>
        <w:t>货物</w:t>
      </w:r>
      <w:r>
        <w:rPr>
          <w:rFonts w:hint="eastAsia" w:ascii="宋体" w:hAnsi="宋体" w:eastAsia="宋体" w:cs="宋体"/>
          <w:bCs/>
          <w:color w:val="auto"/>
          <w:sz w:val="21"/>
          <w:szCs w:val="21"/>
          <w:highlight w:val="none"/>
        </w:rPr>
        <w:t>的成分配比等服务，乙方完成本项义务的相关费用已包含在已供货的</w:t>
      </w:r>
      <w:r>
        <w:rPr>
          <w:rFonts w:hint="eastAsia" w:ascii="宋体" w:hAnsi="宋体" w:eastAsia="宋体" w:cs="宋体"/>
          <w:color w:val="auto"/>
          <w:sz w:val="21"/>
          <w:szCs w:val="21"/>
          <w:highlight w:val="none"/>
        </w:rPr>
        <w:t>货物</w:t>
      </w:r>
      <w:r>
        <w:rPr>
          <w:rFonts w:hint="eastAsia" w:ascii="宋体" w:hAnsi="宋体" w:eastAsia="宋体" w:cs="宋体"/>
          <w:bCs/>
          <w:color w:val="auto"/>
          <w:sz w:val="21"/>
          <w:szCs w:val="21"/>
          <w:highlight w:val="none"/>
        </w:rPr>
        <w:t>的综合单价内，甲方无需另行支付其他费用。</w:t>
      </w:r>
    </w:p>
    <w:p w14:paraId="37370C8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5、甲方按本合同约定单方解除合同的，乙方应在收到甲方单方解除合同书面通知之日起30日内与甲方共同确认已完成的供货量及金额，未经甲乙双方共同确认的供货量不得再要求结算。</w:t>
      </w:r>
    </w:p>
    <w:p w14:paraId="525D71D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6、基于乙方的专业特长，甲方代表（合同签字者）对关于产品质量指标的确认、变更等，仅是程序性行为，并非就是对乙方产品质量责任的免除，乙方仍要对所供的产品承担全部责任。</w:t>
      </w:r>
    </w:p>
    <w:p w14:paraId="03800D48">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7、合同履约过程中，若发现</w:t>
      </w:r>
      <w:r>
        <w:rPr>
          <w:rFonts w:hint="eastAsia" w:ascii="宋体" w:hAnsi="宋体" w:eastAsia="宋体" w:cs="宋体"/>
          <w:color w:val="auto"/>
          <w:kern w:val="2"/>
          <w:sz w:val="21"/>
          <w:szCs w:val="21"/>
          <w:highlight w:val="none"/>
          <w:lang w:val="zh-CN"/>
        </w:rPr>
        <w:t>同一种货物或服务存在有选择性的报价或</w:t>
      </w:r>
      <w:r>
        <w:rPr>
          <w:rFonts w:hint="eastAsia" w:ascii="宋体" w:hAnsi="宋体" w:eastAsia="宋体" w:cs="宋体"/>
          <w:color w:val="auto"/>
          <w:sz w:val="21"/>
          <w:szCs w:val="21"/>
          <w:highlight w:val="none"/>
          <w:lang w:val="zh-CN"/>
        </w:rPr>
        <w:t>不是固定的报价的</w:t>
      </w:r>
      <w:r>
        <w:rPr>
          <w:rFonts w:hint="eastAsia" w:ascii="宋体" w:hAnsi="宋体" w:eastAsia="宋体" w:cs="宋体"/>
          <w:color w:val="auto"/>
          <w:kern w:val="2"/>
          <w:sz w:val="21"/>
          <w:szCs w:val="21"/>
          <w:highlight w:val="none"/>
          <w:lang w:val="zh-CN"/>
        </w:rPr>
        <w:t>，或存在</w:t>
      </w:r>
      <w:r>
        <w:rPr>
          <w:rFonts w:hint="eastAsia" w:ascii="宋体" w:hAnsi="宋体" w:eastAsia="宋体" w:cs="宋体"/>
          <w:color w:val="auto"/>
          <w:sz w:val="21"/>
          <w:szCs w:val="21"/>
          <w:highlight w:val="none"/>
        </w:rPr>
        <w:t>多种理解方式的情况发生时，按最有利甲方的方式解释。</w:t>
      </w:r>
    </w:p>
    <w:p w14:paraId="6A8A6901">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8、合同所有附件及本项目的招标文件、答疑文件、投标文件、补充通知及相关承诺、协议等均为本合同有效组成部分，与本合同同具法律效力，该等文件与本合同正文约定不一致的，以有利于甲方的约定为准。</w:t>
      </w:r>
    </w:p>
    <w:p w14:paraId="0BF0A952">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9、本合同壹式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份，乙方执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份，招标代理机构执</w:t>
      </w:r>
      <w:r>
        <w:rPr>
          <w:rFonts w:hint="eastAsia" w:ascii="宋体" w:hAnsi="宋体" w:eastAsia="宋体" w:cs="宋体"/>
          <w:color w:val="auto"/>
          <w:sz w:val="21"/>
          <w:szCs w:val="21"/>
          <w:highlight w:val="none"/>
          <w:u w:val="single"/>
        </w:rPr>
        <w:t xml:space="preserve"> 壹 </w:t>
      </w:r>
      <w:r>
        <w:rPr>
          <w:rFonts w:hint="eastAsia" w:ascii="宋体" w:hAnsi="宋体" w:eastAsia="宋体" w:cs="宋体"/>
          <w:color w:val="auto"/>
          <w:sz w:val="21"/>
          <w:szCs w:val="21"/>
          <w:highlight w:val="none"/>
        </w:rPr>
        <w:t>份，均具有同等法律效力。</w:t>
      </w:r>
    </w:p>
    <w:p w14:paraId="3F454245">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10、本合同自甲乙双方法定代表人或负责人签字并盖章之日起生效,有效期至全部合同义务履行完毕时终止。</w:t>
      </w:r>
    </w:p>
    <w:p w14:paraId="2A49C79B">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11、本合同未尽事宜，由双方协商处理。</w:t>
      </w:r>
    </w:p>
    <w:p w14:paraId="07B7AD1C">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12、合同附件：1.用户需求书；2.供应商履约评价表；3.廉洁协议书；4.安全生产管理协议。</w:t>
      </w:r>
    </w:p>
    <w:p w14:paraId="44D6EBAE">
      <w:pPr>
        <w:ind w:firstLine="420" w:firstLineChars="200"/>
        <w:rPr>
          <w:rFonts w:hint="eastAsia" w:ascii="宋体" w:hAnsi="宋体" w:eastAsia="宋体" w:cs="宋体"/>
          <w:color w:val="auto"/>
          <w:sz w:val="21"/>
          <w:szCs w:val="21"/>
          <w:highlight w:val="none"/>
        </w:rPr>
      </w:pPr>
    </w:p>
    <w:p w14:paraId="4866294C">
      <w:pPr>
        <w:ind w:firstLine="420" w:firstLineChars="200"/>
        <w:rPr>
          <w:rFonts w:hint="eastAsia" w:ascii="宋体" w:hAnsi="宋体" w:eastAsia="宋体" w:cs="宋体"/>
          <w:color w:val="auto"/>
          <w:highlight w:val="none"/>
        </w:rPr>
      </w:pPr>
      <w:r>
        <w:rPr>
          <w:rFonts w:hint="eastAsia" w:ascii="宋体" w:hAnsi="宋体" w:eastAsia="宋体" w:cs="宋体"/>
          <w:color w:val="auto"/>
          <w:sz w:val="21"/>
          <w:szCs w:val="21"/>
          <w:highlight w:val="none"/>
        </w:rPr>
        <w:t>以下无正文。</w:t>
      </w:r>
    </w:p>
    <w:p w14:paraId="21CAA0A9">
      <w:pPr>
        <w:ind w:firstLine="420" w:firstLineChars="200"/>
        <w:rPr>
          <w:rFonts w:hint="eastAsia" w:ascii="宋体" w:hAnsi="宋体" w:eastAsia="宋体" w:cs="宋体"/>
          <w:color w:val="auto"/>
          <w:sz w:val="21"/>
          <w:szCs w:val="21"/>
          <w:highlight w:val="none"/>
        </w:rPr>
      </w:pPr>
    </w:p>
    <w:p w14:paraId="264763B8">
      <w:pPr>
        <w:ind w:firstLine="420" w:firstLineChars="200"/>
        <w:rPr>
          <w:rFonts w:hint="eastAsia" w:ascii="宋体" w:hAnsi="宋体" w:eastAsia="宋体" w:cs="宋体"/>
          <w:color w:val="auto"/>
          <w:sz w:val="21"/>
          <w:szCs w:val="21"/>
          <w:highlight w:val="none"/>
        </w:rPr>
      </w:pPr>
    </w:p>
    <w:p w14:paraId="64791E4C">
      <w:pPr>
        <w:snapToGrid w:val="0"/>
        <w:spacing w:line="360" w:lineRule="auto"/>
        <w:ind w:firstLine="283" w:firstLineChars="1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甲方：                                 乙方：</w:t>
      </w:r>
    </w:p>
    <w:p w14:paraId="472A0C96">
      <w:pPr>
        <w:snapToGrid w:val="0"/>
        <w:spacing w:line="360" w:lineRule="auto"/>
        <w:ind w:firstLine="424" w:firstLineChars="202"/>
        <w:rPr>
          <w:rFonts w:hint="eastAsia" w:ascii="宋体" w:hAnsi="宋体" w:eastAsia="宋体" w:cs="宋体"/>
          <w:color w:val="auto"/>
          <w:sz w:val="21"/>
          <w:szCs w:val="21"/>
          <w:highlight w:val="none"/>
        </w:rPr>
      </w:pPr>
    </w:p>
    <w:p w14:paraId="517AF7B1">
      <w:pPr>
        <w:snapToGrid w:val="0"/>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法定代表人或负责人：                    法定代表人或负责人：                           </w:t>
      </w:r>
    </w:p>
    <w:p w14:paraId="1D00863F">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                                  地址：</w:t>
      </w:r>
    </w:p>
    <w:p w14:paraId="504EF8F7">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                                  电话：</w:t>
      </w:r>
    </w:p>
    <w:p w14:paraId="6C9FD9F9">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                                  传真：</w:t>
      </w:r>
    </w:p>
    <w:p w14:paraId="5FB355A9">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签约日期：                              签约日期：  </w:t>
      </w:r>
    </w:p>
    <w:p w14:paraId="50B3C356">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签约地点： </w:t>
      </w:r>
    </w:p>
    <w:p w14:paraId="57777554">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                              开户银行：</w:t>
      </w:r>
    </w:p>
    <w:p w14:paraId="0BF18F05">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银行账户：                              银行账户：</w:t>
      </w:r>
    </w:p>
    <w:p w14:paraId="4D25B9E0">
      <w:pPr>
        <w:snapToGrid w:val="0"/>
        <w:spacing w:line="360" w:lineRule="auto"/>
        <w:ind w:firstLine="386" w:firstLineChars="18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                              银行账号：</w:t>
      </w:r>
    </w:p>
    <w:p w14:paraId="07146BB1">
      <w:pPr>
        <w:ind w:firstLine="420" w:firstLineChars="200"/>
        <w:rPr>
          <w:rFonts w:hint="eastAsia" w:ascii="宋体" w:hAnsi="宋体" w:eastAsia="宋体" w:cs="宋体"/>
          <w:color w:val="auto"/>
          <w:sz w:val="21"/>
          <w:szCs w:val="21"/>
          <w:highlight w:val="none"/>
        </w:rPr>
      </w:pPr>
    </w:p>
    <w:p w14:paraId="1181BC59">
      <w:pPr>
        <w:ind w:firstLine="420" w:firstLineChars="200"/>
        <w:rPr>
          <w:rFonts w:hint="eastAsia" w:ascii="宋体" w:hAnsi="宋体" w:eastAsia="宋体" w:cs="宋体"/>
          <w:color w:val="auto"/>
          <w:sz w:val="21"/>
          <w:szCs w:val="21"/>
          <w:highlight w:val="none"/>
        </w:rPr>
      </w:pPr>
    </w:p>
    <w:p w14:paraId="7F251997">
      <w:pPr>
        <w:ind w:firstLine="420" w:firstLineChars="200"/>
        <w:rPr>
          <w:rFonts w:hint="eastAsia" w:ascii="宋体" w:hAnsi="宋体" w:eastAsia="宋体" w:cs="宋体"/>
          <w:color w:val="auto"/>
          <w:sz w:val="21"/>
          <w:szCs w:val="21"/>
          <w:highlight w:val="none"/>
        </w:rPr>
      </w:pPr>
    </w:p>
    <w:p w14:paraId="10E978EE">
      <w:pPr>
        <w:ind w:firstLine="420" w:firstLineChars="200"/>
        <w:rPr>
          <w:rFonts w:hint="eastAsia" w:ascii="宋体" w:hAnsi="宋体" w:eastAsia="宋体" w:cs="宋体"/>
          <w:color w:val="auto"/>
          <w:sz w:val="21"/>
          <w:szCs w:val="21"/>
          <w:highlight w:val="none"/>
        </w:rPr>
      </w:pPr>
    </w:p>
    <w:p w14:paraId="705A5F19">
      <w:pPr>
        <w:ind w:firstLine="420" w:firstLineChars="200"/>
        <w:rPr>
          <w:rFonts w:hint="eastAsia" w:ascii="宋体" w:hAnsi="宋体" w:eastAsia="宋体" w:cs="宋体"/>
          <w:color w:val="auto"/>
          <w:sz w:val="21"/>
          <w:szCs w:val="21"/>
          <w:highlight w:val="none"/>
        </w:rPr>
      </w:pPr>
    </w:p>
    <w:p w14:paraId="21117A5F">
      <w:pPr>
        <w:ind w:firstLine="420" w:firstLineChars="200"/>
        <w:rPr>
          <w:rFonts w:hint="eastAsia" w:ascii="宋体" w:hAnsi="宋体" w:eastAsia="宋体" w:cs="宋体"/>
          <w:color w:val="auto"/>
          <w:sz w:val="21"/>
          <w:szCs w:val="21"/>
          <w:highlight w:val="none"/>
        </w:rPr>
      </w:pPr>
    </w:p>
    <w:p w14:paraId="7B7C1168">
      <w:pPr>
        <w:ind w:firstLine="420" w:firstLineChars="200"/>
        <w:rPr>
          <w:rFonts w:hint="eastAsia" w:ascii="宋体" w:hAnsi="宋体" w:eastAsia="宋体" w:cs="宋体"/>
          <w:color w:val="auto"/>
          <w:sz w:val="21"/>
          <w:szCs w:val="21"/>
          <w:highlight w:val="none"/>
        </w:rPr>
      </w:pPr>
    </w:p>
    <w:p w14:paraId="1273F4B0">
      <w:pPr>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795B78F7">
      <w:pPr>
        <w:spacing w:line="360" w:lineRule="auto"/>
        <w:outlineLvl w:val="9"/>
        <w:rPr>
          <w:rFonts w:hint="eastAsia" w:ascii="宋体" w:hAnsi="宋体" w:eastAsia="宋体" w:cs="宋体"/>
          <w:b/>
          <w:color w:val="auto"/>
          <w:highlight w:val="none"/>
        </w:rPr>
      </w:pPr>
      <w:r>
        <w:rPr>
          <w:rFonts w:hint="eastAsia" w:ascii="宋体" w:hAnsi="宋体" w:eastAsia="宋体" w:cs="宋体"/>
          <w:b/>
          <w:color w:val="auto"/>
          <w:highlight w:val="none"/>
        </w:rPr>
        <w:t>附件2：供应商履约评价表</w:t>
      </w:r>
    </w:p>
    <w:p w14:paraId="4D160EBD">
      <w:pPr>
        <w:spacing w:line="360" w:lineRule="auto"/>
        <w:jc w:val="center"/>
        <w:rPr>
          <w:rFonts w:hint="eastAsia" w:ascii="宋体" w:hAnsi="宋体" w:eastAsia="宋体" w:cs="宋体"/>
          <w:b/>
          <w:color w:val="auto"/>
          <w:sz w:val="32"/>
          <w:szCs w:val="21"/>
          <w:highlight w:val="none"/>
        </w:rPr>
      </w:pPr>
      <w:r>
        <w:rPr>
          <w:rFonts w:hint="eastAsia" w:ascii="宋体" w:hAnsi="宋体" w:eastAsia="宋体" w:cs="宋体"/>
          <w:b/>
          <w:color w:val="auto"/>
          <w:sz w:val="32"/>
          <w:szCs w:val="21"/>
          <w:highlight w:val="none"/>
        </w:rPr>
        <w:t>供应商履约评价表</w:t>
      </w:r>
    </w:p>
    <w:tbl>
      <w:tblPr>
        <w:tblStyle w:val="37"/>
        <w:tblW w:w="9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1586"/>
        <w:gridCol w:w="3654"/>
        <w:gridCol w:w="335"/>
        <w:gridCol w:w="1824"/>
        <w:gridCol w:w="733"/>
        <w:gridCol w:w="705"/>
        <w:gridCol w:w="719"/>
        <w:gridCol w:w="6"/>
      </w:tblGrid>
      <w:tr w14:paraId="7BDA8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2011" w:type="dxa"/>
            <w:gridSpan w:val="2"/>
            <w:noWrap w:val="0"/>
            <w:vAlign w:val="center"/>
          </w:tcPr>
          <w:p w14:paraId="67F1C2D6">
            <w:pPr>
              <w:widowControl/>
              <w:snapToGrid w:val="0"/>
              <w:jc w:val="center"/>
              <w:rPr>
                <w:rFonts w:hint="eastAsia" w:ascii="宋体" w:hAnsi="宋体" w:eastAsia="宋体" w:cs="宋体"/>
                <w:color w:val="auto"/>
                <w:highlight w:val="none"/>
              </w:rPr>
            </w:pPr>
            <w:r>
              <w:rPr>
                <w:rFonts w:hint="eastAsia" w:ascii="宋体" w:hAnsi="宋体" w:eastAsia="宋体" w:cs="宋体"/>
                <w:bCs/>
                <w:color w:val="auto"/>
                <w:highlight w:val="none"/>
              </w:rPr>
              <w:t>合同名称</w:t>
            </w:r>
          </w:p>
        </w:tc>
        <w:tc>
          <w:tcPr>
            <w:tcW w:w="7970" w:type="dxa"/>
            <w:gridSpan w:val="6"/>
            <w:noWrap w:val="0"/>
            <w:vAlign w:val="center"/>
          </w:tcPr>
          <w:p w14:paraId="635EF6A6">
            <w:pPr>
              <w:widowControl/>
              <w:snapToGrid w:val="0"/>
              <w:rPr>
                <w:rFonts w:hint="eastAsia" w:ascii="宋体" w:hAnsi="宋体" w:eastAsia="宋体" w:cs="宋体"/>
                <w:color w:val="auto"/>
                <w:highlight w:val="none"/>
              </w:rPr>
            </w:pPr>
          </w:p>
        </w:tc>
      </w:tr>
      <w:tr w14:paraId="3158F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2011" w:type="dxa"/>
            <w:gridSpan w:val="2"/>
            <w:noWrap w:val="0"/>
            <w:vAlign w:val="center"/>
          </w:tcPr>
          <w:p w14:paraId="2A8ADFE8">
            <w:pPr>
              <w:widowControl/>
              <w:snapToGrid w:val="0"/>
              <w:jc w:val="center"/>
              <w:rPr>
                <w:rFonts w:hint="eastAsia" w:ascii="宋体" w:hAnsi="宋体" w:eastAsia="宋体" w:cs="宋体"/>
                <w:color w:val="auto"/>
                <w:highlight w:val="none"/>
              </w:rPr>
            </w:pPr>
            <w:r>
              <w:rPr>
                <w:rFonts w:hint="eastAsia" w:ascii="宋体" w:hAnsi="宋体" w:eastAsia="宋体" w:cs="宋体"/>
                <w:bCs/>
                <w:color w:val="auto"/>
                <w:highlight w:val="none"/>
              </w:rPr>
              <w:t>合同编号</w:t>
            </w:r>
          </w:p>
        </w:tc>
        <w:tc>
          <w:tcPr>
            <w:tcW w:w="7970" w:type="dxa"/>
            <w:gridSpan w:val="6"/>
            <w:noWrap w:val="0"/>
            <w:vAlign w:val="center"/>
          </w:tcPr>
          <w:p w14:paraId="3B9E587D">
            <w:pPr>
              <w:widowControl/>
              <w:snapToGrid w:val="0"/>
              <w:rPr>
                <w:rFonts w:hint="eastAsia" w:ascii="宋体" w:hAnsi="宋体" w:eastAsia="宋体" w:cs="宋体"/>
                <w:color w:val="auto"/>
                <w:highlight w:val="none"/>
              </w:rPr>
            </w:pPr>
          </w:p>
        </w:tc>
      </w:tr>
      <w:tr w14:paraId="43514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2011" w:type="dxa"/>
            <w:gridSpan w:val="2"/>
            <w:noWrap w:val="0"/>
            <w:vAlign w:val="center"/>
          </w:tcPr>
          <w:p w14:paraId="180BE33F">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甲方名称</w:t>
            </w:r>
          </w:p>
        </w:tc>
        <w:tc>
          <w:tcPr>
            <w:tcW w:w="7970" w:type="dxa"/>
            <w:gridSpan w:val="6"/>
            <w:noWrap w:val="0"/>
            <w:vAlign w:val="center"/>
          </w:tcPr>
          <w:p w14:paraId="1AB384F6">
            <w:pPr>
              <w:widowControl/>
              <w:snapToGrid w:val="0"/>
              <w:rPr>
                <w:rFonts w:hint="eastAsia" w:ascii="宋体" w:hAnsi="宋体" w:eastAsia="宋体" w:cs="宋体"/>
                <w:color w:val="auto"/>
                <w:highlight w:val="none"/>
              </w:rPr>
            </w:pPr>
          </w:p>
        </w:tc>
      </w:tr>
      <w:tr w14:paraId="5357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2011" w:type="dxa"/>
            <w:gridSpan w:val="2"/>
            <w:noWrap w:val="0"/>
            <w:vAlign w:val="center"/>
          </w:tcPr>
          <w:p w14:paraId="56234437">
            <w:pPr>
              <w:widowControl/>
              <w:snapToGrid w:val="0"/>
              <w:jc w:val="center"/>
              <w:rPr>
                <w:rFonts w:hint="eastAsia" w:ascii="宋体" w:hAnsi="宋体" w:eastAsia="宋体" w:cs="宋体"/>
                <w:color w:val="auto"/>
                <w:highlight w:val="none"/>
              </w:rPr>
            </w:pPr>
            <w:r>
              <w:rPr>
                <w:rFonts w:hint="eastAsia" w:ascii="宋体" w:hAnsi="宋体" w:eastAsia="宋体" w:cs="宋体"/>
                <w:bCs/>
                <w:color w:val="auto"/>
                <w:highlight w:val="none"/>
              </w:rPr>
              <w:t>供应商</w:t>
            </w:r>
            <w:r>
              <w:rPr>
                <w:rFonts w:hint="eastAsia" w:ascii="宋体" w:hAnsi="宋体" w:eastAsia="宋体" w:cs="宋体"/>
                <w:color w:val="auto"/>
                <w:highlight w:val="none"/>
              </w:rPr>
              <w:t>名称</w:t>
            </w:r>
          </w:p>
        </w:tc>
        <w:tc>
          <w:tcPr>
            <w:tcW w:w="7970" w:type="dxa"/>
            <w:gridSpan w:val="6"/>
            <w:noWrap w:val="0"/>
            <w:vAlign w:val="center"/>
          </w:tcPr>
          <w:p w14:paraId="74B3D046">
            <w:pPr>
              <w:widowControl/>
              <w:snapToGrid w:val="0"/>
              <w:rPr>
                <w:rFonts w:hint="eastAsia" w:ascii="宋体" w:hAnsi="宋体" w:eastAsia="宋体" w:cs="宋体"/>
                <w:color w:val="auto"/>
                <w:highlight w:val="none"/>
              </w:rPr>
            </w:pPr>
          </w:p>
        </w:tc>
      </w:tr>
      <w:tr w14:paraId="054F3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2011" w:type="dxa"/>
            <w:gridSpan w:val="2"/>
            <w:noWrap w:val="0"/>
            <w:vAlign w:val="center"/>
          </w:tcPr>
          <w:p w14:paraId="0787DD86">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供应货物名称</w:t>
            </w:r>
          </w:p>
        </w:tc>
        <w:tc>
          <w:tcPr>
            <w:tcW w:w="7970" w:type="dxa"/>
            <w:gridSpan w:val="6"/>
            <w:noWrap w:val="0"/>
            <w:vAlign w:val="center"/>
          </w:tcPr>
          <w:p w14:paraId="68771D51">
            <w:pPr>
              <w:widowControl/>
              <w:snapToGrid w:val="0"/>
              <w:rPr>
                <w:rFonts w:hint="eastAsia" w:ascii="宋体" w:hAnsi="宋体" w:eastAsia="宋体" w:cs="宋体"/>
                <w:bCs/>
                <w:color w:val="auto"/>
                <w:highlight w:val="none"/>
              </w:rPr>
            </w:pPr>
          </w:p>
        </w:tc>
      </w:tr>
      <w:tr w14:paraId="505F1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noWrap w:val="0"/>
            <w:vAlign w:val="center"/>
          </w:tcPr>
          <w:p w14:paraId="65A7F6C3">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序号</w:t>
            </w:r>
          </w:p>
        </w:tc>
        <w:tc>
          <w:tcPr>
            <w:tcW w:w="1586" w:type="dxa"/>
            <w:noWrap w:val="0"/>
            <w:vAlign w:val="center"/>
          </w:tcPr>
          <w:p w14:paraId="00EB2225">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履约评价项目</w:t>
            </w:r>
          </w:p>
        </w:tc>
        <w:tc>
          <w:tcPr>
            <w:tcW w:w="3654" w:type="dxa"/>
            <w:noWrap w:val="0"/>
            <w:vAlign w:val="center"/>
          </w:tcPr>
          <w:p w14:paraId="60F424A4">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评价标准</w:t>
            </w:r>
          </w:p>
        </w:tc>
        <w:tc>
          <w:tcPr>
            <w:tcW w:w="2159" w:type="dxa"/>
            <w:gridSpan w:val="2"/>
            <w:noWrap w:val="0"/>
            <w:vAlign w:val="center"/>
          </w:tcPr>
          <w:p w14:paraId="4875254E">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评分说明</w:t>
            </w:r>
          </w:p>
        </w:tc>
        <w:tc>
          <w:tcPr>
            <w:tcW w:w="733" w:type="dxa"/>
            <w:noWrap w:val="0"/>
            <w:vAlign w:val="center"/>
          </w:tcPr>
          <w:p w14:paraId="0B18DB43">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分值</w:t>
            </w:r>
          </w:p>
        </w:tc>
        <w:tc>
          <w:tcPr>
            <w:tcW w:w="705" w:type="dxa"/>
            <w:noWrap w:val="0"/>
            <w:vAlign w:val="center"/>
          </w:tcPr>
          <w:p w14:paraId="2DB0B995">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实得分</w:t>
            </w:r>
          </w:p>
        </w:tc>
        <w:tc>
          <w:tcPr>
            <w:tcW w:w="719" w:type="dxa"/>
            <w:noWrap w:val="0"/>
            <w:vAlign w:val="center"/>
          </w:tcPr>
          <w:p w14:paraId="7EEEA97A">
            <w:pPr>
              <w:widowControl/>
              <w:rPr>
                <w:rFonts w:hint="eastAsia" w:ascii="宋体" w:hAnsi="宋体" w:eastAsia="宋体" w:cs="宋体"/>
                <w:bCs/>
                <w:color w:val="auto"/>
                <w:highlight w:val="none"/>
              </w:rPr>
            </w:pPr>
            <w:r>
              <w:rPr>
                <w:rFonts w:hint="eastAsia" w:ascii="宋体" w:hAnsi="宋体" w:eastAsia="宋体" w:cs="宋体"/>
                <w:bCs/>
                <w:color w:val="auto"/>
                <w:highlight w:val="none"/>
              </w:rPr>
              <w:t>扣分情况说明</w:t>
            </w:r>
          </w:p>
        </w:tc>
      </w:tr>
      <w:tr w14:paraId="2C23C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noWrap w:val="0"/>
            <w:vAlign w:val="center"/>
          </w:tcPr>
          <w:p w14:paraId="650FC883">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1</w:t>
            </w:r>
          </w:p>
        </w:tc>
        <w:tc>
          <w:tcPr>
            <w:tcW w:w="1586" w:type="dxa"/>
            <w:noWrap w:val="0"/>
            <w:vAlign w:val="center"/>
          </w:tcPr>
          <w:p w14:paraId="4D96DFC2">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质量</w:t>
            </w:r>
          </w:p>
        </w:tc>
        <w:tc>
          <w:tcPr>
            <w:tcW w:w="3654" w:type="dxa"/>
            <w:noWrap w:val="0"/>
            <w:vAlign w:val="center"/>
          </w:tcPr>
          <w:p w14:paraId="56ACA656">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（1）货物未出现全部拒收或换货等质量问题；</w:t>
            </w:r>
          </w:p>
          <w:p w14:paraId="282F3E7A">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（2）货物主要技术指标符合合同规定；</w:t>
            </w:r>
          </w:p>
          <w:p w14:paraId="369F22AF">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（3）每次货物质量稳定，投加效果良好，未出现由于每次货物质量参差不齐导致厂区药剂投加量增加或产生出水水质风险等情况。</w:t>
            </w:r>
          </w:p>
        </w:tc>
        <w:tc>
          <w:tcPr>
            <w:tcW w:w="2159" w:type="dxa"/>
            <w:gridSpan w:val="2"/>
            <w:noWrap w:val="0"/>
            <w:vAlign w:val="center"/>
          </w:tcPr>
          <w:p w14:paraId="4B24E2F8">
            <w:pPr>
              <w:widowControl/>
              <w:snapToGrid w:val="0"/>
              <w:rPr>
                <w:rFonts w:hint="eastAsia" w:ascii="宋体" w:hAnsi="宋体" w:eastAsia="宋体" w:cs="宋体"/>
                <w:color w:val="auto"/>
                <w:highlight w:val="none"/>
              </w:rPr>
            </w:pPr>
            <w:r>
              <w:rPr>
                <w:rFonts w:hint="eastAsia" w:ascii="宋体" w:hAnsi="宋体" w:eastAsia="宋体" w:cs="宋体"/>
                <w:bCs/>
                <w:color w:val="auto"/>
                <w:highlight w:val="none"/>
              </w:rPr>
              <w:t>达到标准的得满分，每月每</w:t>
            </w:r>
            <w:r>
              <w:rPr>
                <w:rFonts w:hint="eastAsia" w:ascii="宋体" w:hAnsi="宋体" w:eastAsia="宋体" w:cs="宋体"/>
                <w:bCs/>
                <w:color w:val="auto"/>
                <w:highlight w:val="none"/>
                <w:lang w:val="en-US" w:eastAsia="zh-CN"/>
              </w:rPr>
              <w:t>次</w:t>
            </w:r>
            <w:r>
              <w:rPr>
                <w:rFonts w:hint="eastAsia" w:ascii="宋体" w:hAnsi="宋体" w:eastAsia="宋体" w:cs="宋体"/>
                <w:bCs/>
                <w:color w:val="auto"/>
                <w:highlight w:val="none"/>
              </w:rPr>
              <w:t>货物有一项未达到标准的扣4分，每</w:t>
            </w:r>
            <w:r>
              <w:rPr>
                <w:rFonts w:hint="eastAsia" w:ascii="宋体" w:hAnsi="宋体" w:eastAsia="宋体" w:cs="宋体"/>
                <w:bCs/>
                <w:color w:val="auto"/>
                <w:highlight w:val="none"/>
                <w:lang w:val="en-US" w:eastAsia="zh-CN"/>
              </w:rPr>
              <w:t>次</w:t>
            </w:r>
            <w:r>
              <w:rPr>
                <w:rFonts w:hint="eastAsia" w:ascii="宋体" w:hAnsi="宋体" w:eastAsia="宋体" w:cs="宋体"/>
                <w:bCs/>
                <w:color w:val="auto"/>
                <w:highlight w:val="none"/>
              </w:rPr>
              <w:t>货物最多扣4分。</w:t>
            </w:r>
          </w:p>
        </w:tc>
        <w:tc>
          <w:tcPr>
            <w:tcW w:w="733" w:type="dxa"/>
            <w:noWrap w:val="0"/>
            <w:vAlign w:val="center"/>
          </w:tcPr>
          <w:p w14:paraId="5E0D06A7">
            <w:pPr>
              <w:widowControl/>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20</w:t>
            </w:r>
          </w:p>
        </w:tc>
        <w:tc>
          <w:tcPr>
            <w:tcW w:w="705" w:type="dxa"/>
            <w:noWrap w:val="0"/>
            <w:vAlign w:val="center"/>
          </w:tcPr>
          <w:p w14:paraId="1B70E4AA">
            <w:pPr>
              <w:widowControl/>
              <w:snapToGrid w:val="0"/>
              <w:jc w:val="center"/>
              <w:rPr>
                <w:rFonts w:hint="eastAsia" w:ascii="宋体" w:hAnsi="宋体" w:eastAsia="宋体" w:cs="宋体"/>
                <w:bCs/>
                <w:color w:val="auto"/>
                <w:highlight w:val="none"/>
              </w:rPr>
            </w:pPr>
          </w:p>
        </w:tc>
        <w:tc>
          <w:tcPr>
            <w:tcW w:w="719" w:type="dxa"/>
            <w:noWrap w:val="0"/>
            <w:vAlign w:val="center"/>
          </w:tcPr>
          <w:p w14:paraId="4030EA5B">
            <w:pPr>
              <w:widowControl/>
              <w:snapToGrid w:val="0"/>
              <w:jc w:val="center"/>
              <w:rPr>
                <w:rFonts w:hint="eastAsia" w:ascii="宋体" w:hAnsi="宋体" w:eastAsia="宋体" w:cs="宋体"/>
                <w:bCs/>
                <w:color w:val="auto"/>
                <w:highlight w:val="none"/>
              </w:rPr>
            </w:pPr>
          </w:p>
        </w:tc>
      </w:tr>
      <w:tr w14:paraId="35F36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noWrap w:val="0"/>
            <w:vAlign w:val="center"/>
          </w:tcPr>
          <w:p w14:paraId="76090C94">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2</w:t>
            </w:r>
          </w:p>
        </w:tc>
        <w:tc>
          <w:tcPr>
            <w:tcW w:w="1586" w:type="dxa"/>
            <w:noWrap w:val="0"/>
            <w:vAlign w:val="center"/>
          </w:tcPr>
          <w:p w14:paraId="59317818">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包装、运输</w:t>
            </w:r>
          </w:p>
        </w:tc>
        <w:tc>
          <w:tcPr>
            <w:tcW w:w="3654" w:type="dxa"/>
            <w:noWrap w:val="0"/>
            <w:vAlign w:val="center"/>
          </w:tcPr>
          <w:p w14:paraId="03B3D537">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货物的包装、运输符合合同规定及国家、行业有关标准规范；未出现由于包装、运输方式不当造成以下不良后果：</w:t>
            </w:r>
          </w:p>
          <w:p w14:paraId="66B6FE9B">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（1）影响货物输送或储存质量；</w:t>
            </w:r>
          </w:p>
          <w:p w14:paraId="5C264652">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（2）货物质量下降；</w:t>
            </w:r>
          </w:p>
          <w:p w14:paraId="7AAF8A8D">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（3）货物泄漏导致供货量不足；</w:t>
            </w:r>
          </w:p>
          <w:p w14:paraId="3B7B30BC">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（4）造成环境污染。</w:t>
            </w:r>
          </w:p>
        </w:tc>
        <w:tc>
          <w:tcPr>
            <w:tcW w:w="2159" w:type="dxa"/>
            <w:gridSpan w:val="2"/>
            <w:noWrap w:val="0"/>
            <w:vAlign w:val="center"/>
          </w:tcPr>
          <w:p w14:paraId="57FAB260">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达到标准的得满分，每月每</w:t>
            </w:r>
            <w:r>
              <w:rPr>
                <w:rFonts w:hint="eastAsia" w:ascii="宋体" w:hAnsi="宋体" w:eastAsia="宋体" w:cs="宋体"/>
                <w:bCs/>
                <w:color w:val="auto"/>
                <w:highlight w:val="none"/>
                <w:lang w:val="en-US" w:eastAsia="zh-CN"/>
              </w:rPr>
              <w:t>次</w:t>
            </w:r>
            <w:r>
              <w:rPr>
                <w:rFonts w:hint="eastAsia" w:ascii="宋体" w:hAnsi="宋体" w:eastAsia="宋体" w:cs="宋体"/>
                <w:bCs/>
                <w:color w:val="auto"/>
                <w:highlight w:val="none"/>
              </w:rPr>
              <w:t>货物有一项未达到标准的扣3分，每</w:t>
            </w:r>
            <w:r>
              <w:rPr>
                <w:rFonts w:hint="eastAsia" w:ascii="宋体" w:hAnsi="宋体" w:eastAsia="宋体" w:cs="宋体"/>
                <w:bCs/>
                <w:color w:val="auto"/>
                <w:highlight w:val="none"/>
                <w:lang w:val="en-US" w:eastAsia="zh-CN"/>
              </w:rPr>
              <w:t>次</w:t>
            </w:r>
            <w:r>
              <w:rPr>
                <w:rFonts w:hint="eastAsia" w:ascii="宋体" w:hAnsi="宋体" w:eastAsia="宋体" w:cs="宋体"/>
                <w:bCs/>
                <w:color w:val="auto"/>
                <w:highlight w:val="none"/>
              </w:rPr>
              <w:t>货物最多扣3分。</w:t>
            </w:r>
          </w:p>
        </w:tc>
        <w:tc>
          <w:tcPr>
            <w:tcW w:w="733" w:type="dxa"/>
            <w:noWrap w:val="0"/>
            <w:vAlign w:val="center"/>
          </w:tcPr>
          <w:p w14:paraId="76E4E8EE">
            <w:pPr>
              <w:widowControl/>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705" w:type="dxa"/>
            <w:noWrap w:val="0"/>
            <w:vAlign w:val="center"/>
          </w:tcPr>
          <w:p w14:paraId="0952F805">
            <w:pPr>
              <w:widowControl/>
              <w:snapToGrid w:val="0"/>
              <w:jc w:val="center"/>
              <w:rPr>
                <w:rFonts w:hint="eastAsia" w:ascii="宋体" w:hAnsi="宋体" w:eastAsia="宋体" w:cs="宋体"/>
                <w:bCs/>
                <w:color w:val="auto"/>
                <w:highlight w:val="none"/>
              </w:rPr>
            </w:pPr>
          </w:p>
        </w:tc>
        <w:tc>
          <w:tcPr>
            <w:tcW w:w="719" w:type="dxa"/>
            <w:noWrap w:val="0"/>
            <w:vAlign w:val="center"/>
          </w:tcPr>
          <w:p w14:paraId="5ECC9D86">
            <w:pPr>
              <w:widowControl/>
              <w:snapToGrid w:val="0"/>
              <w:jc w:val="center"/>
              <w:rPr>
                <w:rFonts w:hint="eastAsia" w:ascii="宋体" w:hAnsi="宋体" w:eastAsia="宋体" w:cs="宋体"/>
                <w:bCs/>
                <w:color w:val="auto"/>
                <w:highlight w:val="none"/>
              </w:rPr>
            </w:pPr>
          </w:p>
        </w:tc>
      </w:tr>
      <w:tr w14:paraId="331EB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noWrap w:val="0"/>
            <w:vAlign w:val="center"/>
          </w:tcPr>
          <w:p w14:paraId="2EE445D8">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3</w:t>
            </w:r>
          </w:p>
        </w:tc>
        <w:tc>
          <w:tcPr>
            <w:tcW w:w="1586" w:type="dxa"/>
            <w:noWrap w:val="0"/>
            <w:vAlign w:val="center"/>
          </w:tcPr>
          <w:p w14:paraId="782A9B0E">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货物交付</w:t>
            </w:r>
          </w:p>
        </w:tc>
        <w:tc>
          <w:tcPr>
            <w:tcW w:w="3654" w:type="dxa"/>
            <w:noWrap w:val="0"/>
            <w:vAlign w:val="center"/>
          </w:tcPr>
          <w:p w14:paraId="2B2A1C44">
            <w:pPr>
              <w:widowControl/>
              <w:rPr>
                <w:rFonts w:hint="eastAsia" w:ascii="宋体" w:hAnsi="宋体" w:eastAsia="宋体" w:cs="宋体"/>
                <w:bCs/>
                <w:color w:val="auto"/>
                <w:highlight w:val="none"/>
              </w:rPr>
            </w:pPr>
            <w:r>
              <w:rPr>
                <w:rFonts w:hint="eastAsia" w:ascii="宋体" w:hAnsi="宋体" w:eastAsia="宋体" w:cs="宋体"/>
                <w:bCs/>
                <w:color w:val="auto"/>
                <w:highlight w:val="none"/>
              </w:rPr>
              <w:t>（1）按合同要求的期限供货（包括加急供货）；</w:t>
            </w:r>
          </w:p>
          <w:p w14:paraId="0CA28078">
            <w:pPr>
              <w:widowControl/>
              <w:rPr>
                <w:rFonts w:hint="eastAsia" w:ascii="宋体" w:hAnsi="宋体" w:eastAsia="宋体" w:cs="宋体"/>
                <w:bCs/>
                <w:color w:val="auto"/>
                <w:highlight w:val="none"/>
              </w:rPr>
            </w:pPr>
            <w:r>
              <w:rPr>
                <w:rFonts w:hint="eastAsia" w:ascii="宋体" w:hAnsi="宋体" w:eastAsia="宋体" w:cs="宋体"/>
                <w:bCs/>
                <w:color w:val="auto"/>
                <w:highlight w:val="none"/>
              </w:rPr>
              <w:t>（2）每次供货配合提供电子地磅称重单；</w:t>
            </w:r>
          </w:p>
          <w:p w14:paraId="4BB0117C">
            <w:pPr>
              <w:rPr>
                <w:rFonts w:hint="eastAsia" w:ascii="宋体" w:hAnsi="宋体" w:eastAsia="宋体" w:cs="宋体"/>
                <w:bCs/>
                <w:color w:val="auto"/>
                <w:highlight w:val="none"/>
              </w:rPr>
            </w:pPr>
            <w:r>
              <w:rPr>
                <w:rFonts w:hint="eastAsia" w:ascii="宋体" w:hAnsi="宋体" w:eastAsia="宋体" w:cs="宋体"/>
                <w:bCs/>
                <w:color w:val="auto"/>
                <w:highlight w:val="none"/>
              </w:rPr>
              <w:t>（3）每次供货配合提供出厂检验报告或质量合格证等技术资料；</w:t>
            </w:r>
          </w:p>
          <w:p w14:paraId="54F3A296">
            <w:pPr>
              <w:widowControl/>
              <w:rPr>
                <w:rFonts w:hint="eastAsia" w:ascii="宋体" w:hAnsi="宋体" w:eastAsia="宋体" w:cs="宋体"/>
                <w:bCs/>
                <w:color w:val="auto"/>
                <w:highlight w:val="none"/>
              </w:rPr>
            </w:pPr>
            <w:r>
              <w:rPr>
                <w:rFonts w:hint="eastAsia" w:ascii="宋体" w:hAnsi="宋体" w:eastAsia="宋体" w:cs="宋体"/>
                <w:bCs/>
                <w:color w:val="auto"/>
                <w:highlight w:val="none"/>
              </w:rPr>
              <w:t>（4）交付人员专业性强，工作效率高，熟悉交付操作流程；</w:t>
            </w:r>
          </w:p>
          <w:p w14:paraId="3675BDC0">
            <w:pPr>
              <w:widowControl/>
              <w:rPr>
                <w:rFonts w:hint="eastAsia" w:ascii="宋体" w:hAnsi="宋体" w:eastAsia="宋体" w:cs="宋体"/>
                <w:bCs/>
                <w:color w:val="auto"/>
                <w:highlight w:val="none"/>
              </w:rPr>
            </w:pPr>
            <w:r>
              <w:rPr>
                <w:rFonts w:hint="eastAsia" w:ascii="宋体" w:hAnsi="宋体" w:eastAsia="宋体" w:cs="宋体"/>
                <w:bCs/>
                <w:color w:val="auto"/>
                <w:highlight w:val="none"/>
              </w:rPr>
              <w:t>（5）未出现因库存、运力不足等原因影响供货量的情况。</w:t>
            </w:r>
          </w:p>
        </w:tc>
        <w:tc>
          <w:tcPr>
            <w:tcW w:w="2159" w:type="dxa"/>
            <w:gridSpan w:val="2"/>
            <w:noWrap w:val="0"/>
            <w:vAlign w:val="center"/>
          </w:tcPr>
          <w:p w14:paraId="2D8D1372">
            <w:pPr>
              <w:widowControl/>
              <w:snapToGrid w:val="0"/>
              <w:rPr>
                <w:rFonts w:hint="eastAsia" w:ascii="宋体" w:hAnsi="宋体" w:eastAsia="宋体" w:cs="宋体"/>
                <w:color w:val="auto"/>
                <w:highlight w:val="none"/>
              </w:rPr>
            </w:pPr>
            <w:r>
              <w:rPr>
                <w:rFonts w:hint="eastAsia" w:ascii="宋体" w:hAnsi="宋体" w:eastAsia="宋体" w:cs="宋体"/>
                <w:bCs/>
                <w:color w:val="auto"/>
                <w:highlight w:val="none"/>
              </w:rPr>
              <w:t>达到标准的得满分，每月每</w:t>
            </w:r>
            <w:r>
              <w:rPr>
                <w:rFonts w:hint="eastAsia" w:ascii="宋体" w:hAnsi="宋体" w:eastAsia="宋体" w:cs="宋体"/>
                <w:bCs/>
                <w:color w:val="auto"/>
                <w:highlight w:val="none"/>
                <w:lang w:val="en-US" w:eastAsia="zh-CN"/>
              </w:rPr>
              <w:t>次</w:t>
            </w:r>
            <w:r>
              <w:rPr>
                <w:rFonts w:hint="eastAsia" w:ascii="宋体" w:hAnsi="宋体" w:eastAsia="宋体" w:cs="宋体"/>
                <w:bCs/>
                <w:color w:val="auto"/>
                <w:highlight w:val="none"/>
              </w:rPr>
              <w:t>货物有一项未达到标准的扣3分，每</w:t>
            </w:r>
            <w:r>
              <w:rPr>
                <w:rFonts w:hint="eastAsia" w:ascii="宋体" w:hAnsi="宋体" w:eastAsia="宋体" w:cs="宋体"/>
                <w:bCs/>
                <w:color w:val="auto"/>
                <w:highlight w:val="none"/>
                <w:lang w:val="en-US" w:eastAsia="zh-CN"/>
              </w:rPr>
              <w:t>次</w:t>
            </w:r>
            <w:r>
              <w:rPr>
                <w:rFonts w:hint="eastAsia" w:ascii="宋体" w:hAnsi="宋体" w:eastAsia="宋体" w:cs="宋体"/>
                <w:bCs/>
                <w:color w:val="auto"/>
                <w:highlight w:val="none"/>
              </w:rPr>
              <w:t>货物最多扣3分。</w:t>
            </w:r>
          </w:p>
        </w:tc>
        <w:tc>
          <w:tcPr>
            <w:tcW w:w="733" w:type="dxa"/>
            <w:noWrap w:val="0"/>
            <w:vAlign w:val="center"/>
          </w:tcPr>
          <w:p w14:paraId="396D2728">
            <w:pPr>
              <w:widowControl/>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20</w:t>
            </w:r>
          </w:p>
        </w:tc>
        <w:tc>
          <w:tcPr>
            <w:tcW w:w="705" w:type="dxa"/>
            <w:noWrap w:val="0"/>
            <w:vAlign w:val="center"/>
          </w:tcPr>
          <w:p w14:paraId="332669DF">
            <w:pPr>
              <w:widowControl/>
              <w:snapToGrid w:val="0"/>
              <w:jc w:val="center"/>
              <w:rPr>
                <w:rFonts w:hint="eastAsia" w:ascii="宋体" w:hAnsi="宋体" w:eastAsia="宋体" w:cs="宋体"/>
                <w:bCs/>
                <w:color w:val="auto"/>
                <w:highlight w:val="none"/>
              </w:rPr>
            </w:pPr>
          </w:p>
        </w:tc>
        <w:tc>
          <w:tcPr>
            <w:tcW w:w="719" w:type="dxa"/>
            <w:noWrap w:val="0"/>
            <w:vAlign w:val="center"/>
          </w:tcPr>
          <w:p w14:paraId="58364D2B">
            <w:pPr>
              <w:widowControl/>
              <w:snapToGrid w:val="0"/>
              <w:jc w:val="center"/>
              <w:rPr>
                <w:rFonts w:hint="eastAsia" w:ascii="宋体" w:hAnsi="宋体" w:eastAsia="宋体" w:cs="宋体"/>
                <w:bCs/>
                <w:color w:val="auto"/>
                <w:highlight w:val="none"/>
              </w:rPr>
            </w:pPr>
          </w:p>
        </w:tc>
      </w:tr>
      <w:tr w14:paraId="6E87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noWrap w:val="0"/>
            <w:vAlign w:val="center"/>
          </w:tcPr>
          <w:p w14:paraId="056C2E07">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4</w:t>
            </w:r>
          </w:p>
        </w:tc>
        <w:tc>
          <w:tcPr>
            <w:tcW w:w="1586" w:type="dxa"/>
            <w:noWrap w:val="0"/>
            <w:vAlign w:val="center"/>
          </w:tcPr>
          <w:p w14:paraId="21BAD212">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验收</w:t>
            </w:r>
          </w:p>
        </w:tc>
        <w:tc>
          <w:tcPr>
            <w:tcW w:w="3654" w:type="dxa"/>
            <w:noWrap w:val="0"/>
            <w:vAlign w:val="center"/>
          </w:tcPr>
          <w:p w14:paraId="32ABA806">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（1）及时提供货物的各项技术资料，技术资料齐全、规范；</w:t>
            </w:r>
          </w:p>
          <w:p w14:paraId="0B0E3B6F">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（2）未出现因对检测结果存在异议而影响供货的情况；</w:t>
            </w:r>
          </w:p>
          <w:p w14:paraId="5CEC3A18">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（3）未出现因货物检验不合格，或因货物不合格影响厂区生产效果的情况。</w:t>
            </w:r>
          </w:p>
        </w:tc>
        <w:tc>
          <w:tcPr>
            <w:tcW w:w="2159" w:type="dxa"/>
            <w:gridSpan w:val="2"/>
            <w:noWrap w:val="0"/>
            <w:vAlign w:val="center"/>
          </w:tcPr>
          <w:p w14:paraId="6E20E74C">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达到标准的得满分，每月每</w:t>
            </w:r>
            <w:bookmarkStart w:id="562" w:name="OLE_LINK3"/>
            <w:r>
              <w:rPr>
                <w:rFonts w:hint="eastAsia" w:ascii="宋体" w:hAnsi="宋体" w:eastAsia="宋体" w:cs="宋体"/>
                <w:bCs/>
                <w:color w:val="auto"/>
                <w:highlight w:val="none"/>
                <w:lang w:val="en-US" w:eastAsia="zh-CN"/>
              </w:rPr>
              <w:t>次</w:t>
            </w:r>
            <w:bookmarkEnd w:id="562"/>
            <w:r>
              <w:rPr>
                <w:rFonts w:hint="eastAsia" w:ascii="宋体" w:hAnsi="宋体" w:eastAsia="宋体" w:cs="宋体"/>
                <w:bCs/>
                <w:color w:val="auto"/>
                <w:highlight w:val="none"/>
              </w:rPr>
              <w:t>货物有一项未达到标准的扣4分，每</w:t>
            </w:r>
            <w:r>
              <w:rPr>
                <w:rFonts w:hint="eastAsia" w:ascii="宋体" w:hAnsi="宋体" w:eastAsia="宋体" w:cs="宋体"/>
                <w:bCs/>
                <w:color w:val="auto"/>
                <w:highlight w:val="none"/>
                <w:lang w:val="en-US" w:eastAsia="zh-CN"/>
              </w:rPr>
              <w:t>次</w:t>
            </w:r>
            <w:r>
              <w:rPr>
                <w:rFonts w:hint="eastAsia" w:ascii="宋体" w:hAnsi="宋体" w:eastAsia="宋体" w:cs="宋体"/>
                <w:bCs/>
                <w:color w:val="auto"/>
                <w:highlight w:val="none"/>
              </w:rPr>
              <w:t>货物最多扣4分。</w:t>
            </w:r>
          </w:p>
        </w:tc>
        <w:tc>
          <w:tcPr>
            <w:tcW w:w="733" w:type="dxa"/>
            <w:noWrap w:val="0"/>
            <w:vAlign w:val="center"/>
          </w:tcPr>
          <w:p w14:paraId="4DC4A444">
            <w:pPr>
              <w:widowControl/>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20</w:t>
            </w:r>
          </w:p>
        </w:tc>
        <w:tc>
          <w:tcPr>
            <w:tcW w:w="705" w:type="dxa"/>
            <w:noWrap w:val="0"/>
            <w:vAlign w:val="center"/>
          </w:tcPr>
          <w:p w14:paraId="7F0ED8AB">
            <w:pPr>
              <w:widowControl/>
              <w:snapToGrid w:val="0"/>
              <w:jc w:val="center"/>
              <w:rPr>
                <w:rFonts w:hint="eastAsia" w:ascii="宋体" w:hAnsi="宋体" w:eastAsia="宋体" w:cs="宋体"/>
                <w:bCs/>
                <w:color w:val="auto"/>
                <w:highlight w:val="none"/>
              </w:rPr>
            </w:pPr>
          </w:p>
        </w:tc>
        <w:tc>
          <w:tcPr>
            <w:tcW w:w="719" w:type="dxa"/>
            <w:noWrap w:val="0"/>
            <w:vAlign w:val="center"/>
          </w:tcPr>
          <w:p w14:paraId="5C6BB018">
            <w:pPr>
              <w:widowControl/>
              <w:snapToGrid w:val="0"/>
              <w:jc w:val="center"/>
              <w:rPr>
                <w:rFonts w:hint="eastAsia" w:ascii="宋体" w:hAnsi="宋体" w:eastAsia="宋体" w:cs="宋体"/>
                <w:bCs/>
                <w:color w:val="auto"/>
                <w:highlight w:val="none"/>
              </w:rPr>
            </w:pPr>
          </w:p>
        </w:tc>
      </w:tr>
      <w:tr w14:paraId="19E85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noWrap w:val="0"/>
            <w:vAlign w:val="center"/>
          </w:tcPr>
          <w:p w14:paraId="68093FDA">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5</w:t>
            </w:r>
          </w:p>
        </w:tc>
        <w:tc>
          <w:tcPr>
            <w:tcW w:w="1586" w:type="dxa"/>
            <w:noWrap w:val="0"/>
            <w:vAlign w:val="center"/>
          </w:tcPr>
          <w:p w14:paraId="2D6D250E">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安全</w:t>
            </w:r>
          </w:p>
        </w:tc>
        <w:tc>
          <w:tcPr>
            <w:tcW w:w="3654" w:type="dxa"/>
            <w:noWrap w:val="0"/>
            <w:vAlign w:val="center"/>
          </w:tcPr>
          <w:p w14:paraId="0613CBCF">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（1）运输服务商资质、运输人员、运输车辆符合合同规定及国家相关法律法规要求；</w:t>
            </w:r>
          </w:p>
          <w:p w14:paraId="6BAF1507">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（2）未出现超载或非法运输等情况；</w:t>
            </w:r>
          </w:p>
          <w:p w14:paraId="0E8ED552">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（3）未出现由于运输服务商资质不符、超载或非法运输、未按厂区指示行驶及停放造成第三方或厂区事故、损失的情况；</w:t>
            </w:r>
          </w:p>
          <w:p w14:paraId="08DAED67">
            <w:pPr>
              <w:outlineLvl w:val="2"/>
              <w:rPr>
                <w:rFonts w:hint="eastAsia" w:ascii="宋体" w:hAnsi="宋体" w:eastAsia="宋体" w:cs="宋体"/>
                <w:color w:val="auto"/>
                <w:highlight w:val="none"/>
              </w:rPr>
            </w:pPr>
            <w:bookmarkStart w:id="563" w:name="_Toc31117"/>
            <w:bookmarkStart w:id="564" w:name="_Toc19474"/>
            <w:r>
              <w:rPr>
                <w:rFonts w:hint="eastAsia" w:ascii="宋体" w:hAnsi="宋体" w:eastAsia="宋体" w:cs="宋体"/>
                <w:bCs/>
                <w:color w:val="auto"/>
                <w:highlight w:val="none"/>
              </w:rPr>
              <w:t>（4）未出现卸货安全事故。</w:t>
            </w:r>
            <w:bookmarkEnd w:id="563"/>
            <w:bookmarkEnd w:id="564"/>
          </w:p>
        </w:tc>
        <w:tc>
          <w:tcPr>
            <w:tcW w:w="2159" w:type="dxa"/>
            <w:gridSpan w:val="2"/>
            <w:noWrap w:val="0"/>
            <w:vAlign w:val="center"/>
          </w:tcPr>
          <w:p w14:paraId="2ACAE936">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达到标准的得满分，每月每</w:t>
            </w:r>
            <w:r>
              <w:rPr>
                <w:rFonts w:hint="eastAsia" w:ascii="宋体" w:hAnsi="宋体" w:eastAsia="宋体" w:cs="宋体"/>
                <w:bCs/>
                <w:color w:val="auto"/>
                <w:highlight w:val="none"/>
                <w:lang w:val="en-US" w:eastAsia="zh-CN"/>
              </w:rPr>
              <w:t>次</w:t>
            </w:r>
            <w:r>
              <w:rPr>
                <w:rFonts w:hint="eastAsia" w:ascii="宋体" w:hAnsi="宋体" w:eastAsia="宋体" w:cs="宋体"/>
                <w:bCs/>
                <w:color w:val="auto"/>
                <w:highlight w:val="none"/>
              </w:rPr>
              <w:t>货物有一项未达到标准的扣3分，每</w:t>
            </w:r>
            <w:r>
              <w:rPr>
                <w:rFonts w:hint="eastAsia" w:ascii="宋体" w:hAnsi="宋体" w:eastAsia="宋体" w:cs="宋体"/>
                <w:bCs/>
                <w:color w:val="auto"/>
                <w:highlight w:val="none"/>
                <w:lang w:val="en-US" w:eastAsia="zh-CN"/>
              </w:rPr>
              <w:t>次</w:t>
            </w:r>
            <w:r>
              <w:rPr>
                <w:rFonts w:hint="eastAsia" w:ascii="宋体" w:hAnsi="宋体" w:eastAsia="宋体" w:cs="宋体"/>
                <w:bCs/>
                <w:color w:val="auto"/>
                <w:highlight w:val="none"/>
              </w:rPr>
              <w:t>货物最多扣3分。</w:t>
            </w:r>
          </w:p>
        </w:tc>
        <w:tc>
          <w:tcPr>
            <w:tcW w:w="733" w:type="dxa"/>
            <w:noWrap w:val="0"/>
            <w:vAlign w:val="center"/>
          </w:tcPr>
          <w:p w14:paraId="6D1FCF6F">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15</w:t>
            </w:r>
          </w:p>
        </w:tc>
        <w:tc>
          <w:tcPr>
            <w:tcW w:w="705" w:type="dxa"/>
            <w:noWrap w:val="0"/>
            <w:vAlign w:val="center"/>
          </w:tcPr>
          <w:p w14:paraId="2B25D022">
            <w:pPr>
              <w:widowControl/>
              <w:snapToGrid w:val="0"/>
              <w:jc w:val="center"/>
              <w:rPr>
                <w:rFonts w:hint="eastAsia" w:ascii="宋体" w:hAnsi="宋体" w:eastAsia="宋体" w:cs="宋体"/>
                <w:bCs/>
                <w:color w:val="auto"/>
                <w:highlight w:val="none"/>
              </w:rPr>
            </w:pPr>
          </w:p>
        </w:tc>
        <w:tc>
          <w:tcPr>
            <w:tcW w:w="719" w:type="dxa"/>
            <w:noWrap w:val="0"/>
            <w:vAlign w:val="center"/>
          </w:tcPr>
          <w:p w14:paraId="58738F56">
            <w:pPr>
              <w:widowControl/>
              <w:snapToGrid w:val="0"/>
              <w:jc w:val="center"/>
              <w:rPr>
                <w:rFonts w:hint="eastAsia" w:ascii="宋体" w:hAnsi="宋体" w:eastAsia="宋体" w:cs="宋体"/>
                <w:bCs/>
                <w:color w:val="auto"/>
                <w:highlight w:val="none"/>
              </w:rPr>
            </w:pPr>
          </w:p>
        </w:tc>
      </w:tr>
      <w:tr w14:paraId="7D498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noWrap w:val="0"/>
            <w:vAlign w:val="center"/>
          </w:tcPr>
          <w:p w14:paraId="0E1C3EDF">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6</w:t>
            </w:r>
          </w:p>
        </w:tc>
        <w:tc>
          <w:tcPr>
            <w:tcW w:w="1586" w:type="dxa"/>
            <w:noWrap w:val="0"/>
            <w:vAlign w:val="center"/>
          </w:tcPr>
          <w:p w14:paraId="19BCBD62">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售后服务</w:t>
            </w:r>
          </w:p>
        </w:tc>
        <w:tc>
          <w:tcPr>
            <w:tcW w:w="3654" w:type="dxa"/>
            <w:noWrap w:val="0"/>
            <w:vAlign w:val="center"/>
          </w:tcPr>
          <w:p w14:paraId="28B82663">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（1）人员：</w:t>
            </w:r>
          </w:p>
          <w:p w14:paraId="53BA6409">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①管理、技术及服务人员均符合申请文件的承诺，服务队伍稳定，人员充足、专业性强，充分配合甲方供货需求；</w:t>
            </w:r>
          </w:p>
          <w:p w14:paraId="6A1161BE">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②对接人员与甲方沟通良好、理解到位、执行力强，能及时发现、解决问题，并未雨绸缪地因应各厂区实际情况提供合理化的供配货建议；</w:t>
            </w:r>
          </w:p>
          <w:p w14:paraId="546E1135">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③未出现推诿，借故不肯签署合同规定的文件或者敷衍了事、置之不理等情况。</w:t>
            </w:r>
          </w:p>
          <w:p w14:paraId="6DE70A3C">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（2）配合：</w:t>
            </w:r>
          </w:p>
          <w:p w14:paraId="4E0FF72B">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①售后服务流程完善，跟踪到位，响应速度快；</w:t>
            </w:r>
          </w:p>
          <w:p w14:paraId="048CF2E9">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②就货物储存保质方式、方法提出合理化建议并能提供专业技术指导；</w:t>
            </w:r>
          </w:p>
          <w:p w14:paraId="019B1851">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③积极配合甲方进行试验、积极协助甲方接受政府管理部门的检查工作及提供各类资质证明材料；</w:t>
            </w:r>
          </w:p>
          <w:p w14:paraId="3BB08588">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④能根据甲方要求提供专业培训。</w:t>
            </w:r>
          </w:p>
          <w:p w14:paraId="5FDE32A3">
            <w:pPr>
              <w:outlineLvl w:val="2"/>
              <w:rPr>
                <w:rFonts w:hint="eastAsia" w:ascii="宋体" w:hAnsi="宋体" w:eastAsia="宋体" w:cs="宋体"/>
                <w:color w:val="auto"/>
                <w:highlight w:val="none"/>
              </w:rPr>
            </w:pPr>
            <w:bookmarkStart w:id="565" w:name="_Toc26926"/>
            <w:bookmarkStart w:id="566" w:name="_Toc26980"/>
            <w:r>
              <w:rPr>
                <w:rFonts w:hint="eastAsia" w:ascii="宋体" w:hAnsi="宋体" w:eastAsia="宋体" w:cs="宋体"/>
                <w:bCs/>
                <w:color w:val="auto"/>
                <w:highlight w:val="none"/>
              </w:rPr>
              <w:t>⑤高效处理退换货工作、态度良好。</w:t>
            </w:r>
            <w:bookmarkEnd w:id="565"/>
            <w:bookmarkEnd w:id="566"/>
          </w:p>
        </w:tc>
        <w:tc>
          <w:tcPr>
            <w:tcW w:w="2159" w:type="dxa"/>
            <w:gridSpan w:val="2"/>
            <w:noWrap w:val="0"/>
            <w:vAlign w:val="center"/>
          </w:tcPr>
          <w:p w14:paraId="208694FB">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达到标准的得满分，每月每</w:t>
            </w:r>
            <w:r>
              <w:rPr>
                <w:rFonts w:hint="eastAsia" w:ascii="宋体" w:hAnsi="宋体" w:eastAsia="宋体" w:cs="宋体"/>
                <w:bCs/>
                <w:color w:val="auto"/>
                <w:highlight w:val="none"/>
                <w:lang w:val="en-US" w:eastAsia="zh-CN"/>
              </w:rPr>
              <w:t>次</w:t>
            </w:r>
            <w:r>
              <w:rPr>
                <w:rFonts w:hint="eastAsia" w:ascii="宋体" w:hAnsi="宋体" w:eastAsia="宋体" w:cs="宋体"/>
                <w:bCs/>
                <w:color w:val="auto"/>
                <w:highlight w:val="none"/>
              </w:rPr>
              <w:t>货物有一项未达到标准的扣2分，每</w:t>
            </w:r>
            <w:r>
              <w:rPr>
                <w:rFonts w:hint="eastAsia" w:ascii="宋体" w:hAnsi="宋体" w:eastAsia="宋体" w:cs="宋体"/>
                <w:bCs/>
                <w:color w:val="auto"/>
                <w:highlight w:val="none"/>
                <w:lang w:val="en-US" w:eastAsia="zh-CN"/>
              </w:rPr>
              <w:t>次</w:t>
            </w:r>
            <w:r>
              <w:rPr>
                <w:rFonts w:hint="eastAsia" w:ascii="宋体" w:hAnsi="宋体" w:eastAsia="宋体" w:cs="宋体"/>
                <w:bCs/>
                <w:color w:val="auto"/>
                <w:highlight w:val="none"/>
              </w:rPr>
              <w:t>货物最多扣2分。</w:t>
            </w:r>
          </w:p>
        </w:tc>
        <w:tc>
          <w:tcPr>
            <w:tcW w:w="733" w:type="dxa"/>
            <w:noWrap w:val="0"/>
            <w:vAlign w:val="center"/>
          </w:tcPr>
          <w:p w14:paraId="0022328C">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10</w:t>
            </w:r>
          </w:p>
        </w:tc>
        <w:tc>
          <w:tcPr>
            <w:tcW w:w="705" w:type="dxa"/>
            <w:noWrap w:val="0"/>
            <w:vAlign w:val="center"/>
          </w:tcPr>
          <w:p w14:paraId="12F5C7F4">
            <w:pPr>
              <w:widowControl/>
              <w:snapToGrid w:val="0"/>
              <w:jc w:val="center"/>
              <w:rPr>
                <w:rFonts w:hint="eastAsia" w:ascii="宋体" w:hAnsi="宋体" w:eastAsia="宋体" w:cs="宋体"/>
                <w:bCs/>
                <w:color w:val="auto"/>
                <w:highlight w:val="none"/>
              </w:rPr>
            </w:pPr>
          </w:p>
        </w:tc>
        <w:tc>
          <w:tcPr>
            <w:tcW w:w="719" w:type="dxa"/>
            <w:noWrap w:val="0"/>
            <w:vAlign w:val="center"/>
          </w:tcPr>
          <w:p w14:paraId="7B9E00CB">
            <w:pPr>
              <w:widowControl/>
              <w:snapToGrid w:val="0"/>
              <w:jc w:val="center"/>
              <w:rPr>
                <w:rFonts w:hint="eastAsia" w:ascii="宋体" w:hAnsi="宋体" w:eastAsia="宋体" w:cs="宋体"/>
                <w:bCs/>
                <w:color w:val="auto"/>
                <w:highlight w:val="none"/>
              </w:rPr>
            </w:pPr>
          </w:p>
        </w:tc>
      </w:tr>
      <w:tr w14:paraId="1766D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0" w:hRule="atLeast"/>
          <w:jc w:val="center"/>
        </w:trPr>
        <w:tc>
          <w:tcPr>
            <w:tcW w:w="7824" w:type="dxa"/>
            <w:gridSpan w:val="5"/>
            <w:noWrap w:val="0"/>
            <w:vAlign w:val="center"/>
          </w:tcPr>
          <w:p w14:paraId="484F084B">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合计</w:t>
            </w:r>
          </w:p>
        </w:tc>
        <w:tc>
          <w:tcPr>
            <w:tcW w:w="733" w:type="dxa"/>
            <w:noWrap w:val="0"/>
            <w:vAlign w:val="center"/>
          </w:tcPr>
          <w:p w14:paraId="4E6F272F">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100</w:t>
            </w:r>
          </w:p>
        </w:tc>
        <w:tc>
          <w:tcPr>
            <w:tcW w:w="705" w:type="dxa"/>
            <w:noWrap w:val="0"/>
            <w:vAlign w:val="center"/>
          </w:tcPr>
          <w:p w14:paraId="0E82B936">
            <w:pPr>
              <w:widowControl/>
              <w:snapToGrid w:val="0"/>
              <w:jc w:val="center"/>
              <w:rPr>
                <w:rFonts w:hint="eastAsia" w:ascii="宋体" w:hAnsi="宋体" w:eastAsia="宋体" w:cs="宋体"/>
                <w:bCs/>
                <w:color w:val="auto"/>
                <w:highlight w:val="none"/>
              </w:rPr>
            </w:pPr>
          </w:p>
        </w:tc>
        <w:tc>
          <w:tcPr>
            <w:tcW w:w="719" w:type="dxa"/>
            <w:noWrap w:val="0"/>
            <w:vAlign w:val="center"/>
          </w:tcPr>
          <w:p w14:paraId="253AC4BE">
            <w:pPr>
              <w:widowControl/>
              <w:snapToGrid w:val="0"/>
              <w:jc w:val="center"/>
              <w:rPr>
                <w:rFonts w:hint="eastAsia" w:ascii="宋体" w:hAnsi="宋体" w:eastAsia="宋体" w:cs="宋体"/>
                <w:bCs/>
                <w:color w:val="auto"/>
                <w:highlight w:val="none"/>
              </w:rPr>
            </w:pPr>
          </w:p>
        </w:tc>
      </w:tr>
      <w:tr w14:paraId="76543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59" w:hRule="atLeast"/>
          <w:jc w:val="center"/>
        </w:trPr>
        <w:tc>
          <w:tcPr>
            <w:tcW w:w="2011" w:type="dxa"/>
            <w:gridSpan w:val="2"/>
            <w:noWrap w:val="0"/>
            <w:vAlign w:val="center"/>
          </w:tcPr>
          <w:p w14:paraId="33FFD7A5">
            <w:pPr>
              <w:widowControl/>
              <w:snapToGrid w:val="0"/>
              <w:jc w:val="center"/>
              <w:rPr>
                <w:rFonts w:hint="eastAsia" w:ascii="宋体" w:hAnsi="宋体" w:eastAsia="宋体" w:cs="宋体"/>
                <w:bCs/>
                <w:color w:val="auto"/>
                <w:highlight w:val="none"/>
              </w:rPr>
            </w:pPr>
            <w:r>
              <w:rPr>
                <w:rFonts w:hint="eastAsia" w:ascii="宋体" w:hAnsi="宋体" w:eastAsia="宋体" w:cs="宋体"/>
                <w:bCs/>
                <w:color w:val="auto"/>
                <w:highlight w:val="none"/>
              </w:rPr>
              <w:t>评审结论</w:t>
            </w:r>
          </w:p>
        </w:tc>
        <w:tc>
          <w:tcPr>
            <w:tcW w:w="7970" w:type="dxa"/>
            <w:gridSpan w:val="6"/>
            <w:noWrap w:val="0"/>
            <w:vAlign w:val="top"/>
          </w:tcPr>
          <w:p w14:paraId="3F23E1F2">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合计分值</w:t>
            </w:r>
            <w:r>
              <w:rPr>
                <w:rFonts w:hint="eastAsia" w:ascii="宋体" w:hAnsi="宋体" w:eastAsia="宋体" w:cs="宋体"/>
                <w:bCs/>
                <w:color w:val="auto"/>
                <w:highlight w:val="none"/>
              </w:rPr>
              <w:t>不低于80的，评审结论合格</w:t>
            </w:r>
            <w:r>
              <w:rPr>
                <w:rFonts w:hint="eastAsia" w:ascii="宋体" w:hAnsi="宋体" w:eastAsia="宋体" w:cs="宋体"/>
                <w:bCs/>
                <w:color w:val="auto"/>
                <w:highlight w:val="none"/>
              </w:rPr>
              <w:br w:type="textWrapping"/>
            </w:r>
            <w:r>
              <w:rPr>
                <w:rFonts w:hint="eastAsia" w:ascii="宋体" w:hAnsi="宋体" w:eastAsia="宋体" w:cs="宋体"/>
                <w:bCs/>
                <w:color w:val="auto"/>
                <w:highlight w:val="none"/>
              </w:rPr>
              <w:t>□评审结论不合格，说明：</w:t>
            </w:r>
            <w:r>
              <w:rPr>
                <w:rFonts w:hint="eastAsia" w:ascii="宋体" w:hAnsi="宋体" w:eastAsia="宋体" w:cs="宋体"/>
                <w:bCs/>
                <w:color w:val="auto"/>
                <w:highlight w:val="none"/>
                <w:u w:val="single"/>
              </w:rPr>
              <w:t xml:space="preserve">              </w:t>
            </w:r>
          </w:p>
        </w:tc>
      </w:tr>
      <w:tr w14:paraId="5CCF8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2011" w:type="dxa"/>
            <w:gridSpan w:val="2"/>
            <w:vMerge w:val="restart"/>
            <w:noWrap w:val="0"/>
            <w:vAlign w:val="center"/>
          </w:tcPr>
          <w:p w14:paraId="3D55F4CC">
            <w:pPr>
              <w:widowControl/>
              <w:snapToGrid w:val="0"/>
              <w:jc w:val="center"/>
              <w:rPr>
                <w:rFonts w:hint="eastAsia" w:ascii="宋体" w:hAnsi="宋体" w:eastAsia="宋体" w:cs="宋体"/>
                <w:color w:val="auto"/>
                <w:highlight w:val="none"/>
              </w:rPr>
            </w:pPr>
            <w:r>
              <w:rPr>
                <w:rFonts w:hint="eastAsia" w:ascii="宋体" w:hAnsi="宋体" w:eastAsia="宋体" w:cs="宋体"/>
                <w:bCs/>
                <w:color w:val="auto"/>
                <w:highlight w:val="none"/>
              </w:rPr>
              <w:t>履约评审运营项目</w:t>
            </w:r>
            <w:r>
              <w:rPr>
                <w:rFonts w:hint="eastAsia" w:ascii="宋体" w:hAnsi="宋体" w:eastAsia="宋体" w:cs="宋体"/>
                <w:color w:val="auto"/>
                <w:highlight w:val="none"/>
              </w:rPr>
              <w:t>其他</w:t>
            </w:r>
            <w:r>
              <w:rPr>
                <w:rFonts w:hint="eastAsia" w:ascii="宋体" w:hAnsi="宋体" w:eastAsia="宋体" w:cs="宋体"/>
                <w:bCs/>
                <w:color w:val="auto"/>
                <w:highlight w:val="none"/>
              </w:rPr>
              <w:t>意见及签署</w:t>
            </w:r>
          </w:p>
        </w:tc>
        <w:tc>
          <w:tcPr>
            <w:tcW w:w="3989" w:type="dxa"/>
            <w:gridSpan w:val="2"/>
            <w:noWrap w:val="0"/>
            <w:vAlign w:val="center"/>
          </w:tcPr>
          <w:p w14:paraId="04DF82CD">
            <w:pPr>
              <w:widowControl/>
              <w:snapToGrid w:val="0"/>
              <w:rPr>
                <w:rFonts w:hint="eastAsia" w:ascii="宋体" w:hAnsi="宋体" w:eastAsia="宋体" w:cs="宋体"/>
                <w:color w:val="auto"/>
                <w:highlight w:val="none"/>
              </w:rPr>
            </w:pPr>
            <w:r>
              <w:rPr>
                <w:rFonts w:hint="eastAsia" w:ascii="宋体" w:hAnsi="宋体" w:eastAsia="宋体" w:cs="宋体"/>
                <w:bCs/>
                <w:color w:val="auto"/>
                <w:highlight w:val="none"/>
              </w:rPr>
              <w:t>经办人</w:t>
            </w:r>
          </w:p>
        </w:tc>
        <w:tc>
          <w:tcPr>
            <w:tcW w:w="3987" w:type="dxa"/>
            <w:gridSpan w:val="5"/>
            <w:noWrap w:val="0"/>
            <w:vAlign w:val="center"/>
          </w:tcPr>
          <w:p w14:paraId="53AB51BF">
            <w:pPr>
              <w:widowControl/>
              <w:snapToGrid w:val="0"/>
              <w:rPr>
                <w:rFonts w:hint="eastAsia" w:ascii="宋体" w:hAnsi="宋体" w:eastAsia="宋体" w:cs="宋体"/>
                <w:bCs/>
                <w:color w:val="auto"/>
                <w:highlight w:val="none"/>
              </w:rPr>
            </w:pPr>
          </w:p>
        </w:tc>
      </w:tr>
      <w:tr w14:paraId="321A2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2011" w:type="dxa"/>
            <w:gridSpan w:val="2"/>
            <w:vMerge w:val="continue"/>
            <w:noWrap w:val="0"/>
            <w:vAlign w:val="top"/>
          </w:tcPr>
          <w:p w14:paraId="169BA0D7">
            <w:pPr>
              <w:widowControl/>
              <w:snapToGrid w:val="0"/>
              <w:rPr>
                <w:rFonts w:hint="eastAsia" w:ascii="宋体" w:hAnsi="宋体" w:eastAsia="宋体" w:cs="宋体"/>
                <w:bCs/>
                <w:color w:val="auto"/>
                <w:highlight w:val="none"/>
              </w:rPr>
            </w:pPr>
          </w:p>
        </w:tc>
        <w:tc>
          <w:tcPr>
            <w:tcW w:w="3989" w:type="dxa"/>
            <w:gridSpan w:val="2"/>
            <w:noWrap w:val="0"/>
            <w:vAlign w:val="center"/>
          </w:tcPr>
          <w:p w14:paraId="344B010B">
            <w:pPr>
              <w:widowControl/>
              <w:snapToGrid w:val="0"/>
              <w:rPr>
                <w:rFonts w:hint="eastAsia" w:ascii="宋体" w:hAnsi="宋体" w:eastAsia="宋体" w:cs="宋体"/>
                <w:bCs/>
                <w:color w:val="auto"/>
                <w:highlight w:val="none"/>
              </w:rPr>
            </w:pPr>
            <w:r>
              <w:rPr>
                <w:rFonts w:hint="eastAsia" w:ascii="宋体" w:hAnsi="宋体" w:eastAsia="宋体" w:cs="宋体"/>
                <w:bCs/>
                <w:color w:val="auto"/>
                <w:highlight w:val="none"/>
              </w:rPr>
              <w:t>运营项目负责人</w:t>
            </w:r>
          </w:p>
        </w:tc>
        <w:tc>
          <w:tcPr>
            <w:tcW w:w="3987" w:type="dxa"/>
            <w:gridSpan w:val="5"/>
            <w:noWrap w:val="0"/>
            <w:vAlign w:val="center"/>
          </w:tcPr>
          <w:p w14:paraId="6E523A41">
            <w:pPr>
              <w:widowControl/>
              <w:snapToGrid w:val="0"/>
              <w:rPr>
                <w:rFonts w:hint="eastAsia" w:ascii="宋体" w:hAnsi="宋体" w:eastAsia="宋体" w:cs="宋体"/>
                <w:bCs/>
                <w:color w:val="auto"/>
                <w:highlight w:val="none"/>
              </w:rPr>
            </w:pPr>
          </w:p>
        </w:tc>
      </w:tr>
    </w:tbl>
    <w:p w14:paraId="44AF7C5E">
      <w:pPr>
        <w:pStyle w:val="203"/>
        <w:rPr>
          <w:rFonts w:hint="eastAsia" w:ascii="宋体" w:hAnsi="宋体" w:eastAsia="宋体" w:cs="宋体"/>
          <w:color w:val="auto"/>
          <w:highlight w:val="none"/>
        </w:rPr>
      </w:pPr>
    </w:p>
    <w:p w14:paraId="4A385A88">
      <w:pPr>
        <w:pageBreakBefore/>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附件3：廉洁协议书</w:t>
      </w:r>
    </w:p>
    <w:p w14:paraId="79441696">
      <w:pPr>
        <w:spacing w:line="360" w:lineRule="auto"/>
        <w:jc w:val="center"/>
        <w:rPr>
          <w:rFonts w:hint="eastAsia" w:ascii="宋体" w:hAnsi="宋体" w:eastAsia="宋体" w:cs="宋体"/>
          <w:b/>
          <w:color w:val="auto"/>
          <w:sz w:val="32"/>
          <w:szCs w:val="21"/>
          <w:highlight w:val="none"/>
        </w:rPr>
      </w:pPr>
      <w:r>
        <w:rPr>
          <w:rFonts w:hint="eastAsia" w:ascii="宋体" w:hAnsi="宋体" w:eastAsia="宋体" w:cs="宋体"/>
          <w:b/>
          <w:color w:val="auto"/>
          <w:sz w:val="32"/>
          <w:szCs w:val="21"/>
          <w:highlight w:val="none"/>
        </w:rPr>
        <w:t>廉洁协议书</w:t>
      </w:r>
    </w:p>
    <w:p w14:paraId="3C0075C1">
      <w:pPr>
        <w:spacing w:line="360" w:lineRule="auto"/>
        <w:rPr>
          <w:rFonts w:hint="eastAsia" w:ascii="宋体" w:hAnsi="宋体" w:eastAsia="宋体" w:cs="宋体"/>
          <w:color w:val="auto"/>
          <w:sz w:val="21"/>
          <w:szCs w:val="21"/>
          <w:highlight w:val="none"/>
        </w:rPr>
      </w:pPr>
    </w:p>
    <w:p w14:paraId="08040639">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项目名称：东莞市水务集团净水有限公司2025年生产药剂液体乙酸钠采购项目</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（招标编号：WTZB2024DG0079）</w:t>
      </w:r>
    </w:p>
    <w:p w14:paraId="54F372B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甲方（业主单位）： </w:t>
      </w:r>
    </w:p>
    <w:p w14:paraId="03DD377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乙方： </w:t>
      </w:r>
    </w:p>
    <w:p w14:paraId="79EAF5C2">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39915A31">
      <w:pPr>
        <w:spacing w:line="360" w:lineRule="auto"/>
        <w:ind w:firstLine="481" w:firstLineChars="228"/>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第一条  甲乙双方的权利和义务</w:t>
      </w:r>
    </w:p>
    <w:p w14:paraId="262EF1AF">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（一）严格遵守党和国家有关法律法规等有关廉洁从业规定。</w:t>
      </w:r>
    </w:p>
    <w:p w14:paraId="4BD79856">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（二）严格执行本项目的合同文件，自觉按合同办事。</w:t>
      </w:r>
    </w:p>
    <w:p w14:paraId="26811728">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（三）双方的业务活动坚持公开、公正、诚信、透明的原则（除法律认定的商业秘密和合同文件另有规定之外）不得损害国家和集体利益，违反工程建设管理及其他法律法规规章制度。</w:t>
      </w:r>
    </w:p>
    <w:p w14:paraId="06CE80F0">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（四）建立健全廉洁制度，开展廉洁教育，设立廉洁监督公示牌，公布举报电话，监督并认真查处违法违纪行为。</w:t>
      </w:r>
    </w:p>
    <w:p w14:paraId="7DFBCA85">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（五）发现对方在业务活动中有违反廉洁规定的行为，有及时提醒对方纠正的权利和义务。</w:t>
      </w:r>
    </w:p>
    <w:p w14:paraId="564CD7E4">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（六）发现对方严重违反本协议义务条款的行为，有向其上级有关部门举报、建议给予处理并要求告知处理结果的权利。</w:t>
      </w:r>
    </w:p>
    <w:p w14:paraId="690FE1B7">
      <w:pPr>
        <w:spacing w:line="360" w:lineRule="auto"/>
        <w:ind w:firstLine="481" w:firstLineChars="228"/>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第二条  甲方的义务</w:t>
      </w:r>
    </w:p>
    <w:p w14:paraId="23860402">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（一）甲方及其工作人员不得索要或接受乙方的礼金、有价证券和贵重物品，不得在乙方报销任何应由甲方或个人支付的费用。</w:t>
      </w:r>
    </w:p>
    <w:p w14:paraId="755EC34A">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（二）甲方工作人员不得参加乙方安排的高消费宴请和娱乐活动；不得接受乙方提供的通讯工具、交通工具和高档办公用品。</w:t>
      </w:r>
    </w:p>
    <w:p w14:paraId="23FF8C83">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（三）甲方及其工作人员不得要求或者接受乙方为其住房装修、婚丧嫁娶活动、家属或亲友的工作安排以及出国出境、旅游等提供方便。</w:t>
      </w:r>
    </w:p>
    <w:p w14:paraId="134FB210">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（四）甲方工作人员不得向乙方介绍其家属或者亲友（包括家属或亲友开办的公司企业）从事于本项目涉及的经济业务活动。</w:t>
      </w:r>
    </w:p>
    <w:p w14:paraId="5E3E1EF9">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（五）甲方及其工作人员不得以任何理由向乙方推荐分包单位，不得要求乙方购买合同规定外的材料和设备。</w:t>
      </w:r>
    </w:p>
    <w:p w14:paraId="0A6AFDC9">
      <w:pPr>
        <w:spacing w:line="360" w:lineRule="auto"/>
        <w:ind w:firstLine="478" w:firstLineChars="228"/>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（六）甲方及其工作人员不得进行违反廉洁规定的其他活动。</w:t>
      </w:r>
    </w:p>
    <w:p w14:paraId="7FE9BA78">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45D6579F">
      <w:pPr>
        <w:spacing w:line="360" w:lineRule="auto"/>
        <w:ind w:firstLine="481" w:firstLineChars="228"/>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第三条  乙方义务</w:t>
      </w:r>
    </w:p>
    <w:p w14:paraId="4DD2CC25">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（一）乙方不得以任何理由向甲方及其工作人员馈赠礼金、有价证券、贵重礼品，或报销应由甲方单位或个人支付的任何费用。</w:t>
      </w:r>
    </w:p>
    <w:p w14:paraId="4DF5DEDD">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（二）乙方及其工作人员不得以考察、参观、洽谈业务、签订合同等的借口邀请甲方及其工作人员参加高消费的宴请、娱乐和健身等活动。</w:t>
      </w:r>
    </w:p>
    <w:p w14:paraId="26FFD096">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（三）乙方不得为甲方单位和个人购置或提供通讯工具、交通工具和高档办公用品等。</w:t>
      </w:r>
    </w:p>
    <w:p w14:paraId="09C1B7F3">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（四）乙方及其工作人员不得为甲方工作人员购买、装修、维修私人住房、汽车等。</w:t>
      </w:r>
    </w:p>
    <w:p w14:paraId="2F6923E4">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（五）乙方及其工作人员不得为甲方工作人员的婚丧嫁娶、家属或亲友的工作安排，及出国出境提供方便以及报销任何私人消费的费用。</w:t>
      </w:r>
    </w:p>
    <w:p w14:paraId="6756F545">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（六）乙方及其工作人员不得进行影响甲方及其工作人员公正执行合同和履行职务的其他活动。</w:t>
      </w:r>
    </w:p>
    <w:p w14:paraId="7F99131B">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2E5A5DA4">
      <w:pPr>
        <w:spacing w:line="360" w:lineRule="auto"/>
        <w:ind w:firstLine="481" w:firstLineChars="228"/>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第四条  违约责任</w:t>
      </w:r>
    </w:p>
    <w:p w14:paraId="7FF29DE8">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（一）甲方违反本协议第一、第二条给乙方单位造成经济损失的，应予以赔偿。</w:t>
      </w:r>
    </w:p>
    <w:p w14:paraId="49A8A54F">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（二）乙方违反本协议第一、第三条给甲方单位造成经济损失的，应予以赔偿。</w:t>
      </w:r>
    </w:p>
    <w:p w14:paraId="212570C8">
      <w:pPr>
        <w:spacing w:line="360" w:lineRule="auto"/>
        <w:ind w:firstLine="481" w:firstLineChars="228"/>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第五条  监督检查</w:t>
      </w:r>
    </w:p>
    <w:p w14:paraId="76470BF8">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甲乙双方的廉洁从业行为由双方或双方上级单位的纪检、监察</w:t>
      </w:r>
      <w:r>
        <w:rPr>
          <w:rFonts w:hint="eastAsia" w:ascii="宋体" w:hAnsi="宋体" w:eastAsia="宋体" w:cs="宋体"/>
          <w:color w:val="auto"/>
          <w:sz w:val="21"/>
          <w:szCs w:val="21"/>
        </w:rPr>
        <w:t>部门</w:t>
      </w:r>
      <w:r>
        <w:rPr>
          <w:rFonts w:hint="eastAsia" w:ascii="宋体" w:hAnsi="宋体" w:eastAsia="宋体" w:cs="宋体"/>
          <w:color w:val="auto"/>
          <w:sz w:val="21"/>
          <w:szCs w:val="21"/>
          <w:highlight w:val="none"/>
        </w:rPr>
        <w:t>负责监督，对本协议履行情况进行检查。</w:t>
      </w:r>
    </w:p>
    <w:p w14:paraId="0B36C3F1">
      <w:pPr>
        <w:spacing w:line="360" w:lineRule="auto"/>
        <w:ind w:firstLine="481" w:firstLineChars="228"/>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第六条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举报信访受理</w:t>
      </w:r>
    </w:p>
    <w:p w14:paraId="5E1E71B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（一）举报受理部门：东莞市水务集团有限公司纪检监察部。</w:t>
      </w:r>
    </w:p>
    <w:p w14:paraId="1FC6BAA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（二）举报电话：（0769）23076092。</w:t>
      </w:r>
    </w:p>
    <w:p w14:paraId="09FE347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（三）举报邮箱：</w:t>
      </w:r>
      <w:r>
        <w:rPr>
          <w:color w:val="auto"/>
          <w:highlight w:val="none"/>
        </w:rPr>
        <w:fldChar w:fldCharType="begin"/>
      </w:r>
      <w:r>
        <w:rPr>
          <w:color w:val="auto"/>
          <w:highlight w:val="none"/>
        </w:rPr>
        <w:instrText xml:space="preserve"> HYPERLINK "mailto:jcsj@dgswjt.cn。" </w:instrText>
      </w:r>
      <w:r>
        <w:rPr>
          <w:color w:val="auto"/>
          <w:highlight w:val="none"/>
        </w:rPr>
        <w:fldChar w:fldCharType="separate"/>
      </w:r>
      <w:r>
        <w:rPr>
          <w:rStyle w:val="44"/>
          <w:rFonts w:hint="eastAsia" w:ascii="宋体" w:hAnsi="宋体" w:eastAsia="宋体" w:cs="宋体"/>
          <w:color w:val="auto"/>
          <w:sz w:val="21"/>
          <w:szCs w:val="21"/>
          <w:highlight w:val="none"/>
        </w:rPr>
        <w:t>jcsj@dgswjt.cn。</w:t>
      </w:r>
      <w:r>
        <w:rPr>
          <w:rStyle w:val="44"/>
          <w:rFonts w:hint="eastAsia" w:ascii="宋体" w:hAnsi="宋体" w:eastAsia="宋体" w:cs="宋体"/>
          <w:color w:val="auto"/>
          <w:sz w:val="21"/>
          <w:szCs w:val="21"/>
          <w:highlight w:val="none"/>
        </w:rPr>
        <w:fldChar w:fldCharType="end"/>
      </w:r>
    </w:p>
    <w:p w14:paraId="48A304E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（四）信访地址：广东省东莞市东城街道育华路1号。</w:t>
      </w:r>
    </w:p>
    <w:p w14:paraId="141700A6">
      <w:pPr>
        <w:spacing w:line="360" w:lineRule="auto"/>
        <w:ind w:firstLine="481" w:firstLineChars="228"/>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w:t>
      </w: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条  其他</w:t>
      </w:r>
    </w:p>
    <w:p w14:paraId="6052A62D">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本协议有效期为甲乙双方法定代表人或负责人签字并盖章之日起至该工程/采购项目竣工验收完毕，质保期/供货期满后止。本协议一式   份，甲、乙双方各执   份，甲、乙双方上级主管部门各执   份。</w:t>
      </w:r>
    </w:p>
    <w:p w14:paraId="5C3AD116">
      <w:pPr>
        <w:spacing w:line="360" w:lineRule="auto"/>
        <w:ind w:firstLine="478" w:firstLineChars="228"/>
        <w:rPr>
          <w:rFonts w:hint="eastAsia" w:ascii="宋体" w:hAnsi="宋体" w:eastAsia="宋体" w:cs="宋体"/>
          <w:color w:val="auto"/>
          <w:sz w:val="21"/>
          <w:szCs w:val="21"/>
          <w:highlight w:val="none"/>
        </w:rPr>
      </w:pPr>
    </w:p>
    <w:p w14:paraId="1E524484">
      <w:pPr>
        <w:spacing w:line="360" w:lineRule="auto"/>
        <w:ind w:firstLine="478" w:firstLineChars="228"/>
        <w:rPr>
          <w:rFonts w:hint="eastAsia" w:ascii="宋体" w:hAnsi="宋体" w:eastAsia="宋体" w:cs="宋体"/>
          <w:color w:val="auto"/>
          <w:sz w:val="21"/>
          <w:szCs w:val="21"/>
          <w:highlight w:val="none"/>
        </w:rPr>
      </w:pPr>
    </w:p>
    <w:p w14:paraId="6F6EAFB8">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14:paraId="44B0137F">
      <w:pPr>
        <w:spacing w:line="360" w:lineRule="auto"/>
        <w:ind w:firstLine="478" w:firstLineChars="228"/>
        <w:rPr>
          <w:rFonts w:hint="eastAsia" w:ascii="宋体" w:hAnsi="宋体" w:eastAsia="宋体" w:cs="宋体"/>
          <w:color w:val="auto"/>
          <w:sz w:val="21"/>
          <w:szCs w:val="21"/>
          <w:highlight w:val="none"/>
        </w:rPr>
      </w:pPr>
    </w:p>
    <w:p w14:paraId="685F73A3">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                              法定代表人：</w:t>
      </w:r>
    </w:p>
    <w:p w14:paraId="18913E26">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甲方代表：                                乙方代表：</w:t>
      </w:r>
    </w:p>
    <w:p w14:paraId="5B2CC5CC">
      <w:pPr>
        <w:spacing w:line="360" w:lineRule="auto"/>
        <w:ind w:firstLine="478" w:firstLineChars="228"/>
        <w:rPr>
          <w:rFonts w:hint="eastAsia" w:ascii="宋体" w:hAnsi="宋体" w:eastAsia="宋体" w:cs="宋体"/>
          <w:color w:val="auto"/>
          <w:sz w:val="21"/>
          <w:szCs w:val="21"/>
          <w:highlight w:val="none"/>
        </w:rPr>
      </w:pPr>
    </w:p>
    <w:p w14:paraId="43DCDE83">
      <w:pPr>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签订日期：    年  月  日                </w:t>
      </w:r>
    </w:p>
    <w:p w14:paraId="4A03C2F9">
      <w:pPr>
        <w:pageBreakBefore/>
        <w:outlineLvl w:val="9"/>
        <w:rPr>
          <w:rFonts w:hint="eastAsia" w:ascii="宋体" w:hAnsi="宋体" w:eastAsia="宋体" w:cs="宋体"/>
          <w:b/>
          <w:color w:val="auto"/>
          <w:highlight w:val="none"/>
        </w:rPr>
      </w:pPr>
      <w:r>
        <w:rPr>
          <w:rFonts w:hint="eastAsia" w:ascii="宋体" w:hAnsi="宋体" w:eastAsia="宋体" w:cs="宋体"/>
          <w:b/>
          <w:color w:val="auto"/>
          <w:highlight w:val="none"/>
        </w:rPr>
        <w:t>附件4：安全生产管理协议</w:t>
      </w:r>
    </w:p>
    <w:p w14:paraId="12A73306">
      <w:pPr>
        <w:spacing w:line="360" w:lineRule="auto"/>
        <w:jc w:val="center"/>
        <w:rPr>
          <w:rFonts w:hint="eastAsia" w:ascii="宋体" w:hAnsi="宋体" w:eastAsia="宋体" w:cs="宋体"/>
          <w:bCs/>
          <w:color w:val="auto"/>
          <w:sz w:val="28"/>
          <w:szCs w:val="28"/>
          <w:highlight w:val="none"/>
        </w:rPr>
      </w:pPr>
      <w:r>
        <w:rPr>
          <w:rFonts w:hint="eastAsia" w:ascii="宋体" w:hAnsi="宋体" w:eastAsia="宋体" w:cs="宋体"/>
          <w:b/>
          <w:color w:val="auto"/>
          <w:sz w:val="32"/>
          <w:szCs w:val="21"/>
          <w:highlight w:val="none"/>
        </w:rPr>
        <w:t>安全生产管理协议</w:t>
      </w:r>
    </w:p>
    <w:p w14:paraId="61410717">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eastAsia="zh-CN"/>
        </w:rPr>
        <w:t>：</w:t>
      </w:r>
    </w:p>
    <w:p w14:paraId="0B32584B">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eastAsia="zh-CN"/>
        </w:rPr>
        <w:t>：</w:t>
      </w:r>
    </w:p>
    <w:p w14:paraId="187504F8">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lang w:eastAsia="zh-CN"/>
        </w:rPr>
        <w:t>：</w:t>
      </w:r>
    </w:p>
    <w:p w14:paraId="58985838">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lang w:eastAsia="zh-CN"/>
        </w:rPr>
        <w:t>：</w:t>
      </w:r>
    </w:p>
    <w:p w14:paraId="26C7E1E2">
      <w:pPr>
        <w:spacing w:line="360" w:lineRule="auto"/>
        <w:rPr>
          <w:rFonts w:hint="eastAsia" w:ascii="宋体" w:hAnsi="宋体" w:eastAsia="宋体" w:cs="宋体"/>
          <w:color w:val="auto"/>
          <w:sz w:val="21"/>
          <w:szCs w:val="21"/>
          <w:highlight w:val="none"/>
        </w:rPr>
      </w:pPr>
    </w:p>
    <w:p w14:paraId="720D105D">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eastAsia="zh-CN"/>
        </w:rPr>
        <w:t>：</w:t>
      </w:r>
    </w:p>
    <w:p w14:paraId="1D3E6104">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eastAsia="zh-CN"/>
        </w:rPr>
        <w:t>：</w:t>
      </w:r>
    </w:p>
    <w:p w14:paraId="73880046">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lang w:eastAsia="zh-CN"/>
        </w:rPr>
        <w:t>：</w:t>
      </w:r>
    </w:p>
    <w:p w14:paraId="14306B3B">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lang w:eastAsia="zh-CN"/>
        </w:rPr>
        <w:t>：</w:t>
      </w:r>
    </w:p>
    <w:p w14:paraId="475768EB">
      <w:pPr>
        <w:spacing w:line="360" w:lineRule="auto"/>
        <w:rPr>
          <w:rFonts w:hint="eastAsia" w:ascii="宋体" w:hAnsi="宋体" w:eastAsia="宋体" w:cs="宋体"/>
          <w:color w:val="auto"/>
          <w:sz w:val="21"/>
          <w:szCs w:val="21"/>
          <w:highlight w:val="none"/>
        </w:rPr>
      </w:pPr>
    </w:p>
    <w:p w14:paraId="23F9FEC4">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安全生产法》和《建设工程安全生产管理条例》的要求，为加强施工现场的安全管理，落实各自的安全生产职责，进一步加强施工单位和施工（维修）人员的安全管理，杜绝施工单位和施工（维修）人员因安全管理不善而引发的各类安全事故，保证甲、乙双方的财产和员工的人身安全不受侵害，经甲乙双方协商一致，签订协议如下：</w:t>
      </w:r>
    </w:p>
    <w:p w14:paraId="4FA33A70">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进场前乙方应将本企业的营业执照、企业资质等级证书、安全生产许可证、进场人员花名册、进场人员身体检查表、携带进场的机具一览表、特种作业人员及特种作业操作证的复印件报甲方。进场职工必须办好施工所在地所需办理的各种证件，不得使用未成年工、童工、超龄工和安排女工从事禁忌劳动，进场前，乙方必须严格遵守甲方及项目所在地的相关防疫要求。</w:t>
      </w:r>
    </w:p>
    <w:p w14:paraId="02B37D16">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应设置专职或兼职安全员，对施工进行安全管理，并在施工作业前对所属员工进行安全教育培训，并且进行经常性的安全教育，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312CA98A">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3、乙方使用被派遣劳动者的，应当将被派遣劳动者纳入本单位从业人员统一管理，对被派遣劳动者进行岗位安全操作规程和安全操作技能的教育和培训。</w:t>
      </w:r>
    </w:p>
    <w:p w14:paraId="59F4B5A2">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当在有较大危险因素的施工场所和有关设施、设备上，设置明显的安全警示标志。乙方应当对安全设备进行经常性维护、保养，并定期检测，保证正常运转。维护、保养、检测应当做好记录，并由乙方安全员或代表签字。</w:t>
      </w:r>
    </w:p>
    <w:p w14:paraId="45F6A4F9">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5、乙方应当教育和督促从业人员严格执行本单位的安全生产规章制度和安全操作规程；并向从业人员如实告知作业场所和工作岗位存在的危险因素、防范措施以及事故应急措施。</w:t>
      </w:r>
    </w:p>
    <w:p w14:paraId="42C1C626">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6、乙方应严格遵守国家、地方政府有关安全生产及劳动保护的法律法规、标准、规定，贯彻执行甲方的各项安全管理规章制度。</w:t>
      </w:r>
    </w:p>
    <w:p w14:paraId="1889EC58">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7、乙方依法参加工伤保险，为从业人员缴纳保险费，并应当为从事危险作业的人员办理意外伤害保险。</w:t>
      </w:r>
    </w:p>
    <w:p w14:paraId="4E21ECAE">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乙方应当服从甲方的安全管理，保证施工区域的现场文明安全管理达标，现场临时用电、机器设备、安全防护齐全、完好。接受和配合甲方的安全监督检查，乙方现场的所有安全装置、防护设施必须依据经甲方审批后的安全技术施工方案进行搭设、安装，乙方必须无条件保证安全防护设施使用的搭设材料的质量，在用于安全防护的物资进场前将有关物资的材质证明报甲方，经甲方确认后方可使用。</w:t>
      </w:r>
    </w:p>
    <w:p w14:paraId="0D6504A3">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510DF867">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甲方有权对整个施工现场的安全管理工作进行协调和监督管理。指导、监督、检查乙方的执业健康安全管理工作，对乙方施工中的违章指挥、违章作业和安全隐患提出整改意见，督促、检查乙方的隐患整改落实情况。</w:t>
      </w:r>
    </w:p>
    <w:p w14:paraId="7215DA61">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乙方在施工过程中违反有关安全管理规定、有违章现象发生、安全问题整改不到位或拒不接受甲方的正常安全管理的，依据有关法律法规规定进行处理。乙方施工中存在重大隐患或险情时，甲方有权要求乙方立即整改直至隐患消除，若乙方整改后仍达不到甲方要求的，甲方有权要求与乙方单方解除合同，并要求乙方清退出场。</w:t>
      </w:r>
    </w:p>
    <w:p w14:paraId="3867E639">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乙方施工人员未经许可不得随意到施工区域以外的其它工作场所活动，乙方施工人员擅自到施工区域以外的其它工作场所活动，出现人身损伤或伤亡的，由乙方自行负责一切责任。乙方施工人员需动用或施工涉及到甲方所属设备、电器、管线及其他设施等，必须事先征得甲方代表的同意，并采取安全防护措施。</w:t>
      </w:r>
    </w:p>
    <w:p w14:paraId="5A60BAAD">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13、在施工过程中，需要进行动土、动火、登高、吊装、断路、进入限制性空间等危险性较高的作业时，乙方的施工负责人、专职或兼职安全员必须现场确认，确保安全后，方可开始施工。</w:t>
      </w:r>
    </w:p>
    <w:p w14:paraId="390DCA5F">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14、因乙方原因，造成乙方损失，由乙方自负，给甲方造成财产损失和人员伤害，乙方要负全部责任，并全额赔偿甲方。</w:t>
      </w:r>
    </w:p>
    <w:p w14:paraId="47B2F4C5">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15、非因甲方原因，造成乙方损失的，甲方不承担任何责任，由乙方自行承担全部责任。</w:t>
      </w:r>
    </w:p>
    <w:p w14:paraId="6A434D26">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16、乙方应严格遵守法律法规以及甲方的安全管理要求，并接受甲方的安全生产工作协调和监督，积极消除安全隐患。安全管理的基本要求包括但不限于以下条款：</w:t>
      </w:r>
    </w:p>
    <w:p w14:paraId="01EB81C4">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①禁火区内严禁吸烟、动火。有火灾危险的作业区域，乙方必须配置足够的灭火设施。</w:t>
      </w:r>
    </w:p>
    <w:p w14:paraId="7AB4D256">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②焊接、气割作业时两瓶距离必须达到5M及以上，气瓶距可能产生火花的电器、设备和其它火源的间距必须达到10M及以上。</w:t>
      </w:r>
    </w:p>
    <w:p w14:paraId="21BE8EC3">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③严禁在厂内道路、消防通道内搭建临时建筑或堆放物资。</w:t>
      </w:r>
    </w:p>
    <w:p w14:paraId="7725B95C">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④施工场所的电动工具、电焊机等须有漏电保护器和相应的安全防护装置。</w:t>
      </w:r>
    </w:p>
    <w:p w14:paraId="7F9CD20F">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⑤施工现场及居住室、办公室内的用电设施必须符合要求，严禁电线乱接、乱拉，刀闸和开关无盖，在电器设施上堆放物品。</w:t>
      </w:r>
    </w:p>
    <w:p w14:paraId="0AC05646">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⑥防雷、防静电设施及用电设施要有良好接地。</w:t>
      </w:r>
    </w:p>
    <w:p w14:paraId="4B24D0E9">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⑦施工现场的危险区域，如临边、深坑、土方堆填区等，必须设置围栏和危险标志，夜间要设信号灯。</w:t>
      </w:r>
    </w:p>
    <w:p w14:paraId="283BCB04">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7FAF485D">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施工指令后方可拆除，不得私自拆改任何安全防护设施，若因施工必须拆改，须向甲方主管领导报告，经批准后方可拆改，并做好临时防护设施和警戒，在施工完成后须立即恢复该处的安全防护设施。进行受限空间作业前，必须检测氧气、有毒有害气体，确保符合作业条件，做好个人防护和专人监护后，方可进入。</w:t>
      </w:r>
    </w:p>
    <w:p w14:paraId="347DB9DD">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5C4F69FE">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17、乙方必须接受甲方的检查与监督，并应主动配合，做好安全工作，凡有违反上述协议的即视为乙方违约，甲方有权视情况从工程结算款/服务价款中扣除（1000-2000）元/次作为违约金。</w:t>
      </w:r>
    </w:p>
    <w:p w14:paraId="7A5C8164">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18、如乙方因违反本条款规定，造成甲方损失或被第三方追偿的，甲方有权向乙方追偿，甲方可直接从应付款项中扣除。同时，乙方应按照</w:t>
      </w:r>
      <w:r>
        <w:rPr>
          <w:rFonts w:hint="eastAsia" w:ascii="宋体" w:hAnsi="宋体" w:eastAsia="宋体" w:cs="宋体"/>
          <w:color w:val="auto"/>
          <w:sz w:val="21"/>
          <w:szCs w:val="21"/>
          <w:highlight w:val="none"/>
          <w:lang w:val="en-US" w:eastAsia="zh-CN"/>
        </w:rPr>
        <w:t>暂定</w:t>
      </w:r>
      <w:r>
        <w:rPr>
          <w:rFonts w:hint="eastAsia" w:ascii="宋体" w:hAnsi="宋体" w:eastAsia="宋体" w:cs="宋体"/>
          <w:color w:val="auto"/>
          <w:sz w:val="21"/>
          <w:szCs w:val="21"/>
          <w:highlight w:val="none"/>
        </w:rPr>
        <w:t>合同</w:t>
      </w:r>
      <w:r>
        <w:rPr>
          <w:rFonts w:hint="eastAsia" w:ascii="宋体" w:hAnsi="宋体" w:eastAsia="宋体" w:cs="宋体"/>
          <w:color w:val="auto"/>
          <w:sz w:val="21"/>
          <w:szCs w:val="21"/>
          <w:highlight w:val="none"/>
          <w:lang w:val="en-US" w:eastAsia="zh-CN"/>
        </w:rPr>
        <w:t>含税总</w:t>
      </w:r>
      <w:r>
        <w:rPr>
          <w:rFonts w:hint="eastAsia" w:ascii="宋体" w:hAnsi="宋体" w:eastAsia="宋体" w:cs="宋体"/>
          <w:color w:val="auto"/>
          <w:sz w:val="21"/>
          <w:szCs w:val="21"/>
          <w:highlight w:val="none"/>
        </w:rPr>
        <w:t>价的30%向甲方支付违约金，如违约金不足以弥补损失的，甲方可要求乙方继续赔偿损失，并承担由此引起的一切法律责任和费用，包括但不限于甲方为处理纠纷所产生的诉讼仲裁费、鉴定费、担保费、赔偿金、律师费、行政部门的罚款等。乙方仍必须继续履行或采取补救措施，并不得因承担了违约责任，而减少改进及免除继续承担责任的义务。</w:t>
      </w:r>
    </w:p>
    <w:p w14:paraId="3A849FDC">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19、乙方对施工过程中潜在的安全风险不明确的，不可盲目施工，否则，造成的不良后果由乙方独自承担。</w:t>
      </w:r>
    </w:p>
    <w:p w14:paraId="024239DE">
      <w:pPr>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20、本协议自双方法定代表人或负责人签字并盖章后生效。</w:t>
      </w:r>
    </w:p>
    <w:p w14:paraId="7C474388">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乙方声明：</w:t>
      </w:r>
    </w:p>
    <w:p w14:paraId="7FDDC147">
      <w:pPr>
        <w:spacing w:line="360" w:lineRule="auto"/>
        <w:ind w:firstLine="481" w:firstLineChars="228"/>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乙方已认真阅读协议内容，对协议条款、</w:t>
      </w:r>
      <w:r>
        <w:rPr>
          <w:rFonts w:hint="eastAsia" w:ascii="宋体" w:hAnsi="宋体" w:eastAsia="宋体" w:cs="宋体"/>
          <w:b/>
          <w:bCs/>
          <w:color w:val="auto"/>
          <w:sz w:val="21"/>
          <w:szCs w:val="21"/>
          <w:highlight w:val="none"/>
          <w:u w:val="single"/>
        </w:rPr>
        <w:t>东莞市水务集团净水有限公司2025年生产药剂液体乙酸钠采购项目</w:t>
      </w:r>
      <w:r>
        <w:rPr>
          <w:rFonts w:hint="eastAsia" w:ascii="宋体" w:hAnsi="宋体" w:eastAsia="宋体" w:cs="宋体"/>
          <w:b/>
          <w:bCs/>
          <w:color w:val="auto"/>
          <w:sz w:val="21"/>
          <w:szCs w:val="21"/>
          <w:highlight w:val="none"/>
        </w:rPr>
        <w:t>的安全管理要求、安全风险充分理解，并自愿承担因违约造成的一切后果。</w:t>
      </w:r>
    </w:p>
    <w:p w14:paraId="766E9991">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14:paraId="4C6F9019">
      <w:pPr>
        <w:spacing w:line="360" w:lineRule="auto"/>
        <w:ind w:firstLine="478" w:firstLineChars="228"/>
        <w:rPr>
          <w:rFonts w:hint="eastAsia" w:ascii="宋体" w:hAnsi="宋体" w:eastAsia="宋体" w:cs="宋体"/>
          <w:color w:val="auto"/>
          <w:sz w:val="21"/>
          <w:szCs w:val="21"/>
          <w:highlight w:val="none"/>
        </w:rPr>
      </w:pPr>
    </w:p>
    <w:p w14:paraId="7E056BC8">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法定代表人或负责人：               法定代表人或负责人：</w:t>
      </w:r>
    </w:p>
    <w:p w14:paraId="024F4CEE">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68015B4C">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w:t>
      </w:r>
    </w:p>
    <w:p w14:paraId="0FFC5635">
      <w:pPr>
        <w:spacing w:line="360" w:lineRule="auto"/>
        <w:ind w:firstLine="478" w:firstLineChars="228"/>
        <w:rPr>
          <w:rFonts w:hint="eastAsia" w:ascii="宋体" w:hAnsi="宋体" w:eastAsia="宋体" w:cs="宋体"/>
          <w:color w:val="auto"/>
          <w:kern w:val="2"/>
          <w:sz w:val="21"/>
          <w:highlight w:val="none"/>
          <w:lang w:val="zh-CN"/>
        </w:rPr>
      </w:pPr>
      <w:r>
        <w:rPr>
          <w:rFonts w:hint="eastAsia" w:ascii="宋体" w:hAnsi="宋体" w:eastAsia="宋体" w:cs="宋体"/>
          <w:color w:val="auto"/>
          <w:sz w:val="21"/>
          <w:szCs w:val="21"/>
          <w:highlight w:val="none"/>
        </w:rPr>
        <w:t>签订地点：广东省东莞市</w:t>
      </w:r>
    </w:p>
    <w:p w14:paraId="623D516D">
      <w:pPr>
        <w:autoSpaceDE w:val="0"/>
        <w:autoSpaceDN w:val="0"/>
        <w:adjustRightInd w:val="0"/>
        <w:snapToGrid w:val="0"/>
        <w:spacing w:line="360" w:lineRule="auto"/>
        <w:jc w:val="left"/>
        <w:rPr>
          <w:rFonts w:ascii="宋体" w:hAnsi="宋体" w:eastAsia="宋体" w:cs="Times New Roman"/>
          <w:color w:val="auto"/>
          <w:kern w:val="0"/>
          <w:szCs w:val="21"/>
          <w:highlight w:val="none"/>
        </w:rPr>
      </w:pPr>
    </w:p>
    <w:p w14:paraId="4ED3E2C7">
      <w:pPr>
        <w:keepNext w:val="0"/>
        <w:keepLines w:val="0"/>
        <w:widowControl/>
        <w:suppressLineNumbers w:val="0"/>
        <w:spacing w:before="0" w:beforeAutospacing="0" w:after="0" w:afterAutospacing="0"/>
        <w:ind w:left="0" w:right="0" w:firstLine="0" w:firstLineChars="0"/>
        <w:jc w:val="left"/>
        <w:rPr>
          <w:rFonts w:hint="default" w:ascii="Times New Roman" w:hAnsi="Times New Roman" w:eastAsia="仿宋_GB2312" w:cs="Times New Roman"/>
          <w:color w:val="auto"/>
          <w:kern w:val="2"/>
          <w:sz w:val="21"/>
          <w:szCs w:val="21"/>
          <w:highlight w:val="none"/>
        </w:rPr>
      </w:pPr>
      <w:r>
        <w:rPr>
          <w:rFonts w:hint="eastAsia" w:ascii="宋体" w:hAnsi="宋体" w:eastAsia="宋体" w:cs="Times New Roman"/>
          <w:b/>
          <w:bCs/>
          <w:color w:val="auto"/>
          <w:sz w:val="32"/>
          <w:szCs w:val="32"/>
          <w:highlight w:val="none"/>
          <w:lang w:val="zh-CN"/>
        </w:rPr>
        <w:br w:type="page"/>
      </w:r>
      <w:r>
        <w:rPr>
          <w:rFonts w:hint="eastAsia" w:ascii="宋体" w:hAnsi="宋体" w:eastAsia="宋体" w:cs="Times New Roman"/>
          <w:b/>
          <w:bCs/>
          <w:color w:val="auto"/>
          <w:sz w:val="32"/>
          <w:szCs w:val="32"/>
          <w:highlight w:val="none"/>
          <w:lang w:val="en-US" w:eastAsia="zh-CN"/>
        </w:rPr>
        <w:t xml:space="preserve">                                       </w:t>
      </w:r>
      <w:r>
        <w:rPr>
          <w:rFonts w:hint="eastAsia" w:ascii="宋体" w:hAnsi="宋体" w:eastAsia="宋体" w:cs="Times New Roman"/>
          <w:b/>
          <w:bCs/>
          <w:color w:val="auto"/>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bidi="ar"/>
        </w:rPr>
        <w:t>合同编号：</w:t>
      </w:r>
      <w:r>
        <w:rPr>
          <w:rFonts w:hint="eastAsia" w:ascii="宋体" w:hAnsi="宋体" w:eastAsia="宋体" w:cs="宋体"/>
          <w:color w:val="auto"/>
          <w:kern w:val="2"/>
          <w:sz w:val="21"/>
          <w:szCs w:val="21"/>
          <w:highlight w:val="none"/>
          <w:u w:val="single"/>
          <w:lang w:val="en-US" w:eastAsia="zh-CN" w:bidi="ar"/>
        </w:rPr>
        <w:t xml:space="preserve">                     </w:t>
      </w:r>
    </w:p>
    <w:p w14:paraId="7A6D66B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44"/>
          <w:szCs w:val="44"/>
          <w:highlight w:val="none"/>
        </w:rPr>
      </w:pPr>
      <w:r>
        <w:rPr>
          <w:rFonts w:hint="default" w:ascii="Times New Roman" w:hAnsi="Times New Roman" w:eastAsia="宋体" w:cs="Times New Roman"/>
          <w:b/>
          <w:bCs/>
          <w:color w:val="auto"/>
          <w:kern w:val="2"/>
          <w:sz w:val="44"/>
          <w:szCs w:val="44"/>
          <w:highlight w:val="none"/>
          <w:lang w:val="en-US" w:eastAsia="zh-CN" w:bidi="ar"/>
        </w:rPr>
        <w:t xml:space="preserve"> </w:t>
      </w:r>
    </w:p>
    <w:p w14:paraId="4FEB4594">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auto"/>
          <w:kern w:val="2"/>
          <w:sz w:val="32"/>
          <w:szCs w:val="32"/>
          <w:highlight w:val="none"/>
        </w:rPr>
      </w:pPr>
      <w:r>
        <w:rPr>
          <w:rFonts w:hint="eastAsia" w:ascii="宋体" w:hAnsi="宋体" w:eastAsia="宋体" w:cs="宋体"/>
          <w:b/>
          <w:bCs/>
          <w:color w:val="auto"/>
          <w:kern w:val="2"/>
          <w:sz w:val="32"/>
          <w:szCs w:val="32"/>
          <w:highlight w:val="none"/>
          <w:lang w:val="en-US" w:eastAsia="zh-CN" w:bidi="ar"/>
        </w:rPr>
        <w:t>《东莞市水务集团净水有限公司2025年生产药剂液体乙酸钠采购项目采购合同》</w:t>
      </w:r>
    </w:p>
    <w:p w14:paraId="63685FAA">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auto"/>
          <w:kern w:val="2"/>
          <w:sz w:val="32"/>
          <w:szCs w:val="32"/>
          <w:highlight w:val="none"/>
        </w:rPr>
      </w:pPr>
      <w:r>
        <w:rPr>
          <w:rFonts w:hint="eastAsia" w:ascii="宋体" w:hAnsi="宋体" w:eastAsia="宋体" w:cs="宋体"/>
          <w:b/>
          <w:bCs/>
          <w:color w:val="auto"/>
          <w:kern w:val="2"/>
          <w:sz w:val="32"/>
          <w:szCs w:val="32"/>
          <w:highlight w:val="none"/>
          <w:lang w:val="en-US" w:eastAsia="zh-CN" w:bidi="ar"/>
        </w:rPr>
        <w:t>补充协议（    ）</w:t>
      </w:r>
    </w:p>
    <w:p w14:paraId="0ABE02E8">
      <w:pPr>
        <w:keepNext w:val="0"/>
        <w:keepLines w:val="0"/>
        <w:widowControl w:val="0"/>
        <w:suppressLineNumbers w:val="0"/>
        <w:spacing w:before="0" w:beforeAutospacing="0" w:after="0" w:afterAutospacing="0"/>
        <w:ind w:left="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 xml:space="preserve"> </w:t>
      </w:r>
    </w:p>
    <w:p w14:paraId="704532BC">
      <w:pPr>
        <w:keepNext w:val="0"/>
        <w:keepLines w:val="0"/>
        <w:widowControl w:val="0"/>
        <w:suppressLineNumbers w:val="0"/>
        <w:autoSpaceDE w:val="0"/>
        <w:autoSpaceDN/>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甲方：</w:t>
      </w:r>
    </w:p>
    <w:p w14:paraId="02DF37C1">
      <w:pPr>
        <w:keepNext w:val="0"/>
        <w:keepLines w:val="0"/>
        <w:widowControl w:val="0"/>
        <w:suppressLineNumbers w:val="0"/>
        <w:autoSpaceDE w:val="0"/>
        <w:autoSpaceDN/>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地址：</w:t>
      </w:r>
    </w:p>
    <w:p w14:paraId="7C9F96FE">
      <w:pPr>
        <w:keepNext w:val="0"/>
        <w:keepLines w:val="0"/>
        <w:widowControl w:val="0"/>
        <w:suppressLineNumbers w:val="0"/>
        <w:autoSpaceDE w:val="0"/>
        <w:autoSpaceDN/>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乙方： </w:t>
      </w:r>
    </w:p>
    <w:p w14:paraId="7E5149E6">
      <w:pPr>
        <w:keepNext w:val="0"/>
        <w:keepLines w:val="0"/>
        <w:widowControl w:val="0"/>
        <w:suppressLineNumbers w:val="0"/>
        <w:autoSpaceDE w:val="0"/>
        <w:autoSpaceDN/>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地址： </w:t>
      </w:r>
    </w:p>
    <w:p w14:paraId="62C3093B">
      <w:pPr>
        <w:keepNext w:val="0"/>
        <w:keepLines w:val="0"/>
        <w:widowControl w:val="0"/>
        <w:suppressLineNumbers w:val="0"/>
        <w:autoSpaceDE w:val="0"/>
        <w:autoSpaceDN/>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丙方：</w:t>
      </w:r>
    </w:p>
    <w:p w14:paraId="6C499879">
      <w:pPr>
        <w:keepNext w:val="0"/>
        <w:keepLines w:val="0"/>
        <w:widowControl w:val="0"/>
        <w:suppressLineNumbers w:val="0"/>
        <w:autoSpaceDE w:val="0"/>
        <w:autoSpaceDN/>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地址：   </w:t>
      </w:r>
    </w:p>
    <w:p w14:paraId="5BB0F0A5">
      <w:pPr>
        <w:keepNext w:val="0"/>
        <w:keepLines w:val="0"/>
        <w:widowControl w:val="0"/>
        <w:suppressLineNumbers w:val="0"/>
        <w:autoSpaceDE w:val="0"/>
        <w:autoSpaceDN/>
        <w:spacing w:before="0" w:beforeAutospacing="0" w:after="0" w:afterAutospacing="0" w:line="560" w:lineRule="exact"/>
        <w:ind w:left="477" w:leftChars="227" w:right="0" w:firstLine="73" w:firstLineChars="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677BA6CA">
      <w:pPr>
        <w:keepNext w:val="0"/>
        <w:keepLines w:val="0"/>
        <w:widowControl w:val="0"/>
        <w:suppressLineNumbers w:val="0"/>
        <w:autoSpaceDE w:val="0"/>
        <w:autoSpaceDN/>
        <w:spacing w:before="0" w:beforeAutospacing="0" w:after="0" w:afterAutospacing="0" w:line="560" w:lineRule="exact"/>
        <w:ind w:left="0" w:leftChars="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甲乙双方于</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月</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日签订了《</w:t>
      </w:r>
      <w:r>
        <w:rPr>
          <w:rFonts w:hint="eastAsia" w:ascii="宋体" w:hAnsi="宋体" w:eastAsia="宋体" w:cs="宋体"/>
          <w:color w:val="auto"/>
          <w:kern w:val="2"/>
          <w:sz w:val="21"/>
          <w:szCs w:val="21"/>
          <w:highlight w:val="none"/>
          <w:u w:val="single"/>
          <w:lang w:val="en-US" w:eastAsia="zh-CN" w:bidi="ar"/>
        </w:rPr>
        <w:t>东莞市水务集团净水有限公司2025年生产药剂液体乙酸钠采购项目采购合同</w:t>
      </w:r>
      <w:r>
        <w:rPr>
          <w:rFonts w:hint="eastAsia" w:ascii="宋体" w:hAnsi="宋体" w:eastAsia="宋体" w:cs="宋体"/>
          <w:color w:val="auto"/>
          <w:kern w:val="2"/>
          <w:sz w:val="21"/>
          <w:szCs w:val="21"/>
          <w:highlight w:val="none"/>
          <w:lang w:val="en-US" w:eastAsia="zh-CN" w:bidi="ar"/>
        </w:rPr>
        <w:t>》（合同编号：</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下称“《原合同》”），现根据本项目的实际情况，本着平等互利的原则，经甲乙丙三方协商一致，同意《原合同》项下新增丙方作为合同主体之一，享有与承担甲方在《原合同》中约定的相应权利与义务，就甲乙丙各方权利义务事宜，三方达成如下补充内容：</w:t>
      </w:r>
    </w:p>
    <w:p w14:paraId="5E41609A">
      <w:pPr>
        <w:keepNext w:val="0"/>
        <w:keepLines w:val="0"/>
        <w:widowControl w:val="0"/>
        <w:suppressLineNumbers w:val="0"/>
        <w:autoSpaceDE w:val="0"/>
        <w:autoSpaceDN/>
        <w:spacing w:before="0" w:beforeAutospacing="0" w:after="0" w:afterAutospacing="0" w:line="560" w:lineRule="exact"/>
        <w:ind w:left="0" w:leftChars="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一、各方同意新增丙方为《原合同》主体之一，享有与承担的权利与义务同甲方在《原合同》中的权利与义务。</w:t>
      </w:r>
    </w:p>
    <w:p w14:paraId="6D5DBED4">
      <w:pPr>
        <w:keepNext w:val="0"/>
        <w:keepLines w:val="0"/>
        <w:widowControl w:val="0"/>
        <w:suppressLineNumbers w:val="0"/>
        <w:autoSpaceDE w:val="0"/>
        <w:autoSpaceDN/>
        <w:spacing w:before="0" w:beforeAutospacing="0" w:after="0" w:afterAutospacing="0" w:line="560" w:lineRule="exact"/>
        <w:ind w:left="0" w:leftChars="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二、《原合同》交货地点增加丙方各运营项目。</w:t>
      </w:r>
    </w:p>
    <w:p w14:paraId="7615ED37">
      <w:pPr>
        <w:keepNext w:val="0"/>
        <w:keepLines w:val="0"/>
        <w:widowControl w:val="0"/>
        <w:suppressLineNumbers w:val="0"/>
        <w:autoSpaceDE w:val="0"/>
        <w:autoSpaceDN/>
        <w:spacing w:before="0" w:beforeAutospacing="0" w:after="0" w:afterAutospacing="0" w:line="560" w:lineRule="exact"/>
        <w:ind w:left="0" w:leftChars="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三、乙方应根据丙方各运营项目实际情况，按丙方要求开具发票（发票抬头为丙方），由丙方按照《原合同》约定支付相应款项给乙方。</w:t>
      </w:r>
    </w:p>
    <w:p w14:paraId="488FB6D8">
      <w:pPr>
        <w:keepNext w:val="0"/>
        <w:keepLines w:val="0"/>
        <w:widowControl w:val="0"/>
        <w:suppressLineNumbers w:val="0"/>
        <w:autoSpaceDE w:val="0"/>
        <w:autoSpaceDN/>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四、本补充协议为《原合同》不可分割的组成部分，除本补充协议明确约定外，《原合同》的其他约定继续有效。《原合同》解除或终止的，本补充协议自动解除或终止。</w:t>
      </w:r>
    </w:p>
    <w:p w14:paraId="25BC6B28">
      <w:pPr>
        <w:keepNext w:val="0"/>
        <w:keepLines w:val="0"/>
        <w:widowControl w:val="0"/>
        <w:suppressLineNumbers w:val="0"/>
        <w:autoSpaceDE w:val="0"/>
        <w:autoSpaceDN/>
        <w:spacing w:before="0" w:beforeAutospacing="0" w:after="0" w:afterAutospacing="0" w:line="560" w:lineRule="exact"/>
        <w:ind w:left="0" w:right="0" w:firstLine="495" w:firstLineChars="236"/>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五、本补充协议自甲乙丙三方法定代表人或负责人签字并盖章后生效。</w:t>
      </w:r>
    </w:p>
    <w:p w14:paraId="3940B0F7">
      <w:pPr>
        <w:keepNext w:val="0"/>
        <w:keepLines w:val="0"/>
        <w:widowControl w:val="0"/>
        <w:suppressLineNumbers w:val="0"/>
        <w:autoSpaceDE w:val="0"/>
        <w:autoSpaceDN/>
        <w:spacing w:before="0" w:beforeAutospacing="0" w:after="0" w:afterAutospacing="0" w:line="560" w:lineRule="exact"/>
        <w:ind w:left="0" w:right="0" w:firstLine="495" w:firstLineChars="236"/>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六、本补充协议一式</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份，甲方执</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份，乙方执</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份，丙方执</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份，各份均具同等法律效力。</w:t>
      </w:r>
    </w:p>
    <w:p w14:paraId="1073E9AE">
      <w:pPr>
        <w:keepNext w:val="0"/>
        <w:keepLines w:val="0"/>
        <w:widowControl w:val="0"/>
        <w:suppressLineNumbers w:val="0"/>
        <w:autoSpaceDE w:val="0"/>
        <w:autoSpaceDN/>
        <w:spacing w:before="157" w:beforeLines="5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（以下无正文，为签署页）</w:t>
      </w:r>
    </w:p>
    <w:p w14:paraId="6FC7CD8F">
      <w:pPr>
        <w:keepNext w:val="0"/>
        <w:keepLines w:val="0"/>
        <w:widowControl w:val="0"/>
        <w:suppressLineNumbers w:val="0"/>
        <w:autoSpaceDE w:val="0"/>
        <w:autoSpaceDN/>
        <w:spacing w:before="157" w:beforeLines="50" w:beforeAutospacing="0" w:after="157" w:afterLines="50" w:afterAutospacing="0" w:line="56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p>
    <w:p w14:paraId="55E30573">
      <w:pPr>
        <w:keepNext w:val="0"/>
        <w:keepLines w:val="0"/>
        <w:widowControl w:val="0"/>
        <w:suppressLineNumbers w:val="0"/>
        <w:autoSpaceDE w:val="0"/>
        <w:autoSpaceDN/>
        <w:spacing w:before="157" w:beforeLines="50" w:beforeAutospacing="0" w:after="157" w:afterLines="5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甲方：                      乙方：</w:t>
      </w:r>
    </w:p>
    <w:p w14:paraId="68898776">
      <w:pPr>
        <w:keepNext w:val="0"/>
        <w:keepLines w:val="0"/>
        <w:widowControl w:val="0"/>
        <w:suppressLineNumbers w:val="0"/>
        <w:autoSpaceDE w:val="0"/>
        <w:autoSpaceDN/>
        <w:spacing w:before="157" w:beforeLines="50" w:beforeAutospacing="0" w:after="157" w:afterLines="5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法定代表（或负责）人：      法定代表（或负责）人：</w:t>
      </w:r>
    </w:p>
    <w:p w14:paraId="28701630">
      <w:pPr>
        <w:keepNext w:val="0"/>
        <w:keepLines w:val="0"/>
        <w:widowControl w:val="0"/>
        <w:suppressLineNumbers w:val="0"/>
        <w:autoSpaceDE w:val="0"/>
        <w:autoSpaceDN/>
        <w:spacing w:before="0" w:beforeAutospacing="0" w:after="0" w:afterAutospacing="0" w:line="560" w:lineRule="exact"/>
        <w:ind w:left="477" w:leftChars="227" w:right="0" w:firstLine="73" w:firstLineChars="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20EBC994">
      <w:pPr>
        <w:keepNext w:val="0"/>
        <w:keepLines w:val="0"/>
        <w:widowControl w:val="0"/>
        <w:suppressLineNumbers w:val="0"/>
        <w:autoSpaceDE w:val="0"/>
        <w:autoSpaceDN/>
        <w:spacing w:before="157" w:beforeLines="50" w:beforeAutospacing="0" w:after="157" w:afterLines="5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丙方：                                </w:t>
      </w:r>
    </w:p>
    <w:p w14:paraId="614C6B29">
      <w:pPr>
        <w:keepNext w:val="0"/>
        <w:keepLines w:val="0"/>
        <w:widowControl w:val="0"/>
        <w:suppressLineNumbers w:val="0"/>
        <w:autoSpaceDE w:val="0"/>
        <w:autoSpaceDN/>
        <w:spacing w:before="157" w:beforeLines="50" w:beforeAutospacing="0" w:after="157" w:afterLines="5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法定代表（或负责）人：</w:t>
      </w:r>
    </w:p>
    <w:p w14:paraId="0FA8DC0E">
      <w:pPr>
        <w:keepNext w:val="0"/>
        <w:keepLines w:val="0"/>
        <w:widowControl w:val="0"/>
        <w:suppressLineNumbers w:val="0"/>
        <w:autoSpaceDE w:val="0"/>
        <w:autoSpaceDN/>
        <w:spacing w:before="0" w:beforeAutospacing="0" w:after="0" w:afterAutospacing="0" w:line="56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04B62F86">
      <w:pPr>
        <w:keepNext w:val="0"/>
        <w:keepLines w:val="0"/>
        <w:widowControl w:val="0"/>
        <w:suppressLineNumbers w:val="0"/>
        <w:autoSpaceDE w:val="0"/>
        <w:autoSpaceDN/>
        <w:spacing w:before="0" w:beforeAutospacing="0" w:after="0" w:afterAutospacing="0" w:line="56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签订日期：    年    月     日</w:t>
      </w:r>
    </w:p>
    <w:p w14:paraId="59A62C47">
      <w:pPr>
        <w:pageBreakBefore w:val="0"/>
        <w:spacing w:before="0" w:beforeLines="-2147483648" w:after="0" w:afterLines="-2147483648" w:line="240" w:lineRule="auto"/>
        <w:jc w:val="left"/>
        <w:outlineLvl w:val="9"/>
        <w:rPr>
          <w:rFonts w:hint="eastAsia" w:ascii="宋体" w:hAnsi="宋体" w:eastAsia="宋体" w:cs="宋体"/>
          <w:b/>
          <w:bCs/>
          <w:color w:val="auto"/>
          <w:sz w:val="21"/>
          <w:szCs w:val="21"/>
          <w:highlight w:val="none"/>
          <w:lang w:val="zh-CN"/>
        </w:rPr>
      </w:pPr>
    </w:p>
    <w:p w14:paraId="00AA7E9B">
      <w:pPr>
        <w:pageBreakBefore/>
        <w:spacing w:before="120" w:beforeLines="50" w:after="120" w:afterLines="50" w:line="360" w:lineRule="auto"/>
        <w:jc w:val="center"/>
        <w:outlineLvl w:val="1"/>
        <w:rPr>
          <w:rFonts w:ascii="宋体" w:hAnsi="宋体" w:eastAsia="宋体" w:cs="Times New Roman"/>
          <w:b/>
          <w:bCs/>
          <w:color w:val="auto"/>
          <w:sz w:val="32"/>
          <w:szCs w:val="32"/>
          <w:highlight w:val="none"/>
          <w:lang w:val="zh-CN"/>
        </w:rPr>
      </w:pPr>
      <w:bookmarkStart w:id="567" w:name="_Toc23576"/>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567"/>
    </w:p>
    <w:p w14:paraId="6AF479FD">
      <w:pPr>
        <w:autoSpaceDE w:val="0"/>
        <w:autoSpaceDN w:val="0"/>
        <w:adjustRightInd w:val="0"/>
        <w:spacing w:after="120" w:afterLines="50" w:line="360" w:lineRule="auto"/>
        <w:jc w:val="left"/>
        <w:outlineLvl w:val="9"/>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t>一、不可撤销银行履约保函格式</w:t>
      </w:r>
    </w:p>
    <w:p w14:paraId="5E390954">
      <w:pPr>
        <w:autoSpaceDE w:val="0"/>
        <w:autoSpaceDN w:val="0"/>
        <w:adjustRightInd w:val="0"/>
        <w:jc w:val="center"/>
        <w:outlineLvl w:val="9"/>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14:paraId="05947C57">
      <w:pPr>
        <w:widowControl/>
        <w:autoSpaceDE w:val="0"/>
        <w:autoSpaceDN w:val="0"/>
        <w:adjustRightInd w:val="0"/>
        <w:spacing w:line="360" w:lineRule="auto"/>
        <w:jc w:val="left"/>
        <w:rPr>
          <w:rFonts w:ascii="宋体" w:hAnsi="宋体" w:eastAsia="宋体" w:cs="宋体"/>
          <w:color w:val="auto"/>
          <w:kern w:val="0"/>
          <w:szCs w:val="21"/>
          <w:highlight w:val="none"/>
        </w:rPr>
      </w:pPr>
    </w:p>
    <w:p w14:paraId="299112F2">
      <w:pPr>
        <w:widowControl/>
        <w:autoSpaceDE w:val="0"/>
        <w:autoSpaceDN w:val="0"/>
        <w:adjustRightInd w:val="0"/>
        <w:spacing w:line="360" w:lineRule="auto"/>
        <w:jc w:val="left"/>
        <w:rPr>
          <w:rFonts w:ascii="宋体" w:hAnsi="宋体" w:eastAsia="宋体" w:cs="宋体"/>
          <w:color w:val="auto"/>
          <w:kern w:val="0"/>
          <w:szCs w:val="21"/>
          <w:highlight w:val="none"/>
        </w:rPr>
      </w:pPr>
    </w:p>
    <w:p w14:paraId="10BD6379">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6ACC85C2">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3F6F0E60">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398C4C36">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6AC836C8">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5353ADE1">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222E807E">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5CD87FE3">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应从合同签订之日起（或签订合同前）至合同期限届满并全部货物经最终验收合格</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受益人向申请人支付全部</w:t>
      </w:r>
      <w:r>
        <w:rPr>
          <w:rFonts w:hint="eastAsia" w:ascii="宋体" w:hAnsi="宋体" w:eastAsia="宋体" w:cs="Times New Roman"/>
          <w:color w:val="auto"/>
          <w:kern w:val="0"/>
          <w:szCs w:val="21"/>
          <w:highlight w:val="none"/>
          <w:lang w:val="en-US" w:eastAsia="zh-CN"/>
        </w:rPr>
        <w:t>货款</w:t>
      </w:r>
      <w:r>
        <w:rPr>
          <w:rFonts w:hint="eastAsia" w:ascii="宋体" w:hAnsi="宋体" w:eastAsia="宋体" w:cs="Times New Roman"/>
          <w:color w:val="auto"/>
          <w:kern w:val="0"/>
          <w:szCs w:val="21"/>
          <w:highlight w:val="none"/>
        </w:rPr>
        <w:t>（除质保金）后二十八（28）日内保持有效。</w:t>
      </w:r>
    </w:p>
    <w:p w14:paraId="3AD1B9DB">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6CA7CEAE">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55B19CA8">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1D3FBF62">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6F63EA1A">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36ED8726">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2CB1FA6D">
      <w:pPr>
        <w:widowControl/>
        <w:autoSpaceDE w:val="0"/>
        <w:autoSpaceDN w:val="0"/>
        <w:adjustRightInd w:val="0"/>
        <w:spacing w:line="360" w:lineRule="auto"/>
        <w:jc w:val="left"/>
        <w:rPr>
          <w:rFonts w:ascii="宋体" w:hAnsi="宋体" w:eastAsia="宋体" w:cs="宋体"/>
          <w:color w:val="auto"/>
          <w:kern w:val="0"/>
          <w:szCs w:val="21"/>
          <w:highlight w:val="none"/>
        </w:rPr>
      </w:pPr>
    </w:p>
    <w:p w14:paraId="1004B3A8">
      <w:pPr>
        <w:widowControl/>
        <w:autoSpaceDE w:val="0"/>
        <w:autoSpaceDN w:val="0"/>
        <w:adjustRightInd w:val="0"/>
        <w:spacing w:line="360" w:lineRule="auto"/>
        <w:jc w:val="left"/>
        <w:rPr>
          <w:rFonts w:ascii="宋体" w:hAnsi="宋体" w:eastAsia="宋体" w:cs="宋体"/>
          <w:color w:val="auto"/>
          <w:kern w:val="0"/>
          <w:szCs w:val="21"/>
          <w:highlight w:val="none"/>
        </w:rPr>
      </w:pPr>
    </w:p>
    <w:p w14:paraId="676EF401">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4" w:type="default"/>
          <w:pgSz w:w="12240" w:h="15840"/>
          <w:pgMar w:top="1191" w:right="1043" w:bottom="1191" w:left="1043" w:header="720" w:footer="720" w:gutter="0"/>
          <w:cols w:space="720" w:num="1"/>
          <w:titlePg/>
          <w:docGrid w:linePitch="326" w:charSpace="0"/>
        </w:sectPr>
      </w:pPr>
    </w:p>
    <w:p w14:paraId="6AA57F7C">
      <w:pPr>
        <w:autoSpaceDE w:val="0"/>
        <w:autoSpaceDN w:val="0"/>
        <w:adjustRightInd w:val="0"/>
        <w:spacing w:after="120" w:afterLines="50" w:line="360" w:lineRule="auto"/>
        <w:jc w:val="left"/>
        <w:outlineLvl w:val="9"/>
        <w:rPr>
          <w:rFonts w:hint="eastAsia" w:ascii="宋体" w:hAnsi="宋体" w:eastAsia="宋体" w:cs="Times New Roman"/>
          <w:b/>
          <w:color w:val="auto"/>
          <w:kern w:val="0"/>
          <w:sz w:val="28"/>
          <w:szCs w:val="28"/>
          <w:highlight w:val="none"/>
          <w:lang w:val="en-US" w:eastAsia="zh-CN"/>
        </w:rPr>
      </w:pPr>
      <w:r>
        <w:rPr>
          <w:rFonts w:hint="eastAsia" w:ascii="宋体" w:hAnsi="宋体" w:eastAsia="宋体" w:cs="Times New Roman"/>
          <w:b/>
          <w:color w:val="auto"/>
          <w:kern w:val="0"/>
          <w:sz w:val="28"/>
          <w:szCs w:val="28"/>
          <w:highlight w:val="none"/>
          <w:lang w:val="en-US" w:eastAsia="zh-CN"/>
        </w:rPr>
        <w:t>二、履约保证保险凭证格式</w:t>
      </w:r>
    </w:p>
    <w:p w14:paraId="54D0E33E">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p>
    <w:p w14:paraId="55BDE43A">
      <w:pPr>
        <w:autoSpaceDE w:val="0"/>
        <w:autoSpaceDN w:val="0"/>
        <w:adjustRightInd w:val="0"/>
        <w:jc w:val="center"/>
        <w:outlineLvl w:val="9"/>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30"/>
          <w:szCs w:val="30"/>
          <w:highlight w:val="none"/>
          <w:lang w:val="en-US" w:eastAsia="zh-CN"/>
        </w:rPr>
        <w:t>履约保证保险凭证</w:t>
      </w:r>
    </w:p>
    <w:p w14:paraId="194A0D53">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6FB4B3F2">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702FB5BF">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5C7A8C88">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14:paraId="4D0520D1">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14:paraId="0C2DAEC9">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6031DA5E">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14:paraId="76696DF3">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二、保证保险的责任范围 </w:t>
      </w:r>
    </w:p>
    <w:p w14:paraId="64BDBF48">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7EE72B85">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三、代偿的安排 </w:t>
      </w:r>
    </w:p>
    <w:p w14:paraId="2DE3CF92">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2D0FDD8C">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四、生效时间 </w:t>
      </w:r>
    </w:p>
    <w:p w14:paraId="04F2A4B3">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51E38281">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五、其他</w:t>
      </w:r>
    </w:p>
    <w:p w14:paraId="475096AC">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Times New Roman"/>
          <w:color w:val="auto"/>
          <w:kern w:val="0"/>
          <w:szCs w:val="21"/>
          <w:highlight w:val="none"/>
        </w:rPr>
        <w:t>应从合同签订之日起（或签订合同前）至合同期限届满并全部货物经最终验收合格</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受益人向申请人支付全部</w:t>
      </w:r>
      <w:r>
        <w:rPr>
          <w:rFonts w:hint="eastAsia" w:ascii="宋体" w:hAnsi="宋体" w:eastAsia="宋体" w:cs="Times New Roman"/>
          <w:color w:val="auto"/>
          <w:kern w:val="0"/>
          <w:szCs w:val="21"/>
          <w:highlight w:val="none"/>
          <w:lang w:val="en-US" w:eastAsia="zh-CN"/>
        </w:rPr>
        <w:t>货款</w:t>
      </w:r>
      <w:r>
        <w:rPr>
          <w:rFonts w:hint="eastAsia" w:ascii="宋体" w:hAnsi="宋体" w:eastAsia="宋体" w:cs="Times New Roman"/>
          <w:color w:val="auto"/>
          <w:kern w:val="0"/>
          <w:szCs w:val="21"/>
          <w:highlight w:val="none"/>
        </w:rPr>
        <w:t>（除质保金）后二十八（28）日内保持有效。</w:t>
      </w:r>
    </w:p>
    <w:p w14:paraId="146BBA5E">
      <w:pPr>
        <w:numPr>
          <w:ilvl w:val="0"/>
          <w:numId w:val="0"/>
        </w:numPr>
        <w:outlineLvl w:val="9"/>
        <w:rPr>
          <w:rFonts w:hint="default"/>
          <w:color w:val="auto"/>
          <w:highlight w:val="none"/>
          <w:lang w:val="en-US" w:eastAsia="zh-CN"/>
        </w:rPr>
      </w:pPr>
    </w:p>
    <w:p w14:paraId="2B468C7E">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14:paraId="6982E87C">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588F5D13">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348D758F">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14:paraId="5BF25871">
      <w:pPr>
        <w:jc w:val="right"/>
        <w:rPr>
          <w:rFonts w:hint="eastAsia" w:ascii="宋体" w:hAnsi="宋体" w:eastAsia="宋体" w:cs="Times New Roman"/>
          <w:b/>
          <w:color w:val="auto"/>
          <w:kern w:val="0"/>
          <w:sz w:val="28"/>
          <w:szCs w:val="28"/>
          <w:highlight w:val="none"/>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r>
        <w:rPr>
          <w:rFonts w:hint="eastAsia" w:ascii="宋体" w:hAnsi="宋体" w:eastAsia="宋体" w:cs="Times New Roman"/>
          <w:b/>
          <w:color w:val="auto"/>
          <w:kern w:val="0"/>
          <w:sz w:val="28"/>
          <w:szCs w:val="28"/>
          <w:highlight w:val="none"/>
        </w:rPr>
        <w:br w:type="page"/>
      </w:r>
    </w:p>
    <w:p w14:paraId="16B93C40">
      <w:pPr>
        <w:autoSpaceDE w:val="0"/>
        <w:autoSpaceDN w:val="0"/>
        <w:adjustRightInd w:val="0"/>
        <w:spacing w:after="120" w:afterLines="50" w:line="360" w:lineRule="auto"/>
        <w:jc w:val="left"/>
        <w:outlineLvl w:val="9"/>
        <w:rPr>
          <w:rFonts w:hint="eastAsia"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lang w:val="en-US" w:eastAsia="zh-CN"/>
        </w:rPr>
        <w:t>三</w:t>
      </w:r>
      <w:r>
        <w:rPr>
          <w:rFonts w:hint="eastAsia" w:ascii="宋体" w:hAnsi="宋体" w:eastAsia="宋体" w:cs="Times New Roman"/>
          <w:b/>
          <w:color w:val="auto"/>
          <w:kern w:val="0"/>
          <w:sz w:val="28"/>
          <w:szCs w:val="28"/>
          <w:highlight w:val="none"/>
        </w:rPr>
        <w:t>、担保公司履约担保书格式</w:t>
      </w:r>
    </w:p>
    <w:p w14:paraId="24964C8E">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5C4DE899">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7AB42A42">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35A67853">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563923AF">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51D0B40A">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1FE739DB">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应从合同签订之日起（或签订合同前）至合同期限届满并全部货物经最终验收合格</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受益人向申请人支付全部</w:t>
      </w:r>
      <w:r>
        <w:rPr>
          <w:rFonts w:hint="eastAsia" w:ascii="宋体" w:hAnsi="宋体" w:eastAsia="宋体" w:cs="Times New Roman"/>
          <w:color w:val="auto"/>
          <w:kern w:val="0"/>
          <w:szCs w:val="21"/>
          <w:highlight w:val="none"/>
          <w:lang w:val="en-US" w:eastAsia="zh-CN"/>
        </w:rPr>
        <w:t>货款</w:t>
      </w:r>
      <w:r>
        <w:rPr>
          <w:rFonts w:hint="eastAsia" w:ascii="宋体" w:hAnsi="宋体" w:eastAsia="宋体" w:cs="Times New Roman"/>
          <w:color w:val="auto"/>
          <w:kern w:val="0"/>
          <w:szCs w:val="21"/>
          <w:highlight w:val="none"/>
        </w:rPr>
        <w:t>（除质保金）后二十八（28）日内保持有效。</w:t>
      </w:r>
    </w:p>
    <w:p w14:paraId="6182227E">
      <w:pPr>
        <w:autoSpaceDE w:val="0"/>
        <w:autoSpaceDN w:val="0"/>
        <w:adjustRightInd w:val="0"/>
        <w:spacing w:line="360" w:lineRule="auto"/>
        <w:jc w:val="left"/>
        <w:rPr>
          <w:rFonts w:ascii="宋体" w:hAnsi="宋体" w:eastAsia="宋体" w:cs="Times New Roman"/>
          <w:color w:val="auto"/>
          <w:kern w:val="0"/>
          <w:szCs w:val="21"/>
          <w:highlight w:val="none"/>
        </w:rPr>
      </w:pPr>
    </w:p>
    <w:p w14:paraId="662BD0CE">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761BFB5B">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299B5B08">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19DE7CDF">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0F9EDFC8">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66F620B9">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7CBD2E9A">
      <w:pPr>
        <w:autoSpaceDE w:val="0"/>
        <w:autoSpaceDN w:val="0"/>
        <w:adjustRightInd w:val="0"/>
        <w:spacing w:line="360" w:lineRule="auto"/>
        <w:jc w:val="left"/>
        <w:rPr>
          <w:rFonts w:ascii="宋体" w:hAnsi="宋体" w:eastAsia="宋体" w:cs="Times New Roman"/>
          <w:color w:val="auto"/>
          <w:kern w:val="0"/>
          <w:szCs w:val="21"/>
          <w:highlight w:val="none"/>
        </w:rPr>
      </w:pPr>
    </w:p>
    <w:p w14:paraId="449C47FD">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0E626A06">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120A2D76">
      <w:pPr>
        <w:widowControl/>
        <w:autoSpaceDE w:val="0"/>
        <w:autoSpaceDN w:val="0"/>
        <w:adjustRightInd w:val="0"/>
        <w:spacing w:line="360" w:lineRule="auto"/>
        <w:ind w:left="436" w:leftChars="-59" w:hanging="560" w:hangingChars="267"/>
        <w:jc w:val="left"/>
        <w:rPr>
          <w:rFonts w:ascii="宋体" w:hAnsi="宋体" w:eastAsia="宋体" w:cs="宋体"/>
          <w:color w:val="auto"/>
          <w:szCs w:val="24"/>
          <w:highlight w:val="none"/>
          <w:lang w:val="zh-CN"/>
        </w:rPr>
      </w:pPr>
    </w:p>
    <w:bookmarkEnd w:id="479"/>
    <w:bookmarkEnd w:id="480"/>
    <w:bookmarkEnd w:id="481"/>
    <w:bookmarkEnd w:id="482"/>
    <w:bookmarkEnd w:id="483"/>
    <w:bookmarkEnd w:id="484"/>
    <w:bookmarkEnd w:id="485"/>
    <w:p w14:paraId="7A887163">
      <w:pPr>
        <w:pageBreakBefore/>
        <w:spacing w:before="120" w:beforeLines="50" w:after="120" w:afterLines="50" w:line="360" w:lineRule="auto"/>
        <w:jc w:val="center"/>
        <w:outlineLvl w:val="1"/>
        <w:rPr>
          <w:rFonts w:hint="eastAsia" w:ascii="宋体" w:hAnsi="宋体" w:eastAsia="宋体" w:cs="Times New Roman"/>
          <w:b/>
          <w:bCs/>
          <w:color w:val="auto"/>
          <w:sz w:val="32"/>
          <w:szCs w:val="32"/>
          <w:highlight w:val="none"/>
          <w:lang w:val="zh-CN"/>
        </w:rPr>
      </w:pPr>
      <w:bookmarkStart w:id="568" w:name="_Toc450662895"/>
      <w:bookmarkStart w:id="569" w:name="_Toc12794"/>
      <w:bookmarkStart w:id="570" w:name="_Toc14853"/>
      <w:bookmarkStart w:id="571" w:name="_Toc8165"/>
      <w:bookmarkStart w:id="572" w:name="_Toc142508361"/>
      <w:bookmarkStart w:id="573" w:name="_Toc10636"/>
      <w:bookmarkStart w:id="574" w:name="_Toc486167708"/>
      <w:bookmarkStart w:id="575" w:name="_Toc32761_WPSOffice_Level1"/>
      <w:r>
        <w:rPr>
          <w:rFonts w:hint="eastAsia" w:ascii="宋体" w:hAnsi="宋体" w:eastAsia="宋体" w:cs="Times New Roman"/>
          <w:b/>
          <w:bCs/>
          <w:color w:val="auto"/>
          <w:sz w:val="32"/>
          <w:szCs w:val="32"/>
          <w:highlight w:val="none"/>
          <w:lang w:val="zh-CN"/>
        </w:rPr>
        <w:t>第六篇 投标文件格式</w:t>
      </w:r>
      <w:bookmarkEnd w:id="568"/>
      <w:bookmarkEnd w:id="569"/>
      <w:bookmarkEnd w:id="570"/>
      <w:bookmarkEnd w:id="571"/>
      <w:bookmarkEnd w:id="572"/>
      <w:bookmarkEnd w:id="573"/>
      <w:bookmarkEnd w:id="574"/>
      <w:bookmarkEnd w:id="575"/>
    </w:p>
    <w:p w14:paraId="3C493A2A">
      <w:pPr>
        <w:pStyle w:val="20"/>
        <w:spacing w:line="360" w:lineRule="auto"/>
        <w:jc w:val="center"/>
        <w:rPr>
          <w:rFonts w:hint="eastAsia" w:ascii="宋体" w:hAnsi="宋体" w:eastAsia="宋体" w:cs="宋体"/>
          <w:b/>
          <w:color w:val="auto"/>
          <w:kern w:val="0"/>
          <w:sz w:val="32"/>
          <w:szCs w:val="32"/>
          <w:highlight w:val="none"/>
        </w:rPr>
      </w:pPr>
      <w:bookmarkStart w:id="576" w:name="_Toc1977721"/>
      <w:bookmarkStart w:id="577" w:name="_Toc142508362"/>
      <w:bookmarkStart w:id="578" w:name="_Toc102860411"/>
      <w:bookmarkStart w:id="579" w:name="_Toc533708121"/>
      <w:bookmarkStart w:id="580" w:name="_Toc486167709"/>
      <w:bookmarkStart w:id="581" w:name="_Toc94107202"/>
      <w:bookmarkStart w:id="582" w:name="_Toc21133_WPSOffice_Level2"/>
      <w:bookmarkStart w:id="583" w:name="_Toc104991868"/>
      <w:bookmarkStart w:id="584" w:name="_Toc102860067"/>
      <w:bookmarkStart w:id="585" w:name="_Toc140596921"/>
      <w:r>
        <w:rPr>
          <w:rFonts w:hint="eastAsia" w:ascii="宋体" w:hAnsi="宋体" w:eastAsia="宋体" w:cs="宋体"/>
          <w:b/>
          <w:color w:val="auto"/>
          <w:kern w:val="0"/>
          <w:sz w:val="32"/>
          <w:szCs w:val="32"/>
          <w:highlight w:val="none"/>
        </w:rPr>
        <w:br w:type="page"/>
      </w:r>
    </w:p>
    <w:p w14:paraId="4FF2243C">
      <w:pPr>
        <w:pStyle w:val="20"/>
        <w:spacing w:line="360" w:lineRule="auto"/>
        <w:jc w:val="center"/>
        <w:rPr>
          <w:rFonts w:hint="eastAsia" w:ascii="宋体" w:hAnsi="宋体" w:eastAsia="宋体" w:cs="宋体"/>
          <w:b/>
          <w:color w:val="auto"/>
          <w:kern w:val="0"/>
          <w:sz w:val="32"/>
          <w:szCs w:val="32"/>
          <w:highlight w:val="none"/>
        </w:rPr>
      </w:pPr>
    </w:p>
    <w:p w14:paraId="3509A283">
      <w:pPr>
        <w:pStyle w:val="20"/>
        <w:spacing w:line="360" w:lineRule="auto"/>
        <w:jc w:val="center"/>
        <w:rPr>
          <w:rFonts w:hint="eastAsia" w:ascii="宋体" w:hAnsi="宋体" w:eastAsia="宋体" w:cs="宋体"/>
          <w:b/>
          <w:color w:val="auto"/>
          <w:kern w:val="0"/>
          <w:sz w:val="32"/>
          <w:szCs w:val="32"/>
          <w:highlight w:val="none"/>
        </w:rPr>
      </w:pPr>
    </w:p>
    <w:p w14:paraId="612352C1">
      <w:pPr>
        <w:pStyle w:val="20"/>
        <w:spacing w:line="360" w:lineRule="auto"/>
        <w:jc w:val="center"/>
        <w:rPr>
          <w:rFonts w:hint="eastAsia" w:ascii="宋体" w:hAnsi="宋体" w:eastAsia="宋体" w:cs="宋体"/>
          <w:b/>
          <w:color w:val="auto"/>
          <w:kern w:val="0"/>
          <w:sz w:val="32"/>
          <w:szCs w:val="32"/>
          <w:highlight w:val="none"/>
        </w:rPr>
      </w:pPr>
    </w:p>
    <w:p w14:paraId="5AA60708">
      <w:pPr>
        <w:pStyle w:val="20"/>
        <w:spacing w:line="360" w:lineRule="auto"/>
        <w:jc w:val="center"/>
        <w:rPr>
          <w:rFonts w:hint="eastAsia" w:ascii="宋体" w:hAnsi="宋体" w:eastAsia="宋体" w:cs="宋体"/>
          <w:color w:val="auto"/>
          <w:sz w:val="84"/>
          <w:highlight w:val="none"/>
        </w:rPr>
      </w:pPr>
    </w:p>
    <w:p w14:paraId="48460FB7">
      <w:pPr>
        <w:pStyle w:val="20"/>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6CE343D0">
      <w:pPr>
        <w:pStyle w:val="20"/>
        <w:spacing w:line="360" w:lineRule="auto"/>
        <w:rPr>
          <w:rFonts w:hint="eastAsia" w:ascii="宋体" w:hAnsi="宋体" w:eastAsia="宋体" w:cs="宋体"/>
          <w:color w:val="auto"/>
          <w:highlight w:val="none"/>
        </w:rPr>
      </w:pPr>
    </w:p>
    <w:p w14:paraId="766B4E0E">
      <w:pPr>
        <w:pStyle w:val="20"/>
        <w:spacing w:line="360" w:lineRule="auto"/>
        <w:rPr>
          <w:rFonts w:hint="eastAsia" w:ascii="宋体" w:hAnsi="宋体" w:eastAsia="宋体" w:cs="宋体"/>
          <w:color w:val="auto"/>
          <w:highlight w:val="none"/>
        </w:rPr>
      </w:pPr>
    </w:p>
    <w:p w14:paraId="317C2773">
      <w:pPr>
        <w:pStyle w:val="20"/>
        <w:spacing w:line="360" w:lineRule="auto"/>
        <w:rPr>
          <w:rFonts w:hint="eastAsia" w:ascii="宋体" w:hAnsi="宋体" w:eastAsia="宋体" w:cs="宋体"/>
          <w:color w:val="auto"/>
          <w:highlight w:val="none"/>
        </w:rPr>
      </w:pPr>
    </w:p>
    <w:p w14:paraId="53289EB9">
      <w:pPr>
        <w:pStyle w:val="20"/>
        <w:spacing w:line="360" w:lineRule="auto"/>
        <w:rPr>
          <w:rFonts w:hint="eastAsia" w:ascii="宋体" w:hAnsi="宋体" w:eastAsia="宋体" w:cs="宋体"/>
          <w:color w:val="auto"/>
          <w:highlight w:val="none"/>
        </w:rPr>
      </w:pPr>
    </w:p>
    <w:p w14:paraId="4D22BB8F">
      <w:pPr>
        <w:pStyle w:val="20"/>
        <w:spacing w:line="360" w:lineRule="auto"/>
        <w:rPr>
          <w:rFonts w:hint="eastAsia" w:ascii="宋体" w:hAnsi="宋体" w:eastAsia="宋体" w:cs="宋体"/>
          <w:color w:val="auto"/>
          <w:highlight w:val="none"/>
        </w:rPr>
      </w:pPr>
    </w:p>
    <w:p w14:paraId="6282133F">
      <w:pPr>
        <w:pStyle w:val="20"/>
        <w:spacing w:line="360" w:lineRule="auto"/>
        <w:rPr>
          <w:rFonts w:hint="eastAsia" w:ascii="宋体" w:hAnsi="宋体" w:eastAsia="宋体" w:cs="宋体"/>
          <w:color w:val="auto"/>
          <w:highlight w:val="none"/>
        </w:rPr>
      </w:pPr>
    </w:p>
    <w:p w14:paraId="385CD9C7">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3D9D4606">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68EFA457">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478DF068">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6DF6109B">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245313F8">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66304E5C">
      <w:pPr>
        <w:pStyle w:val="20"/>
        <w:spacing w:line="360" w:lineRule="auto"/>
        <w:rPr>
          <w:rFonts w:hint="eastAsia" w:ascii="宋体" w:hAnsi="宋体" w:eastAsia="宋体" w:cs="宋体"/>
          <w:color w:val="auto"/>
          <w:highlight w:val="none"/>
        </w:rPr>
      </w:pPr>
    </w:p>
    <w:p w14:paraId="53815060">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9541737">
      <w:pPr>
        <w:pStyle w:val="20"/>
        <w:spacing w:line="360" w:lineRule="auto"/>
        <w:rPr>
          <w:rFonts w:hint="eastAsia" w:ascii="宋体" w:hAnsi="宋体" w:eastAsia="宋体" w:cs="宋体"/>
          <w:color w:val="auto"/>
          <w:highlight w:val="none"/>
        </w:rPr>
      </w:pPr>
    </w:p>
    <w:p w14:paraId="7A6B5C26">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06132B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78BD050B">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632D79C5">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62B92C68">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0D894DA6">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7FA311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756DC37C">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487F34EB">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4274FA30">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3B0003C8">
            <w:pPr>
              <w:adjustRightInd w:val="0"/>
              <w:snapToGrid w:val="0"/>
              <w:spacing w:line="360" w:lineRule="auto"/>
              <w:rPr>
                <w:rFonts w:hint="eastAsia" w:ascii="宋体" w:hAnsi="宋体" w:eastAsia="宋体" w:cs="宋体"/>
                <w:bCs/>
                <w:color w:val="auto"/>
                <w:szCs w:val="21"/>
                <w:highlight w:val="none"/>
              </w:rPr>
            </w:pPr>
          </w:p>
        </w:tc>
      </w:tr>
      <w:tr w14:paraId="03D842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2FE50D0D">
            <w:pPr>
              <w:rPr>
                <w:rFonts w:hint="eastAsia" w:ascii="宋体" w:hAnsi="宋体" w:eastAsia="宋体" w:cs="宋体"/>
                <w:bCs/>
                <w:color w:val="auto"/>
                <w:szCs w:val="21"/>
                <w:highlight w:val="none"/>
              </w:rPr>
            </w:pPr>
          </w:p>
        </w:tc>
        <w:tc>
          <w:tcPr>
            <w:tcW w:w="1337" w:type="pct"/>
            <w:vAlign w:val="center"/>
          </w:tcPr>
          <w:p w14:paraId="595D0FC6">
            <w:pPr>
              <w:rPr>
                <w:rFonts w:hint="eastAsia" w:ascii="宋体" w:hAnsi="宋体" w:eastAsia="宋体" w:cs="宋体"/>
                <w:bCs/>
                <w:color w:val="auto"/>
                <w:szCs w:val="21"/>
                <w:highlight w:val="none"/>
              </w:rPr>
            </w:pPr>
          </w:p>
        </w:tc>
        <w:tc>
          <w:tcPr>
            <w:tcW w:w="861" w:type="pct"/>
            <w:vAlign w:val="center"/>
          </w:tcPr>
          <w:p w14:paraId="5DAB51A6">
            <w:pP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4EBD7431">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0D0A61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40298909">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173CA513">
            <w:pPr>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14:paraId="0598DC42">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21504B7A">
            <w:pPr>
              <w:spacing w:line="360" w:lineRule="auto"/>
              <w:ind w:firstLine="8" w:firstLineChars="4"/>
              <w:rPr>
                <w:rFonts w:hint="eastAsia" w:ascii="宋体" w:hAnsi="宋体" w:eastAsia="宋体" w:cs="宋体"/>
                <w:bCs/>
                <w:color w:val="auto"/>
                <w:szCs w:val="21"/>
                <w:highlight w:val="none"/>
              </w:rPr>
            </w:pPr>
          </w:p>
        </w:tc>
      </w:tr>
      <w:tr w14:paraId="3882C6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3C020BCA">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2D59E8EC">
            <w:pPr>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25AB4B1B">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32EDB757">
            <w:pPr>
              <w:adjustRightInd w:val="0"/>
              <w:snapToGrid w:val="0"/>
              <w:spacing w:line="360" w:lineRule="auto"/>
              <w:rPr>
                <w:rFonts w:hint="eastAsia" w:ascii="宋体" w:hAnsi="宋体" w:eastAsia="宋体" w:cs="宋体"/>
                <w:bCs/>
                <w:color w:val="auto"/>
                <w:szCs w:val="21"/>
                <w:highlight w:val="none"/>
              </w:rPr>
            </w:pPr>
          </w:p>
        </w:tc>
      </w:tr>
      <w:tr w14:paraId="3A000E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5BA5E92A">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33DE90A1">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6AFC2E20">
            <w:pPr>
              <w:spacing w:line="360" w:lineRule="auto"/>
              <w:jc w:val="center"/>
              <w:rPr>
                <w:rFonts w:hint="eastAsia" w:ascii="宋体" w:hAnsi="宋体" w:eastAsia="宋体" w:cs="宋体"/>
                <w:bCs/>
                <w:color w:val="auto"/>
                <w:szCs w:val="21"/>
                <w:highlight w:val="none"/>
              </w:rPr>
            </w:pPr>
          </w:p>
        </w:tc>
      </w:tr>
    </w:tbl>
    <w:p w14:paraId="40C34495">
      <w:pPr>
        <w:pStyle w:val="20"/>
        <w:spacing w:line="360" w:lineRule="auto"/>
        <w:rPr>
          <w:rFonts w:hint="eastAsia" w:ascii="宋体" w:hAnsi="宋体" w:eastAsia="宋体" w:cs="宋体"/>
          <w:color w:val="auto"/>
          <w:highlight w:val="none"/>
        </w:rPr>
      </w:pPr>
    </w:p>
    <w:p w14:paraId="0BDCE70D">
      <w:pPr>
        <w:pStyle w:val="20"/>
        <w:spacing w:line="360" w:lineRule="auto"/>
        <w:rPr>
          <w:rFonts w:hint="eastAsia" w:ascii="宋体" w:hAnsi="宋体" w:eastAsia="宋体" w:cs="宋体"/>
          <w:color w:val="auto"/>
          <w:highlight w:val="none"/>
        </w:rPr>
      </w:pPr>
    </w:p>
    <w:p w14:paraId="3D343287">
      <w:pPr>
        <w:widowControl/>
        <w:jc w:val="left"/>
        <w:rPr>
          <w:rFonts w:hint="eastAsia" w:ascii="宋体" w:hAnsi="宋体" w:eastAsia="宋体" w:cs="宋体"/>
          <w:b/>
          <w:color w:val="auto"/>
          <w:kern w:val="0"/>
          <w:sz w:val="32"/>
          <w:szCs w:val="32"/>
          <w:highlight w:val="none"/>
        </w:rPr>
      </w:pPr>
      <w:r>
        <w:rPr>
          <w:rFonts w:hint="eastAsia" w:ascii="宋体" w:hAnsi="宋体" w:eastAsia="宋体" w:cs="宋体"/>
          <w:color w:val="auto"/>
          <w:highlight w:val="none"/>
        </w:rPr>
        <w:br w:type="page"/>
      </w:r>
    </w:p>
    <w:p w14:paraId="59CB0271">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auto"/>
          <w:kern w:val="0"/>
          <w:sz w:val="32"/>
          <w:szCs w:val="32"/>
          <w:highlight w:val="none"/>
        </w:rPr>
      </w:pPr>
      <w:bookmarkStart w:id="586" w:name="_Toc9245"/>
      <w:bookmarkStart w:id="587" w:name="_Toc18706"/>
      <w:bookmarkStart w:id="588" w:name="_Toc6528"/>
      <w:bookmarkStart w:id="589" w:name="_Toc13331"/>
      <w:bookmarkStart w:id="590" w:name="_Toc14201"/>
      <w:bookmarkStart w:id="591" w:name="_Toc18448"/>
      <w:r>
        <w:rPr>
          <w:rFonts w:hint="eastAsia" w:ascii="宋体" w:hAnsi="宋体" w:eastAsia="宋体" w:cs="宋体"/>
          <w:b/>
          <w:color w:val="auto"/>
          <w:kern w:val="0"/>
          <w:sz w:val="32"/>
          <w:szCs w:val="32"/>
          <w:highlight w:val="none"/>
        </w:rPr>
        <w:t>一、投标函格式</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14:paraId="629443AA">
      <w:pPr>
        <w:autoSpaceDE w:val="0"/>
        <w:autoSpaceDN w:val="0"/>
        <w:adjustRightInd w:val="0"/>
        <w:spacing w:line="360" w:lineRule="auto"/>
        <w:jc w:val="center"/>
        <w:rPr>
          <w:rFonts w:ascii="宋体" w:hAnsi="宋体" w:eastAsia="宋体" w:cs="宋体"/>
          <w:b/>
          <w:bCs/>
          <w:color w:val="auto"/>
          <w:sz w:val="30"/>
          <w:szCs w:val="30"/>
          <w:highlight w:val="none"/>
        </w:rPr>
      </w:pPr>
      <w:bookmarkStart w:id="592" w:name="_Toc16695_WPSOffice_Level3"/>
      <w:r>
        <w:rPr>
          <w:rFonts w:hint="eastAsia" w:ascii="宋体" w:hAnsi="宋体" w:eastAsia="宋体" w:cs="宋体"/>
          <w:b/>
          <w:bCs/>
          <w:color w:val="auto"/>
          <w:sz w:val="30"/>
          <w:szCs w:val="30"/>
          <w:highlight w:val="none"/>
          <w:lang w:val="zh-CN"/>
        </w:rPr>
        <w:t>投 标 函</w:t>
      </w:r>
      <w:bookmarkEnd w:id="592"/>
    </w:p>
    <w:p w14:paraId="3BFD9958">
      <w:pPr>
        <w:autoSpaceDE w:val="0"/>
        <w:autoSpaceDN w:val="0"/>
        <w:adjustRightInd w:val="0"/>
        <w:spacing w:line="360" w:lineRule="auto"/>
        <w:rPr>
          <w:rFonts w:ascii="宋体" w:hAnsi="宋体" w:eastAsia="宋体" w:cs="宋体"/>
          <w:color w:val="auto"/>
          <w:szCs w:val="21"/>
          <w:highlight w:val="none"/>
          <w:lang w:val="zh-CN"/>
        </w:rPr>
      </w:pPr>
    </w:p>
    <w:p w14:paraId="77107CF8">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东莞市水务集团净水有限公司</w:t>
      </w:r>
    </w:p>
    <w:p w14:paraId="20679A8F">
      <w:pPr>
        <w:autoSpaceDE w:val="0"/>
        <w:autoSpaceDN w:val="0"/>
        <w:adjustRightInd w:val="0"/>
        <w:spacing w:line="360" w:lineRule="auto"/>
        <w:rPr>
          <w:rFonts w:ascii="宋体" w:hAnsi="宋体" w:eastAsia="宋体" w:cs="宋体"/>
          <w:color w:val="auto"/>
          <w:szCs w:val="21"/>
          <w:highlight w:val="none"/>
        </w:rPr>
      </w:pPr>
    </w:p>
    <w:p w14:paraId="1881C56B">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东莞市水务集团净水有限公司2025年生产药剂液体乙酸钠采购项目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WTZB2024DG0079</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13AB2519">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598EF7AF">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14:paraId="1BE1636A">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14:paraId="679DDB65">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0EFA0143">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WTZB2024DG0079</w:t>
      </w:r>
      <w:r>
        <w:rPr>
          <w:rFonts w:hint="eastAsia" w:ascii="宋体" w:hAnsi="宋体" w:eastAsia="宋体" w:cs="宋体"/>
          <w:color w:val="auto"/>
          <w:szCs w:val="21"/>
          <w:highlight w:val="none"/>
          <w:lang w:val="zh-CN"/>
        </w:rPr>
        <w:t>的投标；</w:t>
      </w:r>
    </w:p>
    <w:p w14:paraId="53463388">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1DD28B47">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2A130DBE">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4B5A3A2D">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1FADE4C3">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560CE5AD">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197FD033">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77651184">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4B23E9FA">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279FCDDA">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bookmarkStart w:id="593" w:name="_Toc23866"/>
      <w:bookmarkStart w:id="594" w:name="_Toc8808"/>
      <w:r>
        <w:rPr>
          <w:rFonts w:hint="eastAsia" w:ascii="宋体" w:hAnsi="宋体" w:eastAsia="宋体" w:cs="宋体"/>
          <w:color w:val="auto"/>
          <w:szCs w:val="21"/>
          <w:highlight w:val="none"/>
          <w:lang w:val="zh-CN"/>
        </w:rPr>
        <w:t>（十一）所有与本投标有关的函件请发往下列地址：</w:t>
      </w:r>
      <w:bookmarkEnd w:id="593"/>
      <w:bookmarkEnd w:id="594"/>
    </w:p>
    <w:p w14:paraId="3455C48E">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1AD60BCA">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001D4F89">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03FCB814">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2A4D8D56">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2664D7AF">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4735DA3C">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154653B7">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6BABC90B">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595" w:name="_Toc28613_WPSOffice_Level2"/>
      <w:bookmarkStart w:id="596" w:name="_Toc26795"/>
      <w:bookmarkStart w:id="597" w:name="_Toc486167710"/>
      <w:bookmarkStart w:id="598" w:name="_Toc24151"/>
      <w:bookmarkStart w:id="599" w:name="_Toc104991869"/>
      <w:bookmarkStart w:id="600" w:name="_Toc5128"/>
      <w:bookmarkStart w:id="601" w:name="_Toc102860068"/>
      <w:bookmarkStart w:id="602" w:name="_Toc2216"/>
      <w:bookmarkStart w:id="603" w:name="_Toc142508363"/>
      <w:bookmarkStart w:id="604" w:name="_Toc1339"/>
      <w:bookmarkStart w:id="605" w:name="_Toc533708122"/>
      <w:bookmarkStart w:id="606" w:name="_Toc1977722"/>
      <w:bookmarkStart w:id="607" w:name="_Toc8696"/>
      <w:bookmarkStart w:id="608" w:name="_Toc102860412"/>
      <w:bookmarkStart w:id="609" w:name="_Toc140596922"/>
      <w:bookmarkStart w:id="610" w:name="_Toc94107203"/>
      <w:r>
        <w:rPr>
          <w:rFonts w:hint="eastAsia" w:ascii="宋体" w:hAnsi="宋体" w:eastAsia="宋体" w:cs="宋体"/>
          <w:b/>
          <w:color w:val="auto"/>
          <w:kern w:val="0"/>
          <w:sz w:val="32"/>
          <w:szCs w:val="32"/>
          <w:highlight w:val="none"/>
        </w:rPr>
        <w:t>二、投标承诺书格式</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p w14:paraId="42FDEA73">
      <w:pPr>
        <w:autoSpaceDE w:val="0"/>
        <w:autoSpaceDN w:val="0"/>
        <w:adjustRightInd w:val="0"/>
        <w:spacing w:line="360" w:lineRule="auto"/>
        <w:jc w:val="center"/>
        <w:outlineLvl w:val="9"/>
        <w:rPr>
          <w:rFonts w:ascii="宋体" w:hAnsi="宋体" w:eastAsia="宋体" w:cs="Times New Roman"/>
          <w:b/>
          <w:bCs/>
          <w:color w:val="auto"/>
          <w:sz w:val="30"/>
          <w:szCs w:val="30"/>
          <w:highlight w:val="none"/>
          <w:lang w:val="zh-CN"/>
        </w:rPr>
      </w:pPr>
      <w:bookmarkStart w:id="611" w:name="_Toc17353"/>
      <w:bookmarkStart w:id="612" w:name="_Toc801"/>
      <w:r>
        <w:rPr>
          <w:rFonts w:hint="eastAsia" w:ascii="宋体" w:hAnsi="宋体" w:eastAsia="宋体" w:cs="Times New Roman"/>
          <w:b/>
          <w:bCs/>
          <w:color w:val="auto"/>
          <w:sz w:val="30"/>
          <w:szCs w:val="30"/>
          <w:highlight w:val="none"/>
          <w:lang w:val="zh-CN"/>
        </w:rPr>
        <w:t>投标承诺书</w:t>
      </w:r>
      <w:bookmarkEnd w:id="611"/>
      <w:bookmarkEnd w:id="612"/>
    </w:p>
    <w:p w14:paraId="2F9564D9">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38949299">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东莞市水务集团净水有限公司2025年生产药剂液体乙酸钠采购项目</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kern w:val="0"/>
          <w:szCs w:val="21"/>
          <w:highlight w:val="none"/>
          <w:lang w:eastAsia="zh-CN"/>
        </w:rPr>
        <w:t>WTZB2024DG0079</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auto"/>
          <w:kern w:val="0"/>
          <w:szCs w:val="21"/>
          <w:highlight w:val="none"/>
          <w:lang w:eastAsia="zh-CN"/>
        </w:rPr>
        <w:t>异议</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0D980681">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款约定按时提供原件核查的，因此导致我方无法参与东莞市水务集团有限公司相关招标采购活动的，由我方自行承担全部后果。</w:t>
      </w:r>
    </w:p>
    <w:p w14:paraId="71E31534">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65DC2956">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22CCCACB">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4E8974F9">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14:paraId="7316ACE3">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14:paraId="3B4A4FDB">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14:paraId="6CCA7062">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14:paraId="326EF90A">
      <w:pPr>
        <w:autoSpaceDE w:val="0"/>
        <w:autoSpaceDN w:val="0"/>
        <w:adjustRightInd w:val="0"/>
        <w:spacing w:line="360" w:lineRule="auto"/>
        <w:jc w:val="left"/>
        <w:rPr>
          <w:rFonts w:ascii="宋体" w:hAnsi="宋体" w:eastAsia="宋体" w:cs="宋体"/>
          <w:color w:val="auto"/>
          <w:kern w:val="0"/>
          <w:sz w:val="24"/>
          <w:szCs w:val="24"/>
          <w:highlight w:val="none"/>
        </w:rPr>
      </w:pPr>
    </w:p>
    <w:p w14:paraId="0C8AA167">
      <w:pPr>
        <w:autoSpaceDE w:val="0"/>
        <w:autoSpaceDN w:val="0"/>
        <w:adjustRightInd w:val="0"/>
        <w:spacing w:line="360" w:lineRule="auto"/>
        <w:jc w:val="left"/>
        <w:rPr>
          <w:rFonts w:ascii="宋体" w:hAnsi="宋体" w:eastAsia="宋体" w:cs="宋体"/>
          <w:color w:val="auto"/>
          <w:kern w:val="0"/>
          <w:sz w:val="24"/>
          <w:szCs w:val="24"/>
          <w:highlight w:val="none"/>
        </w:rPr>
      </w:pPr>
      <w:bookmarkStart w:id="613" w:name="_Toc316896755"/>
      <w:bookmarkStart w:id="614" w:name="_Toc326768876"/>
      <w:bookmarkStart w:id="615" w:name="_Toc311032584"/>
    </w:p>
    <w:p w14:paraId="093E8087">
      <w:pPr>
        <w:pageBreakBefore/>
        <w:autoSpaceDE w:val="0"/>
        <w:autoSpaceDN w:val="0"/>
        <w:adjustRightInd w:val="0"/>
        <w:spacing w:line="360" w:lineRule="auto"/>
        <w:jc w:val="left"/>
        <w:outlineLvl w:val="1"/>
        <w:rPr>
          <w:rFonts w:ascii="宋体" w:hAnsi="宋体" w:eastAsia="宋体" w:cs="宋体"/>
          <w:b/>
          <w:color w:val="auto"/>
          <w:kern w:val="44"/>
          <w:sz w:val="32"/>
          <w:szCs w:val="32"/>
          <w:highlight w:val="none"/>
        </w:rPr>
      </w:pPr>
      <w:bookmarkStart w:id="616" w:name="_Toc8234"/>
      <w:bookmarkStart w:id="617" w:name="_Toc104991870"/>
      <w:bookmarkStart w:id="618" w:name="_Toc94107204"/>
      <w:bookmarkStart w:id="619" w:name="_Toc12325"/>
      <w:bookmarkStart w:id="620" w:name="_Toc86764083"/>
      <w:bookmarkStart w:id="621" w:name="_Toc102860069"/>
      <w:bookmarkStart w:id="622" w:name="_Toc142508364"/>
      <w:bookmarkStart w:id="623" w:name="_Toc102860413"/>
      <w:bookmarkStart w:id="624" w:name="_Toc6205"/>
      <w:bookmarkStart w:id="625" w:name="_Toc23957"/>
      <w:bookmarkStart w:id="626" w:name="_Toc82182546"/>
      <w:bookmarkStart w:id="627" w:name="_Toc140596923"/>
      <w:bookmarkStart w:id="628" w:name="_Toc9778"/>
      <w:bookmarkStart w:id="629" w:name="_Toc12590"/>
      <w:bookmarkStart w:id="630" w:name="_Toc7024_WPSOffice_Level2"/>
      <w:bookmarkStart w:id="631" w:name="_Toc486167711"/>
      <w:bookmarkStart w:id="632" w:name="_Toc533708123"/>
      <w:bookmarkStart w:id="633" w:name="_Toc1977723"/>
      <w:r>
        <w:rPr>
          <w:rFonts w:hint="eastAsia" w:ascii="宋体" w:hAnsi="宋体" w:eastAsia="宋体" w:cs="宋体"/>
          <w:b/>
          <w:color w:val="auto"/>
          <w:kern w:val="44"/>
          <w:sz w:val="32"/>
          <w:szCs w:val="32"/>
          <w:highlight w:val="none"/>
        </w:rPr>
        <w:t>三、供货及/或提供服务过程承诺函格式</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p w14:paraId="414D78E6">
      <w:pPr>
        <w:autoSpaceDE w:val="0"/>
        <w:autoSpaceDN w:val="0"/>
        <w:adjustRightInd w:val="0"/>
        <w:spacing w:line="360" w:lineRule="auto"/>
        <w:jc w:val="center"/>
        <w:outlineLvl w:val="9"/>
        <w:rPr>
          <w:rFonts w:ascii="宋体" w:hAnsi="宋体" w:eastAsia="宋体" w:cs="宋体"/>
          <w:b/>
          <w:color w:val="auto"/>
          <w:kern w:val="44"/>
          <w:sz w:val="30"/>
          <w:szCs w:val="30"/>
          <w:highlight w:val="none"/>
        </w:rPr>
      </w:pPr>
      <w:bookmarkStart w:id="634" w:name="_Toc6880"/>
      <w:bookmarkStart w:id="635" w:name="_Toc7082"/>
      <w:r>
        <w:rPr>
          <w:rFonts w:hint="eastAsia" w:ascii="宋体" w:hAnsi="宋体" w:eastAsia="宋体" w:cs="宋体"/>
          <w:b/>
          <w:color w:val="auto"/>
          <w:kern w:val="44"/>
          <w:sz w:val="30"/>
          <w:szCs w:val="30"/>
          <w:highlight w:val="none"/>
        </w:rPr>
        <w:t>供货及/或提供服务过程承诺函</w:t>
      </w:r>
      <w:bookmarkEnd w:id="634"/>
      <w:bookmarkEnd w:id="635"/>
    </w:p>
    <w:p w14:paraId="2FFE222E">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东莞市水务集团净水有限公司</w:t>
      </w:r>
      <w:r>
        <w:rPr>
          <w:rFonts w:hint="eastAsia" w:ascii="宋体" w:hAnsi="宋体" w:eastAsia="宋体" w:cs="宋体"/>
          <w:color w:val="auto"/>
          <w:kern w:val="0"/>
          <w:szCs w:val="21"/>
          <w:highlight w:val="none"/>
        </w:rPr>
        <w:t>：</w:t>
      </w:r>
    </w:p>
    <w:p w14:paraId="5716920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lang w:eastAsia="zh-CN"/>
        </w:rPr>
        <w:t>东莞市水务集团净水有限公司2025年生产药剂液体乙酸钠采购项目</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lang w:val="zh-CN"/>
        </w:rPr>
        <w:t>WTZB2024DG0079</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6156AE1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72B040A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0DA62FA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498D3A8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4DCEA1B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50A9935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247D857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1F070CB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7BA044B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00582A2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3C16308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3451F23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71B526F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7DBF519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2461B599">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bookmarkStart w:id="636" w:name="_Toc20869"/>
      <w:bookmarkStart w:id="637" w:name="_Toc29501"/>
      <w:r>
        <w:rPr>
          <w:rFonts w:hint="eastAsia" w:ascii="宋体" w:hAnsi="宋体" w:eastAsia="宋体" w:cs="宋体"/>
          <w:color w:val="auto"/>
          <w:kern w:val="0"/>
          <w:szCs w:val="21"/>
          <w:highlight w:val="none"/>
        </w:rPr>
        <w:t>③我方承诺不在厂内道路、消防通道内搭建临时建筑或堆放物资。</w:t>
      </w:r>
      <w:bookmarkEnd w:id="636"/>
      <w:bookmarkEnd w:id="637"/>
    </w:p>
    <w:p w14:paraId="65BB816A">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281C4621">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3F6E0B4A">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bookmarkStart w:id="638" w:name="_Toc23119"/>
      <w:bookmarkStart w:id="639" w:name="_Toc9374"/>
      <w:r>
        <w:rPr>
          <w:rFonts w:hint="eastAsia" w:ascii="宋体" w:hAnsi="宋体" w:eastAsia="宋体" w:cs="宋体"/>
          <w:color w:val="auto"/>
          <w:kern w:val="0"/>
          <w:szCs w:val="21"/>
          <w:highlight w:val="none"/>
        </w:rPr>
        <w:t>⑥我方承诺防雷、防静电设施及用电设施有良好接地。</w:t>
      </w:r>
      <w:bookmarkEnd w:id="638"/>
      <w:bookmarkEnd w:id="639"/>
    </w:p>
    <w:p w14:paraId="2D3AE1C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66C3E93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13、我方承诺接受招标人的检查与监督，并主动配合，做好安全工作，凡有违反上述条款的即视为我方违约，招标人有权视情况从货物/服务价款中扣除（1000-2000）元/次作为违约金。</w:t>
      </w:r>
    </w:p>
    <w:p w14:paraId="5C40F70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35583C36">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0545A2F9">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34D7C835">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01391FBF">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6BEAB9A8">
      <w:pPr>
        <w:pageBreakBefore/>
        <w:autoSpaceDE w:val="0"/>
        <w:autoSpaceDN w:val="0"/>
        <w:adjustRightInd w:val="0"/>
        <w:spacing w:line="360" w:lineRule="auto"/>
        <w:jc w:val="left"/>
        <w:outlineLvl w:val="1"/>
        <w:rPr>
          <w:rFonts w:ascii="宋体" w:hAnsi="宋体" w:eastAsia="宋体" w:cs="宋体"/>
          <w:b/>
          <w:color w:val="auto"/>
          <w:kern w:val="0"/>
          <w:sz w:val="32"/>
          <w:szCs w:val="32"/>
          <w:highlight w:val="none"/>
        </w:rPr>
      </w:pPr>
      <w:bookmarkStart w:id="640" w:name="_Toc82182547"/>
      <w:bookmarkStart w:id="641" w:name="_Toc102860414"/>
      <w:bookmarkStart w:id="642" w:name="_Toc86764084"/>
      <w:bookmarkStart w:id="643" w:name="_Toc140596924"/>
      <w:bookmarkStart w:id="644" w:name="_Toc94107205"/>
      <w:bookmarkStart w:id="645" w:name="_Toc142508365"/>
      <w:bookmarkStart w:id="646" w:name="_Toc102860070"/>
      <w:bookmarkStart w:id="647" w:name="_Toc104991871"/>
      <w:bookmarkStart w:id="648" w:name="_Toc6287"/>
      <w:bookmarkStart w:id="649" w:name="_Toc3993"/>
      <w:bookmarkStart w:id="650" w:name="_Toc28199"/>
      <w:bookmarkStart w:id="651" w:name="_Toc26405"/>
      <w:bookmarkStart w:id="652" w:name="_Toc32728"/>
      <w:bookmarkStart w:id="653" w:name="_Toc16759"/>
      <w:r>
        <w:rPr>
          <w:rFonts w:hint="eastAsia" w:ascii="宋体" w:hAnsi="宋体" w:eastAsia="宋体" w:cs="宋体"/>
          <w:b/>
          <w:color w:val="auto"/>
          <w:kern w:val="44"/>
          <w:sz w:val="32"/>
          <w:szCs w:val="32"/>
          <w:highlight w:val="none"/>
        </w:rPr>
        <w:t>四</w:t>
      </w:r>
      <w:bookmarkEnd w:id="640"/>
      <w:bookmarkEnd w:id="641"/>
      <w:bookmarkEnd w:id="642"/>
      <w:bookmarkEnd w:id="643"/>
      <w:bookmarkEnd w:id="644"/>
      <w:bookmarkEnd w:id="645"/>
      <w:bookmarkEnd w:id="646"/>
      <w:bookmarkEnd w:id="647"/>
      <w:bookmarkStart w:id="654" w:name="_Toc94107206"/>
      <w:bookmarkStart w:id="655" w:name="_Toc140596925"/>
      <w:bookmarkStart w:id="656" w:name="_Toc102860415"/>
      <w:bookmarkStart w:id="657" w:name="_Toc104991872"/>
      <w:bookmarkStart w:id="658" w:name="_Toc142508366"/>
      <w:bookmarkStart w:id="659" w:name="_Toc102860071"/>
      <w:r>
        <w:rPr>
          <w:rFonts w:hint="eastAsia" w:ascii="宋体" w:hAnsi="宋体" w:eastAsia="宋体" w:cs="宋体"/>
          <w:b/>
          <w:color w:val="auto"/>
          <w:kern w:val="0"/>
          <w:sz w:val="32"/>
          <w:szCs w:val="32"/>
          <w:highlight w:val="none"/>
        </w:rPr>
        <w:t>、投标报价表格式</w:t>
      </w:r>
      <w:bookmarkEnd w:id="630"/>
      <w:bookmarkEnd w:id="631"/>
      <w:bookmarkEnd w:id="632"/>
      <w:bookmarkEnd w:id="633"/>
      <w:bookmarkEnd w:id="648"/>
      <w:bookmarkEnd w:id="649"/>
      <w:bookmarkEnd w:id="650"/>
      <w:bookmarkEnd w:id="651"/>
      <w:bookmarkEnd w:id="652"/>
      <w:bookmarkEnd w:id="653"/>
      <w:bookmarkEnd w:id="654"/>
      <w:bookmarkEnd w:id="655"/>
      <w:bookmarkEnd w:id="656"/>
      <w:bookmarkEnd w:id="657"/>
      <w:bookmarkEnd w:id="658"/>
      <w:bookmarkEnd w:id="659"/>
    </w:p>
    <w:p w14:paraId="206BCF27">
      <w:pPr>
        <w:spacing w:line="360" w:lineRule="auto"/>
        <w:jc w:val="center"/>
        <w:outlineLvl w:val="9"/>
        <w:rPr>
          <w:rFonts w:ascii="宋体" w:hAnsi="宋体" w:eastAsia="宋体" w:cs="宋体"/>
          <w:b/>
          <w:bCs/>
          <w:color w:val="auto"/>
          <w:kern w:val="0"/>
          <w:szCs w:val="21"/>
          <w:highlight w:val="none"/>
        </w:rPr>
      </w:pPr>
      <w:bookmarkStart w:id="660" w:name="_Toc4416"/>
      <w:bookmarkStart w:id="661" w:name="_Toc6192"/>
      <w:r>
        <w:rPr>
          <w:rFonts w:hint="eastAsia" w:ascii="宋体" w:hAnsi="宋体" w:eastAsia="宋体" w:cs="宋体"/>
          <w:b/>
          <w:bCs/>
          <w:color w:val="auto"/>
          <w:sz w:val="30"/>
          <w:szCs w:val="30"/>
          <w:highlight w:val="none"/>
          <w:lang w:val="zh-CN"/>
        </w:rPr>
        <w:t>投标报价表</w:t>
      </w:r>
      <w:bookmarkEnd w:id="660"/>
      <w:bookmarkEnd w:id="661"/>
    </w:p>
    <w:p w14:paraId="260C5A7F">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东莞市水务集团净水有限公司2025年生产药剂液体乙酸钠采购项目</w:t>
      </w:r>
    </w:p>
    <w:p w14:paraId="4E56F41C">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WTZB2024DG0079</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1404"/>
        <w:gridCol w:w="833"/>
        <w:gridCol w:w="1012"/>
        <w:gridCol w:w="758"/>
        <w:gridCol w:w="1422"/>
        <w:gridCol w:w="2373"/>
        <w:gridCol w:w="2398"/>
      </w:tblGrid>
      <w:tr w14:paraId="77A62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868" w:hRule="atLeast"/>
          <w:jc w:val="center"/>
        </w:trPr>
        <w:tc>
          <w:tcPr>
            <w:tcW w:w="675" w:type="pct"/>
            <w:tcBorders>
              <w:top w:val="single" w:color="auto" w:sz="4" w:space="0"/>
              <w:left w:val="single" w:color="auto" w:sz="4" w:space="0"/>
              <w:bottom w:val="single" w:color="auto" w:sz="4" w:space="0"/>
              <w:right w:val="single" w:color="auto" w:sz="4" w:space="0"/>
            </w:tcBorders>
            <w:noWrap w:val="0"/>
            <w:vAlign w:val="center"/>
          </w:tcPr>
          <w:p w14:paraId="5A343F62">
            <w:pPr>
              <w:pStyle w:val="22"/>
              <w:snapToGrid w:val="0"/>
              <w:spacing w:line="400" w:lineRule="exact"/>
              <w:jc w:val="center"/>
              <w:rPr>
                <w:rFonts w:hAnsi="宋体"/>
                <w:b/>
                <w:color w:val="auto"/>
                <w:sz w:val="21"/>
                <w:szCs w:val="21"/>
                <w:highlight w:val="none"/>
              </w:rPr>
            </w:pPr>
            <w:r>
              <w:rPr>
                <w:rFonts w:hint="eastAsia" w:hAnsi="宋体"/>
                <w:b/>
                <w:color w:val="auto"/>
                <w:sz w:val="21"/>
                <w:szCs w:val="21"/>
                <w:highlight w:val="none"/>
              </w:rPr>
              <w:t>货物名称</w:t>
            </w:r>
          </w:p>
        </w:tc>
        <w:tc>
          <w:tcPr>
            <w:tcW w:w="400" w:type="pct"/>
            <w:tcBorders>
              <w:top w:val="single" w:color="auto" w:sz="4" w:space="0"/>
              <w:left w:val="single" w:color="auto" w:sz="4" w:space="0"/>
              <w:bottom w:val="single" w:color="auto" w:sz="4" w:space="0"/>
              <w:right w:val="single" w:color="auto" w:sz="4" w:space="0"/>
            </w:tcBorders>
            <w:noWrap w:val="0"/>
            <w:vAlign w:val="center"/>
          </w:tcPr>
          <w:p w14:paraId="5FA7D7DA">
            <w:pPr>
              <w:pStyle w:val="22"/>
              <w:snapToGrid w:val="0"/>
              <w:spacing w:line="400" w:lineRule="exact"/>
              <w:jc w:val="center"/>
              <w:rPr>
                <w:rFonts w:hAnsi="宋体"/>
                <w:b/>
                <w:color w:val="auto"/>
                <w:sz w:val="21"/>
                <w:szCs w:val="21"/>
                <w:highlight w:val="none"/>
              </w:rPr>
            </w:pPr>
            <w:r>
              <w:rPr>
                <w:rFonts w:hint="eastAsia" w:hAnsi="宋体"/>
                <w:b/>
                <w:color w:val="auto"/>
                <w:sz w:val="21"/>
                <w:szCs w:val="21"/>
                <w:highlight w:val="none"/>
              </w:rPr>
              <w:t>品牌</w:t>
            </w:r>
          </w:p>
        </w:tc>
        <w:tc>
          <w:tcPr>
            <w:tcW w:w="486" w:type="pct"/>
            <w:tcBorders>
              <w:top w:val="single" w:color="auto" w:sz="4" w:space="0"/>
              <w:left w:val="single" w:color="auto" w:sz="4" w:space="0"/>
              <w:bottom w:val="single" w:color="auto" w:sz="4" w:space="0"/>
              <w:right w:val="single" w:color="auto" w:sz="4" w:space="0"/>
            </w:tcBorders>
            <w:noWrap w:val="0"/>
            <w:vAlign w:val="center"/>
          </w:tcPr>
          <w:p w14:paraId="31251424">
            <w:pPr>
              <w:pStyle w:val="22"/>
              <w:snapToGrid w:val="0"/>
              <w:spacing w:line="400" w:lineRule="exact"/>
              <w:jc w:val="center"/>
              <w:rPr>
                <w:rFonts w:hAnsi="宋体"/>
                <w:b/>
                <w:color w:val="auto"/>
                <w:sz w:val="21"/>
                <w:szCs w:val="21"/>
                <w:highlight w:val="none"/>
              </w:rPr>
            </w:pPr>
            <w:r>
              <w:rPr>
                <w:rFonts w:hint="eastAsia" w:hAnsi="宋体"/>
                <w:b/>
                <w:color w:val="auto"/>
                <w:sz w:val="21"/>
                <w:szCs w:val="21"/>
                <w:highlight w:val="none"/>
              </w:rPr>
              <w:t>产地</w:t>
            </w:r>
          </w:p>
        </w:tc>
        <w:tc>
          <w:tcPr>
            <w:tcW w:w="364" w:type="pct"/>
            <w:tcBorders>
              <w:top w:val="single" w:color="auto" w:sz="4" w:space="0"/>
              <w:left w:val="single" w:color="auto" w:sz="4" w:space="0"/>
              <w:bottom w:val="single" w:color="auto" w:sz="4" w:space="0"/>
              <w:right w:val="single" w:color="auto" w:sz="4" w:space="0"/>
            </w:tcBorders>
            <w:noWrap w:val="0"/>
            <w:vAlign w:val="center"/>
          </w:tcPr>
          <w:p w14:paraId="2B8F656B">
            <w:pPr>
              <w:pStyle w:val="22"/>
              <w:snapToGrid w:val="0"/>
              <w:spacing w:line="400" w:lineRule="exact"/>
              <w:jc w:val="center"/>
              <w:rPr>
                <w:rFonts w:hAnsi="宋体"/>
                <w:b/>
                <w:color w:val="auto"/>
                <w:sz w:val="21"/>
                <w:szCs w:val="21"/>
                <w:highlight w:val="none"/>
              </w:rPr>
            </w:pPr>
            <w:r>
              <w:rPr>
                <w:rFonts w:hint="eastAsia" w:hAnsi="宋体"/>
                <w:b/>
                <w:color w:val="auto"/>
                <w:sz w:val="21"/>
                <w:szCs w:val="21"/>
                <w:highlight w:val="none"/>
              </w:rPr>
              <w:t>单位</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04FFEB9A">
            <w:pPr>
              <w:pStyle w:val="22"/>
              <w:snapToGrid w:val="0"/>
              <w:spacing w:line="400" w:lineRule="exact"/>
              <w:jc w:val="center"/>
              <w:rPr>
                <w:rFonts w:hAnsi="宋体"/>
                <w:b/>
                <w:color w:val="auto"/>
                <w:sz w:val="21"/>
                <w:szCs w:val="21"/>
                <w:highlight w:val="none"/>
              </w:rPr>
            </w:pPr>
            <w:r>
              <w:rPr>
                <w:rFonts w:hint="eastAsia" w:hAnsi="宋体"/>
                <w:b/>
                <w:color w:val="auto"/>
                <w:sz w:val="21"/>
                <w:szCs w:val="21"/>
                <w:highlight w:val="none"/>
              </w:rPr>
              <w:t>暂定采购数量</w:t>
            </w:r>
          </w:p>
        </w:tc>
        <w:tc>
          <w:tcPr>
            <w:tcW w:w="1140" w:type="pct"/>
            <w:tcBorders>
              <w:top w:val="single" w:color="auto" w:sz="4" w:space="0"/>
              <w:left w:val="single" w:color="auto" w:sz="4" w:space="0"/>
              <w:bottom w:val="single" w:color="auto" w:sz="4" w:space="0"/>
              <w:right w:val="single" w:color="auto" w:sz="4" w:space="0"/>
            </w:tcBorders>
            <w:noWrap w:val="0"/>
            <w:vAlign w:val="center"/>
          </w:tcPr>
          <w:p w14:paraId="7BF99D45">
            <w:pPr>
              <w:pStyle w:val="22"/>
              <w:snapToGrid w:val="0"/>
              <w:spacing w:line="400" w:lineRule="exact"/>
              <w:jc w:val="center"/>
              <w:rPr>
                <w:rFonts w:hAnsi="宋体"/>
                <w:b/>
                <w:color w:val="auto"/>
                <w:sz w:val="21"/>
                <w:szCs w:val="21"/>
                <w:highlight w:val="none"/>
              </w:rPr>
            </w:pPr>
            <w:r>
              <w:rPr>
                <w:rFonts w:hint="eastAsia" w:hAnsi="宋体"/>
                <w:b/>
                <w:color w:val="auto"/>
                <w:sz w:val="21"/>
                <w:szCs w:val="21"/>
                <w:highlight w:val="none"/>
              </w:rPr>
              <w:t>综合单价（元/吨）</w:t>
            </w:r>
          </w:p>
          <w:p w14:paraId="53833AB1">
            <w:pPr>
              <w:pStyle w:val="22"/>
              <w:snapToGrid w:val="0"/>
              <w:spacing w:line="400" w:lineRule="exact"/>
              <w:jc w:val="center"/>
              <w:rPr>
                <w:rFonts w:hAnsi="宋体"/>
                <w:b/>
                <w:color w:val="auto"/>
                <w:sz w:val="21"/>
                <w:szCs w:val="21"/>
                <w:highlight w:val="none"/>
              </w:rPr>
            </w:pPr>
            <w:r>
              <w:rPr>
                <w:rFonts w:hint="eastAsia" w:hAnsi="宋体"/>
                <w:b/>
                <w:color w:val="auto"/>
                <w:sz w:val="21"/>
                <w:szCs w:val="21"/>
                <w:highlight w:val="none"/>
              </w:rPr>
              <w:t xml:space="preserve">（不含销项税） </w:t>
            </w:r>
          </w:p>
        </w:tc>
        <w:tc>
          <w:tcPr>
            <w:tcW w:w="1152" w:type="pct"/>
            <w:tcBorders>
              <w:top w:val="single" w:color="auto" w:sz="4" w:space="0"/>
              <w:left w:val="single" w:color="auto" w:sz="4" w:space="0"/>
              <w:bottom w:val="single" w:color="auto" w:sz="4" w:space="0"/>
              <w:right w:val="single" w:color="auto" w:sz="4" w:space="0"/>
            </w:tcBorders>
            <w:noWrap w:val="0"/>
            <w:vAlign w:val="center"/>
          </w:tcPr>
          <w:p w14:paraId="2A0A7C2E">
            <w:pPr>
              <w:pStyle w:val="22"/>
              <w:snapToGrid w:val="0"/>
              <w:spacing w:line="400" w:lineRule="exact"/>
              <w:jc w:val="center"/>
              <w:rPr>
                <w:rFonts w:hAnsi="宋体"/>
                <w:b/>
                <w:color w:val="auto"/>
                <w:sz w:val="21"/>
                <w:szCs w:val="21"/>
                <w:highlight w:val="none"/>
              </w:rPr>
            </w:pPr>
            <w:r>
              <w:rPr>
                <w:rFonts w:hint="eastAsia" w:hAnsi="宋体"/>
                <w:b/>
                <w:color w:val="auto"/>
                <w:sz w:val="21"/>
                <w:szCs w:val="21"/>
                <w:highlight w:val="none"/>
              </w:rPr>
              <w:t>投标报价（元，总价）</w:t>
            </w:r>
          </w:p>
          <w:p w14:paraId="713D21FB">
            <w:pPr>
              <w:pStyle w:val="22"/>
              <w:snapToGrid w:val="0"/>
              <w:spacing w:line="400" w:lineRule="exact"/>
              <w:jc w:val="center"/>
              <w:rPr>
                <w:rFonts w:hAnsi="宋体"/>
                <w:b/>
                <w:color w:val="auto"/>
                <w:sz w:val="21"/>
                <w:szCs w:val="21"/>
                <w:highlight w:val="none"/>
              </w:rPr>
            </w:pPr>
            <w:r>
              <w:rPr>
                <w:rFonts w:hint="eastAsia" w:hAnsi="宋体"/>
                <w:b/>
                <w:color w:val="auto"/>
                <w:sz w:val="21"/>
                <w:szCs w:val="21"/>
                <w:highlight w:val="none"/>
              </w:rPr>
              <w:t>（不含销项税）</w:t>
            </w:r>
          </w:p>
        </w:tc>
      </w:tr>
      <w:tr w14:paraId="5F499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29" w:hRule="atLeast"/>
          <w:jc w:val="center"/>
        </w:trPr>
        <w:tc>
          <w:tcPr>
            <w:tcW w:w="675" w:type="pct"/>
            <w:tcBorders>
              <w:top w:val="single" w:color="auto" w:sz="4" w:space="0"/>
              <w:left w:val="single" w:color="auto" w:sz="4" w:space="0"/>
              <w:bottom w:val="single" w:color="auto" w:sz="4" w:space="0"/>
              <w:right w:val="single" w:color="auto" w:sz="4" w:space="0"/>
            </w:tcBorders>
            <w:noWrap w:val="0"/>
            <w:vAlign w:val="center"/>
          </w:tcPr>
          <w:p w14:paraId="1E59C721">
            <w:pPr>
              <w:pStyle w:val="22"/>
              <w:snapToGrid w:val="0"/>
              <w:spacing w:line="400" w:lineRule="exact"/>
              <w:jc w:val="center"/>
              <w:rPr>
                <w:rFonts w:hint="eastAsia" w:hAnsi="宋体" w:eastAsia="宋体"/>
                <w:color w:val="auto"/>
                <w:sz w:val="21"/>
                <w:szCs w:val="21"/>
                <w:highlight w:val="none"/>
                <w:lang w:eastAsia="zh-CN"/>
              </w:rPr>
            </w:pPr>
            <w:r>
              <w:rPr>
                <w:rFonts w:hint="eastAsia" w:ascii="Times New Roman"/>
                <w:color w:val="auto"/>
                <w:sz w:val="21"/>
                <w:szCs w:val="21"/>
                <w:highlight w:val="none"/>
              </w:rPr>
              <w:t>液体</w:t>
            </w:r>
            <w:r>
              <w:rPr>
                <w:rFonts w:hint="eastAsia" w:ascii="Times New Roman"/>
                <w:color w:val="auto"/>
                <w:sz w:val="21"/>
                <w:szCs w:val="21"/>
                <w:highlight w:val="none"/>
                <w:lang w:val="en-US" w:eastAsia="zh-CN"/>
              </w:rPr>
              <w:t>乙酸钠</w:t>
            </w:r>
          </w:p>
        </w:tc>
        <w:tc>
          <w:tcPr>
            <w:tcW w:w="400" w:type="pct"/>
            <w:tcBorders>
              <w:top w:val="single" w:color="auto" w:sz="4" w:space="0"/>
              <w:left w:val="single" w:color="auto" w:sz="4" w:space="0"/>
              <w:right w:val="single" w:color="auto" w:sz="4" w:space="0"/>
            </w:tcBorders>
            <w:noWrap w:val="0"/>
            <w:vAlign w:val="center"/>
          </w:tcPr>
          <w:p w14:paraId="2C0A9A48">
            <w:pPr>
              <w:pStyle w:val="22"/>
              <w:snapToGrid w:val="0"/>
              <w:spacing w:line="400" w:lineRule="exact"/>
              <w:jc w:val="center"/>
              <w:rPr>
                <w:rFonts w:hAnsi="宋体"/>
                <w:color w:val="auto"/>
                <w:sz w:val="21"/>
                <w:szCs w:val="21"/>
                <w:highlight w:val="none"/>
              </w:rPr>
            </w:pPr>
          </w:p>
        </w:tc>
        <w:tc>
          <w:tcPr>
            <w:tcW w:w="486" w:type="pct"/>
            <w:tcBorders>
              <w:top w:val="single" w:color="auto" w:sz="4" w:space="0"/>
              <w:left w:val="single" w:color="auto" w:sz="4" w:space="0"/>
              <w:right w:val="single" w:color="auto" w:sz="4" w:space="0"/>
            </w:tcBorders>
            <w:noWrap w:val="0"/>
            <w:vAlign w:val="center"/>
          </w:tcPr>
          <w:p w14:paraId="07F1469F">
            <w:pPr>
              <w:pStyle w:val="22"/>
              <w:snapToGrid w:val="0"/>
              <w:spacing w:line="400" w:lineRule="exact"/>
              <w:jc w:val="center"/>
              <w:rPr>
                <w:rFonts w:hAnsi="宋体"/>
                <w:color w:val="auto"/>
                <w:sz w:val="21"/>
                <w:szCs w:val="21"/>
                <w:highlight w:val="none"/>
              </w:rPr>
            </w:pPr>
          </w:p>
        </w:tc>
        <w:tc>
          <w:tcPr>
            <w:tcW w:w="364" w:type="pct"/>
            <w:tcBorders>
              <w:top w:val="single" w:color="auto" w:sz="4" w:space="0"/>
              <w:left w:val="single" w:color="auto" w:sz="4" w:space="0"/>
              <w:right w:val="single" w:color="auto" w:sz="4" w:space="0"/>
            </w:tcBorders>
            <w:noWrap w:val="0"/>
            <w:vAlign w:val="center"/>
          </w:tcPr>
          <w:p w14:paraId="3B65EB0E">
            <w:pPr>
              <w:pStyle w:val="22"/>
              <w:snapToGrid w:val="0"/>
              <w:spacing w:line="400" w:lineRule="exact"/>
              <w:jc w:val="center"/>
              <w:rPr>
                <w:rFonts w:hint="eastAsia" w:hAnsi="宋体"/>
                <w:color w:val="auto"/>
                <w:sz w:val="21"/>
                <w:szCs w:val="21"/>
                <w:highlight w:val="none"/>
              </w:rPr>
            </w:pPr>
            <w:r>
              <w:rPr>
                <w:rFonts w:hint="eastAsia" w:hAnsi="宋体"/>
                <w:color w:val="auto"/>
                <w:sz w:val="21"/>
                <w:szCs w:val="21"/>
                <w:highlight w:val="none"/>
              </w:rPr>
              <w:t>吨</w:t>
            </w:r>
          </w:p>
        </w:tc>
        <w:tc>
          <w:tcPr>
            <w:tcW w:w="683" w:type="pct"/>
            <w:tcBorders>
              <w:top w:val="single" w:color="auto" w:sz="4" w:space="0"/>
              <w:left w:val="single" w:color="auto" w:sz="4" w:space="0"/>
              <w:bottom w:val="single" w:color="auto" w:sz="4" w:space="0"/>
              <w:right w:val="single" w:color="auto" w:sz="4" w:space="0"/>
            </w:tcBorders>
            <w:noWrap w:val="0"/>
            <w:vAlign w:val="center"/>
          </w:tcPr>
          <w:p w14:paraId="60B8A6FD">
            <w:pPr>
              <w:pStyle w:val="22"/>
              <w:snapToGrid w:val="0"/>
              <w:spacing w:line="400" w:lineRule="exact"/>
              <w:jc w:val="center"/>
              <w:rPr>
                <w:rFonts w:hint="default" w:hAnsi="宋体" w:eastAsia="宋体"/>
                <w:color w:val="auto"/>
                <w:sz w:val="21"/>
                <w:szCs w:val="21"/>
                <w:highlight w:val="none"/>
                <w:lang w:val="en-US" w:eastAsia="zh-CN"/>
              </w:rPr>
            </w:pPr>
            <w:r>
              <w:rPr>
                <w:rFonts w:hint="default" w:hAnsi="宋体" w:eastAsia="宋体"/>
                <w:color w:val="auto"/>
                <w:sz w:val="21"/>
                <w:szCs w:val="21"/>
                <w:highlight w:val="none"/>
                <w:lang w:val="en-US" w:eastAsia="zh-CN"/>
              </w:rPr>
              <w:t>14427.652</w:t>
            </w:r>
          </w:p>
        </w:tc>
        <w:tc>
          <w:tcPr>
            <w:tcW w:w="1140" w:type="pct"/>
            <w:tcBorders>
              <w:top w:val="single" w:color="auto" w:sz="4" w:space="0"/>
              <w:left w:val="single" w:color="auto" w:sz="4" w:space="0"/>
              <w:right w:val="single" w:color="auto" w:sz="4" w:space="0"/>
            </w:tcBorders>
            <w:noWrap w:val="0"/>
            <w:vAlign w:val="center"/>
          </w:tcPr>
          <w:p w14:paraId="32F1B3BB">
            <w:pPr>
              <w:pStyle w:val="22"/>
              <w:snapToGrid w:val="0"/>
              <w:spacing w:line="400" w:lineRule="exact"/>
              <w:jc w:val="center"/>
              <w:rPr>
                <w:rFonts w:hAnsi="宋体"/>
                <w:color w:val="auto"/>
                <w:sz w:val="21"/>
                <w:szCs w:val="21"/>
                <w:highlight w:val="none"/>
              </w:rPr>
            </w:pPr>
          </w:p>
        </w:tc>
        <w:tc>
          <w:tcPr>
            <w:tcW w:w="1152" w:type="pct"/>
            <w:tcBorders>
              <w:top w:val="single" w:color="auto" w:sz="4" w:space="0"/>
              <w:left w:val="single" w:color="auto" w:sz="4" w:space="0"/>
              <w:bottom w:val="single" w:color="auto" w:sz="4" w:space="0"/>
              <w:right w:val="single" w:color="auto" w:sz="4" w:space="0"/>
            </w:tcBorders>
            <w:noWrap w:val="0"/>
            <w:vAlign w:val="center"/>
          </w:tcPr>
          <w:p w14:paraId="04665F66">
            <w:pPr>
              <w:pStyle w:val="22"/>
              <w:snapToGrid w:val="0"/>
              <w:spacing w:line="400" w:lineRule="exact"/>
              <w:jc w:val="center"/>
              <w:rPr>
                <w:rFonts w:hAnsi="宋体"/>
                <w:color w:val="auto"/>
                <w:sz w:val="21"/>
                <w:szCs w:val="21"/>
                <w:highlight w:val="none"/>
              </w:rPr>
            </w:pPr>
          </w:p>
        </w:tc>
      </w:tr>
    </w:tbl>
    <w:p w14:paraId="34A34908">
      <w:pPr>
        <w:rPr>
          <w:rFonts w:ascii="宋体" w:hAnsi="宋体" w:eastAsia="宋体" w:cs="宋体"/>
          <w:color w:val="auto"/>
          <w:kern w:val="0"/>
          <w:sz w:val="20"/>
          <w:szCs w:val="21"/>
          <w:highlight w:val="none"/>
        </w:rPr>
      </w:pPr>
    </w:p>
    <w:p w14:paraId="6F255DBE">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5A03B417">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Times New Roman"/>
          <w:b/>
          <w:color w:val="auto"/>
          <w:kern w:val="0"/>
          <w:szCs w:val="21"/>
          <w:highlight w:val="none"/>
          <w:u w:val="single"/>
        </w:rPr>
        <w:t>本项目投标报价为不含税价，即为《中华人民共和国增值税暂行条例》（国务院令第6</w:t>
      </w:r>
      <w:r>
        <w:rPr>
          <w:rFonts w:ascii="宋体" w:hAnsi="宋体" w:eastAsia="宋体" w:cs="Times New Roman"/>
          <w:b/>
          <w:color w:val="auto"/>
          <w:kern w:val="0"/>
          <w:szCs w:val="21"/>
          <w:highlight w:val="none"/>
          <w:u w:val="single"/>
        </w:rPr>
        <w:t>91</w:t>
      </w:r>
      <w:r>
        <w:rPr>
          <w:rFonts w:hint="eastAsia" w:ascii="宋体" w:hAnsi="宋体" w:eastAsia="宋体" w:cs="Times New Roman"/>
          <w:b/>
          <w:color w:val="auto"/>
          <w:kern w:val="0"/>
          <w:szCs w:val="21"/>
          <w:highlight w:val="none"/>
          <w:u w:val="single"/>
        </w:rPr>
        <w:t>号修订版）规定的销售额</w:t>
      </w:r>
      <w:r>
        <w:rPr>
          <w:rFonts w:hint="eastAsia" w:ascii="宋体" w:hAnsi="宋体" w:eastAsia="宋体" w:cs="Times New Roman"/>
          <w:color w:val="auto"/>
          <w:kern w:val="0"/>
          <w:szCs w:val="21"/>
          <w:highlight w:val="none"/>
        </w:rPr>
        <w:t>。本招标文件所称的不含税价是指不含本采购项目的投标人销项税额，包含了投标人完成合同义务（含投标人代缴代扣、分包及委外服务、</w:t>
      </w:r>
      <w:r>
        <w:rPr>
          <w:rFonts w:hint="eastAsia" w:ascii="宋体" w:hAnsi="宋体" w:eastAsia="宋体" w:cs="Times New Roman"/>
          <w:color w:val="auto"/>
          <w:kern w:val="0"/>
          <w:szCs w:val="21"/>
          <w:highlight w:val="none"/>
          <w:lang w:val="en-US" w:eastAsia="zh-CN"/>
        </w:rPr>
        <w:t>安装</w:t>
      </w:r>
      <w:r>
        <w:rPr>
          <w:rFonts w:hint="eastAsia" w:ascii="宋体" w:hAnsi="宋体" w:eastAsia="宋体" w:cs="Times New Roman"/>
          <w:color w:val="auto"/>
          <w:kern w:val="0"/>
          <w:szCs w:val="21"/>
          <w:highlight w:val="none"/>
        </w:rPr>
        <w:t>、采购货物等所产生的价税）的其他全部费用。</w:t>
      </w:r>
      <w:r>
        <w:rPr>
          <w:rFonts w:hint="eastAsia" w:ascii="宋体" w:hAnsi="宋体" w:eastAsia="宋体" w:cs="Times New Roman"/>
          <w:color w:val="auto"/>
          <w:szCs w:val="21"/>
          <w:highlight w:val="none"/>
          <w:lang w:val="zh-CN"/>
        </w:rPr>
        <w:t>本采购项目的销项税额由招标人承担</w:t>
      </w:r>
      <w:r>
        <w:rPr>
          <w:rFonts w:hint="eastAsia" w:ascii="宋体" w:hAnsi="宋体" w:eastAsia="宋体" w:cs="Times New Roman"/>
          <w:color w:val="auto"/>
          <w:kern w:val="0"/>
          <w:szCs w:val="21"/>
          <w:highlight w:val="none"/>
        </w:rPr>
        <w:t>，不计入投标报价。</w:t>
      </w:r>
    </w:p>
    <w:p w14:paraId="0747B772">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w:t>
      </w:r>
      <w:r>
        <w:rPr>
          <w:rFonts w:ascii="宋体" w:hAnsi="宋体" w:eastAsia="宋体" w:cs="Times New Roman"/>
          <w:b/>
          <w:bCs/>
          <w:color w:val="auto"/>
          <w:kern w:val="0"/>
          <w:szCs w:val="21"/>
          <w:highlight w:val="none"/>
        </w:rPr>
        <w:t>2</w:t>
      </w:r>
      <w:r>
        <w:rPr>
          <w:rFonts w:hint="eastAsia" w:ascii="宋体" w:hAnsi="宋体" w:eastAsia="宋体" w:cs="Times New Roman"/>
          <w:b/>
          <w:bCs/>
          <w:color w:val="auto"/>
          <w:kern w:val="0"/>
          <w:szCs w:val="21"/>
          <w:highlight w:val="none"/>
        </w:rPr>
        <w:t>）投标人的投标报价</w:t>
      </w:r>
      <w:r>
        <w:rPr>
          <w:rFonts w:hint="eastAsia" w:ascii="宋体" w:hAnsi="宋体" w:eastAsia="宋体" w:cs="Times New Roman"/>
          <w:b/>
          <w:bCs/>
          <w:color w:val="auto"/>
          <w:kern w:val="0"/>
          <w:szCs w:val="21"/>
          <w:highlight w:val="none"/>
          <w:lang w:val="en-US" w:eastAsia="zh-CN"/>
        </w:rPr>
        <w:t>或综合单价</w:t>
      </w:r>
      <w:r>
        <w:rPr>
          <w:rFonts w:hint="eastAsia" w:ascii="宋体" w:hAnsi="宋体" w:eastAsia="宋体" w:cs="Times New Roman"/>
          <w:b/>
          <w:bCs/>
          <w:color w:val="auto"/>
          <w:kern w:val="0"/>
          <w:szCs w:val="21"/>
          <w:highlight w:val="none"/>
        </w:rPr>
        <w:t>高于</w:t>
      </w:r>
      <w:r>
        <w:rPr>
          <w:rFonts w:hint="eastAsia" w:ascii="宋体" w:hAnsi="宋体" w:eastAsia="宋体" w:cs="Times New Roman"/>
          <w:b/>
          <w:bCs/>
          <w:color w:val="auto"/>
          <w:kern w:val="0"/>
          <w:szCs w:val="21"/>
          <w:highlight w:val="none"/>
          <w:lang w:val="en-US" w:eastAsia="zh-CN"/>
        </w:rPr>
        <w:t>不含税最高投标限价或不含税预算综合单价</w:t>
      </w:r>
      <w:r>
        <w:rPr>
          <w:rFonts w:hint="eastAsia" w:ascii="宋体" w:hAnsi="宋体" w:eastAsia="宋体" w:cs="Times New Roman"/>
          <w:b/>
          <w:bCs/>
          <w:color w:val="auto"/>
          <w:kern w:val="0"/>
          <w:szCs w:val="21"/>
          <w:highlight w:val="none"/>
        </w:rPr>
        <w:t>的，该投标人的投标文件将被视为无效投标。</w:t>
      </w:r>
    </w:p>
    <w:p w14:paraId="05AD091F">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rPr>
        <w:t>本表的投标报价为不含税综合单价乘以采购货物暂定数量的总价。</w:t>
      </w:r>
      <w:r>
        <w:rPr>
          <w:rFonts w:hint="eastAsia" w:ascii="宋体" w:hAnsi="宋体" w:eastAsia="宋体" w:cs="Times New Roman"/>
          <w:bCs/>
          <w:color w:val="auto"/>
          <w:kern w:val="0"/>
          <w:szCs w:val="21"/>
        </w:rPr>
        <w:t>本投标报价表内</w:t>
      </w:r>
      <w:r>
        <w:rPr>
          <w:rFonts w:hint="eastAsia" w:ascii="宋体" w:hAnsi="宋体" w:eastAsia="宋体" w:cs="Times New Roman"/>
          <w:b w:val="0"/>
          <w:bCs w:val="0"/>
          <w:color w:val="auto"/>
          <w:kern w:val="0"/>
          <w:szCs w:val="21"/>
          <w:highlight w:val="none"/>
        </w:rPr>
        <w:t>投标报价金额与按</w:t>
      </w:r>
      <w:r>
        <w:rPr>
          <w:rFonts w:hint="eastAsia" w:ascii="宋体" w:hAnsi="宋体" w:eastAsia="宋体" w:cs="Times New Roman"/>
          <w:b w:val="0"/>
          <w:bCs w:val="0"/>
          <w:color w:val="auto"/>
          <w:kern w:val="0"/>
          <w:szCs w:val="21"/>
          <w:highlight w:val="none"/>
          <w:lang w:val="en-US" w:eastAsia="zh-CN"/>
        </w:rPr>
        <w:t>综合</w:t>
      </w:r>
      <w:r>
        <w:rPr>
          <w:rFonts w:hint="eastAsia" w:ascii="宋体" w:hAnsi="宋体" w:eastAsia="宋体" w:cs="Times New Roman"/>
          <w:b w:val="0"/>
          <w:bCs w:val="0"/>
          <w:color w:val="auto"/>
          <w:kern w:val="0"/>
          <w:szCs w:val="21"/>
          <w:highlight w:val="none"/>
        </w:rPr>
        <w:t>单价计算的总金额不一致的，以</w:t>
      </w:r>
      <w:r>
        <w:rPr>
          <w:rFonts w:hint="eastAsia" w:ascii="宋体" w:hAnsi="宋体" w:eastAsia="宋体" w:cs="Times New Roman"/>
          <w:b w:val="0"/>
          <w:bCs w:val="0"/>
          <w:color w:val="auto"/>
          <w:kern w:val="0"/>
          <w:szCs w:val="21"/>
          <w:highlight w:val="none"/>
          <w:lang w:val="en-US" w:eastAsia="zh-CN"/>
        </w:rPr>
        <w:t>综合</w:t>
      </w:r>
      <w:r>
        <w:rPr>
          <w:rFonts w:hint="eastAsia" w:ascii="宋体" w:hAnsi="宋体" w:eastAsia="宋体" w:cs="Times New Roman"/>
          <w:b w:val="0"/>
          <w:bCs w:val="0"/>
          <w:color w:val="auto"/>
          <w:kern w:val="0"/>
          <w:szCs w:val="21"/>
          <w:highlight w:val="none"/>
        </w:rPr>
        <w:t>单价计算结果为准，</w:t>
      </w:r>
      <w:r>
        <w:rPr>
          <w:rFonts w:hint="eastAsia" w:ascii="宋体" w:hAnsi="宋体" w:eastAsia="宋体" w:cs="Times New Roman"/>
          <w:b w:val="0"/>
          <w:bCs w:val="0"/>
          <w:color w:val="auto"/>
          <w:kern w:val="0"/>
          <w:szCs w:val="21"/>
          <w:highlight w:val="none"/>
          <w:lang w:val="en-US" w:eastAsia="zh-CN"/>
        </w:rPr>
        <w:t>综合</w:t>
      </w:r>
      <w:r>
        <w:rPr>
          <w:rFonts w:hint="eastAsia" w:ascii="宋体" w:hAnsi="宋体" w:eastAsia="宋体" w:cs="Times New Roman"/>
          <w:b w:val="0"/>
          <w:bCs w:val="0"/>
          <w:color w:val="auto"/>
          <w:kern w:val="0"/>
          <w:szCs w:val="21"/>
          <w:highlight w:val="none"/>
        </w:rPr>
        <w:t>单价金额小数点有明显错位的，应以总价为准，并修正</w:t>
      </w:r>
      <w:r>
        <w:rPr>
          <w:rFonts w:hint="eastAsia" w:ascii="宋体" w:hAnsi="宋体" w:eastAsia="宋体" w:cs="Times New Roman"/>
          <w:b w:val="0"/>
          <w:bCs w:val="0"/>
          <w:color w:val="auto"/>
          <w:kern w:val="0"/>
          <w:szCs w:val="21"/>
          <w:highlight w:val="none"/>
          <w:lang w:val="en-US" w:eastAsia="zh-CN"/>
        </w:rPr>
        <w:t>综合</w:t>
      </w:r>
      <w:r>
        <w:rPr>
          <w:rFonts w:hint="eastAsia" w:ascii="宋体" w:hAnsi="宋体" w:eastAsia="宋体" w:cs="Times New Roman"/>
          <w:b w:val="0"/>
          <w:bCs w:val="0"/>
          <w:color w:val="auto"/>
          <w:kern w:val="0"/>
          <w:szCs w:val="21"/>
          <w:highlight w:val="none"/>
        </w:rPr>
        <w:t>单价；</w:t>
      </w:r>
      <w:r>
        <w:rPr>
          <w:rFonts w:hint="eastAsia" w:ascii="宋体" w:hAnsi="宋体" w:eastAsia="宋体" w:cs="Times New Roman"/>
          <w:color w:val="auto"/>
          <w:kern w:val="0"/>
          <w:szCs w:val="21"/>
          <w:highlight w:val="none"/>
        </w:rPr>
        <w:t>对不同文字文本投标文件的解释发生异议的，以中文文本为准。</w:t>
      </w:r>
    </w:p>
    <w:p w14:paraId="500F1E9E">
      <w:pPr>
        <w:autoSpaceDE w:val="0"/>
        <w:autoSpaceDN w:val="0"/>
        <w:adjustRightInd w:val="0"/>
        <w:snapToGrid w:val="0"/>
        <w:spacing w:line="360" w:lineRule="auto"/>
        <w:ind w:left="605" w:leftChars="18"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）上述暂定采购数量仅为方便合计投标报价使用，不作为招标人最终购买数量的保证，我方承诺不因实际采购数量的减少或增加而要求招标人提供任何形式的补偿或赔偿。</w:t>
      </w:r>
    </w:p>
    <w:p w14:paraId="4A49704C">
      <w:pPr>
        <w:autoSpaceDE w:val="0"/>
        <w:autoSpaceDN w:val="0"/>
        <w:adjustRightInd w:val="0"/>
        <w:snapToGrid w:val="0"/>
        <w:spacing w:line="360" w:lineRule="auto"/>
        <w:ind w:left="605" w:leftChars="18" w:hanging="567" w:hangingChars="270"/>
        <w:jc w:val="left"/>
        <w:rPr>
          <w:rFonts w:hint="eastAsia" w:ascii="宋体" w:hAnsi="宋体" w:eastAsia="宋体" w:cs="Times New Roman"/>
          <w:color w:val="auto"/>
          <w:kern w:val="0"/>
          <w:szCs w:val="21"/>
          <w:highlight w:val="none"/>
          <w:lang w:val="zh-CN"/>
        </w:rPr>
      </w:pPr>
      <w:r>
        <w:rPr>
          <w:rFonts w:hint="eastAsia" w:ascii="宋体" w:hAnsi="宋体" w:eastAsia="宋体" w:cs="Times New Roman"/>
          <w:bCs/>
          <w:color w:val="auto"/>
          <w:kern w:val="0"/>
          <w:szCs w:val="21"/>
          <w:highlight w:val="none"/>
          <w:lang w:val="zh-CN"/>
        </w:rPr>
        <w:t>（</w:t>
      </w:r>
      <w:r>
        <w:rPr>
          <w:rFonts w:hint="eastAsia" w:ascii="宋体" w:hAnsi="宋体" w:eastAsia="宋体" w:cs="Times New Roman"/>
          <w:bCs/>
          <w:color w:val="auto"/>
          <w:kern w:val="0"/>
          <w:szCs w:val="21"/>
          <w:highlight w:val="none"/>
          <w:lang w:val="en-US" w:eastAsia="zh-CN"/>
        </w:rPr>
        <w:t>5</w:t>
      </w:r>
      <w:r>
        <w:rPr>
          <w:rFonts w:hint="eastAsia" w:ascii="宋体" w:hAnsi="宋体" w:eastAsia="宋体" w:cs="Times New Roman"/>
          <w:bCs/>
          <w:color w:val="auto"/>
          <w:kern w:val="0"/>
          <w:szCs w:val="21"/>
          <w:highlight w:val="none"/>
          <w:lang w:val="zh-CN"/>
        </w:rPr>
        <w:t>）</w:t>
      </w:r>
      <w:r>
        <w:rPr>
          <w:rFonts w:hint="eastAsia" w:ascii="宋体" w:hAnsi="宋体" w:eastAsia="宋体" w:cs="Times New Roman"/>
          <w:bCs/>
          <w:color w:val="auto"/>
          <w:kern w:val="0"/>
          <w:szCs w:val="21"/>
          <w:highlight w:val="none"/>
          <w:lang w:val="en-US" w:eastAsia="zh-CN"/>
        </w:rPr>
        <w:t>综合单价、投标</w:t>
      </w:r>
      <w:r>
        <w:rPr>
          <w:rFonts w:hint="eastAsia" w:ascii="宋体" w:hAnsi="宋体" w:eastAsia="宋体" w:cs="Times New Roman"/>
          <w:color w:val="auto"/>
          <w:kern w:val="0"/>
          <w:szCs w:val="21"/>
          <w:highlight w:val="none"/>
        </w:rPr>
        <w:t>报价</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总价</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需</w:t>
      </w:r>
      <w:r>
        <w:rPr>
          <w:rFonts w:hint="eastAsia" w:ascii="宋体" w:hAnsi="宋体" w:eastAsia="宋体" w:cs="Times New Roman"/>
          <w:color w:val="auto"/>
          <w:kern w:val="0"/>
          <w:szCs w:val="21"/>
          <w:highlight w:val="none"/>
        </w:rPr>
        <w:t>保留小数点后两位</w:t>
      </w:r>
      <w:r>
        <w:rPr>
          <w:rFonts w:hint="eastAsia" w:ascii="宋体" w:hAnsi="宋体" w:eastAsia="宋体" w:cs="Times New Roman"/>
          <w:color w:val="auto"/>
          <w:kern w:val="0"/>
          <w:szCs w:val="21"/>
          <w:highlight w:val="none"/>
          <w:lang w:val="zh-CN"/>
        </w:rPr>
        <w:t>，</w:t>
      </w:r>
      <w:r>
        <w:rPr>
          <w:rFonts w:hint="eastAsia" w:ascii="宋体" w:hAnsi="宋体" w:eastAsia="宋体" w:cs="Times New Roman"/>
          <w:color w:val="auto"/>
          <w:kern w:val="0"/>
          <w:szCs w:val="21"/>
          <w:highlight w:val="none"/>
          <w:lang w:val="en-US" w:eastAsia="zh-CN"/>
        </w:rPr>
        <w:t>否则</w:t>
      </w:r>
      <w:r>
        <w:rPr>
          <w:rFonts w:hint="eastAsia" w:ascii="宋体" w:hAnsi="宋体" w:eastAsia="宋体" w:cs="Times New Roman"/>
          <w:color w:val="auto"/>
          <w:kern w:val="0"/>
          <w:szCs w:val="21"/>
          <w:highlight w:val="none"/>
          <w:lang w:val="zh-CN"/>
        </w:rPr>
        <w:t>评标委员会按去“尾”或补“零”的方式进行修正为保留小数点后两位，投标人须接受被修正后的报价（例：如投标</w:t>
      </w:r>
      <w:r>
        <w:rPr>
          <w:rFonts w:hint="eastAsia" w:ascii="宋体" w:hAnsi="宋体" w:eastAsia="宋体" w:cs="Times New Roman"/>
          <w:color w:val="auto"/>
          <w:kern w:val="0"/>
          <w:szCs w:val="21"/>
          <w:highlight w:val="none"/>
          <w:lang w:val="en-US" w:eastAsia="zh-CN"/>
        </w:rPr>
        <w:t>报价</w:t>
      </w:r>
      <w:r>
        <w:rPr>
          <w:rFonts w:hint="eastAsia" w:ascii="宋体" w:hAnsi="宋体" w:eastAsia="宋体" w:cs="Times New Roman"/>
          <w:color w:val="auto"/>
          <w:kern w:val="0"/>
          <w:szCs w:val="21"/>
          <w:highlight w:val="none"/>
          <w:lang w:val="zh-CN"/>
        </w:rPr>
        <w:t>为0.789，则被修正为0.78；如投标</w:t>
      </w:r>
      <w:r>
        <w:rPr>
          <w:rFonts w:hint="eastAsia" w:ascii="宋体" w:hAnsi="宋体" w:eastAsia="宋体" w:cs="Times New Roman"/>
          <w:color w:val="auto"/>
          <w:kern w:val="0"/>
          <w:szCs w:val="21"/>
          <w:highlight w:val="none"/>
          <w:lang w:val="en-US" w:eastAsia="zh-CN"/>
        </w:rPr>
        <w:t>报价</w:t>
      </w:r>
      <w:r>
        <w:rPr>
          <w:rFonts w:hint="eastAsia" w:ascii="宋体" w:hAnsi="宋体" w:eastAsia="宋体" w:cs="Times New Roman"/>
          <w:color w:val="auto"/>
          <w:kern w:val="0"/>
          <w:szCs w:val="21"/>
          <w:highlight w:val="none"/>
          <w:lang w:val="zh-CN"/>
        </w:rPr>
        <w:t>为0.7，则被修正为0.70）。</w:t>
      </w:r>
    </w:p>
    <w:p w14:paraId="7AEF908A">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u w:val="single"/>
          <w:lang w:val="zh-CN"/>
        </w:rPr>
        <w:t>（</w:t>
      </w:r>
      <w:r>
        <w:rPr>
          <w:rFonts w:hint="eastAsia" w:ascii="宋体" w:hAnsi="宋体" w:eastAsia="宋体" w:cs="Times New Roman"/>
          <w:b/>
          <w:bCs/>
          <w:color w:val="auto"/>
          <w:kern w:val="0"/>
          <w:szCs w:val="21"/>
          <w:highlight w:val="none"/>
          <w:u w:val="single"/>
          <w:lang w:val="en-US" w:eastAsia="zh-CN"/>
        </w:rPr>
        <w:t>6</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14:paraId="17B1A340">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p>
    <w:p w14:paraId="4C165D4E">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0C04A2AA">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72B20273">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27AD14F1">
      <w:pPr>
        <w:tabs>
          <w:tab w:val="left" w:pos="567"/>
        </w:tabs>
        <w:autoSpaceDE w:val="0"/>
        <w:autoSpaceDN w:val="0"/>
        <w:adjustRightInd w:val="0"/>
        <w:spacing w:line="360" w:lineRule="auto"/>
        <w:jc w:val="left"/>
        <w:outlineLvl w:val="1"/>
        <w:rPr>
          <w:rFonts w:ascii="宋体" w:hAnsi="宋体" w:eastAsia="宋体" w:cs="宋体"/>
          <w:b/>
          <w:color w:val="auto"/>
          <w:kern w:val="0"/>
          <w:sz w:val="32"/>
          <w:szCs w:val="32"/>
          <w:highlight w:val="none"/>
        </w:rPr>
      </w:pPr>
      <w:r>
        <w:rPr>
          <w:rFonts w:ascii="宋体" w:hAnsi="宋体" w:eastAsia="宋体" w:cs="Times New Roman"/>
          <w:color w:val="auto"/>
          <w:szCs w:val="24"/>
          <w:highlight w:val="none"/>
          <w:lang w:val="zh-CN"/>
        </w:rPr>
        <w:br w:type="page"/>
      </w:r>
      <w:bookmarkStart w:id="662" w:name="_Toc102860074"/>
      <w:bookmarkStart w:id="663" w:name="_Toc94107209"/>
      <w:bookmarkStart w:id="664" w:name="_Toc26674"/>
      <w:bookmarkStart w:id="665" w:name="_Toc1977725"/>
      <w:bookmarkStart w:id="666" w:name="_Toc25556"/>
      <w:bookmarkStart w:id="667" w:name="_Toc140596928"/>
      <w:bookmarkStart w:id="668" w:name="_Toc24015"/>
      <w:bookmarkStart w:id="669" w:name="_Toc102860418"/>
      <w:bookmarkStart w:id="670" w:name="_Toc2819"/>
      <w:bookmarkStart w:id="671" w:name="_Toc18828"/>
      <w:bookmarkStart w:id="672" w:name="_Toc104991875"/>
      <w:bookmarkStart w:id="673" w:name="_Toc142508369"/>
      <w:bookmarkStart w:id="674" w:name="_Toc31689"/>
      <w:bookmarkStart w:id="675" w:name="_Toc486167712"/>
      <w:bookmarkStart w:id="676" w:name="_Toc533708124"/>
      <w:bookmarkStart w:id="677" w:name="_Toc20759_WPSOffice_Level2"/>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662"/>
      <w:bookmarkEnd w:id="663"/>
      <w:bookmarkEnd w:id="664"/>
      <w:bookmarkEnd w:id="665"/>
      <w:bookmarkEnd w:id="666"/>
      <w:bookmarkEnd w:id="667"/>
      <w:bookmarkEnd w:id="668"/>
      <w:bookmarkEnd w:id="669"/>
      <w:bookmarkEnd w:id="670"/>
      <w:bookmarkEnd w:id="671"/>
      <w:bookmarkEnd w:id="672"/>
      <w:bookmarkEnd w:id="673"/>
      <w:bookmarkEnd w:id="674"/>
    </w:p>
    <w:p w14:paraId="7F897E9D">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78" w:name="_Toc142508370"/>
      <w:bookmarkStart w:id="679" w:name="_Toc94107210"/>
      <w:bookmarkStart w:id="680" w:name="_Toc14135"/>
      <w:bookmarkStart w:id="681" w:name="_Toc102860419"/>
      <w:bookmarkStart w:id="682" w:name="_Toc16154"/>
      <w:bookmarkStart w:id="683" w:name="_Toc29108"/>
      <w:bookmarkStart w:id="684" w:name="_Toc104991876"/>
      <w:bookmarkStart w:id="685" w:name="_Toc140596929"/>
      <w:bookmarkStart w:id="686" w:name="_Toc102860075"/>
      <w:bookmarkStart w:id="687" w:name="_Toc28382"/>
      <w:bookmarkStart w:id="688" w:name="_Toc31420"/>
      <w:bookmarkStart w:id="689" w:name="_Toc6695"/>
      <w:bookmarkStart w:id="690"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678"/>
      <w:bookmarkEnd w:id="679"/>
      <w:bookmarkEnd w:id="680"/>
      <w:bookmarkEnd w:id="681"/>
      <w:bookmarkEnd w:id="682"/>
      <w:bookmarkEnd w:id="683"/>
      <w:bookmarkEnd w:id="684"/>
      <w:bookmarkEnd w:id="685"/>
      <w:bookmarkEnd w:id="686"/>
      <w:bookmarkEnd w:id="687"/>
      <w:bookmarkEnd w:id="688"/>
      <w:bookmarkEnd w:id="689"/>
    </w:p>
    <w:p w14:paraId="61915134">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E89EECC">
      <w:pPr>
        <w:tabs>
          <w:tab w:val="left" w:pos="567"/>
        </w:tabs>
        <w:autoSpaceDE w:val="0"/>
        <w:autoSpaceDN w:val="0"/>
        <w:adjustRightInd w:val="0"/>
        <w:spacing w:line="360" w:lineRule="auto"/>
        <w:ind w:firstLine="316" w:firstLineChars="150"/>
        <w:jc w:val="left"/>
        <w:outlineLvl w:val="9"/>
        <w:rPr>
          <w:rFonts w:ascii="宋体" w:hAnsi="宋体" w:eastAsia="宋体" w:cs="宋体"/>
          <w:b/>
          <w:color w:val="auto"/>
          <w:kern w:val="0"/>
          <w:szCs w:val="21"/>
          <w:highlight w:val="none"/>
        </w:rPr>
        <w:sectPr>
          <w:footerReference r:id="rId5" w:type="default"/>
          <w:pgSz w:w="12240" w:h="15840"/>
          <w:pgMar w:top="1191" w:right="1043" w:bottom="1191" w:left="1043" w:header="720" w:footer="720" w:gutter="0"/>
          <w:cols w:space="720" w:num="1"/>
          <w:titlePg/>
          <w:docGrid w:linePitch="326" w:charSpace="0"/>
        </w:sectPr>
      </w:pPr>
    </w:p>
    <w:p w14:paraId="18FFFD86">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91" w:name="_Toc9347"/>
      <w:bookmarkStart w:id="692" w:name="_Toc102860420"/>
      <w:bookmarkStart w:id="693" w:name="_Toc140596930"/>
      <w:bookmarkStart w:id="694" w:name="_Toc26345"/>
      <w:bookmarkStart w:id="695" w:name="_Toc104991877"/>
      <w:bookmarkStart w:id="696" w:name="_Toc9489"/>
      <w:bookmarkStart w:id="697" w:name="_Toc142508371"/>
      <w:bookmarkStart w:id="698" w:name="_Toc94107211"/>
      <w:bookmarkStart w:id="699" w:name="_Toc189"/>
      <w:bookmarkStart w:id="700" w:name="_Toc15258"/>
      <w:bookmarkStart w:id="701" w:name="_Toc102860076"/>
      <w:bookmarkStart w:id="702" w:name="_Toc23790"/>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691"/>
      <w:bookmarkEnd w:id="692"/>
      <w:bookmarkEnd w:id="693"/>
      <w:bookmarkEnd w:id="694"/>
      <w:bookmarkEnd w:id="695"/>
      <w:bookmarkEnd w:id="696"/>
      <w:bookmarkEnd w:id="697"/>
      <w:bookmarkEnd w:id="698"/>
      <w:bookmarkEnd w:id="699"/>
      <w:bookmarkEnd w:id="700"/>
      <w:bookmarkEnd w:id="701"/>
      <w:bookmarkEnd w:id="702"/>
    </w:p>
    <w:p w14:paraId="188F3D1F">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703" w:name="_Toc94107212"/>
      <w:bookmarkStart w:id="704" w:name="_Toc104991878"/>
      <w:bookmarkStart w:id="705" w:name="_Toc142508372"/>
      <w:bookmarkStart w:id="706" w:name="_Toc17518"/>
      <w:bookmarkStart w:id="707" w:name="_Toc21657"/>
      <w:bookmarkStart w:id="708" w:name="_Toc102860077"/>
      <w:bookmarkStart w:id="709" w:name="_Toc21954"/>
      <w:bookmarkStart w:id="710" w:name="_Toc31407"/>
      <w:bookmarkStart w:id="711" w:name="_Toc8602"/>
      <w:bookmarkStart w:id="712" w:name="_Toc102860421"/>
      <w:bookmarkStart w:id="713" w:name="_Toc644"/>
      <w:bookmarkStart w:id="714" w:name="_Toc140596931"/>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703"/>
      <w:bookmarkEnd w:id="704"/>
      <w:bookmarkEnd w:id="705"/>
      <w:bookmarkEnd w:id="706"/>
      <w:bookmarkEnd w:id="707"/>
      <w:bookmarkEnd w:id="708"/>
      <w:bookmarkEnd w:id="709"/>
      <w:bookmarkEnd w:id="710"/>
      <w:bookmarkEnd w:id="711"/>
      <w:bookmarkEnd w:id="712"/>
      <w:bookmarkEnd w:id="713"/>
      <w:bookmarkEnd w:id="714"/>
    </w:p>
    <w:p w14:paraId="7E3D7104">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675"/>
      <w:bookmarkEnd w:id="676"/>
      <w:bookmarkEnd w:id="677"/>
      <w:bookmarkEnd w:id="690"/>
    </w:p>
    <w:p w14:paraId="45584643">
      <w:pPr>
        <w:spacing w:before="120" w:after="120" w:line="360" w:lineRule="auto"/>
        <w:ind w:firstLine="608" w:firstLineChars="202"/>
        <w:jc w:val="center"/>
        <w:rPr>
          <w:rFonts w:ascii="宋体" w:hAnsi="宋体" w:eastAsia="宋体" w:cs="宋体"/>
          <w:b/>
          <w:color w:val="auto"/>
          <w:sz w:val="30"/>
          <w:szCs w:val="30"/>
          <w:highlight w:val="none"/>
        </w:rPr>
      </w:pPr>
    </w:p>
    <w:p w14:paraId="67D0E2A2">
      <w:pPr>
        <w:spacing w:before="120" w:after="120" w:line="360" w:lineRule="auto"/>
        <w:ind w:firstLine="608" w:firstLineChars="202"/>
        <w:jc w:val="center"/>
        <w:rPr>
          <w:rFonts w:ascii="宋体" w:hAnsi="宋体" w:eastAsia="宋体" w:cs="宋体"/>
          <w:b/>
          <w:bCs/>
          <w:color w:val="auto"/>
          <w:sz w:val="30"/>
          <w:szCs w:val="30"/>
          <w:highlight w:val="none"/>
        </w:rPr>
      </w:pPr>
      <w:bookmarkStart w:id="715" w:name="_Toc11033_WPSOffice_Level3"/>
      <w:r>
        <w:rPr>
          <w:rFonts w:hint="eastAsia" w:ascii="宋体" w:hAnsi="宋体" w:eastAsia="宋体" w:cs="宋体"/>
          <w:b/>
          <w:color w:val="auto"/>
          <w:sz w:val="30"/>
          <w:szCs w:val="30"/>
          <w:highlight w:val="none"/>
        </w:rPr>
        <w:t>法定代</w:t>
      </w:r>
      <w:bookmarkStart w:id="716" w:name="_Toc36971359"/>
      <w:bookmarkStart w:id="717" w:name="_Toc45995270"/>
      <w:r>
        <w:rPr>
          <w:rFonts w:hint="eastAsia" w:ascii="宋体" w:hAnsi="宋体" w:eastAsia="宋体" w:cs="宋体"/>
          <w:b/>
          <w:color w:val="auto"/>
          <w:sz w:val="30"/>
          <w:szCs w:val="30"/>
          <w:highlight w:val="none"/>
        </w:rPr>
        <w:t>表人身份证明书</w:t>
      </w:r>
      <w:bookmarkEnd w:id="715"/>
    </w:p>
    <w:bookmarkEnd w:id="716"/>
    <w:bookmarkEnd w:id="717"/>
    <w:p w14:paraId="3253B106">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2A80290D">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1F30DDD6">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63E3DA47">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06112C18">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6B9CC19A">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1691FFC6">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36ED3D04">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255668E7">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65EAEE8E">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67E36F6"/>
                          <w:p w14:paraId="4FA650D6"/>
                          <w:p w14:paraId="0A755921"/>
                          <w:p w14:paraId="2A8F750E"/>
                          <w:p w14:paraId="67451B25">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167E36F6"/>
                    <w:p w14:paraId="4FA650D6"/>
                    <w:p w14:paraId="0A755921"/>
                    <w:p w14:paraId="2A8F750E"/>
                    <w:p w14:paraId="67451B25">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0BF86C86"/>
                          <w:p w14:paraId="0A107DA9"/>
                          <w:p w14:paraId="61E90EF8"/>
                          <w:p w14:paraId="45D9BB2D"/>
                          <w:p w14:paraId="47519132">
                            <w:pPr>
                              <w:jc w:val="center"/>
                              <w:rPr>
                                <w:szCs w:val="21"/>
                              </w:rPr>
                            </w:pPr>
                            <w:r>
                              <w:rPr>
                                <w:rFonts w:hint="eastAsia"/>
                                <w:szCs w:val="21"/>
                              </w:rPr>
                              <w:t>法定代表人身份证反面</w:t>
                            </w:r>
                          </w:p>
                          <w:p w14:paraId="2483D517">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0BF86C86"/>
                    <w:p w14:paraId="0A107DA9"/>
                    <w:p w14:paraId="61E90EF8"/>
                    <w:p w14:paraId="45D9BB2D"/>
                    <w:p w14:paraId="47519132">
                      <w:pPr>
                        <w:jc w:val="center"/>
                        <w:rPr>
                          <w:szCs w:val="21"/>
                        </w:rPr>
                      </w:pPr>
                      <w:r>
                        <w:rPr>
                          <w:rFonts w:hint="eastAsia"/>
                          <w:szCs w:val="21"/>
                        </w:rPr>
                        <w:t>法定代表人身份证反面</w:t>
                      </w:r>
                    </w:p>
                    <w:p w14:paraId="2483D517">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1B2E82F"/>
                          <w:p w14:paraId="7FD2A7DD"/>
                          <w:p w14:paraId="36D3BC0C"/>
                          <w:p w14:paraId="4505F73D"/>
                          <w:p w14:paraId="27F30FC0">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51B2E82F"/>
                    <w:p w14:paraId="7FD2A7DD"/>
                    <w:p w14:paraId="36D3BC0C"/>
                    <w:p w14:paraId="4505F73D"/>
                    <w:p w14:paraId="27F30FC0">
                      <w:pPr>
                        <w:jc w:val="center"/>
                      </w:pPr>
                      <w:r>
                        <w:rPr>
                          <w:rFonts w:hint="eastAsia"/>
                        </w:rPr>
                        <w:t>身份证正面</w:t>
                      </w:r>
                    </w:p>
                  </w:txbxContent>
                </v:textbox>
              </v:shape>
            </w:pict>
          </mc:Fallback>
        </mc:AlternateContent>
      </w:r>
    </w:p>
    <w:p w14:paraId="4CFE04F9">
      <w:pPr>
        <w:autoSpaceDE w:val="0"/>
        <w:autoSpaceDN w:val="0"/>
        <w:adjustRightInd w:val="0"/>
        <w:jc w:val="left"/>
        <w:rPr>
          <w:rFonts w:ascii="宋体" w:hAnsi="宋体" w:eastAsia="宋体" w:cs="宋体"/>
          <w:color w:val="auto"/>
          <w:kern w:val="0"/>
          <w:sz w:val="24"/>
          <w:szCs w:val="24"/>
          <w:highlight w:val="none"/>
        </w:rPr>
      </w:pPr>
    </w:p>
    <w:p w14:paraId="4189D384">
      <w:pPr>
        <w:autoSpaceDE w:val="0"/>
        <w:autoSpaceDN w:val="0"/>
        <w:adjustRightInd w:val="0"/>
        <w:jc w:val="left"/>
        <w:rPr>
          <w:rFonts w:ascii="宋体" w:hAnsi="宋体" w:eastAsia="宋体" w:cs="宋体"/>
          <w:color w:val="auto"/>
          <w:kern w:val="0"/>
          <w:sz w:val="24"/>
          <w:szCs w:val="24"/>
          <w:highlight w:val="none"/>
        </w:rPr>
      </w:pPr>
    </w:p>
    <w:p w14:paraId="56182F46">
      <w:pPr>
        <w:autoSpaceDE w:val="0"/>
        <w:autoSpaceDN w:val="0"/>
        <w:adjustRightInd w:val="0"/>
        <w:jc w:val="left"/>
        <w:rPr>
          <w:rFonts w:ascii="宋体" w:hAnsi="宋体" w:eastAsia="宋体" w:cs="宋体"/>
          <w:color w:val="auto"/>
          <w:kern w:val="0"/>
          <w:sz w:val="24"/>
          <w:szCs w:val="24"/>
          <w:highlight w:val="none"/>
        </w:rPr>
      </w:pPr>
    </w:p>
    <w:p w14:paraId="3FAB479F">
      <w:pPr>
        <w:autoSpaceDE w:val="0"/>
        <w:autoSpaceDN w:val="0"/>
        <w:adjustRightInd w:val="0"/>
        <w:jc w:val="left"/>
        <w:rPr>
          <w:rFonts w:ascii="宋体" w:hAnsi="宋体" w:eastAsia="宋体" w:cs="宋体"/>
          <w:color w:val="auto"/>
          <w:kern w:val="0"/>
          <w:sz w:val="24"/>
          <w:szCs w:val="24"/>
          <w:highlight w:val="none"/>
        </w:rPr>
      </w:pPr>
    </w:p>
    <w:p w14:paraId="578FEBB9">
      <w:pPr>
        <w:autoSpaceDE w:val="0"/>
        <w:autoSpaceDN w:val="0"/>
        <w:adjustRightInd w:val="0"/>
        <w:jc w:val="left"/>
        <w:rPr>
          <w:rFonts w:ascii="宋体" w:hAnsi="宋体" w:eastAsia="宋体" w:cs="宋体"/>
          <w:color w:val="auto"/>
          <w:kern w:val="0"/>
          <w:sz w:val="24"/>
          <w:szCs w:val="24"/>
          <w:highlight w:val="none"/>
        </w:rPr>
      </w:pPr>
    </w:p>
    <w:p w14:paraId="7290249E">
      <w:pPr>
        <w:autoSpaceDE w:val="0"/>
        <w:autoSpaceDN w:val="0"/>
        <w:adjustRightInd w:val="0"/>
        <w:jc w:val="left"/>
        <w:rPr>
          <w:rFonts w:ascii="宋体" w:hAnsi="宋体" w:eastAsia="宋体" w:cs="宋体"/>
          <w:color w:val="auto"/>
          <w:kern w:val="0"/>
          <w:sz w:val="24"/>
          <w:szCs w:val="24"/>
          <w:highlight w:val="none"/>
        </w:rPr>
      </w:pPr>
    </w:p>
    <w:p w14:paraId="1D8CEB34">
      <w:pPr>
        <w:autoSpaceDE w:val="0"/>
        <w:autoSpaceDN w:val="0"/>
        <w:adjustRightInd w:val="0"/>
        <w:jc w:val="left"/>
        <w:rPr>
          <w:rFonts w:ascii="宋体" w:hAnsi="宋体" w:eastAsia="宋体" w:cs="宋体"/>
          <w:color w:val="auto"/>
          <w:kern w:val="0"/>
          <w:sz w:val="24"/>
          <w:szCs w:val="24"/>
          <w:highlight w:val="none"/>
        </w:rPr>
      </w:pPr>
    </w:p>
    <w:p w14:paraId="55A0380B">
      <w:pPr>
        <w:autoSpaceDE w:val="0"/>
        <w:autoSpaceDN w:val="0"/>
        <w:adjustRightInd w:val="0"/>
        <w:jc w:val="left"/>
        <w:rPr>
          <w:rFonts w:ascii="宋体" w:hAnsi="宋体" w:eastAsia="宋体" w:cs="宋体"/>
          <w:color w:val="auto"/>
          <w:kern w:val="0"/>
          <w:sz w:val="24"/>
          <w:szCs w:val="24"/>
          <w:highlight w:val="none"/>
        </w:rPr>
      </w:pPr>
    </w:p>
    <w:p w14:paraId="4EB00401">
      <w:pPr>
        <w:autoSpaceDE w:val="0"/>
        <w:autoSpaceDN w:val="0"/>
        <w:adjustRightInd w:val="0"/>
        <w:jc w:val="left"/>
        <w:rPr>
          <w:rFonts w:ascii="宋体" w:hAnsi="宋体" w:eastAsia="宋体" w:cs="宋体"/>
          <w:color w:val="auto"/>
          <w:kern w:val="0"/>
          <w:sz w:val="24"/>
          <w:szCs w:val="24"/>
          <w:highlight w:val="none"/>
        </w:rPr>
      </w:pPr>
    </w:p>
    <w:p w14:paraId="48B65091">
      <w:pPr>
        <w:autoSpaceDE w:val="0"/>
        <w:autoSpaceDN w:val="0"/>
        <w:adjustRightInd w:val="0"/>
        <w:jc w:val="left"/>
        <w:rPr>
          <w:rFonts w:ascii="宋体" w:hAnsi="宋体" w:eastAsia="宋体" w:cs="宋体"/>
          <w:b/>
          <w:color w:val="auto"/>
          <w:kern w:val="0"/>
          <w:szCs w:val="21"/>
          <w:highlight w:val="none"/>
        </w:rPr>
      </w:pPr>
    </w:p>
    <w:p w14:paraId="6B8C3ABE">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2E5290C8">
      <w:pPr>
        <w:autoSpaceDE w:val="0"/>
        <w:autoSpaceDN w:val="0"/>
        <w:adjustRightInd w:val="0"/>
        <w:jc w:val="left"/>
        <w:rPr>
          <w:rFonts w:ascii="宋体" w:hAnsi="宋体" w:eastAsia="宋体" w:cs="宋体"/>
          <w:color w:val="auto"/>
          <w:kern w:val="0"/>
          <w:szCs w:val="21"/>
          <w:highlight w:val="none"/>
        </w:rPr>
      </w:pPr>
    </w:p>
    <w:p w14:paraId="44B20630">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613"/>
      <w:bookmarkEnd w:id="614"/>
      <w:bookmarkEnd w:id="615"/>
      <w:bookmarkStart w:id="718" w:name="_Toc1977727"/>
      <w:bookmarkStart w:id="719" w:name="_Toc6240_WPSOffice_Level2"/>
      <w:bookmarkStart w:id="720" w:name="_Toc533708125"/>
      <w:bookmarkStart w:id="721" w:name="_Toc486167713"/>
      <w:r>
        <w:rPr>
          <w:rFonts w:hint="eastAsia" w:ascii="宋体" w:hAnsi="宋体" w:eastAsia="宋体" w:cs="宋体"/>
          <w:b/>
          <w:color w:val="auto"/>
          <w:szCs w:val="24"/>
          <w:highlight w:val="none"/>
        </w:rPr>
        <w:t>（2）法定代表人授权书格式</w:t>
      </w:r>
      <w:bookmarkEnd w:id="718"/>
      <w:bookmarkEnd w:id="719"/>
      <w:bookmarkEnd w:id="720"/>
      <w:bookmarkEnd w:id="721"/>
    </w:p>
    <w:p w14:paraId="4F489EE7">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477304CB">
      <w:pPr>
        <w:autoSpaceDE w:val="0"/>
        <w:autoSpaceDN w:val="0"/>
        <w:adjustRightInd w:val="0"/>
        <w:spacing w:line="360" w:lineRule="auto"/>
        <w:jc w:val="center"/>
        <w:outlineLvl w:val="9"/>
        <w:rPr>
          <w:rFonts w:ascii="宋体" w:hAnsi="宋体" w:eastAsia="宋体" w:cs="宋体"/>
          <w:b/>
          <w:bCs/>
          <w:color w:val="auto"/>
          <w:sz w:val="30"/>
          <w:szCs w:val="30"/>
          <w:highlight w:val="none"/>
          <w:lang w:val="zh-CN"/>
        </w:rPr>
      </w:pPr>
      <w:bookmarkStart w:id="722" w:name="_Toc29146_WPSOffice_Level3"/>
      <w:bookmarkStart w:id="723" w:name="_Toc29468"/>
      <w:bookmarkStart w:id="724" w:name="_Toc23155"/>
      <w:r>
        <w:rPr>
          <w:rFonts w:hint="eastAsia" w:ascii="宋体" w:hAnsi="宋体" w:eastAsia="宋体" w:cs="宋体"/>
          <w:b/>
          <w:bCs/>
          <w:color w:val="auto"/>
          <w:sz w:val="30"/>
          <w:szCs w:val="30"/>
          <w:highlight w:val="none"/>
          <w:lang w:val="zh-CN"/>
        </w:rPr>
        <w:t>法定代表人授权书</w:t>
      </w:r>
      <w:bookmarkEnd w:id="722"/>
      <w:bookmarkEnd w:id="723"/>
      <w:bookmarkEnd w:id="724"/>
    </w:p>
    <w:p w14:paraId="00C5AF8E">
      <w:pPr>
        <w:autoSpaceDE w:val="0"/>
        <w:autoSpaceDN w:val="0"/>
        <w:adjustRightInd w:val="0"/>
        <w:spacing w:line="360" w:lineRule="auto"/>
        <w:jc w:val="center"/>
        <w:rPr>
          <w:rFonts w:ascii="宋体" w:hAnsi="宋体" w:eastAsia="宋体" w:cs="宋体"/>
          <w:color w:val="auto"/>
          <w:szCs w:val="28"/>
          <w:highlight w:val="none"/>
          <w:lang w:val="zh-CN"/>
        </w:rPr>
      </w:pPr>
    </w:p>
    <w:p w14:paraId="40F12E8D">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致：东莞市水务集团净水有限公司</w:t>
      </w:r>
    </w:p>
    <w:p w14:paraId="01860438">
      <w:pPr>
        <w:spacing w:before="0" w:after="0" w:line="360" w:lineRule="auto"/>
        <w:ind w:firstLine="630" w:firstLineChars="3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p>
    <w:p w14:paraId="2693A5E6">
      <w:pPr>
        <w:spacing w:before="0" w:after="0" w:line="360" w:lineRule="auto"/>
        <w:ind w:firstLine="0" w:firstLineChars="0"/>
        <w:rPr>
          <w:rFonts w:ascii="宋体" w:hAnsi="宋体" w:eastAsia="宋体" w:cs="宋体"/>
          <w:color w:val="auto"/>
          <w:szCs w:val="21"/>
          <w:highlight w:val="none"/>
        </w:rPr>
      </w:pP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东莞市水务集团净水有限公司2025年生产药剂液体乙酸钠采购项目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WTZB2024DG0079</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595A5218">
      <w:pPr>
        <w:spacing w:before="0" w:after="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524D0AFD">
      <w:pPr>
        <w:spacing w:before="120" w:after="120" w:line="360" w:lineRule="auto"/>
        <w:ind w:left="348" w:leftChars="136" w:hanging="62"/>
        <w:rPr>
          <w:rFonts w:ascii="宋体" w:hAnsi="宋体" w:eastAsia="宋体" w:cs="宋体"/>
          <w:color w:val="auto"/>
          <w:szCs w:val="24"/>
          <w:highlight w:val="none"/>
        </w:rPr>
      </w:pPr>
    </w:p>
    <w:p w14:paraId="4C79ABA1">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4AC3E55F">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32E9BC54">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3FDEF34D">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60C4B7D1">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2942F116">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797AA3FD">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0F786019">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26CEFFD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5204DB2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0AD7E03A"/>
                          <w:p w14:paraId="21CEAD1F"/>
                          <w:p w14:paraId="18CAE205"/>
                          <w:p w14:paraId="050E50A8"/>
                          <w:p w14:paraId="03097286">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0AD7E03A"/>
                    <w:p w14:paraId="21CEAD1F"/>
                    <w:p w14:paraId="18CAE205"/>
                    <w:p w14:paraId="050E50A8"/>
                    <w:p w14:paraId="03097286">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493EF63F"/>
                          <w:p w14:paraId="43262B11"/>
                          <w:p w14:paraId="7EE6C582"/>
                          <w:p w14:paraId="57708ABA"/>
                          <w:p w14:paraId="019270D7">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493EF63F"/>
                    <w:p w14:paraId="43262B11"/>
                    <w:p w14:paraId="7EE6C582"/>
                    <w:p w14:paraId="57708ABA"/>
                    <w:p w14:paraId="019270D7">
                      <w:pPr>
                        <w:jc w:val="center"/>
                        <w:rPr>
                          <w:rFonts w:hAnsi="宋体"/>
                        </w:rPr>
                      </w:pPr>
                      <w:r>
                        <w:rPr>
                          <w:rFonts w:hint="eastAsia" w:hAnsi="宋体"/>
                        </w:rPr>
                        <w:t>法定代表人身份证正面</w:t>
                      </w:r>
                    </w:p>
                  </w:txbxContent>
                </v:textbox>
              </v:shape>
            </w:pict>
          </mc:Fallback>
        </mc:AlternateContent>
      </w:r>
    </w:p>
    <w:p w14:paraId="0334220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CE29BD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3560A3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A38A45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1D7370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60ED244">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A07CDC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D2FE95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EC4963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3D8C5237"/>
                          <w:p w14:paraId="6F224B02">
                            <w:pPr>
                              <w:jc w:val="center"/>
                              <w:rPr>
                                <w:rFonts w:hAnsi="宋体"/>
                                <w:color w:val="FF0000"/>
                              </w:rPr>
                            </w:pPr>
                          </w:p>
                          <w:p w14:paraId="3C884EB5">
                            <w:pPr>
                              <w:jc w:val="center"/>
                              <w:rPr>
                                <w:rFonts w:hAnsi="宋体"/>
                                <w:color w:val="FF0000"/>
                              </w:rPr>
                            </w:pPr>
                          </w:p>
                          <w:p w14:paraId="697345DE">
                            <w:pPr>
                              <w:jc w:val="center"/>
                              <w:rPr>
                                <w:rFonts w:hAnsi="宋体"/>
                                <w:color w:val="FF0000"/>
                              </w:rPr>
                            </w:pPr>
                          </w:p>
                          <w:p w14:paraId="729603CD">
                            <w:pPr>
                              <w:jc w:val="center"/>
                            </w:pPr>
                            <w:r>
                              <w:rPr>
                                <w:rFonts w:hint="eastAsia" w:hAnsi="宋体"/>
                              </w:rPr>
                              <w:t>被授权人身份证反面</w:t>
                            </w:r>
                          </w:p>
                          <w:p w14:paraId="78E4C8D8"/>
                          <w:p w14:paraId="291D56CD"/>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3D8C5237"/>
                    <w:p w14:paraId="6F224B02">
                      <w:pPr>
                        <w:jc w:val="center"/>
                        <w:rPr>
                          <w:rFonts w:hAnsi="宋体"/>
                          <w:color w:val="FF0000"/>
                        </w:rPr>
                      </w:pPr>
                    </w:p>
                    <w:p w14:paraId="3C884EB5">
                      <w:pPr>
                        <w:jc w:val="center"/>
                        <w:rPr>
                          <w:rFonts w:hAnsi="宋体"/>
                          <w:color w:val="FF0000"/>
                        </w:rPr>
                      </w:pPr>
                    </w:p>
                    <w:p w14:paraId="697345DE">
                      <w:pPr>
                        <w:jc w:val="center"/>
                        <w:rPr>
                          <w:rFonts w:hAnsi="宋体"/>
                          <w:color w:val="FF0000"/>
                        </w:rPr>
                      </w:pPr>
                    </w:p>
                    <w:p w14:paraId="729603CD">
                      <w:pPr>
                        <w:jc w:val="center"/>
                      </w:pPr>
                      <w:r>
                        <w:rPr>
                          <w:rFonts w:hint="eastAsia" w:hAnsi="宋体"/>
                        </w:rPr>
                        <w:t>被授权人身份证反面</w:t>
                      </w:r>
                    </w:p>
                    <w:p w14:paraId="78E4C8D8"/>
                    <w:p w14:paraId="291D56CD"/>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501AF79D"/>
                          <w:p w14:paraId="45FAD8B0">
                            <w:pPr>
                              <w:jc w:val="center"/>
                              <w:rPr>
                                <w:rFonts w:hAnsi="宋体"/>
                                <w:color w:val="FF0000"/>
                              </w:rPr>
                            </w:pPr>
                          </w:p>
                          <w:p w14:paraId="4E4A4853">
                            <w:pPr>
                              <w:jc w:val="center"/>
                              <w:rPr>
                                <w:rFonts w:hAnsi="宋体"/>
                                <w:color w:val="FF0000"/>
                              </w:rPr>
                            </w:pPr>
                          </w:p>
                          <w:p w14:paraId="4F2C9361">
                            <w:pPr>
                              <w:jc w:val="center"/>
                              <w:rPr>
                                <w:rFonts w:hAnsi="宋体"/>
                                <w:color w:val="FF0000"/>
                              </w:rPr>
                            </w:pPr>
                          </w:p>
                          <w:p w14:paraId="28FC2484">
                            <w:pPr>
                              <w:jc w:val="center"/>
                            </w:pPr>
                            <w:r>
                              <w:rPr>
                                <w:rFonts w:hint="eastAsia" w:hAnsi="宋体"/>
                              </w:rPr>
                              <w:t>被授权人身份证正面</w:t>
                            </w:r>
                          </w:p>
                          <w:p w14:paraId="7A62C298"/>
                          <w:p w14:paraId="506885C1"/>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501AF79D"/>
                    <w:p w14:paraId="45FAD8B0">
                      <w:pPr>
                        <w:jc w:val="center"/>
                        <w:rPr>
                          <w:rFonts w:hAnsi="宋体"/>
                          <w:color w:val="FF0000"/>
                        </w:rPr>
                      </w:pPr>
                    </w:p>
                    <w:p w14:paraId="4E4A4853">
                      <w:pPr>
                        <w:jc w:val="center"/>
                        <w:rPr>
                          <w:rFonts w:hAnsi="宋体"/>
                          <w:color w:val="FF0000"/>
                        </w:rPr>
                      </w:pPr>
                    </w:p>
                    <w:p w14:paraId="4F2C9361">
                      <w:pPr>
                        <w:jc w:val="center"/>
                        <w:rPr>
                          <w:rFonts w:hAnsi="宋体"/>
                          <w:color w:val="FF0000"/>
                        </w:rPr>
                      </w:pPr>
                    </w:p>
                    <w:p w14:paraId="28FC2484">
                      <w:pPr>
                        <w:jc w:val="center"/>
                      </w:pPr>
                      <w:r>
                        <w:rPr>
                          <w:rFonts w:hint="eastAsia" w:hAnsi="宋体"/>
                        </w:rPr>
                        <w:t>被授权人身份证正面</w:t>
                      </w:r>
                    </w:p>
                    <w:p w14:paraId="7A62C298"/>
                    <w:p w14:paraId="506885C1"/>
                  </w:txbxContent>
                </v:textbox>
              </v:shape>
            </w:pict>
          </mc:Fallback>
        </mc:AlternateContent>
      </w:r>
    </w:p>
    <w:p w14:paraId="1426766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AA197E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14B613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2FFABC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D665D7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BF1BDA6">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headerReference r:id="rId6" w:type="first"/>
          <w:footerReference r:id="rId8" w:type="first"/>
          <w:footerReference r:id="rId7"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4B125FC1">
      <w:pPr>
        <w:pStyle w:val="2"/>
        <w:pageBreakBefore/>
        <w:spacing w:line="360" w:lineRule="auto"/>
        <w:rPr>
          <w:rFonts w:hint="eastAsia" w:ascii="宋体" w:hAnsi="宋体" w:eastAsia="宋体" w:cs="宋体"/>
          <w:b/>
          <w:bCs/>
          <w:color w:val="auto"/>
          <w:kern w:val="2"/>
          <w:sz w:val="32"/>
          <w:szCs w:val="32"/>
          <w:highlight w:val="none"/>
          <w:lang w:val="zh-CN"/>
        </w:rPr>
      </w:pPr>
      <w:bookmarkStart w:id="725" w:name="_Toc5998"/>
      <w:bookmarkStart w:id="726" w:name="_Toc78709782"/>
      <w:bookmarkStart w:id="727" w:name="_Toc29643"/>
      <w:bookmarkStart w:id="728" w:name="_Toc146642418"/>
      <w:bookmarkStart w:id="729" w:name="_Toc19284"/>
      <w:bookmarkStart w:id="730" w:name="_Toc6531"/>
      <w:bookmarkStart w:id="731" w:name="_Toc142854322"/>
      <w:bookmarkStart w:id="732" w:name="_Toc30070"/>
      <w:bookmarkStart w:id="733" w:name="_Toc8338"/>
      <w:bookmarkStart w:id="734" w:name="_Toc140596933"/>
      <w:bookmarkStart w:id="735" w:name="_Toc94107214"/>
      <w:bookmarkStart w:id="736" w:name="_Toc142508373"/>
      <w:bookmarkStart w:id="737" w:name="_Toc1977730"/>
      <w:bookmarkStart w:id="738" w:name="_Toc104991880"/>
      <w:r>
        <w:rPr>
          <w:rFonts w:hint="eastAsia" w:ascii="宋体" w:hAnsi="宋体" w:eastAsia="宋体" w:cs="宋体"/>
          <w:b/>
          <w:bCs/>
          <w:color w:val="auto"/>
          <w:kern w:val="2"/>
          <w:sz w:val="32"/>
          <w:szCs w:val="32"/>
          <w:highlight w:val="none"/>
        </w:rPr>
        <w:t>5</w:t>
      </w:r>
      <w:r>
        <w:rPr>
          <w:rFonts w:hint="eastAsia" w:ascii="宋体" w:hAnsi="宋体" w:eastAsia="宋体" w:cs="宋体"/>
          <w:b/>
          <w:bCs/>
          <w:color w:val="auto"/>
          <w:kern w:val="2"/>
          <w:sz w:val="32"/>
          <w:szCs w:val="32"/>
          <w:highlight w:val="none"/>
          <w:lang w:val="en-US" w:eastAsia="zh-CN"/>
        </w:rPr>
        <w:t>.4</w:t>
      </w:r>
      <w:r>
        <w:rPr>
          <w:rFonts w:hint="eastAsia" w:ascii="宋体" w:hAnsi="宋体" w:eastAsia="宋体" w:cs="宋体"/>
          <w:b/>
          <w:bCs/>
          <w:color w:val="auto"/>
          <w:kern w:val="2"/>
          <w:sz w:val="32"/>
          <w:szCs w:val="32"/>
          <w:highlight w:val="none"/>
          <w:lang w:val="zh-CN"/>
        </w:rPr>
        <w:t xml:space="preserve"> 制造商资格声明和独家授权销售及售后服务承诺函（若投标人为制造商，必须提供制造商资格声明；若投标人为经销商，必须提供制造商资格声明和投标产品制造商出具的《独家授权销售及售后服务承诺函》）</w:t>
      </w:r>
      <w:bookmarkEnd w:id="725"/>
      <w:bookmarkEnd w:id="726"/>
      <w:bookmarkEnd w:id="727"/>
      <w:bookmarkEnd w:id="728"/>
      <w:bookmarkEnd w:id="729"/>
      <w:bookmarkEnd w:id="730"/>
      <w:bookmarkEnd w:id="731"/>
    </w:p>
    <w:p w14:paraId="2A85B02B">
      <w:pPr>
        <w:spacing w:line="360" w:lineRule="auto"/>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t>制造商资格声明</w:t>
      </w:r>
    </w:p>
    <w:p w14:paraId="7BE52A1D">
      <w:pPr>
        <w:snapToGrid w:val="0"/>
        <w:spacing w:line="360" w:lineRule="auto"/>
        <w:outlineLvl w:val="9"/>
        <w:rPr>
          <w:rFonts w:hint="eastAsia" w:ascii="宋体" w:hAnsi="宋体" w:eastAsia="宋体" w:cs="宋体"/>
          <w:color w:val="auto"/>
          <w:sz w:val="21"/>
          <w:szCs w:val="21"/>
          <w:highlight w:val="none"/>
        </w:rPr>
      </w:pPr>
      <w:bookmarkStart w:id="739" w:name="_Toc22921"/>
      <w:bookmarkStart w:id="740" w:name="_Toc9517"/>
      <w:r>
        <w:rPr>
          <w:rFonts w:hint="eastAsia" w:ascii="宋体" w:hAnsi="宋体" w:eastAsia="宋体" w:cs="宋体"/>
          <w:color w:val="auto"/>
          <w:sz w:val="21"/>
          <w:szCs w:val="21"/>
          <w:highlight w:val="none"/>
        </w:rPr>
        <w:t>1、名称及概况：</w:t>
      </w:r>
      <w:bookmarkEnd w:id="739"/>
      <w:bookmarkEnd w:id="740"/>
    </w:p>
    <w:p w14:paraId="321FA49A">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（1）制造商名称：</w:t>
      </w:r>
      <w:r>
        <w:rPr>
          <w:rFonts w:hint="eastAsia" w:ascii="宋体" w:hAnsi="宋体" w:eastAsia="宋体" w:cs="宋体"/>
          <w:color w:val="auto"/>
          <w:sz w:val="21"/>
          <w:szCs w:val="21"/>
          <w:highlight w:val="none"/>
          <w:u w:val="single"/>
        </w:rPr>
        <w:t xml:space="preserve">                                            </w:t>
      </w:r>
    </w:p>
    <w:p w14:paraId="414BC32F">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（2）总部地址：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008E09DA">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（3）电话号码：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传真：</w:t>
      </w:r>
      <w:r>
        <w:rPr>
          <w:rFonts w:hint="eastAsia" w:ascii="宋体" w:hAnsi="宋体" w:eastAsia="宋体" w:cs="宋体"/>
          <w:color w:val="auto"/>
          <w:sz w:val="21"/>
          <w:szCs w:val="21"/>
          <w:highlight w:val="none"/>
          <w:u w:val="single"/>
        </w:rPr>
        <w:t xml:space="preserve">                        </w:t>
      </w:r>
    </w:p>
    <w:p w14:paraId="2DCDF2E3">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（4）成立和/或注册日期：</w:t>
      </w:r>
      <w:r>
        <w:rPr>
          <w:rFonts w:hint="eastAsia" w:ascii="宋体" w:hAnsi="宋体" w:eastAsia="宋体" w:cs="宋体"/>
          <w:color w:val="auto"/>
          <w:sz w:val="21"/>
          <w:szCs w:val="21"/>
          <w:highlight w:val="none"/>
          <w:u w:val="single"/>
        </w:rPr>
        <w:t xml:space="preserve">                                     </w:t>
      </w:r>
    </w:p>
    <w:p w14:paraId="2492C2A4">
      <w:pPr>
        <w:autoSpaceDE/>
        <w:autoSpaceDN/>
        <w:snapToGrid w:val="0"/>
        <w:spacing w:line="360" w:lineRule="auto"/>
        <w:ind w:firstLine="210" w:firstLineChars="1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（5）实收资本：</w:t>
      </w:r>
      <w:r>
        <w:rPr>
          <w:rFonts w:hint="eastAsia" w:ascii="宋体" w:hAnsi="宋体" w:eastAsia="宋体" w:cs="宋体"/>
          <w:color w:val="auto"/>
          <w:sz w:val="21"/>
          <w:szCs w:val="21"/>
          <w:highlight w:val="none"/>
          <w:u w:val="single"/>
        </w:rPr>
        <w:t xml:space="preserve">                                              </w:t>
      </w:r>
    </w:p>
    <w:p w14:paraId="12AD9BF2">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（6）法定代表人姓名：</w:t>
      </w:r>
      <w:r>
        <w:rPr>
          <w:rFonts w:hint="eastAsia" w:ascii="宋体" w:hAnsi="宋体" w:eastAsia="宋体" w:cs="宋体"/>
          <w:color w:val="auto"/>
          <w:sz w:val="21"/>
          <w:szCs w:val="21"/>
          <w:highlight w:val="none"/>
          <w:u w:val="single"/>
        </w:rPr>
        <w:t xml:space="preserve">                                        </w:t>
      </w:r>
    </w:p>
    <w:p w14:paraId="130E9554">
      <w:pPr>
        <w:autoSpaceDE/>
        <w:autoSpaceDN/>
        <w:snapToGrid w:val="0"/>
        <w:spacing w:line="360" w:lineRule="auto"/>
        <w:ind w:firstLine="210" w:firstLineChars="1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（7）制造商代表姓名、联系电话和地址：</w:t>
      </w:r>
      <w:r>
        <w:rPr>
          <w:rFonts w:hint="eastAsia" w:ascii="宋体" w:hAnsi="宋体" w:eastAsia="宋体" w:cs="宋体"/>
          <w:color w:val="auto"/>
          <w:sz w:val="21"/>
          <w:szCs w:val="21"/>
          <w:highlight w:val="none"/>
          <w:u w:val="single"/>
        </w:rPr>
        <w:t xml:space="preserve">                        </w:t>
      </w:r>
    </w:p>
    <w:p w14:paraId="52C7841D">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（8）投标产品名称及品牌：</w:t>
      </w:r>
      <w:r>
        <w:rPr>
          <w:rFonts w:hint="eastAsia" w:ascii="宋体" w:hAnsi="宋体" w:eastAsia="宋体" w:cs="宋体"/>
          <w:color w:val="auto"/>
          <w:sz w:val="21"/>
          <w:szCs w:val="21"/>
          <w:highlight w:val="none"/>
          <w:u w:val="single"/>
        </w:rPr>
        <w:t xml:space="preserve">                                    </w:t>
      </w:r>
    </w:p>
    <w:p w14:paraId="104BA057">
      <w:pPr>
        <w:snapToGrid w:val="0"/>
        <w:spacing w:line="360" w:lineRule="auto"/>
        <w:outlineLvl w:val="9"/>
        <w:rPr>
          <w:rFonts w:hint="eastAsia" w:ascii="宋体" w:hAnsi="宋体" w:eastAsia="宋体" w:cs="宋体"/>
          <w:color w:val="auto"/>
          <w:sz w:val="21"/>
          <w:szCs w:val="21"/>
          <w:highlight w:val="none"/>
        </w:rPr>
      </w:pPr>
      <w:bookmarkStart w:id="741" w:name="_Toc766"/>
      <w:bookmarkStart w:id="742" w:name="_Toc16365"/>
      <w:r>
        <w:rPr>
          <w:rFonts w:hint="eastAsia" w:ascii="宋体" w:hAnsi="宋体" w:eastAsia="宋体" w:cs="宋体"/>
          <w:color w:val="auto"/>
          <w:sz w:val="21"/>
          <w:szCs w:val="21"/>
          <w:highlight w:val="none"/>
        </w:rPr>
        <w:t>2、制造投标货物的主要设备、设施及有关情况：</w:t>
      </w:r>
      <w:bookmarkEnd w:id="741"/>
      <w:bookmarkEnd w:id="742"/>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1763"/>
        <w:gridCol w:w="2450"/>
        <w:gridCol w:w="1325"/>
        <w:gridCol w:w="1288"/>
        <w:gridCol w:w="1225"/>
      </w:tblGrid>
      <w:tr w14:paraId="3EB8B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730" w:type="dxa"/>
            <w:noWrap w:val="0"/>
            <w:vAlign w:val="center"/>
          </w:tcPr>
          <w:p w14:paraId="46FFA5DF">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制造投标货物的工厂名称</w:t>
            </w:r>
          </w:p>
        </w:tc>
        <w:tc>
          <w:tcPr>
            <w:tcW w:w="1763" w:type="dxa"/>
            <w:noWrap w:val="0"/>
            <w:vAlign w:val="center"/>
          </w:tcPr>
          <w:p w14:paraId="42E5E6D1">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制造投标货物的工厂地址</w:t>
            </w:r>
          </w:p>
        </w:tc>
        <w:tc>
          <w:tcPr>
            <w:tcW w:w="2450" w:type="dxa"/>
            <w:noWrap w:val="0"/>
            <w:vAlign w:val="center"/>
          </w:tcPr>
          <w:p w14:paraId="01F9F1D9">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主要生产（存储、运输）设备设施名称及数量</w:t>
            </w:r>
          </w:p>
        </w:tc>
        <w:tc>
          <w:tcPr>
            <w:tcW w:w="1325" w:type="dxa"/>
            <w:noWrap w:val="0"/>
            <w:vAlign w:val="center"/>
          </w:tcPr>
          <w:p w14:paraId="600FA2A3">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购买年份</w:t>
            </w:r>
          </w:p>
        </w:tc>
        <w:tc>
          <w:tcPr>
            <w:tcW w:w="1288" w:type="dxa"/>
            <w:noWrap w:val="0"/>
            <w:vAlign w:val="center"/>
          </w:tcPr>
          <w:p w14:paraId="5D9D9F6B">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年生产能力</w:t>
            </w:r>
          </w:p>
        </w:tc>
        <w:tc>
          <w:tcPr>
            <w:tcW w:w="1225" w:type="dxa"/>
            <w:noWrap w:val="0"/>
            <w:vAlign w:val="center"/>
          </w:tcPr>
          <w:p w14:paraId="4DBFDD80">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职工人数</w:t>
            </w:r>
          </w:p>
        </w:tc>
      </w:tr>
      <w:tr w14:paraId="7DE86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730" w:type="dxa"/>
            <w:noWrap w:val="0"/>
            <w:vAlign w:val="center"/>
          </w:tcPr>
          <w:p w14:paraId="4F6209BD">
            <w:pPr>
              <w:snapToGrid w:val="0"/>
              <w:spacing w:line="360" w:lineRule="auto"/>
              <w:jc w:val="center"/>
              <w:rPr>
                <w:rFonts w:hint="eastAsia" w:ascii="宋体" w:hAnsi="宋体" w:eastAsia="宋体" w:cs="宋体"/>
                <w:color w:val="auto"/>
                <w:sz w:val="21"/>
                <w:szCs w:val="21"/>
                <w:highlight w:val="none"/>
              </w:rPr>
            </w:pPr>
          </w:p>
        </w:tc>
        <w:tc>
          <w:tcPr>
            <w:tcW w:w="1763" w:type="dxa"/>
            <w:noWrap w:val="0"/>
            <w:vAlign w:val="center"/>
          </w:tcPr>
          <w:p w14:paraId="04C6655D">
            <w:pPr>
              <w:snapToGrid w:val="0"/>
              <w:spacing w:line="360" w:lineRule="auto"/>
              <w:jc w:val="center"/>
              <w:rPr>
                <w:rFonts w:hint="eastAsia" w:ascii="宋体" w:hAnsi="宋体" w:eastAsia="宋体" w:cs="宋体"/>
                <w:color w:val="auto"/>
                <w:sz w:val="21"/>
                <w:szCs w:val="21"/>
                <w:highlight w:val="none"/>
              </w:rPr>
            </w:pPr>
          </w:p>
        </w:tc>
        <w:tc>
          <w:tcPr>
            <w:tcW w:w="2450" w:type="dxa"/>
            <w:noWrap w:val="0"/>
            <w:vAlign w:val="center"/>
          </w:tcPr>
          <w:p w14:paraId="0F3DD8FA">
            <w:pPr>
              <w:snapToGrid w:val="0"/>
              <w:spacing w:line="360" w:lineRule="auto"/>
              <w:jc w:val="center"/>
              <w:rPr>
                <w:rFonts w:hint="eastAsia" w:ascii="宋体" w:hAnsi="宋体" w:eastAsia="宋体" w:cs="宋体"/>
                <w:color w:val="auto"/>
                <w:sz w:val="21"/>
                <w:szCs w:val="21"/>
                <w:highlight w:val="none"/>
              </w:rPr>
            </w:pPr>
          </w:p>
        </w:tc>
        <w:tc>
          <w:tcPr>
            <w:tcW w:w="1325" w:type="dxa"/>
            <w:noWrap w:val="0"/>
            <w:vAlign w:val="center"/>
          </w:tcPr>
          <w:p w14:paraId="3DFB8708">
            <w:pPr>
              <w:snapToGrid w:val="0"/>
              <w:spacing w:line="360" w:lineRule="auto"/>
              <w:jc w:val="center"/>
              <w:rPr>
                <w:rFonts w:hint="eastAsia" w:ascii="宋体" w:hAnsi="宋体" w:eastAsia="宋体" w:cs="宋体"/>
                <w:color w:val="auto"/>
                <w:sz w:val="21"/>
                <w:szCs w:val="21"/>
                <w:highlight w:val="none"/>
              </w:rPr>
            </w:pPr>
          </w:p>
        </w:tc>
        <w:tc>
          <w:tcPr>
            <w:tcW w:w="1288" w:type="dxa"/>
            <w:noWrap w:val="0"/>
            <w:vAlign w:val="center"/>
          </w:tcPr>
          <w:p w14:paraId="6ECBDE0F">
            <w:pPr>
              <w:snapToGrid w:val="0"/>
              <w:spacing w:line="360" w:lineRule="auto"/>
              <w:jc w:val="center"/>
              <w:rPr>
                <w:rFonts w:hint="eastAsia" w:ascii="宋体" w:hAnsi="宋体" w:eastAsia="宋体" w:cs="宋体"/>
                <w:color w:val="auto"/>
                <w:sz w:val="21"/>
                <w:szCs w:val="21"/>
                <w:highlight w:val="none"/>
              </w:rPr>
            </w:pPr>
          </w:p>
        </w:tc>
        <w:tc>
          <w:tcPr>
            <w:tcW w:w="1225" w:type="dxa"/>
            <w:noWrap w:val="0"/>
            <w:vAlign w:val="center"/>
          </w:tcPr>
          <w:p w14:paraId="16DB964E">
            <w:pPr>
              <w:snapToGrid w:val="0"/>
              <w:spacing w:line="360" w:lineRule="auto"/>
              <w:jc w:val="center"/>
              <w:rPr>
                <w:rFonts w:hint="eastAsia" w:ascii="宋体" w:hAnsi="宋体" w:eastAsia="宋体" w:cs="宋体"/>
                <w:color w:val="auto"/>
                <w:sz w:val="21"/>
                <w:szCs w:val="21"/>
                <w:highlight w:val="none"/>
              </w:rPr>
            </w:pPr>
          </w:p>
        </w:tc>
      </w:tr>
      <w:tr w14:paraId="1E8FD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730" w:type="dxa"/>
            <w:noWrap w:val="0"/>
            <w:vAlign w:val="center"/>
          </w:tcPr>
          <w:p w14:paraId="05449709">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763" w:type="dxa"/>
            <w:noWrap w:val="0"/>
            <w:vAlign w:val="center"/>
          </w:tcPr>
          <w:p w14:paraId="1602B22A">
            <w:pPr>
              <w:snapToGrid w:val="0"/>
              <w:spacing w:line="360" w:lineRule="auto"/>
              <w:jc w:val="center"/>
              <w:rPr>
                <w:rFonts w:hint="eastAsia" w:ascii="宋体" w:hAnsi="宋体" w:eastAsia="宋体" w:cs="宋体"/>
                <w:color w:val="auto"/>
                <w:sz w:val="21"/>
                <w:szCs w:val="21"/>
                <w:highlight w:val="none"/>
              </w:rPr>
            </w:pPr>
          </w:p>
        </w:tc>
        <w:tc>
          <w:tcPr>
            <w:tcW w:w="2450" w:type="dxa"/>
            <w:noWrap w:val="0"/>
            <w:vAlign w:val="center"/>
          </w:tcPr>
          <w:p w14:paraId="0AE242AF">
            <w:pPr>
              <w:snapToGrid w:val="0"/>
              <w:spacing w:line="360" w:lineRule="auto"/>
              <w:jc w:val="center"/>
              <w:rPr>
                <w:rFonts w:hint="eastAsia" w:ascii="宋体" w:hAnsi="宋体" w:eastAsia="宋体" w:cs="宋体"/>
                <w:color w:val="auto"/>
                <w:sz w:val="21"/>
                <w:szCs w:val="21"/>
                <w:highlight w:val="none"/>
              </w:rPr>
            </w:pPr>
          </w:p>
        </w:tc>
        <w:tc>
          <w:tcPr>
            <w:tcW w:w="1325" w:type="dxa"/>
            <w:noWrap w:val="0"/>
            <w:vAlign w:val="center"/>
          </w:tcPr>
          <w:p w14:paraId="75283156">
            <w:pPr>
              <w:snapToGrid w:val="0"/>
              <w:spacing w:line="360" w:lineRule="auto"/>
              <w:jc w:val="center"/>
              <w:rPr>
                <w:rFonts w:hint="eastAsia" w:ascii="宋体" w:hAnsi="宋体" w:eastAsia="宋体" w:cs="宋体"/>
                <w:color w:val="auto"/>
                <w:sz w:val="21"/>
                <w:szCs w:val="21"/>
                <w:highlight w:val="none"/>
              </w:rPr>
            </w:pPr>
          </w:p>
        </w:tc>
        <w:tc>
          <w:tcPr>
            <w:tcW w:w="1288" w:type="dxa"/>
            <w:noWrap w:val="0"/>
            <w:vAlign w:val="center"/>
          </w:tcPr>
          <w:p w14:paraId="1DF48BD0">
            <w:pPr>
              <w:snapToGrid w:val="0"/>
              <w:spacing w:line="360" w:lineRule="auto"/>
              <w:jc w:val="center"/>
              <w:rPr>
                <w:rFonts w:hint="eastAsia" w:ascii="宋体" w:hAnsi="宋体" w:eastAsia="宋体" w:cs="宋体"/>
                <w:color w:val="auto"/>
                <w:sz w:val="21"/>
                <w:szCs w:val="21"/>
                <w:highlight w:val="none"/>
              </w:rPr>
            </w:pPr>
          </w:p>
        </w:tc>
        <w:tc>
          <w:tcPr>
            <w:tcW w:w="1225" w:type="dxa"/>
            <w:noWrap w:val="0"/>
            <w:vAlign w:val="center"/>
          </w:tcPr>
          <w:p w14:paraId="5197C029">
            <w:pPr>
              <w:snapToGrid w:val="0"/>
              <w:spacing w:line="360" w:lineRule="auto"/>
              <w:jc w:val="center"/>
              <w:rPr>
                <w:rFonts w:hint="eastAsia" w:ascii="宋体" w:hAnsi="宋体" w:eastAsia="宋体" w:cs="宋体"/>
                <w:color w:val="auto"/>
                <w:sz w:val="21"/>
                <w:szCs w:val="21"/>
                <w:highlight w:val="none"/>
              </w:rPr>
            </w:pPr>
          </w:p>
        </w:tc>
      </w:tr>
    </w:tbl>
    <w:p w14:paraId="699E0A20">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3、投标货物中本制造商不生产，而需从其它制造商购买的主要材料：</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3"/>
        <w:gridCol w:w="3400"/>
        <w:gridCol w:w="2988"/>
      </w:tblGrid>
      <w:tr w14:paraId="3213D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393" w:type="dxa"/>
            <w:noWrap w:val="0"/>
            <w:vAlign w:val="center"/>
          </w:tcPr>
          <w:p w14:paraId="10C22E7E">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主要材料名称</w:t>
            </w:r>
          </w:p>
        </w:tc>
        <w:tc>
          <w:tcPr>
            <w:tcW w:w="3400" w:type="dxa"/>
            <w:noWrap w:val="0"/>
            <w:vAlign w:val="center"/>
          </w:tcPr>
          <w:p w14:paraId="671ADE8B">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制造厂名称</w:t>
            </w:r>
          </w:p>
        </w:tc>
        <w:tc>
          <w:tcPr>
            <w:tcW w:w="2988" w:type="dxa"/>
            <w:noWrap w:val="0"/>
            <w:vAlign w:val="center"/>
          </w:tcPr>
          <w:p w14:paraId="7ABABF30">
            <w:pPr>
              <w:snapToGrid w:val="0"/>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r>
      <w:tr w14:paraId="30ED2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393" w:type="dxa"/>
            <w:noWrap w:val="0"/>
            <w:vAlign w:val="center"/>
          </w:tcPr>
          <w:p w14:paraId="0A9052A2">
            <w:pPr>
              <w:snapToGrid w:val="0"/>
              <w:spacing w:line="360" w:lineRule="auto"/>
              <w:jc w:val="center"/>
              <w:rPr>
                <w:rFonts w:hint="eastAsia" w:ascii="宋体" w:hAnsi="宋体" w:eastAsia="宋体" w:cs="宋体"/>
                <w:color w:val="auto"/>
                <w:sz w:val="21"/>
                <w:szCs w:val="21"/>
                <w:highlight w:val="none"/>
              </w:rPr>
            </w:pPr>
          </w:p>
        </w:tc>
        <w:tc>
          <w:tcPr>
            <w:tcW w:w="3400" w:type="dxa"/>
            <w:noWrap w:val="0"/>
            <w:vAlign w:val="center"/>
          </w:tcPr>
          <w:p w14:paraId="48E3E3E9">
            <w:pPr>
              <w:snapToGrid w:val="0"/>
              <w:spacing w:line="360" w:lineRule="auto"/>
              <w:jc w:val="center"/>
              <w:rPr>
                <w:rFonts w:hint="eastAsia" w:ascii="宋体" w:hAnsi="宋体" w:eastAsia="宋体" w:cs="宋体"/>
                <w:color w:val="auto"/>
                <w:sz w:val="21"/>
                <w:szCs w:val="21"/>
                <w:highlight w:val="none"/>
              </w:rPr>
            </w:pPr>
          </w:p>
        </w:tc>
        <w:tc>
          <w:tcPr>
            <w:tcW w:w="2988" w:type="dxa"/>
            <w:noWrap w:val="0"/>
            <w:vAlign w:val="center"/>
          </w:tcPr>
          <w:p w14:paraId="2255B3B1">
            <w:pPr>
              <w:snapToGrid w:val="0"/>
              <w:spacing w:line="360" w:lineRule="auto"/>
              <w:jc w:val="center"/>
              <w:rPr>
                <w:rFonts w:hint="eastAsia" w:ascii="宋体" w:hAnsi="宋体" w:eastAsia="宋体" w:cs="宋体"/>
                <w:color w:val="auto"/>
                <w:sz w:val="21"/>
                <w:szCs w:val="21"/>
                <w:highlight w:val="none"/>
              </w:rPr>
            </w:pPr>
          </w:p>
        </w:tc>
      </w:tr>
      <w:tr w14:paraId="495E9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393" w:type="dxa"/>
            <w:noWrap w:val="0"/>
            <w:vAlign w:val="center"/>
          </w:tcPr>
          <w:p w14:paraId="6BA4372B">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400" w:type="dxa"/>
            <w:noWrap w:val="0"/>
            <w:vAlign w:val="center"/>
          </w:tcPr>
          <w:p w14:paraId="46A920A2">
            <w:pPr>
              <w:snapToGrid w:val="0"/>
              <w:spacing w:line="360" w:lineRule="auto"/>
              <w:jc w:val="center"/>
              <w:rPr>
                <w:rFonts w:hint="eastAsia" w:ascii="宋体" w:hAnsi="宋体" w:eastAsia="宋体" w:cs="宋体"/>
                <w:color w:val="auto"/>
                <w:sz w:val="21"/>
                <w:szCs w:val="21"/>
                <w:highlight w:val="none"/>
              </w:rPr>
            </w:pPr>
          </w:p>
        </w:tc>
        <w:tc>
          <w:tcPr>
            <w:tcW w:w="2988" w:type="dxa"/>
            <w:noWrap w:val="0"/>
            <w:vAlign w:val="center"/>
          </w:tcPr>
          <w:p w14:paraId="68EB0A21">
            <w:pPr>
              <w:snapToGrid w:val="0"/>
              <w:spacing w:line="360" w:lineRule="auto"/>
              <w:jc w:val="center"/>
              <w:rPr>
                <w:rFonts w:hint="eastAsia" w:ascii="宋体" w:hAnsi="宋体" w:eastAsia="宋体" w:cs="宋体"/>
                <w:color w:val="auto"/>
                <w:sz w:val="21"/>
                <w:szCs w:val="21"/>
                <w:highlight w:val="none"/>
              </w:rPr>
            </w:pPr>
          </w:p>
        </w:tc>
      </w:tr>
    </w:tbl>
    <w:p w14:paraId="6CBFC681">
      <w:pPr>
        <w:snapToGrid w:val="0"/>
        <w:spacing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4、近三年该货物主要销售给国内、外主要客户的名称地址：</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3"/>
        <w:gridCol w:w="3400"/>
        <w:gridCol w:w="3000"/>
      </w:tblGrid>
      <w:tr w14:paraId="7CFCA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rPr>
        <w:tc>
          <w:tcPr>
            <w:tcW w:w="3393" w:type="dxa"/>
            <w:noWrap w:val="0"/>
            <w:vAlign w:val="center"/>
          </w:tcPr>
          <w:p w14:paraId="2A532FEA">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客户名称</w:t>
            </w:r>
          </w:p>
        </w:tc>
        <w:tc>
          <w:tcPr>
            <w:tcW w:w="3400" w:type="dxa"/>
            <w:noWrap w:val="0"/>
            <w:vAlign w:val="center"/>
          </w:tcPr>
          <w:p w14:paraId="53F9872B">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销售货物</w:t>
            </w:r>
          </w:p>
        </w:tc>
        <w:tc>
          <w:tcPr>
            <w:tcW w:w="3000" w:type="dxa"/>
            <w:noWrap w:val="0"/>
            <w:vAlign w:val="center"/>
          </w:tcPr>
          <w:p w14:paraId="4FB34E88">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r>
      <w:tr w14:paraId="5DBE9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3" w:type="dxa"/>
            <w:noWrap w:val="0"/>
            <w:vAlign w:val="center"/>
          </w:tcPr>
          <w:p w14:paraId="172F0667">
            <w:pPr>
              <w:snapToGrid w:val="0"/>
              <w:spacing w:line="360" w:lineRule="auto"/>
              <w:jc w:val="center"/>
              <w:rPr>
                <w:rFonts w:hint="eastAsia" w:ascii="宋体" w:hAnsi="宋体" w:eastAsia="宋体" w:cs="宋体"/>
                <w:color w:val="auto"/>
                <w:sz w:val="21"/>
                <w:szCs w:val="21"/>
                <w:highlight w:val="none"/>
              </w:rPr>
            </w:pPr>
          </w:p>
        </w:tc>
        <w:tc>
          <w:tcPr>
            <w:tcW w:w="3400" w:type="dxa"/>
            <w:noWrap w:val="0"/>
            <w:vAlign w:val="center"/>
          </w:tcPr>
          <w:p w14:paraId="0D9E418E">
            <w:pPr>
              <w:snapToGrid w:val="0"/>
              <w:spacing w:line="360" w:lineRule="auto"/>
              <w:ind w:left="342"/>
              <w:jc w:val="center"/>
              <w:rPr>
                <w:rFonts w:hint="eastAsia" w:ascii="宋体" w:hAnsi="宋体" w:eastAsia="宋体" w:cs="宋体"/>
                <w:snapToGrid w:val="0"/>
                <w:color w:val="auto"/>
                <w:sz w:val="21"/>
                <w:szCs w:val="21"/>
                <w:highlight w:val="none"/>
              </w:rPr>
            </w:pPr>
          </w:p>
        </w:tc>
        <w:tc>
          <w:tcPr>
            <w:tcW w:w="3000" w:type="dxa"/>
            <w:noWrap w:val="0"/>
            <w:vAlign w:val="center"/>
          </w:tcPr>
          <w:p w14:paraId="6D065309">
            <w:pPr>
              <w:snapToGrid w:val="0"/>
              <w:spacing w:line="360" w:lineRule="auto"/>
              <w:ind w:left="342"/>
              <w:jc w:val="center"/>
              <w:rPr>
                <w:rFonts w:hint="eastAsia" w:ascii="宋体" w:hAnsi="宋体" w:eastAsia="宋体" w:cs="宋体"/>
                <w:snapToGrid w:val="0"/>
                <w:color w:val="auto"/>
                <w:sz w:val="21"/>
                <w:szCs w:val="21"/>
                <w:highlight w:val="none"/>
              </w:rPr>
            </w:pPr>
          </w:p>
        </w:tc>
      </w:tr>
      <w:tr w14:paraId="6A54D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393" w:type="dxa"/>
            <w:noWrap w:val="0"/>
            <w:vAlign w:val="center"/>
          </w:tcPr>
          <w:p w14:paraId="62BF4F50">
            <w:pPr>
              <w:snapToGrid w:val="0"/>
              <w:spacing w:line="360" w:lineRule="auto"/>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w:t>
            </w:r>
          </w:p>
        </w:tc>
        <w:tc>
          <w:tcPr>
            <w:tcW w:w="3400" w:type="dxa"/>
            <w:noWrap w:val="0"/>
            <w:vAlign w:val="center"/>
          </w:tcPr>
          <w:p w14:paraId="54100AE4">
            <w:pPr>
              <w:snapToGrid w:val="0"/>
              <w:spacing w:line="360" w:lineRule="auto"/>
              <w:ind w:left="357"/>
              <w:jc w:val="center"/>
              <w:rPr>
                <w:rFonts w:hint="eastAsia" w:ascii="宋体" w:hAnsi="宋体" w:eastAsia="宋体" w:cs="宋体"/>
                <w:snapToGrid w:val="0"/>
                <w:color w:val="auto"/>
                <w:sz w:val="21"/>
                <w:szCs w:val="21"/>
                <w:highlight w:val="none"/>
              </w:rPr>
            </w:pPr>
          </w:p>
        </w:tc>
        <w:tc>
          <w:tcPr>
            <w:tcW w:w="3000" w:type="dxa"/>
            <w:noWrap w:val="0"/>
            <w:vAlign w:val="center"/>
          </w:tcPr>
          <w:p w14:paraId="5D2BF49B">
            <w:pPr>
              <w:snapToGrid w:val="0"/>
              <w:spacing w:line="360" w:lineRule="auto"/>
              <w:ind w:left="357"/>
              <w:jc w:val="center"/>
              <w:rPr>
                <w:rFonts w:hint="eastAsia" w:ascii="宋体" w:hAnsi="宋体" w:eastAsia="宋体" w:cs="宋体"/>
                <w:snapToGrid w:val="0"/>
                <w:color w:val="auto"/>
                <w:sz w:val="21"/>
                <w:szCs w:val="21"/>
                <w:highlight w:val="none"/>
              </w:rPr>
            </w:pPr>
          </w:p>
        </w:tc>
      </w:tr>
    </w:tbl>
    <w:p w14:paraId="2B0BB0A6">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5、生产及管理人员</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196"/>
        <w:gridCol w:w="692"/>
        <w:gridCol w:w="692"/>
        <w:gridCol w:w="692"/>
        <w:gridCol w:w="1165"/>
        <w:gridCol w:w="1265"/>
        <w:gridCol w:w="800"/>
        <w:gridCol w:w="1725"/>
        <w:gridCol w:w="900"/>
      </w:tblGrid>
      <w:tr w14:paraId="5B078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666" w:type="dxa"/>
            <w:noWrap w:val="0"/>
            <w:vAlign w:val="center"/>
          </w:tcPr>
          <w:p w14:paraId="24EAECBF">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96" w:type="dxa"/>
            <w:noWrap w:val="0"/>
            <w:vAlign w:val="center"/>
          </w:tcPr>
          <w:p w14:paraId="284C5A61">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692" w:type="dxa"/>
            <w:noWrap w:val="0"/>
            <w:vAlign w:val="center"/>
          </w:tcPr>
          <w:p w14:paraId="4235D325">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692" w:type="dxa"/>
            <w:noWrap w:val="0"/>
            <w:vAlign w:val="center"/>
          </w:tcPr>
          <w:p w14:paraId="086D5B7C">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692" w:type="dxa"/>
            <w:noWrap w:val="0"/>
            <w:vAlign w:val="center"/>
          </w:tcPr>
          <w:p w14:paraId="3EC106E1">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1165" w:type="dxa"/>
            <w:noWrap w:val="0"/>
            <w:vAlign w:val="center"/>
          </w:tcPr>
          <w:p w14:paraId="596767D5">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所学专业</w:t>
            </w:r>
          </w:p>
        </w:tc>
        <w:tc>
          <w:tcPr>
            <w:tcW w:w="1265" w:type="dxa"/>
            <w:noWrap w:val="0"/>
            <w:vAlign w:val="center"/>
          </w:tcPr>
          <w:p w14:paraId="1F07A725">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资格/职称证书</w:t>
            </w:r>
          </w:p>
        </w:tc>
        <w:tc>
          <w:tcPr>
            <w:tcW w:w="800" w:type="dxa"/>
            <w:noWrap w:val="0"/>
            <w:vAlign w:val="center"/>
          </w:tcPr>
          <w:p w14:paraId="1FCD5FDE">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1725" w:type="dxa"/>
            <w:noWrap w:val="0"/>
            <w:vAlign w:val="center"/>
          </w:tcPr>
          <w:p w14:paraId="02AD0E18">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从事本行业年限</w:t>
            </w:r>
          </w:p>
        </w:tc>
        <w:tc>
          <w:tcPr>
            <w:tcW w:w="900" w:type="dxa"/>
            <w:noWrap w:val="0"/>
            <w:vAlign w:val="center"/>
          </w:tcPr>
          <w:p w14:paraId="0558473E">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523C0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66" w:type="dxa"/>
            <w:noWrap w:val="0"/>
            <w:vAlign w:val="center"/>
          </w:tcPr>
          <w:p w14:paraId="64A0BCB9">
            <w:pPr>
              <w:snapToGrid w:val="0"/>
              <w:spacing w:line="360" w:lineRule="auto"/>
              <w:jc w:val="center"/>
              <w:rPr>
                <w:rFonts w:hint="eastAsia" w:ascii="宋体" w:hAnsi="宋体" w:eastAsia="宋体" w:cs="宋体"/>
                <w:color w:val="auto"/>
                <w:sz w:val="21"/>
                <w:szCs w:val="21"/>
                <w:highlight w:val="none"/>
              </w:rPr>
            </w:pPr>
          </w:p>
        </w:tc>
        <w:tc>
          <w:tcPr>
            <w:tcW w:w="1196" w:type="dxa"/>
            <w:noWrap w:val="0"/>
            <w:vAlign w:val="center"/>
          </w:tcPr>
          <w:p w14:paraId="2B063138">
            <w:pPr>
              <w:snapToGrid w:val="0"/>
              <w:spacing w:line="360" w:lineRule="auto"/>
              <w:jc w:val="center"/>
              <w:rPr>
                <w:rFonts w:hint="eastAsia" w:ascii="宋体" w:hAnsi="宋体" w:eastAsia="宋体" w:cs="宋体"/>
                <w:color w:val="auto"/>
                <w:sz w:val="21"/>
                <w:szCs w:val="21"/>
                <w:highlight w:val="none"/>
              </w:rPr>
            </w:pPr>
          </w:p>
        </w:tc>
        <w:tc>
          <w:tcPr>
            <w:tcW w:w="692" w:type="dxa"/>
            <w:noWrap w:val="0"/>
            <w:vAlign w:val="center"/>
          </w:tcPr>
          <w:p w14:paraId="26259358">
            <w:pPr>
              <w:snapToGrid w:val="0"/>
              <w:spacing w:line="360" w:lineRule="auto"/>
              <w:jc w:val="center"/>
              <w:rPr>
                <w:rFonts w:hint="eastAsia" w:ascii="宋体" w:hAnsi="宋体" w:eastAsia="宋体" w:cs="宋体"/>
                <w:color w:val="auto"/>
                <w:sz w:val="21"/>
                <w:szCs w:val="21"/>
                <w:highlight w:val="none"/>
              </w:rPr>
            </w:pPr>
          </w:p>
        </w:tc>
        <w:tc>
          <w:tcPr>
            <w:tcW w:w="692" w:type="dxa"/>
            <w:noWrap w:val="0"/>
            <w:vAlign w:val="center"/>
          </w:tcPr>
          <w:p w14:paraId="771BDD92">
            <w:pPr>
              <w:snapToGrid w:val="0"/>
              <w:spacing w:line="360" w:lineRule="auto"/>
              <w:jc w:val="center"/>
              <w:rPr>
                <w:rFonts w:hint="eastAsia" w:ascii="宋体" w:hAnsi="宋体" w:eastAsia="宋体" w:cs="宋体"/>
                <w:color w:val="auto"/>
                <w:sz w:val="21"/>
                <w:szCs w:val="21"/>
                <w:highlight w:val="none"/>
              </w:rPr>
            </w:pPr>
          </w:p>
        </w:tc>
        <w:tc>
          <w:tcPr>
            <w:tcW w:w="692" w:type="dxa"/>
            <w:noWrap w:val="0"/>
            <w:vAlign w:val="center"/>
          </w:tcPr>
          <w:p w14:paraId="2084B9FB">
            <w:pPr>
              <w:snapToGrid w:val="0"/>
              <w:spacing w:line="360" w:lineRule="auto"/>
              <w:jc w:val="center"/>
              <w:rPr>
                <w:rFonts w:hint="eastAsia" w:ascii="宋体" w:hAnsi="宋体" w:eastAsia="宋体" w:cs="宋体"/>
                <w:color w:val="auto"/>
                <w:sz w:val="21"/>
                <w:szCs w:val="21"/>
                <w:highlight w:val="none"/>
              </w:rPr>
            </w:pPr>
          </w:p>
        </w:tc>
        <w:tc>
          <w:tcPr>
            <w:tcW w:w="1165" w:type="dxa"/>
            <w:noWrap w:val="0"/>
            <w:vAlign w:val="center"/>
          </w:tcPr>
          <w:p w14:paraId="0CDC04BE">
            <w:pPr>
              <w:snapToGrid w:val="0"/>
              <w:spacing w:line="360" w:lineRule="auto"/>
              <w:jc w:val="center"/>
              <w:rPr>
                <w:rFonts w:hint="eastAsia" w:ascii="宋体" w:hAnsi="宋体" w:eastAsia="宋体" w:cs="宋体"/>
                <w:color w:val="auto"/>
                <w:sz w:val="21"/>
                <w:szCs w:val="21"/>
                <w:highlight w:val="none"/>
              </w:rPr>
            </w:pPr>
          </w:p>
        </w:tc>
        <w:tc>
          <w:tcPr>
            <w:tcW w:w="1265" w:type="dxa"/>
            <w:noWrap w:val="0"/>
            <w:vAlign w:val="center"/>
          </w:tcPr>
          <w:p w14:paraId="61FA15F6">
            <w:pPr>
              <w:snapToGrid w:val="0"/>
              <w:spacing w:line="360" w:lineRule="auto"/>
              <w:jc w:val="center"/>
              <w:rPr>
                <w:rFonts w:hint="eastAsia" w:ascii="宋体" w:hAnsi="宋体" w:eastAsia="宋体" w:cs="宋体"/>
                <w:color w:val="auto"/>
                <w:sz w:val="21"/>
                <w:szCs w:val="21"/>
                <w:highlight w:val="none"/>
              </w:rPr>
            </w:pPr>
          </w:p>
        </w:tc>
        <w:tc>
          <w:tcPr>
            <w:tcW w:w="800" w:type="dxa"/>
            <w:noWrap w:val="0"/>
            <w:vAlign w:val="center"/>
          </w:tcPr>
          <w:p w14:paraId="7DC0603E">
            <w:pPr>
              <w:snapToGrid w:val="0"/>
              <w:spacing w:line="360" w:lineRule="auto"/>
              <w:jc w:val="center"/>
              <w:rPr>
                <w:rFonts w:hint="eastAsia" w:ascii="宋体" w:hAnsi="宋体" w:eastAsia="宋体" w:cs="宋体"/>
                <w:color w:val="auto"/>
                <w:sz w:val="21"/>
                <w:szCs w:val="21"/>
                <w:highlight w:val="none"/>
              </w:rPr>
            </w:pPr>
          </w:p>
        </w:tc>
        <w:tc>
          <w:tcPr>
            <w:tcW w:w="1725" w:type="dxa"/>
            <w:noWrap w:val="0"/>
            <w:vAlign w:val="center"/>
          </w:tcPr>
          <w:p w14:paraId="610D7350">
            <w:pPr>
              <w:snapToGrid w:val="0"/>
              <w:spacing w:line="360" w:lineRule="auto"/>
              <w:jc w:val="center"/>
              <w:rPr>
                <w:rFonts w:hint="eastAsia" w:ascii="宋体" w:hAnsi="宋体" w:eastAsia="宋体" w:cs="宋体"/>
                <w:color w:val="auto"/>
                <w:sz w:val="21"/>
                <w:szCs w:val="21"/>
                <w:highlight w:val="none"/>
              </w:rPr>
            </w:pPr>
          </w:p>
        </w:tc>
        <w:tc>
          <w:tcPr>
            <w:tcW w:w="900" w:type="dxa"/>
            <w:noWrap w:val="0"/>
            <w:vAlign w:val="center"/>
          </w:tcPr>
          <w:p w14:paraId="224DE0E5">
            <w:pPr>
              <w:snapToGrid w:val="0"/>
              <w:spacing w:line="360" w:lineRule="auto"/>
              <w:jc w:val="center"/>
              <w:rPr>
                <w:rFonts w:hint="eastAsia" w:ascii="宋体" w:hAnsi="宋体" w:eastAsia="宋体" w:cs="宋体"/>
                <w:color w:val="auto"/>
                <w:sz w:val="21"/>
                <w:szCs w:val="21"/>
                <w:highlight w:val="none"/>
              </w:rPr>
            </w:pPr>
          </w:p>
        </w:tc>
      </w:tr>
      <w:tr w14:paraId="2A1AA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66" w:type="dxa"/>
            <w:noWrap w:val="0"/>
            <w:vAlign w:val="center"/>
          </w:tcPr>
          <w:p w14:paraId="20EB061A">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96" w:type="dxa"/>
            <w:noWrap w:val="0"/>
            <w:vAlign w:val="center"/>
          </w:tcPr>
          <w:p w14:paraId="21E64694">
            <w:pPr>
              <w:snapToGrid w:val="0"/>
              <w:spacing w:line="360" w:lineRule="auto"/>
              <w:jc w:val="center"/>
              <w:rPr>
                <w:rFonts w:hint="eastAsia" w:ascii="宋体" w:hAnsi="宋体" w:eastAsia="宋体" w:cs="宋体"/>
                <w:color w:val="auto"/>
                <w:sz w:val="21"/>
                <w:szCs w:val="21"/>
                <w:highlight w:val="none"/>
              </w:rPr>
            </w:pPr>
          </w:p>
        </w:tc>
        <w:tc>
          <w:tcPr>
            <w:tcW w:w="692" w:type="dxa"/>
            <w:noWrap w:val="0"/>
            <w:vAlign w:val="center"/>
          </w:tcPr>
          <w:p w14:paraId="520B503F">
            <w:pPr>
              <w:snapToGrid w:val="0"/>
              <w:spacing w:line="360" w:lineRule="auto"/>
              <w:jc w:val="center"/>
              <w:rPr>
                <w:rFonts w:hint="eastAsia" w:ascii="宋体" w:hAnsi="宋体" w:eastAsia="宋体" w:cs="宋体"/>
                <w:color w:val="auto"/>
                <w:sz w:val="21"/>
                <w:szCs w:val="21"/>
                <w:highlight w:val="none"/>
              </w:rPr>
            </w:pPr>
          </w:p>
        </w:tc>
        <w:tc>
          <w:tcPr>
            <w:tcW w:w="692" w:type="dxa"/>
            <w:noWrap w:val="0"/>
            <w:vAlign w:val="center"/>
          </w:tcPr>
          <w:p w14:paraId="13A8F307">
            <w:pPr>
              <w:snapToGrid w:val="0"/>
              <w:spacing w:line="360" w:lineRule="auto"/>
              <w:jc w:val="center"/>
              <w:rPr>
                <w:rFonts w:hint="eastAsia" w:ascii="宋体" w:hAnsi="宋体" w:eastAsia="宋体" w:cs="宋体"/>
                <w:color w:val="auto"/>
                <w:sz w:val="21"/>
                <w:szCs w:val="21"/>
                <w:highlight w:val="none"/>
              </w:rPr>
            </w:pPr>
          </w:p>
        </w:tc>
        <w:tc>
          <w:tcPr>
            <w:tcW w:w="692" w:type="dxa"/>
            <w:noWrap w:val="0"/>
            <w:vAlign w:val="center"/>
          </w:tcPr>
          <w:p w14:paraId="6CAAFF20">
            <w:pPr>
              <w:snapToGrid w:val="0"/>
              <w:spacing w:line="360" w:lineRule="auto"/>
              <w:jc w:val="center"/>
              <w:rPr>
                <w:rFonts w:hint="eastAsia" w:ascii="宋体" w:hAnsi="宋体" w:eastAsia="宋体" w:cs="宋体"/>
                <w:color w:val="auto"/>
                <w:sz w:val="21"/>
                <w:szCs w:val="21"/>
                <w:highlight w:val="none"/>
              </w:rPr>
            </w:pPr>
          </w:p>
        </w:tc>
        <w:tc>
          <w:tcPr>
            <w:tcW w:w="1165" w:type="dxa"/>
            <w:noWrap w:val="0"/>
            <w:vAlign w:val="center"/>
          </w:tcPr>
          <w:p w14:paraId="360B4508">
            <w:pPr>
              <w:snapToGrid w:val="0"/>
              <w:spacing w:line="360" w:lineRule="auto"/>
              <w:jc w:val="center"/>
              <w:rPr>
                <w:rFonts w:hint="eastAsia" w:ascii="宋体" w:hAnsi="宋体" w:eastAsia="宋体" w:cs="宋体"/>
                <w:color w:val="auto"/>
                <w:sz w:val="21"/>
                <w:szCs w:val="21"/>
                <w:highlight w:val="none"/>
              </w:rPr>
            </w:pPr>
          </w:p>
        </w:tc>
        <w:tc>
          <w:tcPr>
            <w:tcW w:w="1265" w:type="dxa"/>
            <w:noWrap w:val="0"/>
            <w:vAlign w:val="center"/>
          </w:tcPr>
          <w:p w14:paraId="72B340F5">
            <w:pPr>
              <w:snapToGrid w:val="0"/>
              <w:spacing w:line="360" w:lineRule="auto"/>
              <w:jc w:val="center"/>
              <w:rPr>
                <w:rFonts w:hint="eastAsia" w:ascii="宋体" w:hAnsi="宋体" w:eastAsia="宋体" w:cs="宋体"/>
                <w:color w:val="auto"/>
                <w:sz w:val="21"/>
                <w:szCs w:val="21"/>
                <w:highlight w:val="none"/>
              </w:rPr>
            </w:pPr>
          </w:p>
        </w:tc>
        <w:tc>
          <w:tcPr>
            <w:tcW w:w="800" w:type="dxa"/>
            <w:noWrap w:val="0"/>
            <w:vAlign w:val="center"/>
          </w:tcPr>
          <w:p w14:paraId="30F3ED46">
            <w:pPr>
              <w:snapToGrid w:val="0"/>
              <w:spacing w:line="360" w:lineRule="auto"/>
              <w:jc w:val="center"/>
              <w:rPr>
                <w:rFonts w:hint="eastAsia" w:ascii="宋体" w:hAnsi="宋体" w:eastAsia="宋体" w:cs="宋体"/>
                <w:color w:val="auto"/>
                <w:sz w:val="21"/>
                <w:szCs w:val="21"/>
                <w:highlight w:val="none"/>
              </w:rPr>
            </w:pPr>
          </w:p>
        </w:tc>
        <w:tc>
          <w:tcPr>
            <w:tcW w:w="1725" w:type="dxa"/>
            <w:noWrap w:val="0"/>
            <w:vAlign w:val="center"/>
          </w:tcPr>
          <w:p w14:paraId="6570FC18">
            <w:pPr>
              <w:snapToGrid w:val="0"/>
              <w:spacing w:line="360" w:lineRule="auto"/>
              <w:jc w:val="center"/>
              <w:rPr>
                <w:rFonts w:hint="eastAsia" w:ascii="宋体" w:hAnsi="宋体" w:eastAsia="宋体" w:cs="宋体"/>
                <w:color w:val="auto"/>
                <w:sz w:val="21"/>
                <w:szCs w:val="21"/>
                <w:highlight w:val="none"/>
              </w:rPr>
            </w:pPr>
          </w:p>
        </w:tc>
        <w:tc>
          <w:tcPr>
            <w:tcW w:w="900" w:type="dxa"/>
            <w:noWrap w:val="0"/>
            <w:vAlign w:val="center"/>
          </w:tcPr>
          <w:p w14:paraId="0224B906">
            <w:pPr>
              <w:snapToGrid w:val="0"/>
              <w:spacing w:line="360" w:lineRule="auto"/>
              <w:jc w:val="center"/>
              <w:rPr>
                <w:rFonts w:hint="eastAsia" w:ascii="宋体" w:hAnsi="宋体" w:eastAsia="宋体" w:cs="宋体"/>
                <w:color w:val="auto"/>
                <w:sz w:val="21"/>
                <w:szCs w:val="21"/>
                <w:highlight w:val="none"/>
              </w:rPr>
            </w:pPr>
          </w:p>
        </w:tc>
      </w:tr>
    </w:tbl>
    <w:p w14:paraId="13BDE560">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6、其他情况：(公司简介、技术力量、本制造商生产投标货物的经验等)</w:t>
      </w:r>
    </w:p>
    <w:p w14:paraId="5B4A3C96">
      <w:pPr>
        <w:pStyle w:val="20"/>
        <w:snapToGrid w:val="0"/>
        <w:spacing w:line="360" w:lineRule="auto"/>
        <w:ind w:left="0" w:leftChars="0"/>
        <w:rPr>
          <w:rFonts w:hint="eastAsia" w:ascii="宋体" w:hAnsi="宋体" w:eastAsia="宋体" w:cs="宋体"/>
          <w:color w:val="auto"/>
          <w:sz w:val="21"/>
          <w:szCs w:val="21"/>
          <w:highlight w:val="none"/>
        </w:rPr>
      </w:pPr>
    </w:p>
    <w:p w14:paraId="7D90BFDF">
      <w:pPr>
        <w:pStyle w:val="20"/>
        <w:snapToGrid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兹证明上述声明是真实的、正确的，并提供了全部能提供的资料和数据，我们同意遵照贵方要求出示有关证明文件。</w:t>
      </w:r>
    </w:p>
    <w:p w14:paraId="76516512">
      <w:pPr>
        <w:pStyle w:val="20"/>
        <w:snapToGrid w:val="0"/>
        <w:spacing w:line="360" w:lineRule="auto"/>
        <w:ind w:left="0" w:leftChars="0"/>
        <w:rPr>
          <w:rFonts w:hint="eastAsia" w:ascii="宋体" w:hAnsi="宋体" w:eastAsia="宋体" w:cs="宋体"/>
          <w:color w:val="auto"/>
          <w:sz w:val="21"/>
          <w:szCs w:val="21"/>
          <w:highlight w:val="none"/>
        </w:rPr>
      </w:pPr>
    </w:p>
    <w:p w14:paraId="6B46EF3F">
      <w:pPr>
        <w:pStyle w:val="20"/>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制造商名称：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（同时加盖制造商法人公章）</w:t>
      </w:r>
    </w:p>
    <w:p w14:paraId="3E3A20C8">
      <w:pPr>
        <w:snapToGrid w:val="0"/>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zh-CN"/>
        </w:rPr>
        <w:t>制造商</w:t>
      </w:r>
      <w:r>
        <w:rPr>
          <w:rFonts w:hint="eastAsia" w:ascii="宋体" w:hAnsi="宋体" w:eastAsia="宋体" w:cs="宋体"/>
          <w:color w:val="auto"/>
          <w:sz w:val="21"/>
          <w:szCs w:val="21"/>
          <w:highlight w:val="none"/>
        </w:rPr>
        <w:t>法定代表人或被授权人：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（打印名字，并签名或盖私章）</w:t>
      </w:r>
    </w:p>
    <w:p w14:paraId="1FA74A7E">
      <w:pPr>
        <w:pStyle w:val="20"/>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签署人职务：</w:t>
      </w:r>
      <w:r>
        <w:rPr>
          <w:rFonts w:hint="eastAsia" w:ascii="宋体" w:hAnsi="宋体" w:eastAsia="宋体" w:cs="宋体"/>
          <w:color w:val="auto"/>
          <w:sz w:val="21"/>
          <w:szCs w:val="21"/>
          <w:highlight w:val="none"/>
          <w:u w:val="single"/>
        </w:rPr>
        <w:t xml:space="preserve">                                     </w:t>
      </w:r>
    </w:p>
    <w:p w14:paraId="6A4F6CF0">
      <w:pPr>
        <w:pStyle w:val="20"/>
        <w:snapToGrid w:val="0"/>
        <w:spacing w:line="360" w:lineRule="auto"/>
        <w:ind w:left="0" w:leftChars="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6B93B5C2">
      <w:pPr>
        <w:pStyle w:val="20"/>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14:paraId="1B52967E">
      <w:pPr>
        <w:pStyle w:val="20"/>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网址：</w:t>
      </w:r>
      <w:r>
        <w:rPr>
          <w:rFonts w:hint="eastAsia" w:ascii="宋体" w:hAnsi="宋体" w:eastAsia="宋体" w:cs="宋体"/>
          <w:color w:val="auto"/>
          <w:sz w:val="21"/>
          <w:szCs w:val="21"/>
          <w:highlight w:val="none"/>
          <w:u w:val="single"/>
        </w:rPr>
        <w:t xml:space="preserve">                                           </w:t>
      </w:r>
    </w:p>
    <w:p w14:paraId="56FC9789">
      <w:pPr>
        <w:pStyle w:val="20"/>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p>
    <w:p w14:paraId="329391E9">
      <w:pPr>
        <w:pStyle w:val="20"/>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联系地址：</w:t>
      </w:r>
      <w:r>
        <w:rPr>
          <w:rFonts w:hint="eastAsia" w:ascii="宋体" w:hAnsi="宋体" w:eastAsia="宋体" w:cs="宋体"/>
          <w:color w:val="auto"/>
          <w:sz w:val="21"/>
          <w:szCs w:val="21"/>
          <w:highlight w:val="none"/>
          <w:u w:val="single"/>
        </w:rPr>
        <w:t xml:space="preserve">                                       </w:t>
      </w:r>
    </w:p>
    <w:p w14:paraId="7BA7C0F0">
      <w:pPr>
        <w:pStyle w:val="20"/>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14:paraId="71A578F2">
      <w:pPr>
        <w:widowControl/>
        <w:autoSpaceDE/>
        <w:autoSpaceDN/>
        <w:adjustRightInd/>
        <w:spacing w:line="360" w:lineRule="auto"/>
        <w:jc w:val="center"/>
        <w:outlineLvl w:val="9"/>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br w:type="page"/>
      </w:r>
      <w:bookmarkStart w:id="743" w:name="_Toc11984"/>
      <w:bookmarkStart w:id="744" w:name="_Toc32538"/>
      <w:r>
        <w:rPr>
          <w:rFonts w:hint="eastAsia" w:ascii="宋体" w:hAnsi="宋体" w:eastAsia="宋体" w:cs="宋体"/>
          <w:b/>
          <w:bCs/>
          <w:color w:val="auto"/>
          <w:kern w:val="2"/>
          <w:sz w:val="30"/>
          <w:szCs w:val="30"/>
          <w:highlight w:val="none"/>
          <w:lang w:val="zh-CN"/>
        </w:rPr>
        <w:t>独家授权销售及售后服务承诺函</w:t>
      </w:r>
      <w:bookmarkEnd w:id="743"/>
      <w:bookmarkEnd w:id="744"/>
    </w:p>
    <w:p w14:paraId="08002AC3">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（备注说明：</w:t>
      </w:r>
      <w:r>
        <w:rPr>
          <w:rFonts w:hint="eastAsia" w:ascii="宋体" w:hAnsi="宋体" w:eastAsia="宋体" w:cs="宋体"/>
          <w:b/>
          <w:color w:val="auto"/>
          <w:sz w:val="21"/>
          <w:szCs w:val="21"/>
          <w:highlight w:val="none"/>
          <w:u w:val="single"/>
        </w:rPr>
        <w:t>投标人为经销商时提供本独家授权销售及售后服务承诺函</w:t>
      </w:r>
      <w:r>
        <w:rPr>
          <w:rFonts w:hint="eastAsia" w:ascii="宋体" w:hAnsi="宋体" w:eastAsia="宋体" w:cs="宋体"/>
          <w:b/>
          <w:color w:val="auto"/>
          <w:sz w:val="21"/>
          <w:szCs w:val="21"/>
          <w:highlight w:val="none"/>
        </w:rPr>
        <w:t>）</w:t>
      </w:r>
    </w:p>
    <w:p w14:paraId="42913D0D">
      <w:pPr>
        <w:spacing w:line="360" w:lineRule="auto"/>
        <w:rPr>
          <w:rFonts w:hint="eastAsia" w:ascii="宋体" w:hAnsi="宋体" w:eastAsia="宋体" w:cs="宋体"/>
          <w:color w:val="auto"/>
          <w:sz w:val="21"/>
          <w:szCs w:val="21"/>
          <w:highlight w:val="none"/>
        </w:rPr>
      </w:pPr>
    </w:p>
    <w:p w14:paraId="401645C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致：东莞市水务集团净水有限公司   </w:t>
      </w:r>
    </w:p>
    <w:p w14:paraId="70FACF5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（投标产品制造商名称）   </w:t>
      </w:r>
      <w:r>
        <w:rPr>
          <w:rFonts w:hint="eastAsia" w:ascii="宋体" w:hAnsi="宋体" w:eastAsia="宋体" w:cs="宋体"/>
          <w:color w:val="auto"/>
          <w:sz w:val="21"/>
          <w:szCs w:val="21"/>
          <w:highlight w:val="none"/>
        </w:rPr>
        <w:t>是按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（国家名称）</w:t>
      </w:r>
      <w:r>
        <w:rPr>
          <w:rFonts w:hint="eastAsia" w:ascii="宋体" w:hAnsi="宋体" w:eastAsia="宋体" w:cs="宋体"/>
          <w:color w:val="auto"/>
          <w:sz w:val="21"/>
          <w:szCs w:val="21"/>
          <w:highlight w:val="none"/>
        </w:rPr>
        <w:t>法律成立的一家公司，主要营业地址设在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。兹证明参加贵方</w:t>
      </w:r>
      <w:r>
        <w:rPr>
          <w:rFonts w:hint="eastAsia" w:ascii="宋体" w:hAnsi="宋体" w:eastAsia="宋体" w:cs="宋体"/>
          <w:color w:val="auto"/>
          <w:sz w:val="21"/>
          <w:szCs w:val="21"/>
          <w:highlight w:val="none"/>
          <w:lang w:eastAsia="zh-CN"/>
        </w:rPr>
        <w:t>东莞市水务集团净水有限公司2025年生产药剂液体乙酸钠采购项目</w:t>
      </w:r>
      <w:r>
        <w:rPr>
          <w:rFonts w:hint="eastAsia" w:ascii="宋体" w:hAnsi="宋体" w:eastAsia="宋体" w:cs="宋体"/>
          <w:color w:val="auto"/>
          <w:sz w:val="21"/>
          <w:szCs w:val="21"/>
          <w:highlight w:val="none"/>
        </w:rPr>
        <w:t>的按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（国家名称）</w:t>
      </w:r>
      <w:r>
        <w:rPr>
          <w:rFonts w:hint="eastAsia" w:ascii="宋体" w:hAnsi="宋体" w:eastAsia="宋体" w:cs="宋体"/>
          <w:color w:val="auto"/>
          <w:sz w:val="21"/>
          <w:szCs w:val="21"/>
          <w:highlight w:val="none"/>
        </w:rPr>
        <w:t>法律成立的、主要营业地址在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（下称“投标人”）作为我方合法、唯一的授权参与本项目投标的经销商： </w:t>
      </w:r>
    </w:p>
    <w:p w14:paraId="59E7673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1、我方确认，投标人就</w:t>
      </w:r>
      <w:r>
        <w:rPr>
          <w:rFonts w:hint="eastAsia" w:ascii="宋体" w:hAnsi="宋体" w:eastAsia="宋体" w:cs="宋体"/>
          <w:color w:val="auto"/>
          <w:sz w:val="21"/>
          <w:szCs w:val="21"/>
          <w:highlight w:val="none"/>
          <w:lang w:eastAsia="zh-CN"/>
        </w:rPr>
        <w:t>东莞市水务集团净水有限公司2025年生产药剂液体乙酸钠采购项目</w:t>
      </w:r>
      <w:r>
        <w:rPr>
          <w:rFonts w:hint="eastAsia" w:ascii="宋体" w:hAnsi="宋体" w:eastAsia="宋体" w:cs="宋体"/>
          <w:color w:val="auto"/>
          <w:sz w:val="21"/>
          <w:szCs w:val="21"/>
          <w:highlight w:val="none"/>
        </w:rPr>
        <w:t xml:space="preserve">提供货物时附带的出厂质量标准、售后服务承诺等合法有效，并对我方具有约束力。 </w:t>
      </w:r>
    </w:p>
    <w:p w14:paraId="497E2CD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2、质保期期间，质保服务包括但不限于对货物出现不符合招标文件要求或投标文件承诺或我方出厂质量标准的、有问题货物按招标文件要求及时进行免费更换。</w:t>
      </w:r>
    </w:p>
    <w:p w14:paraId="0816DA7B">
      <w:pPr>
        <w:spacing w:line="360" w:lineRule="auto"/>
        <w:ind w:firstLine="420" w:firstLineChars="200"/>
        <w:rPr>
          <w:rFonts w:hint="eastAsia" w:ascii="宋体" w:hAnsi="宋体" w:eastAsia="宋体" w:cs="宋体"/>
          <w:color w:val="auto"/>
          <w:sz w:val="21"/>
          <w:szCs w:val="21"/>
          <w:highlight w:val="none"/>
        </w:rPr>
      </w:pPr>
      <w:bookmarkStart w:id="745" w:name="_Toc32502"/>
      <w:bookmarkStart w:id="746" w:name="_Toc17530"/>
      <w:r>
        <w:rPr>
          <w:rFonts w:hint="eastAsia" w:ascii="宋体" w:hAnsi="宋体" w:eastAsia="宋体" w:cs="宋体"/>
          <w:color w:val="auto"/>
          <w:sz w:val="21"/>
          <w:szCs w:val="21"/>
          <w:highlight w:val="none"/>
        </w:rPr>
        <w:t>3、我方保证：我方提供的产品既非试验产品也非积压产品。</w:t>
      </w:r>
      <w:bookmarkEnd w:id="745"/>
      <w:bookmarkEnd w:id="746"/>
    </w:p>
    <w:p w14:paraId="31930D76">
      <w:pPr>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4、我方承诺将及时提醒贵方关注：相关产品的生产、供货、售后服务以及性能等方面的重大变更。</w:t>
      </w:r>
    </w:p>
    <w:p w14:paraId="230364EF">
      <w:pPr>
        <w:spacing w:line="360" w:lineRule="auto"/>
        <w:ind w:firstLine="420" w:firstLineChars="200"/>
        <w:rPr>
          <w:rFonts w:hint="eastAsia" w:ascii="宋体" w:hAnsi="宋体" w:eastAsia="宋体" w:cs="宋体"/>
          <w:color w:val="auto"/>
          <w:sz w:val="21"/>
          <w:szCs w:val="21"/>
          <w:highlight w:val="none"/>
          <w:lang w:val="zh-CN"/>
        </w:rPr>
      </w:pPr>
      <w:bookmarkStart w:id="747" w:name="_Toc18926"/>
      <w:bookmarkStart w:id="748" w:name="_Toc15693"/>
      <w:r>
        <w:rPr>
          <w:rFonts w:hint="eastAsia" w:ascii="宋体" w:hAnsi="宋体" w:eastAsia="宋体" w:cs="宋体"/>
          <w:color w:val="auto"/>
          <w:sz w:val="21"/>
          <w:szCs w:val="21"/>
          <w:highlight w:val="none"/>
          <w:lang w:val="zh-CN"/>
        </w:rPr>
        <w:t>5、本授权函不得进行二次授权或转授权，否则无效。</w:t>
      </w:r>
      <w:bookmarkEnd w:id="747"/>
      <w:bookmarkEnd w:id="748"/>
    </w:p>
    <w:p w14:paraId="267C0340">
      <w:pPr>
        <w:spacing w:line="360" w:lineRule="auto"/>
        <w:ind w:right="893"/>
        <w:jc w:val="both"/>
        <w:rPr>
          <w:rFonts w:hint="eastAsia" w:ascii="宋体" w:hAnsi="宋体" w:eastAsia="宋体" w:cs="宋体"/>
          <w:color w:val="auto"/>
          <w:kern w:val="2"/>
          <w:sz w:val="21"/>
          <w:szCs w:val="21"/>
          <w:highlight w:val="none"/>
          <w:lang w:val="zh-CN"/>
        </w:rPr>
      </w:pPr>
    </w:p>
    <w:p w14:paraId="6B655F16">
      <w:pPr>
        <w:spacing w:line="360" w:lineRule="auto"/>
        <w:ind w:right="893"/>
        <w:jc w:val="both"/>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lang w:val="zh-CN"/>
        </w:rPr>
        <w:t>投标产品制造商名称（加盖法人公章）：</w:t>
      </w:r>
      <w:r>
        <w:rPr>
          <w:rFonts w:hint="eastAsia" w:ascii="宋体" w:hAnsi="宋体" w:eastAsia="宋体" w:cs="宋体"/>
          <w:color w:val="auto"/>
          <w:kern w:val="2"/>
          <w:sz w:val="21"/>
          <w:szCs w:val="21"/>
          <w:highlight w:val="none"/>
          <w:u w:val="single"/>
          <w:lang w:val="zh-CN"/>
        </w:rPr>
        <w:t xml:space="preserve">                         </w:t>
      </w:r>
    </w:p>
    <w:p w14:paraId="405E4E24">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制造商法定代表人或被授权人（签名或盖私章）：  </w:t>
      </w:r>
      <w:r>
        <w:rPr>
          <w:rFonts w:hint="eastAsia" w:ascii="宋体" w:hAnsi="宋体" w:eastAsia="宋体" w:cs="宋体"/>
          <w:color w:val="auto"/>
          <w:kern w:val="2"/>
          <w:sz w:val="21"/>
          <w:szCs w:val="21"/>
          <w:highlight w:val="none"/>
          <w:u w:val="single"/>
          <w:lang w:val="zh-CN"/>
        </w:rPr>
        <w:t xml:space="preserve">                      </w:t>
      </w:r>
    </w:p>
    <w:p w14:paraId="6214734A">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签署人职务： </w:t>
      </w:r>
      <w:r>
        <w:rPr>
          <w:rFonts w:hint="eastAsia" w:ascii="宋体" w:hAnsi="宋体" w:eastAsia="宋体" w:cs="宋体"/>
          <w:color w:val="auto"/>
          <w:kern w:val="2"/>
          <w:sz w:val="21"/>
          <w:szCs w:val="21"/>
          <w:highlight w:val="none"/>
          <w:u w:val="single"/>
          <w:lang w:val="zh-CN"/>
        </w:rPr>
        <w:t xml:space="preserve">                      </w:t>
      </w:r>
    </w:p>
    <w:p w14:paraId="351F1A52">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电话：</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 xml:space="preserve">               </w:t>
      </w:r>
    </w:p>
    <w:p w14:paraId="625B632D">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传真： </w:t>
      </w:r>
      <w:r>
        <w:rPr>
          <w:rFonts w:hint="eastAsia" w:ascii="宋体" w:hAnsi="宋体" w:eastAsia="宋体" w:cs="宋体"/>
          <w:color w:val="auto"/>
          <w:kern w:val="2"/>
          <w:sz w:val="21"/>
          <w:szCs w:val="21"/>
          <w:highlight w:val="none"/>
          <w:u w:val="single"/>
          <w:lang w:val="zh-CN"/>
        </w:rPr>
        <w:t xml:space="preserve">                      </w:t>
      </w:r>
    </w:p>
    <w:p w14:paraId="306A5839">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地址： </w:t>
      </w:r>
      <w:r>
        <w:rPr>
          <w:rFonts w:hint="eastAsia" w:ascii="宋体" w:hAnsi="宋体" w:eastAsia="宋体" w:cs="宋体"/>
          <w:color w:val="auto"/>
          <w:kern w:val="2"/>
          <w:sz w:val="21"/>
          <w:szCs w:val="21"/>
          <w:highlight w:val="none"/>
          <w:u w:val="single"/>
          <w:lang w:val="zh-CN"/>
        </w:rPr>
        <w:t xml:space="preserve">                      </w:t>
      </w:r>
    </w:p>
    <w:p w14:paraId="0BC35C3D">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网址： </w:t>
      </w:r>
      <w:r>
        <w:rPr>
          <w:rFonts w:hint="eastAsia" w:ascii="宋体" w:hAnsi="宋体" w:eastAsia="宋体" w:cs="宋体"/>
          <w:color w:val="auto"/>
          <w:kern w:val="2"/>
          <w:sz w:val="21"/>
          <w:szCs w:val="21"/>
          <w:highlight w:val="none"/>
          <w:u w:val="single"/>
          <w:lang w:val="zh-CN"/>
        </w:rPr>
        <w:t xml:space="preserve">                      </w:t>
      </w:r>
    </w:p>
    <w:p w14:paraId="3138CA74">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电子邮箱： </w:t>
      </w:r>
      <w:r>
        <w:rPr>
          <w:rFonts w:hint="eastAsia" w:ascii="宋体" w:hAnsi="宋体" w:eastAsia="宋体" w:cs="宋体"/>
          <w:color w:val="auto"/>
          <w:kern w:val="2"/>
          <w:sz w:val="21"/>
          <w:szCs w:val="21"/>
          <w:highlight w:val="none"/>
          <w:u w:val="single"/>
          <w:lang w:val="zh-CN"/>
        </w:rPr>
        <w:t xml:space="preserve">                      </w:t>
      </w:r>
    </w:p>
    <w:p w14:paraId="429F9E74">
      <w:pPr>
        <w:spacing w:line="360" w:lineRule="auto"/>
        <w:ind w:right="89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签发日期： </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年</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 xml:space="preserve"> 月 </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日</w:t>
      </w:r>
    </w:p>
    <w:p w14:paraId="04F38412">
      <w:pPr>
        <w:outlineLvl w:val="9"/>
        <w:rPr>
          <w:rFonts w:hint="eastAsia" w:ascii="宋体" w:hAnsi="宋体" w:eastAsia="宋体" w:cs="宋体"/>
          <w:color w:val="auto"/>
          <w:kern w:val="2"/>
          <w:sz w:val="21"/>
          <w:szCs w:val="21"/>
          <w:highlight w:val="none"/>
          <w:lang w:val="zh-CN"/>
        </w:rPr>
      </w:pPr>
    </w:p>
    <w:p w14:paraId="6C72554B">
      <w:pPr>
        <w:rPr>
          <w:rFonts w:hint="eastAsia" w:ascii="宋体" w:hAnsi="宋体" w:eastAsia="宋体" w:cs="宋体"/>
          <w:color w:val="auto"/>
          <w:kern w:val="2"/>
          <w:sz w:val="21"/>
          <w:szCs w:val="21"/>
          <w:highlight w:val="none"/>
          <w:lang w:val="zh-CN"/>
        </w:rPr>
      </w:pPr>
    </w:p>
    <w:p w14:paraId="2B3596BB">
      <w:pPr>
        <w:outlineLvl w:val="9"/>
        <w:rPr>
          <w:rFonts w:hint="eastAsia" w:ascii="宋体" w:hAnsi="宋体" w:eastAsia="宋体" w:cs="宋体"/>
          <w:color w:val="auto"/>
          <w:kern w:val="2"/>
          <w:sz w:val="21"/>
          <w:szCs w:val="21"/>
          <w:highlight w:val="none"/>
          <w:lang w:val="zh-CN"/>
        </w:rPr>
      </w:pPr>
    </w:p>
    <w:p w14:paraId="4DBA64F7">
      <w:pPr>
        <w:rPr>
          <w:rFonts w:hint="eastAsia" w:ascii="宋体" w:hAnsi="宋体" w:eastAsia="宋体" w:cs="宋体"/>
          <w:color w:val="auto"/>
          <w:kern w:val="2"/>
          <w:sz w:val="21"/>
          <w:szCs w:val="21"/>
          <w:highlight w:val="none"/>
          <w:lang w:val="zh-CN"/>
        </w:rPr>
      </w:pPr>
    </w:p>
    <w:p w14:paraId="0D9F22C6">
      <w:pPr>
        <w:outlineLvl w:val="9"/>
        <w:rPr>
          <w:rFonts w:hint="eastAsia" w:ascii="宋体" w:hAnsi="宋体" w:eastAsia="宋体" w:cs="宋体"/>
          <w:color w:val="auto"/>
          <w:kern w:val="2"/>
          <w:sz w:val="21"/>
          <w:szCs w:val="21"/>
          <w:highlight w:val="none"/>
          <w:lang w:val="zh-CN"/>
        </w:rPr>
      </w:pPr>
    </w:p>
    <w:p w14:paraId="0D78806B">
      <w:pPr>
        <w:rPr>
          <w:rFonts w:hint="eastAsia" w:ascii="宋体" w:hAnsi="宋体" w:eastAsia="宋体" w:cs="宋体"/>
          <w:color w:val="auto"/>
          <w:kern w:val="2"/>
          <w:sz w:val="21"/>
          <w:szCs w:val="21"/>
          <w:highlight w:val="none"/>
          <w:lang w:val="zh-CN"/>
        </w:rPr>
      </w:pPr>
    </w:p>
    <w:p w14:paraId="62418AA7">
      <w:pPr>
        <w:outlineLvl w:val="9"/>
        <w:rPr>
          <w:rFonts w:hint="eastAsia" w:ascii="宋体" w:hAnsi="宋体" w:eastAsia="宋体" w:cs="宋体"/>
          <w:color w:val="auto"/>
          <w:kern w:val="2"/>
          <w:sz w:val="21"/>
          <w:szCs w:val="21"/>
          <w:highlight w:val="none"/>
          <w:lang w:val="zh-CN"/>
        </w:rPr>
      </w:pPr>
    </w:p>
    <w:p w14:paraId="5F46C7C7">
      <w:pPr>
        <w:rPr>
          <w:rFonts w:hint="eastAsia" w:ascii="宋体" w:hAnsi="宋体" w:eastAsia="宋体" w:cs="宋体"/>
          <w:color w:val="auto"/>
          <w:kern w:val="2"/>
          <w:sz w:val="21"/>
          <w:szCs w:val="21"/>
          <w:highlight w:val="none"/>
          <w:lang w:val="zh-CN"/>
        </w:rPr>
      </w:pPr>
    </w:p>
    <w:p w14:paraId="6AD4DB56">
      <w:pPr>
        <w:outlineLvl w:val="9"/>
        <w:rPr>
          <w:rFonts w:hint="eastAsia" w:ascii="宋体" w:hAnsi="宋体" w:eastAsia="宋体" w:cs="宋体"/>
          <w:color w:val="auto"/>
          <w:kern w:val="2"/>
          <w:sz w:val="21"/>
          <w:szCs w:val="21"/>
          <w:highlight w:val="none"/>
          <w:lang w:val="zh-CN"/>
        </w:rPr>
      </w:pPr>
    </w:p>
    <w:p w14:paraId="76414AD8">
      <w:pPr>
        <w:rPr>
          <w:rFonts w:hint="eastAsia" w:ascii="宋体" w:hAnsi="宋体" w:eastAsia="宋体" w:cs="宋体"/>
          <w:color w:val="auto"/>
          <w:kern w:val="2"/>
          <w:sz w:val="21"/>
          <w:szCs w:val="21"/>
          <w:highlight w:val="none"/>
          <w:lang w:val="zh-CN"/>
        </w:rPr>
      </w:pPr>
    </w:p>
    <w:p w14:paraId="04020DDC">
      <w:pPr>
        <w:outlineLvl w:val="9"/>
        <w:rPr>
          <w:rFonts w:hint="eastAsia" w:ascii="宋体" w:hAnsi="宋体" w:eastAsia="宋体" w:cs="宋体"/>
          <w:color w:val="auto"/>
          <w:kern w:val="2"/>
          <w:sz w:val="21"/>
          <w:szCs w:val="21"/>
          <w:highlight w:val="none"/>
          <w:lang w:val="zh-CN"/>
        </w:rPr>
      </w:pPr>
    </w:p>
    <w:p w14:paraId="518162DE">
      <w:pPr>
        <w:rPr>
          <w:rFonts w:hint="eastAsia" w:ascii="宋体" w:hAnsi="宋体" w:eastAsia="宋体" w:cs="宋体"/>
          <w:color w:val="auto"/>
          <w:kern w:val="2"/>
          <w:sz w:val="21"/>
          <w:szCs w:val="21"/>
          <w:highlight w:val="none"/>
          <w:lang w:val="zh-CN"/>
        </w:rPr>
      </w:pPr>
    </w:p>
    <w:p w14:paraId="25AF2FEE">
      <w:pPr>
        <w:rPr>
          <w:rFonts w:hint="eastAsia" w:ascii="宋体" w:hAnsi="宋体" w:eastAsia="宋体" w:cs="宋体"/>
          <w:color w:val="auto"/>
          <w:kern w:val="2"/>
          <w:sz w:val="21"/>
          <w:szCs w:val="21"/>
          <w:highlight w:val="none"/>
          <w:lang w:val="zh-CN"/>
        </w:rPr>
      </w:pPr>
    </w:p>
    <w:p w14:paraId="00E47313">
      <w:pPr>
        <w:pStyle w:val="2"/>
        <w:pageBreakBefore/>
        <w:spacing w:line="360" w:lineRule="auto"/>
        <w:rPr>
          <w:rFonts w:hint="eastAsia" w:ascii="宋体" w:hAnsi="宋体" w:eastAsia="宋体" w:cs="宋体"/>
          <w:b/>
          <w:bCs/>
          <w:color w:val="auto"/>
          <w:kern w:val="2"/>
          <w:sz w:val="32"/>
          <w:szCs w:val="32"/>
          <w:highlight w:val="none"/>
          <w:lang w:val="zh-CN"/>
        </w:rPr>
      </w:pPr>
      <w:bookmarkStart w:id="749" w:name="_Toc78709783"/>
      <w:bookmarkStart w:id="750" w:name="_Toc32340"/>
      <w:bookmarkStart w:id="751" w:name="_Toc10213"/>
      <w:bookmarkStart w:id="752" w:name="_Toc20418"/>
      <w:r>
        <w:rPr>
          <w:rFonts w:hint="eastAsia" w:ascii="宋体" w:hAnsi="宋体" w:eastAsia="宋体" w:cs="宋体"/>
          <w:b/>
          <w:bCs/>
          <w:color w:val="auto"/>
          <w:kern w:val="2"/>
          <w:sz w:val="32"/>
          <w:szCs w:val="32"/>
          <w:highlight w:val="none"/>
        </w:rPr>
        <w:t>5</w:t>
      </w:r>
      <w:r>
        <w:rPr>
          <w:rFonts w:hint="eastAsia" w:hAnsi="宋体" w:cs="宋体"/>
          <w:b/>
          <w:bCs/>
          <w:color w:val="auto"/>
          <w:kern w:val="2"/>
          <w:sz w:val="32"/>
          <w:szCs w:val="32"/>
          <w:highlight w:val="none"/>
          <w:lang w:val="en-US" w:eastAsia="zh-CN"/>
        </w:rPr>
        <w:t xml:space="preserve">.5 </w:t>
      </w:r>
      <w:r>
        <w:rPr>
          <w:rFonts w:hint="eastAsia" w:ascii="宋体" w:hAnsi="宋体" w:eastAsia="宋体" w:cs="宋体"/>
          <w:b/>
          <w:bCs/>
          <w:color w:val="auto"/>
          <w:kern w:val="2"/>
          <w:sz w:val="32"/>
          <w:szCs w:val="32"/>
          <w:highlight w:val="none"/>
          <w:lang w:val="zh-CN"/>
        </w:rPr>
        <w:t>所投产品制造商具有环境管理部门核发的合法有效的环评批复复印件（批复内容须体现含投标产品）</w:t>
      </w:r>
      <w:bookmarkEnd w:id="749"/>
      <w:bookmarkEnd w:id="750"/>
      <w:bookmarkEnd w:id="751"/>
      <w:bookmarkEnd w:id="752"/>
    </w:p>
    <w:p w14:paraId="7C80E4F8">
      <w:pPr>
        <w:outlineLvl w:val="9"/>
        <w:rPr>
          <w:rFonts w:hint="eastAsia"/>
          <w:color w:val="auto"/>
          <w:lang w:val="zh-CN"/>
        </w:rPr>
      </w:pPr>
    </w:p>
    <w:p w14:paraId="66389A7D">
      <w:pPr>
        <w:pStyle w:val="2"/>
        <w:pageBreakBefore/>
        <w:spacing w:line="360" w:lineRule="auto"/>
        <w:rPr>
          <w:rFonts w:hint="eastAsia" w:hAnsi="宋体" w:eastAsia="宋体"/>
          <w:b/>
          <w:color w:val="auto"/>
          <w:sz w:val="30"/>
          <w:szCs w:val="30"/>
          <w:highlight w:val="none"/>
          <w:lang w:val="zh-CN" w:eastAsia="zh-CN"/>
        </w:rPr>
      </w:pPr>
      <w:bookmarkStart w:id="753" w:name="_Toc21968"/>
      <w:bookmarkStart w:id="754" w:name="_Toc31462"/>
      <w:bookmarkStart w:id="755" w:name="_Toc16718"/>
      <w:bookmarkStart w:id="756" w:name="_Toc23386"/>
      <w:r>
        <w:rPr>
          <w:rFonts w:hint="eastAsia" w:hAnsi="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w:t>
      </w:r>
      <w:r>
        <w:rPr>
          <w:rFonts w:hint="eastAsia" w:hAnsi="宋体" w:cs="宋体"/>
          <w:b/>
          <w:color w:val="auto"/>
          <w:kern w:val="0"/>
          <w:sz w:val="30"/>
          <w:szCs w:val="30"/>
          <w:highlight w:val="none"/>
          <w:lang w:val="en-US" w:eastAsia="zh-CN"/>
        </w:rPr>
        <w:t>6</w:t>
      </w:r>
      <w:r>
        <w:rPr>
          <w:rFonts w:ascii="宋体" w:hAnsi="宋体" w:eastAsia="宋体" w:cs="宋体"/>
          <w:b/>
          <w:color w:val="auto"/>
          <w:kern w:val="0"/>
          <w:sz w:val="30"/>
          <w:szCs w:val="30"/>
          <w:highlight w:val="none"/>
        </w:rPr>
        <w:t xml:space="preserve"> </w:t>
      </w:r>
      <w:r>
        <w:rPr>
          <w:rFonts w:hint="eastAsia" w:hAnsi="宋体"/>
          <w:b/>
          <w:bCs/>
          <w:color w:val="auto"/>
          <w:kern w:val="2"/>
          <w:sz w:val="32"/>
          <w:szCs w:val="32"/>
          <w:highlight w:val="none"/>
        </w:rPr>
        <w:t>资格业绩</w:t>
      </w:r>
      <w:r>
        <w:rPr>
          <w:rFonts w:hint="eastAsia" w:ascii="宋体" w:hAnsi="宋体" w:eastAsia="宋体"/>
          <w:b/>
          <w:bCs/>
          <w:color w:val="auto"/>
          <w:sz w:val="32"/>
          <w:szCs w:val="32"/>
          <w:highlight w:val="none"/>
        </w:rPr>
        <w:t>【投标人</w:t>
      </w:r>
      <w:r>
        <w:rPr>
          <w:rFonts w:hint="eastAsia" w:hAnsi="宋体"/>
          <w:b/>
          <w:bCs/>
          <w:color w:val="auto"/>
          <w:sz w:val="32"/>
          <w:szCs w:val="32"/>
          <w:highlight w:val="none"/>
          <w:lang w:val="en-US" w:eastAsia="zh-CN"/>
        </w:rPr>
        <w:t>2022</w:t>
      </w:r>
      <w:r>
        <w:rPr>
          <w:rFonts w:hint="eastAsia" w:ascii="宋体" w:hAnsi="宋体" w:eastAsia="宋体"/>
          <w:b/>
          <w:bCs/>
          <w:color w:val="auto"/>
          <w:sz w:val="32"/>
          <w:szCs w:val="32"/>
          <w:highlight w:val="none"/>
        </w:rPr>
        <w:t>年</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月</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日以来具有一</w:t>
      </w:r>
      <w:r>
        <w:rPr>
          <w:rFonts w:hint="eastAsia" w:hAnsi="宋体"/>
          <w:b/>
          <w:bCs/>
          <w:color w:val="auto"/>
          <w:sz w:val="32"/>
          <w:szCs w:val="32"/>
          <w:highlight w:val="none"/>
          <w:lang w:val="en-US" w:eastAsia="zh-CN"/>
        </w:rPr>
        <w:t>份</w:t>
      </w:r>
      <w:r>
        <w:rPr>
          <w:rFonts w:hint="eastAsia" w:ascii="宋体" w:hAnsi="宋体" w:eastAsia="宋体"/>
          <w:b/>
          <w:bCs/>
          <w:color w:val="auto"/>
          <w:sz w:val="32"/>
          <w:szCs w:val="32"/>
          <w:highlight w:val="none"/>
        </w:rPr>
        <w:t>投标品牌液体</w:t>
      </w:r>
      <w:r>
        <w:rPr>
          <w:rFonts w:hint="eastAsia" w:hAnsi="宋体"/>
          <w:b/>
          <w:bCs/>
          <w:color w:val="auto"/>
          <w:sz w:val="32"/>
          <w:szCs w:val="32"/>
          <w:highlight w:val="none"/>
          <w:lang w:val="en-US" w:eastAsia="zh-CN"/>
        </w:rPr>
        <w:t>乙酸钠</w:t>
      </w:r>
      <w:r>
        <w:rPr>
          <w:rFonts w:hint="eastAsia" w:ascii="宋体" w:hAnsi="宋体" w:eastAsia="宋体"/>
          <w:b/>
          <w:bCs/>
          <w:color w:val="auto"/>
          <w:sz w:val="32"/>
          <w:szCs w:val="32"/>
          <w:highlight w:val="none"/>
        </w:rPr>
        <w:t>供货</w:t>
      </w:r>
      <w:r>
        <w:rPr>
          <w:rFonts w:hint="eastAsia" w:ascii="宋体" w:hAnsi="宋体" w:eastAsia="宋体" w:cs="宋体"/>
          <w:b/>
          <w:bCs/>
          <w:color w:val="auto"/>
          <w:sz w:val="32"/>
          <w:szCs w:val="32"/>
          <w:highlight w:val="none"/>
        </w:rPr>
        <w:t>业绩</w:t>
      </w:r>
      <w:r>
        <w:rPr>
          <w:rFonts w:hint="eastAsia" w:ascii="宋体" w:hAnsi="宋体" w:eastAsia="宋体"/>
          <w:b/>
          <w:bCs/>
          <w:color w:val="auto"/>
          <w:sz w:val="32"/>
          <w:szCs w:val="32"/>
          <w:highlight w:val="none"/>
        </w:rPr>
        <w:t>（合同签订日期为</w:t>
      </w:r>
      <w:r>
        <w:rPr>
          <w:rFonts w:hint="eastAsia" w:hAnsi="宋体"/>
          <w:b/>
          <w:bCs/>
          <w:color w:val="auto"/>
          <w:sz w:val="32"/>
          <w:szCs w:val="32"/>
          <w:highlight w:val="none"/>
          <w:lang w:val="en-US" w:eastAsia="zh-CN"/>
        </w:rPr>
        <w:t>2022</w:t>
      </w:r>
      <w:r>
        <w:rPr>
          <w:rFonts w:hint="eastAsia" w:ascii="宋体" w:hAnsi="宋体" w:eastAsia="宋体"/>
          <w:b/>
          <w:bCs/>
          <w:color w:val="auto"/>
          <w:sz w:val="32"/>
          <w:szCs w:val="32"/>
          <w:highlight w:val="none"/>
        </w:rPr>
        <w:t>年</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月</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日或以后）</w:t>
      </w:r>
      <w:bookmarkEnd w:id="732"/>
      <w:bookmarkEnd w:id="733"/>
      <w:bookmarkEnd w:id="753"/>
      <w:bookmarkEnd w:id="754"/>
      <w:bookmarkEnd w:id="755"/>
      <w:bookmarkEnd w:id="756"/>
      <w:r>
        <w:rPr>
          <w:rFonts w:hint="eastAsia" w:hAnsi="宋体"/>
          <w:b/>
          <w:bCs/>
          <w:color w:val="auto"/>
          <w:sz w:val="32"/>
          <w:szCs w:val="32"/>
          <w:highlight w:val="none"/>
          <w:lang w:eastAsia="zh-CN"/>
        </w:rPr>
        <w:t>】</w:t>
      </w:r>
    </w:p>
    <w:p w14:paraId="3D3963F4">
      <w:pPr>
        <w:spacing w:line="360" w:lineRule="auto"/>
        <w:rPr>
          <w:rFonts w:hAnsi="宋体"/>
          <w:color w:val="auto"/>
          <w:szCs w:val="21"/>
          <w:highlight w:val="none"/>
          <w:lang w:val="zh-CN"/>
        </w:rPr>
      </w:pPr>
    </w:p>
    <w:tbl>
      <w:tblPr>
        <w:tblStyle w:val="37"/>
        <w:tblW w:w="454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06"/>
        <w:gridCol w:w="720"/>
        <w:gridCol w:w="1201"/>
        <w:gridCol w:w="1378"/>
        <w:gridCol w:w="1064"/>
        <w:gridCol w:w="789"/>
        <w:gridCol w:w="1451"/>
        <w:gridCol w:w="1517"/>
      </w:tblGrid>
      <w:tr w14:paraId="2E3269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551" w:type="pct"/>
            <w:tcBorders>
              <w:top w:val="single" w:color="auto" w:sz="4" w:space="0"/>
              <w:left w:val="single" w:color="auto" w:sz="4" w:space="0"/>
              <w:bottom w:val="single" w:color="auto" w:sz="4" w:space="0"/>
              <w:right w:val="single" w:color="auto" w:sz="4" w:space="0"/>
            </w:tcBorders>
            <w:vAlign w:val="center"/>
          </w:tcPr>
          <w:p w14:paraId="35DC92C1">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394" w:type="pct"/>
            <w:tcBorders>
              <w:top w:val="single" w:color="auto" w:sz="4" w:space="0"/>
              <w:left w:val="single" w:color="auto" w:sz="4" w:space="0"/>
              <w:bottom w:val="single" w:color="auto" w:sz="4" w:space="0"/>
              <w:right w:val="single" w:color="auto" w:sz="4" w:space="0"/>
            </w:tcBorders>
            <w:vAlign w:val="center"/>
          </w:tcPr>
          <w:p w14:paraId="5CB2E124">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09DCDB82">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657" w:type="pct"/>
            <w:tcBorders>
              <w:top w:val="single" w:color="auto" w:sz="4" w:space="0"/>
              <w:left w:val="single" w:color="auto" w:sz="4" w:space="0"/>
              <w:bottom w:val="single" w:color="auto" w:sz="4" w:space="0"/>
              <w:right w:val="single" w:color="auto" w:sz="4" w:space="0"/>
            </w:tcBorders>
            <w:vAlign w:val="center"/>
          </w:tcPr>
          <w:p w14:paraId="0F568178">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754" w:type="pct"/>
            <w:tcBorders>
              <w:top w:val="single" w:color="auto" w:sz="4" w:space="0"/>
              <w:left w:val="single" w:color="auto" w:sz="4" w:space="0"/>
              <w:bottom w:val="single" w:color="auto" w:sz="4" w:space="0"/>
              <w:right w:val="single" w:color="auto" w:sz="4" w:space="0"/>
            </w:tcBorders>
            <w:vAlign w:val="center"/>
          </w:tcPr>
          <w:p w14:paraId="0411ABDE">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582" w:type="pct"/>
            <w:tcBorders>
              <w:top w:val="single" w:color="auto" w:sz="4" w:space="0"/>
              <w:left w:val="single" w:color="auto" w:sz="4" w:space="0"/>
              <w:bottom w:val="single" w:color="auto" w:sz="4" w:space="0"/>
              <w:right w:val="single" w:color="auto" w:sz="4" w:space="0"/>
            </w:tcBorders>
            <w:vAlign w:val="center"/>
          </w:tcPr>
          <w:p w14:paraId="16573FBB">
            <w:pPr>
              <w:autoSpaceDE w:val="0"/>
              <w:autoSpaceDN w:val="0"/>
              <w:adjustRightInd w:val="0"/>
              <w:jc w:val="center"/>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rPr>
              <w:t>签约</w:t>
            </w:r>
          </w:p>
          <w:p w14:paraId="6BD4CDCE">
            <w:pPr>
              <w:autoSpaceDE w:val="0"/>
              <w:autoSpaceDN w:val="0"/>
              <w:adjustRightInd w:val="0"/>
              <w:jc w:val="center"/>
              <w:rPr>
                <w:rFonts w:hint="default" w:ascii="宋体" w:hAnsi="宋体" w:eastAsia="宋体" w:cs="Times New Roman"/>
                <w:color w:val="auto"/>
                <w:kern w:val="0"/>
                <w:szCs w:val="21"/>
                <w:highlight w:val="none"/>
                <w:lang w:val="en-US" w:eastAsia="zh-CN"/>
              </w:rPr>
            </w:pPr>
            <w:r>
              <w:rPr>
                <w:rFonts w:hint="eastAsia" w:ascii="宋体" w:hAnsi="宋体" w:eastAsia="宋体" w:cs="宋体"/>
                <w:color w:val="auto"/>
                <w:kern w:val="0"/>
                <w:szCs w:val="21"/>
                <w:lang w:val="zh-CN"/>
              </w:rPr>
              <w:t>日期</w:t>
            </w:r>
          </w:p>
        </w:tc>
        <w:tc>
          <w:tcPr>
            <w:tcW w:w="432" w:type="pct"/>
            <w:tcBorders>
              <w:top w:val="single" w:color="auto" w:sz="4" w:space="0"/>
              <w:left w:val="single" w:color="auto" w:sz="4" w:space="0"/>
              <w:bottom w:val="single" w:color="auto" w:sz="4" w:space="0"/>
              <w:right w:val="single" w:color="auto" w:sz="4" w:space="0"/>
            </w:tcBorders>
            <w:vAlign w:val="center"/>
          </w:tcPr>
          <w:p w14:paraId="575AB5A3">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14:paraId="47D5A16A">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794" w:type="pct"/>
            <w:tcBorders>
              <w:top w:val="single" w:color="auto" w:sz="4" w:space="0"/>
              <w:left w:val="single" w:color="auto" w:sz="4" w:space="0"/>
              <w:bottom w:val="single" w:color="auto" w:sz="4" w:space="0"/>
              <w:right w:val="single" w:color="auto" w:sz="4" w:space="0"/>
            </w:tcBorders>
            <w:vAlign w:val="center"/>
          </w:tcPr>
          <w:p w14:paraId="6C80BFD8">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830" w:type="pct"/>
            <w:tcBorders>
              <w:top w:val="single" w:color="auto" w:sz="4" w:space="0"/>
              <w:left w:val="single" w:color="auto" w:sz="4" w:space="0"/>
              <w:bottom w:val="single" w:color="auto" w:sz="4" w:space="0"/>
              <w:right w:val="single" w:color="auto" w:sz="4" w:space="0"/>
            </w:tcBorders>
            <w:vAlign w:val="center"/>
          </w:tcPr>
          <w:p w14:paraId="7C0A3221">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06728E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551" w:type="pct"/>
            <w:tcBorders>
              <w:top w:val="single" w:color="auto" w:sz="4" w:space="0"/>
              <w:left w:val="single" w:color="auto" w:sz="4" w:space="0"/>
              <w:bottom w:val="single" w:color="auto" w:sz="4" w:space="0"/>
              <w:right w:val="single" w:color="auto" w:sz="4" w:space="0"/>
            </w:tcBorders>
            <w:vAlign w:val="center"/>
          </w:tcPr>
          <w:p w14:paraId="1F0E241D">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394" w:type="pct"/>
            <w:tcBorders>
              <w:top w:val="single" w:color="auto" w:sz="4" w:space="0"/>
              <w:left w:val="single" w:color="auto" w:sz="4" w:space="0"/>
              <w:bottom w:val="single" w:color="auto" w:sz="4" w:space="0"/>
              <w:right w:val="single" w:color="auto" w:sz="4" w:space="0"/>
            </w:tcBorders>
            <w:vAlign w:val="center"/>
          </w:tcPr>
          <w:p w14:paraId="3A84ED2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57" w:type="pct"/>
            <w:tcBorders>
              <w:top w:val="single" w:color="auto" w:sz="4" w:space="0"/>
              <w:left w:val="single" w:color="auto" w:sz="4" w:space="0"/>
              <w:bottom w:val="single" w:color="auto" w:sz="4" w:space="0"/>
              <w:right w:val="single" w:color="auto" w:sz="4" w:space="0"/>
            </w:tcBorders>
            <w:vAlign w:val="center"/>
          </w:tcPr>
          <w:p w14:paraId="21C4C9F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54" w:type="pct"/>
            <w:tcBorders>
              <w:top w:val="single" w:color="auto" w:sz="4" w:space="0"/>
              <w:left w:val="single" w:color="auto" w:sz="4" w:space="0"/>
              <w:bottom w:val="single" w:color="auto" w:sz="4" w:space="0"/>
              <w:right w:val="single" w:color="auto" w:sz="4" w:space="0"/>
            </w:tcBorders>
            <w:vAlign w:val="center"/>
          </w:tcPr>
          <w:p w14:paraId="62AAA24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82" w:type="pct"/>
            <w:tcBorders>
              <w:top w:val="single" w:color="auto" w:sz="4" w:space="0"/>
              <w:left w:val="single" w:color="auto" w:sz="4" w:space="0"/>
              <w:bottom w:val="single" w:color="auto" w:sz="4" w:space="0"/>
              <w:right w:val="single" w:color="auto" w:sz="4" w:space="0"/>
            </w:tcBorders>
            <w:vAlign w:val="center"/>
          </w:tcPr>
          <w:p w14:paraId="7B329C1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68BB375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94" w:type="pct"/>
            <w:tcBorders>
              <w:top w:val="single" w:color="auto" w:sz="4" w:space="0"/>
              <w:left w:val="single" w:color="auto" w:sz="4" w:space="0"/>
              <w:bottom w:val="single" w:color="auto" w:sz="4" w:space="0"/>
              <w:right w:val="single" w:color="auto" w:sz="4" w:space="0"/>
            </w:tcBorders>
            <w:vAlign w:val="center"/>
          </w:tcPr>
          <w:p w14:paraId="727BFB0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30" w:type="pct"/>
            <w:tcBorders>
              <w:top w:val="single" w:color="auto" w:sz="4" w:space="0"/>
              <w:left w:val="single" w:color="auto" w:sz="4" w:space="0"/>
              <w:bottom w:val="single" w:color="auto" w:sz="4" w:space="0"/>
              <w:right w:val="single" w:color="auto" w:sz="4" w:space="0"/>
            </w:tcBorders>
            <w:vAlign w:val="center"/>
          </w:tcPr>
          <w:p w14:paraId="1159FCB1">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776F27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551" w:type="pct"/>
            <w:tcBorders>
              <w:top w:val="single" w:color="auto" w:sz="4" w:space="0"/>
              <w:left w:val="single" w:color="auto" w:sz="4" w:space="0"/>
              <w:bottom w:val="single" w:color="auto" w:sz="4" w:space="0"/>
              <w:right w:val="single" w:color="auto" w:sz="4" w:space="0"/>
            </w:tcBorders>
            <w:vAlign w:val="center"/>
          </w:tcPr>
          <w:p w14:paraId="5D37BA85">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394" w:type="pct"/>
            <w:tcBorders>
              <w:top w:val="single" w:color="auto" w:sz="4" w:space="0"/>
              <w:left w:val="single" w:color="auto" w:sz="4" w:space="0"/>
              <w:bottom w:val="single" w:color="auto" w:sz="4" w:space="0"/>
              <w:right w:val="single" w:color="auto" w:sz="4" w:space="0"/>
            </w:tcBorders>
            <w:vAlign w:val="center"/>
          </w:tcPr>
          <w:p w14:paraId="0AE72A9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57" w:type="pct"/>
            <w:tcBorders>
              <w:top w:val="single" w:color="auto" w:sz="4" w:space="0"/>
              <w:left w:val="single" w:color="auto" w:sz="4" w:space="0"/>
              <w:bottom w:val="single" w:color="auto" w:sz="4" w:space="0"/>
              <w:right w:val="single" w:color="auto" w:sz="4" w:space="0"/>
            </w:tcBorders>
            <w:vAlign w:val="center"/>
          </w:tcPr>
          <w:p w14:paraId="061D026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54" w:type="pct"/>
            <w:tcBorders>
              <w:top w:val="single" w:color="auto" w:sz="4" w:space="0"/>
              <w:left w:val="single" w:color="auto" w:sz="4" w:space="0"/>
              <w:bottom w:val="single" w:color="auto" w:sz="4" w:space="0"/>
              <w:right w:val="single" w:color="auto" w:sz="4" w:space="0"/>
            </w:tcBorders>
            <w:vAlign w:val="center"/>
          </w:tcPr>
          <w:p w14:paraId="1F9E8D1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82" w:type="pct"/>
            <w:tcBorders>
              <w:top w:val="single" w:color="auto" w:sz="4" w:space="0"/>
              <w:left w:val="single" w:color="auto" w:sz="4" w:space="0"/>
              <w:bottom w:val="single" w:color="auto" w:sz="4" w:space="0"/>
              <w:right w:val="single" w:color="auto" w:sz="4" w:space="0"/>
            </w:tcBorders>
            <w:vAlign w:val="center"/>
          </w:tcPr>
          <w:p w14:paraId="7702971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6DF2E43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94" w:type="pct"/>
            <w:tcBorders>
              <w:top w:val="single" w:color="auto" w:sz="4" w:space="0"/>
              <w:left w:val="single" w:color="auto" w:sz="4" w:space="0"/>
              <w:bottom w:val="single" w:color="auto" w:sz="4" w:space="0"/>
              <w:right w:val="single" w:color="auto" w:sz="4" w:space="0"/>
            </w:tcBorders>
            <w:vAlign w:val="center"/>
          </w:tcPr>
          <w:p w14:paraId="7FE61F1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30" w:type="pct"/>
            <w:tcBorders>
              <w:top w:val="single" w:color="auto" w:sz="4" w:space="0"/>
              <w:left w:val="single" w:color="auto" w:sz="4" w:space="0"/>
              <w:bottom w:val="single" w:color="auto" w:sz="4" w:space="0"/>
              <w:right w:val="single" w:color="auto" w:sz="4" w:space="0"/>
            </w:tcBorders>
            <w:vAlign w:val="center"/>
          </w:tcPr>
          <w:p w14:paraId="53FFC95A">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60C5C9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551" w:type="pct"/>
            <w:tcBorders>
              <w:top w:val="single" w:color="auto" w:sz="4" w:space="0"/>
              <w:left w:val="single" w:color="auto" w:sz="4" w:space="0"/>
              <w:bottom w:val="single" w:color="auto" w:sz="4" w:space="0"/>
              <w:right w:val="single" w:color="auto" w:sz="4" w:space="0"/>
            </w:tcBorders>
            <w:vAlign w:val="center"/>
          </w:tcPr>
          <w:p w14:paraId="56D523F5">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394" w:type="pct"/>
            <w:tcBorders>
              <w:top w:val="single" w:color="auto" w:sz="4" w:space="0"/>
              <w:left w:val="single" w:color="auto" w:sz="4" w:space="0"/>
              <w:bottom w:val="single" w:color="auto" w:sz="4" w:space="0"/>
              <w:right w:val="single" w:color="auto" w:sz="4" w:space="0"/>
            </w:tcBorders>
            <w:vAlign w:val="center"/>
          </w:tcPr>
          <w:p w14:paraId="543FE19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57" w:type="pct"/>
            <w:tcBorders>
              <w:top w:val="single" w:color="auto" w:sz="4" w:space="0"/>
              <w:left w:val="single" w:color="auto" w:sz="4" w:space="0"/>
              <w:bottom w:val="single" w:color="auto" w:sz="4" w:space="0"/>
              <w:right w:val="single" w:color="auto" w:sz="4" w:space="0"/>
            </w:tcBorders>
            <w:vAlign w:val="center"/>
          </w:tcPr>
          <w:p w14:paraId="18635E8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54" w:type="pct"/>
            <w:tcBorders>
              <w:top w:val="single" w:color="auto" w:sz="4" w:space="0"/>
              <w:left w:val="single" w:color="auto" w:sz="4" w:space="0"/>
              <w:bottom w:val="single" w:color="auto" w:sz="4" w:space="0"/>
              <w:right w:val="single" w:color="auto" w:sz="4" w:space="0"/>
            </w:tcBorders>
            <w:vAlign w:val="center"/>
          </w:tcPr>
          <w:p w14:paraId="68E9A28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82" w:type="pct"/>
            <w:tcBorders>
              <w:top w:val="single" w:color="auto" w:sz="4" w:space="0"/>
              <w:left w:val="single" w:color="auto" w:sz="4" w:space="0"/>
              <w:bottom w:val="single" w:color="auto" w:sz="4" w:space="0"/>
              <w:right w:val="single" w:color="auto" w:sz="4" w:space="0"/>
            </w:tcBorders>
            <w:vAlign w:val="center"/>
          </w:tcPr>
          <w:p w14:paraId="5D8DB8B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1A6ED99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94" w:type="pct"/>
            <w:tcBorders>
              <w:top w:val="single" w:color="auto" w:sz="4" w:space="0"/>
              <w:left w:val="single" w:color="auto" w:sz="4" w:space="0"/>
              <w:bottom w:val="single" w:color="auto" w:sz="4" w:space="0"/>
              <w:right w:val="single" w:color="auto" w:sz="4" w:space="0"/>
            </w:tcBorders>
            <w:vAlign w:val="center"/>
          </w:tcPr>
          <w:p w14:paraId="5802301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30" w:type="pct"/>
            <w:tcBorders>
              <w:top w:val="single" w:color="auto" w:sz="4" w:space="0"/>
              <w:left w:val="single" w:color="auto" w:sz="4" w:space="0"/>
              <w:bottom w:val="single" w:color="auto" w:sz="4" w:space="0"/>
              <w:right w:val="single" w:color="auto" w:sz="4" w:space="0"/>
            </w:tcBorders>
            <w:vAlign w:val="center"/>
          </w:tcPr>
          <w:p w14:paraId="28A58531">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0B2E88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551" w:type="pct"/>
            <w:tcBorders>
              <w:top w:val="single" w:color="auto" w:sz="4" w:space="0"/>
              <w:left w:val="single" w:color="auto" w:sz="4" w:space="0"/>
              <w:bottom w:val="single" w:color="auto" w:sz="4" w:space="0"/>
              <w:right w:val="single" w:color="auto" w:sz="4" w:space="0"/>
            </w:tcBorders>
            <w:vAlign w:val="center"/>
          </w:tcPr>
          <w:p w14:paraId="2B09C5C2">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394" w:type="pct"/>
            <w:tcBorders>
              <w:top w:val="single" w:color="auto" w:sz="4" w:space="0"/>
              <w:left w:val="single" w:color="auto" w:sz="4" w:space="0"/>
              <w:bottom w:val="single" w:color="auto" w:sz="4" w:space="0"/>
              <w:right w:val="single" w:color="auto" w:sz="4" w:space="0"/>
            </w:tcBorders>
            <w:vAlign w:val="center"/>
          </w:tcPr>
          <w:p w14:paraId="1159AF0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57" w:type="pct"/>
            <w:tcBorders>
              <w:top w:val="single" w:color="auto" w:sz="4" w:space="0"/>
              <w:left w:val="single" w:color="auto" w:sz="4" w:space="0"/>
              <w:bottom w:val="single" w:color="auto" w:sz="4" w:space="0"/>
              <w:right w:val="single" w:color="auto" w:sz="4" w:space="0"/>
            </w:tcBorders>
            <w:vAlign w:val="center"/>
          </w:tcPr>
          <w:p w14:paraId="2FDA437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54" w:type="pct"/>
            <w:tcBorders>
              <w:top w:val="single" w:color="auto" w:sz="4" w:space="0"/>
              <w:left w:val="single" w:color="auto" w:sz="4" w:space="0"/>
              <w:bottom w:val="single" w:color="auto" w:sz="4" w:space="0"/>
              <w:right w:val="single" w:color="auto" w:sz="4" w:space="0"/>
            </w:tcBorders>
            <w:vAlign w:val="center"/>
          </w:tcPr>
          <w:p w14:paraId="177A07C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82" w:type="pct"/>
            <w:tcBorders>
              <w:top w:val="single" w:color="auto" w:sz="4" w:space="0"/>
              <w:left w:val="single" w:color="auto" w:sz="4" w:space="0"/>
              <w:bottom w:val="single" w:color="auto" w:sz="4" w:space="0"/>
              <w:right w:val="single" w:color="auto" w:sz="4" w:space="0"/>
            </w:tcBorders>
            <w:vAlign w:val="center"/>
          </w:tcPr>
          <w:p w14:paraId="6278E2E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22C26A7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94" w:type="pct"/>
            <w:tcBorders>
              <w:top w:val="single" w:color="auto" w:sz="4" w:space="0"/>
              <w:left w:val="single" w:color="auto" w:sz="4" w:space="0"/>
              <w:bottom w:val="single" w:color="auto" w:sz="4" w:space="0"/>
              <w:right w:val="single" w:color="auto" w:sz="4" w:space="0"/>
            </w:tcBorders>
            <w:vAlign w:val="center"/>
          </w:tcPr>
          <w:p w14:paraId="7BB9A7B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30" w:type="pct"/>
            <w:tcBorders>
              <w:top w:val="single" w:color="auto" w:sz="4" w:space="0"/>
              <w:left w:val="single" w:color="auto" w:sz="4" w:space="0"/>
              <w:bottom w:val="single" w:color="auto" w:sz="4" w:space="0"/>
              <w:right w:val="single" w:color="auto" w:sz="4" w:space="0"/>
            </w:tcBorders>
            <w:vAlign w:val="center"/>
          </w:tcPr>
          <w:p w14:paraId="68CB5FC5">
            <w:pPr>
              <w:autoSpaceDE w:val="0"/>
              <w:autoSpaceDN w:val="0"/>
              <w:adjustRightInd w:val="0"/>
              <w:spacing w:line="360" w:lineRule="auto"/>
              <w:jc w:val="center"/>
              <w:rPr>
                <w:rFonts w:ascii="宋体" w:hAnsi="宋体" w:eastAsia="宋体" w:cs="Times New Roman"/>
                <w:color w:val="auto"/>
                <w:kern w:val="0"/>
                <w:szCs w:val="21"/>
                <w:highlight w:val="none"/>
              </w:rPr>
            </w:pPr>
          </w:p>
        </w:tc>
      </w:tr>
    </w:tbl>
    <w:p w14:paraId="7127F66B">
      <w:pPr>
        <w:spacing w:line="360" w:lineRule="auto"/>
        <w:ind w:left="424" w:hanging="424" w:hangingChars="201"/>
        <w:rPr>
          <w:rFonts w:hint="eastAsia" w:ascii="宋体" w:hAnsi="宋体" w:eastAsia="宋体" w:cs="宋体"/>
          <w:b/>
          <w:color w:val="auto"/>
          <w:szCs w:val="21"/>
          <w:highlight w:val="none"/>
          <w:lang w:val="zh-CN"/>
        </w:rPr>
      </w:pPr>
    </w:p>
    <w:p w14:paraId="29F5A708">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2D91BA60">
      <w:pPr>
        <w:spacing w:line="360" w:lineRule="auto"/>
        <w:ind w:left="422" w:hanging="422" w:hangingChars="201"/>
        <w:outlineLvl w:val="9"/>
        <w:rPr>
          <w:rFonts w:hint="eastAsia" w:ascii="宋体" w:hAnsi="宋体" w:eastAsia="宋体" w:cs="宋体"/>
          <w:color w:val="auto"/>
          <w:szCs w:val="21"/>
          <w:highlight w:val="none"/>
          <w:lang w:val="zh-CN"/>
        </w:rPr>
      </w:pPr>
      <w:bookmarkStart w:id="757" w:name="_Toc12802"/>
      <w:bookmarkStart w:id="758" w:name="_Toc27268"/>
      <w:r>
        <w:rPr>
          <w:rFonts w:hint="eastAsia" w:ascii="宋体" w:hAnsi="宋体" w:eastAsia="宋体" w:cs="宋体"/>
          <w:color w:val="auto"/>
          <w:szCs w:val="21"/>
          <w:highlight w:val="none"/>
          <w:lang w:val="zh-CN"/>
        </w:rPr>
        <w:t>（1）业绩须附合同复印件；</w:t>
      </w:r>
      <w:bookmarkEnd w:id="757"/>
      <w:bookmarkEnd w:id="758"/>
    </w:p>
    <w:p w14:paraId="1AD363DE">
      <w:pPr>
        <w:spacing w:line="360" w:lineRule="auto"/>
        <w:ind w:left="-2"/>
        <w:rPr>
          <w:color w:val="auto"/>
          <w:highlight w:val="none"/>
          <w:lang w:val="zh-CN"/>
        </w:rPr>
      </w:pPr>
      <w:r>
        <w:rPr>
          <w:rFonts w:hint="eastAsia" w:ascii="宋体" w:hAnsi="宋体" w:eastAsia="宋体" w:cs="宋体"/>
          <w:color w:val="auto"/>
          <w:szCs w:val="21"/>
          <w:highlight w:val="none"/>
          <w:lang w:val="zh-CN"/>
        </w:rPr>
        <w:t>（2）若合同无法反映</w:t>
      </w:r>
      <w:r>
        <w:rPr>
          <w:rFonts w:hint="eastAsia" w:ascii="宋体" w:hAnsi="宋体" w:eastAsia="宋体" w:cs="宋体"/>
          <w:color w:val="auto"/>
          <w:szCs w:val="21"/>
          <w:highlight w:val="none"/>
          <w:lang w:val="en-US" w:eastAsia="zh-CN"/>
        </w:rPr>
        <w:t>资格</w:t>
      </w:r>
      <w:r>
        <w:rPr>
          <w:rFonts w:hint="eastAsia" w:ascii="宋体" w:hAnsi="宋体" w:eastAsia="宋体" w:cs="宋体"/>
          <w:color w:val="auto"/>
          <w:szCs w:val="21"/>
          <w:highlight w:val="none"/>
          <w:lang w:val="zh-CN"/>
        </w:rPr>
        <w:t>条件（卖方为投标人、合同签订日期为202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年1月1日或以后、合同标的必须包含投标品牌液体</w:t>
      </w:r>
      <w:r>
        <w:rPr>
          <w:rFonts w:hint="eastAsia" w:ascii="宋体" w:hAnsi="宋体" w:eastAsia="宋体" w:cs="宋体"/>
          <w:color w:val="auto"/>
          <w:szCs w:val="21"/>
          <w:highlight w:val="none"/>
          <w:lang w:val="en-US" w:eastAsia="zh-CN"/>
        </w:rPr>
        <w:t>乙酸钠</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lang w:val="zh-CN"/>
        </w:rPr>
        <w:t>，</w:t>
      </w:r>
      <w:r>
        <w:rPr>
          <w:rFonts w:hint="eastAsia" w:ascii="宋体" w:hAnsi="宋体" w:eastAsia="宋体" w:cs="宋体"/>
          <w:color w:val="auto"/>
          <w:szCs w:val="21"/>
          <w:lang w:val="zh-CN"/>
        </w:rPr>
        <w:t>还需提供产品购买方出具的书面补充说明文件复印件作为辅助证明</w:t>
      </w:r>
      <w:r>
        <w:rPr>
          <w:rFonts w:hint="eastAsia" w:ascii="宋体" w:hAnsi="宋体" w:eastAsia="宋体" w:cs="宋体"/>
          <w:color w:val="auto"/>
          <w:szCs w:val="21"/>
          <w:highlight w:val="none"/>
          <w:lang w:val="zh-CN"/>
        </w:rPr>
        <w:t>（</w:t>
      </w:r>
      <w:r>
        <w:rPr>
          <w:rFonts w:hint="eastAsia" w:ascii="宋体" w:hAnsi="宋体" w:eastAsia="宋体" w:cs="宋体"/>
          <w:color w:val="auto"/>
          <w:szCs w:val="21"/>
          <w:lang w:val="zh-CN"/>
        </w:rPr>
        <w:t>补充说明文件复印件能显示购买方公章</w:t>
      </w:r>
      <w:r>
        <w:rPr>
          <w:rFonts w:hint="eastAsia" w:ascii="宋体" w:hAnsi="宋体" w:eastAsia="宋体" w:cs="宋体"/>
          <w:color w:val="auto"/>
          <w:szCs w:val="21"/>
          <w:highlight w:val="none"/>
          <w:lang w:val="zh-CN"/>
        </w:rPr>
        <w:t>）；</w:t>
      </w:r>
    </w:p>
    <w:p w14:paraId="50D9B1CF">
      <w:pPr>
        <w:tabs>
          <w:tab w:val="left" w:pos="567"/>
        </w:tabs>
        <w:autoSpaceDE w:val="0"/>
        <w:autoSpaceDN w:val="0"/>
        <w:adjustRightInd w:val="0"/>
        <w:spacing w:line="360" w:lineRule="auto"/>
        <w:jc w:val="left"/>
        <w:outlineLvl w:val="9"/>
        <w:rPr>
          <w:rFonts w:ascii="宋体" w:hAnsi="宋体" w:eastAsia="宋体" w:cs="宋体"/>
          <w:b/>
          <w:color w:val="auto"/>
          <w:kern w:val="0"/>
          <w:sz w:val="30"/>
          <w:szCs w:val="30"/>
          <w:highlight w:val="none"/>
        </w:rPr>
      </w:pPr>
      <w:bookmarkStart w:id="759" w:name="_Toc14967"/>
      <w:bookmarkStart w:id="760" w:name="_Toc6253"/>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lang w:val="zh-CN"/>
        </w:rPr>
        <w:t>）</w:t>
      </w:r>
      <w:bookmarkEnd w:id="759"/>
      <w:bookmarkEnd w:id="760"/>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p>
    <w:p w14:paraId="5E9E217B">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0C7AD4E8">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761" w:name="_Toc29463"/>
      <w:bookmarkStart w:id="762" w:name="_Toc8979"/>
      <w:bookmarkStart w:id="763" w:name="_Toc14413"/>
      <w:bookmarkStart w:id="764" w:name="_Toc24616"/>
      <w:bookmarkStart w:id="765" w:name="_Toc4151"/>
      <w:bookmarkStart w:id="766" w:name="_Toc31879"/>
      <w:r>
        <w:rPr>
          <w:rFonts w:hint="eastAsia" w:ascii="宋体" w:hAnsi="宋体" w:eastAsia="宋体" w:cs="宋体"/>
          <w:b/>
          <w:color w:val="auto"/>
          <w:kern w:val="0"/>
          <w:sz w:val="30"/>
          <w:szCs w:val="30"/>
          <w:highlight w:val="none"/>
          <w:lang w:val="en-US" w:eastAsia="zh-CN"/>
        </w:rPr>
        <w:t xml:space="preserve">5.7 </w:t>
      </w:r>
      <w:r>
        <w:rPr>
          <w:rFonts w:hint="eastAsia" w:ascii="宋体" w:hAnsi="宋体" w:eastAsia="宋体" w:cs="宋体"/>
          <w:b/>
          <w:color w:val="auto"/>
          <w:kern w:val="0"/>
          <w:sz w:val="30"/>
          <w:szCs w:val="30"/>
          <w:highlight w:val="none"/>
        </w:rPr>
        <w:t>最近3年投标人牵涉的其他（失信和违法）处罚说明格式</w:t>
      </w:r>
      <w:bookmarkEnd w:id="734"/>
      <w:bookmarkEnd w:id="735"/>
      <w:bookmarkEnd w:id="736"/>
      <w:bookmarkEnd w:id="737"/>
      <w:bookmarkEnd w:id="738"/>
      <w:bookmarkEnd w:id="761"/>
      <w:bookmarkEnd w:id="762"/>
      <w:bookmarkEnd w:id="763"/>
      <w:bookmarkEnd w:id="764"/>
      <w:bookmarkEnd w:id="765"/>
      <w:bookmarkEnd w:id="766"/>
    </w:p>
    <w:p w14:paraId="05BC4978">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555DC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776CADA2">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事项名称</w:t>
            </w:r>
          </w:p>
        </w:tc>
        <w:tc>
          <w:tcPr>
            <w:tcW w:w="1417" w:type="dxa"/>
            <w:vAlign w:val="center"/>
          </w:tcPr>
          <w:p w14:paraId="625DA73E">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5E024585">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4540D038">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1278D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0CDBCEF8">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315125CF">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45D64783">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42D59FC2">
            <w:pPr>
              <w:autoSpaceDE w:val="0"/>
              <w:autoSpaceDN w:val="0"/>
              <w:adjustRightInd w:val="0"/>
              <w:spacing w:line="360" w:lineRule="auto"/>
              <w:jc w:val="center"/>
              <w:rPr>
                <w:rFonts w:ascii="宋体" w:hAnsi="宋体" w:eastAsia="宋体" w:cs="宋体"/>
                <w:color w:val="auto"/>
                <w:kern w:val="0"/>
                <w:szCs w:val="21"/>
                <w:highlight w:val="none"/>
              </w:rPr>
            </w:pPr>
          </w:p>
        </w:tc>
      </w:tr>
      <w:tr w14:paraId="413A8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0700FADC">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6C84CF8C">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56517E0D">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16BB1228">
            <w:pPr>
              <w:autoSpaceDE w:val="0"/>
              <w:autoSpaceDN w:val="0"/>
              <w:adjustRightInd w:val="0"/>
              <w:spacing w:line="360" w:lineRule="auto"/>
              <w:jc w:val="center"/>
              <w:rPr>
                <w:rFonts w:ascii="宋体" w:hAnsi="宋体" w:eastAsia="宋体" w:cs="宋体"/>
                <w:color w:val="auto"/>
                <w:kern w:val="0"/>
                <w:szCs w:val="21"/>
                <w:highlight w:val="none"/>
              </w:rPr>
            </w:pPr>
          </w:p>
        </w:tc>
      </w:tr>
      <w:tr w14:paraId="4313B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2B360A54">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387BFDCE">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08A6278F">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5CFB98EA">
            <w:pPr>
              <w:autoSpaceDE w:val="0"/>
              <w:autoSpaceDN w:val="0"/>
              <w:adjustRightInd w:val="0"/>
              <w:spacing w:line="360" w:lineRule="auto"/>
              <w:jc w:val="center"/>
              <w:rPr>
                <w:rFonts w:ascii="宋体" w:hAnsi="宋体" w:eastAsia="宋体" w:cs="宋体"/>
                <w:color w:val="auto"/>
                <w:kern w:val="0"/>
                <w:szCs w:val="21"/>
                <w:highlight w:val="none"/>
              </w:rPr>
            </w:pPr>
          </w:p>
        </w:tc>
      </w:tr>
    </w:tbl>
    <w:p w14:paraId="6FD8B28A">
      <w:pPr>
        <w:autoSpaceDE w:val="0"/>
        <w:autoSpaceDN w:val="0"/>
        <w:adjustRightInd w:val="0"/>
        <w:spacing w:line="360" w:lineRule="auto"/>
        <w:jc w:val="left"/>
        <w:rPr>
          <w:rFonts w:ascii="宋体" w:hAnsi="宋体" w:eastAsia="宋体" w:cs="宋体"/>
          <w:color w:val="auto"/>
          <w:kern w:val="0"/>
          <w:szCs w:val="21"/>
          <w:highlight w:val="none"/>
        </w:rPr>
      </w:pPr>
    </w:p>
    <w:p w14:paraId="60A30509">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06E99DF7">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0AD87D67">
      <w:pPr>
        <w:autoSpaceDE w:val="0"/>
        <w:autoSpaceDN w:val="0"/>
        <w:adjustRightInd w:val="0"/>
        <w:spacing w:line="360" w:lineRule="auto"/>
        <w:jc w:val="center"/>
        <w:rPr>
          <w:rFonts w:ascii="宋体" w:hAnsi="宋体" w:eastAsia="宋体" w:cs="宋体"/>
          <w:color w:val="auto"/>
          <w:kern w:val="0"/>
          <w:sz w:val="24"/>
          <w:szCs w:val="24"/>
          <w:highlight w:val="none"/>
        </w:rPr>
      </w:pPr>
    </w:p>
    <w:p w14:paraId="065856D5">
      <w:pPr>
        <w:spacing w:line="360" w:lineRule="auto"/>
        <w:ind w:firstLine="494" w:firstLineChars="206"/>
        <w:rPr>
          <w:rFonts w:ascii="宋体" w:hAnsi="宋体" w:eastAsia="宋体" w:cs="宋体"/>
          <w:color w:val="auto"/>
          <w:kern w:val="0"/>
          <w:sz w:val="24"/>
          <w:szCs w:val="24"/>
          <w:highlight w:val="none"/>
        </w:rPr>
      </w:pPr>
    </w:p>
    <w:p w14:paraId="471D4FFA">
      <w:pPr>
        <w:spacing w:line="360" w:lineRule="auto"/>
        <w:ind w:firstLine="494" w:firstLineChars="206"/>
        <w:rPr>
          <w:rFonts w:ascii="宋体" w:hAnsi="宋体" w:eastAsia="宋体" w:cs="宋体"/>
          <w:color w:val="auto"/>
          <w:kern w:val="0"/>
          <w:sz w:val="24"/>
          <w:szCs w:val="24"/>
          <w:highlight w:val="none"/>
        </w:rPr>
      </w:pPr>
    </w:p>
    <w:p w14:paraId="6715BCAB">
      <w:pPr>
        <w:spacing w:line="360" w:lineRule="auto"/>
        <w:ind w:firstLine="494" w:firstLineChars="206"/>
        <w:rPr>
          <w:rFonts w:ascii="宋体" w:hAnsi="宋体" w:eastAsia="宋体" w:cs="宋体"/>
          <w:color w:val="auto"/>
          <w:kern w:val="0"/>
          <w:sz w:val="24"/>
          <w:szCs w:val="24"/>
          <w:highlight w:val="none"/>
        </w:rPr>
      </w:pPr>
    </w:p>
    <w:p w14:paraId="4F9578C0">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3965442E">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14:paraId="78B314B2">
      <w:pPr>
        <w:rPr>
          <w:rFonts w:ascii="宋体" w:hAnsi="宋体" w:eastAsia="宋体" w:cs="宋体"/>
          <w:color w:val="auto"/>
          <w:szCs w:val="24"/>
          <w:highlight w:val="none"/>
          <w:lang w:val="zh-CN"/>
        </w:rPr>
      </w:pPr>
      <w:r>
        <w:rPr>
          <w:rFonts w:ascii="宋体" w:hAnsi="宋体" w:eastAsia="宋体" w:cs="宋体"/>
          <w:color w:val="auto"/>
          <w:szCs w:val="24"/>
          <w:highlight w:val="none"/>
          <w:lang w:val="zh-CN"/>
        </w:rPr>
        <w:br w:type="page"/>
      </w:r>
      <w:bookmarkStart w:id="767" w:name="_Toc533708126"/>
      <w:bookmarkStart w:id="768" w:name="_Toc102860423"/>
      <w:bookmarkStart w:id="769" w:name="_Toc13237"/>
      <w:bookmarkStart w:id="770" w:name="_Toc140596934"/>
      <w:bookmarkStart w:id="771" w:name="_Toc486167714"/>
      <w:bookmarkStart w:id="772" w:name="_Toc142508374"/>
      <w:bookmarkStart w:id="773" w:name="_Toc94107215"/>
      <w:bookmarkStart w:id="774" w:name="_Toc2031_WPSOffice_Level2"/>
      <w:bookmarkStart w:id="775" w:name="_Toc102860079"/>
      <w:bookmarkStart w:id="776" w:name="_Toc104991881"/>
      <w:bookmarkStart w:id="777" w:name="_Toc1977731"/>
    </w:p>
    <w:p w14:paraId="7B35631A">
      <w:pPr>
        <w:tabs>
          <w:tab w:val="left" w:pos="567"/>
        </w:tabs>
        <w:autoSpaceDE w:val="0"/>
        <w:autoSpaceDN w:val="0"/>
        <w:adjustRightInd w:val="0"/>
        <w:spacing w:line="360" w:lineRule="auto"/>
        <w:jc w:val="left"/>
        <w:outlineLvl w:val="1"/>
        <w:rPr>
          <w:rFonts w:ascii="宋体" w:hAnsi="宋体" w:eastAsia="宋体" w:cs="Times New Roman"/>
          <w:color w:val="auto"/>
          <w:kern w:val="0"/>
          <w:szCs w:val="21"/>
          <w:highlight w:val="none"/>
          <w:u w:val="single"/>
        </w:rPr>
      </w:pPr>
      <w:bookmarkStart w:id="778" w:name="_Toc17950"/>
      <w:bookmarkStart w:id="779" w:name="_Toc11148"/>
      <w:bookmarkStart w:id="780" w:name="_Toc12726"/>
      <w:bookmarkStart w:id="781" w:name="_Toc9606"/>
      <w:bookmarkStart w:id="782" w:name="_Toc19556"/>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14:paraId="1ECB1AF9">
      <w:pPr>
        <w:autoSpaceDE w:val="0"/>
        <w:autoSpaceDN w:val="0"/>
        <w:adjustRightInd w:val="0"/>
        <w:spacing w:line="360" w:lineRule="auto"/>
        <w:jc w:val="center"/>
        <w:outlineLvl w:val="9"/>
        <w:rPr>
          <w:rFonts w:ascii="宋体" w:hAnsi="宋体" w:eastAsia="宋体" w:cs="宋体"/>
          <w:b/>
          <w:bCs/>
          <w:color w:val="auto"/>
          <w:sz w:val="30"/>
          <w:szCs w:val="30"/>
          <w:highlight w:val="none"/>
        </w:rPr>
      </w:pPr>
      <w:bookmarkStart w:id="783" w:name="_Toc19134"/>
      <w:bookmarkStart w:id="784" w:name="_Toc2773_WPSOffice_Level3"/>
      <w:bookmarkStart w:id="785" w:name="_Toc31873"/>
      <w:r>
        <w:rPr>
          <w:rFonts w:hint="eastAsia" w:ascii="宋体" w:hAnsi="宋体" w:eastAsia="宋体" w:cs="宋体"/>
          <w:b/>
          <w:bCs/>
          <w:color w:val="auto"/>
          <w:sz w:val="30"/>
          <w:szCs w:val="30"/>
          <w:highlight w:val="none"/>
          <w:lang w:val="zh-CN"/>
        </w:rPr>
        <w:t>投标人基本情况一览表</w:t>
      </w:r>
      <w:bookmarkEnd w:id="783"/>
      <w:bookmarkEnd w:id="784"/>
      <w:bookmarkEnd w:id="785"/>
    </w:p>
    <w:p w14:paraId="55B90017">
      <w:pPr>
        <w:autoSpaceDE w:val="0"/>
        <w:autoSpaceDN w:val="0"/>
        <w:adjustRightInd w:val="0"/>
        <w:spacing w:line="360" w:lineRule="auto"/>
        <w:ind w:firstLine="420"/>
        <w:rPr>
          <w:rFonts w:hint="eastAsia" w:ascii="宋体" w:hAnsi="宋体" w:eastAsia="宋体" w:cs="宋体"/>
          <w:color w:val="auto"/>
          <w:szCs w:val="24"/>
          <w:highlight w:val="none"/>
          <w:lang w:val="zh-CN"/>
        </w:rPr>
      </w:pPr>
      <w:bookmarkStart w:id="786" w:name="_Toc18175"/>
      <w:bookmarkStart w:id="787" w:name="_Toc9070"/>
      <w:r>
        <w:rPr>
          <w:rFonts w:hint="eastAsia" w:ascii="宋体" w:hAnsi="宋体" w:eastAsia="宋体" w:cs="宋体"/>
          <w:color w:val="auto"/>
          <w:szCs w:val="24"/>
          <w:highlight w:val="none"/>
          <w:lang w:val="zh-CN"/>
        </w:rPr>
        <w:t>1．名称及概况：</w:t>
      </w:r>
      <w:bookmarkEnd w:id="786"/>
      <w:bookmarkEnd w:id="787"/>
    </w:p>
    <w:p w14:paraId="1DF90635">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5A909746">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4F52DCF8">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3B7B971E">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136DCBBE">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6ADC19BC">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7533948A">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3D1F1678">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39C8E0F4">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6ADFB477">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611AC938">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74E48E0F">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55E1D72B">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5DCC93E6">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2DD6B1D4">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739AA746">
      <w:pPr>
        <w:autoSpaceDE w:val="0"/>
        <w:autoSpaceDN w:val="0"/>
        <w:adjustRightInd w:val="0"/>
        <w:spacing w:line="360" w:lineRule="auto"/>
        <w:ind w:firstLine="420"/>
        <w:rPr>
          <w:rFonts w:hint="eastAsia" w:ascii="宋体" w:hAnsi="宋体" w:eastAsia="宋体" w:cs="宋体"/>
          <w:color w:val="auto"/>
          <w:szCs w:val="24"/>
          <w:highlight w:val="none"/>
          <w:lang w:val="zh-CN"/>
        </w:rPr>
      </w:pPr>
      <w:bookmarkStart w:id="788" w:name="_Toc1961"/>
      <w:bookmarkStart w:id="789" w:name="_Toc14014"/>
      <w:r>
        <w:rPr>
          <w:rFonts w:hint="eastAsia" w:ascii="宋体" w:hAnsi="宋体" w:eastAsia="宋体" w:cs="宋体"/>
          <w:color w:val="auto"/>
          <w:szCs w:val="24"/>
          <w:highlight w:val="none"/>
          <w:lang w:val="zh-CN"/>
        </w:rPr>
        <w:t>4. 提交资料（包括但不限于组织架构、公司简介等）：</w:t>
      </w:r>
      <w:bookmarkEnd w:id="788"/>
      <w:bookmarkEnd w:id="789"/>
    </w:p>
    <w:p w14:paraId="415A03DA">
      <w:pPr>
        <w:autoSpaceDE w:val="0"/>
        <w:autoSpaceDN w:val="0"/>
        <w:adjustRightInd w:val="0"/>
        <w:spacing w:line="360" w:lineRule="auto"/>
        <w:ind w:firstLine="420"/>
        <w:rPr>
          <w:rFonts w:hint="eastAsia" w:ascii="宋体" w:hAnsi="宋体" w:eastAsia="宋体" w:cs="宋体"/>
          <w:color w:val="auto"/>
          <w:szCs w:val="24"/>
          <w:highlight w:val="none"/>
          <w:lang w:val="zh-CN"/>
        </w:rPr>
      </w:pPr>
      <w:bookmarkStart w:id="790" w:name="_Toc17184"/>
      <w:bookmarkStart w:id="791" w:name="_Toc6831"/>
      <w:r>
        <w:rPr>
          <w:rFonts w:hint="eastAsia" w:ascii="宋体" w:hAnsi="宋体" w:eastAsia="宋体" w:cs="宋体"/>
          <w:color w:val="auto"/>
          <w:szCs w:val="24"/>
          <w:highlight w:val="none"/>
          <w:lang w:val="zh-CN"/>
        </w:rPr>
        <w:t>（1）公司简介；</w:t>
      </w:r>
      <w:bookmarkEnd w:id="790"/>
      <w:bookmarkEnd w:id="791"/>
    </w:p>
    <w:p w14:paraId="2AC9BD99">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74C5773F">
      <w:pPr>
        <w:autoSpaceDE w:val="0"/>
        <w:autoSpaceDN w:val="0"/>
        <w:adjustRightInd w:val="0"/>
        <w:spacing w:line="360" w:lineRule="auto"/>
        <w:ind w:firstLine="420"/>
        <w:rPr>
          <w:rFonts w:hint="eastAsia" w:ascii="宋体" w:hAnsi="宋体" w:eastAsia="宋体" w:cs="宋体"/>
          <w:color w:val="auto"/>
          <w:szCs w:val="24"/>
          <w:highlight w:val="none"/>
          <w:lang w:val="zh-CN"/>
        </w:rPr>
      </w:pPr>
      <w:bookmarkStart w:id="792" w:name="_Toc16055"/>
      <w:bookmarkStart w:id="793" w:name="_Toc29503"/>
      <w:r>
        <w:rPr>
          <w:rFonts w:hint="eastAsia" w:ascii="宋体" w:hAnsi="宋体" w:eastAsia="宋体" w:cs="宋体"/>
          <w:color w:val="auto"/>
          <w:szCs w:val="24"/>
          <w:highlight w:val="none"/>
          <w:lang w:val="zh-CN"/>
        </w:rPr>
        <w:t>（2）公司组织架构；</w:t>
      </w:r>
      <w:bookmarkEnd w:id="792"/>
      <w:bookmarkEnd w:id="793"/>
    </w:p>
    <w:p w14:paraId="448DBD05">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10CE952D">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10C79316">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5ED8E99C">
      <w:pPr>
        <w:autoSpaceDE w:val="0"/>
        <w:autoSpaceDN w:val="0"/>
        <w:adjustRightInd w:val="0"/>
        <w:spacing w:line="360" w:lineRule="auto"/>
        <w:ind w:firstLine="420" w:firstLineChars="200"/>
        <w:rPr>
          <w:rFonts w:ascii="宋体" w:hAnsi="宋体" w:eastAsia="宋体" w:cs="宋体"/>
          <w:color w:val="auto"/>
          <w:szCs w:val="24"/>
          <w:highlight w:val="none"/>
        </w:rPr>
      </w:pPr>
    </w:p>
    <w:p w14:paraId="46B5159B">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78CC3CDE">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66CCAB58">
      <w:pPr>
        <w:tabs>
          <w:tab w:val="left" w:pos="567"/>
        </w:tabs>
        <w:autoSpaceDE w:val="0"/>
        <w:autoSpaceDN w:val="0"/>
        <w:adjustRightInd w:val="0"/>
        <w:spacing w:line="360" w:lineRule="auto"/>
        <w:jc w:val="left"/>
        <w:outlineLvl w:val="1"/>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zh-CN" w:eastAsia="zh-CN"/>
        </w:rPr>
        <w:br w:type="page"/>
      </w:r>
      <w:bookmarkStart w:id="794" w:name="_Toc140596935"/>
      <w:bookmarkStart w:id="795" w:name="_Toc102860080"/>
      <w:bookmarkStart w:id="796" w:name="_Toc17044"/>
      <w:bookmarkStart w:id="797" w:name="_Toc142508375"/>
      <w:bookmarkStart w:id="798" w:name="_Toc94107216"/>
      <w:bookmarkStart w:id="799" w:name="_Toc26944"/>
      <w:bookmarkStart w:id="800" w:name="_Toc26758"/>
      <w:bookmarkStart w:id="801" w:name="_Toc104991882"/>
      <w:bookmarkStart w:id="802" w:name="_Toc4495"/>
      <w:bookmarkStart w:id="803" w:name="_Toc20142"/>
      <w:bookmarkStart w:id="804" w:name="_Toc102860424"/>
      <w:bookmarkStart w:id="805" w:name="_Toc3711"/>
      <w:bookmarkStart w:id="806" w:name="_Toc9051_WPSOffice_Level2"/>
      <w:bookmarkStart w:id="807" w:name="_Toc486167715"/>
      <w:bookmarkStart w:id="808" w:name="_Toc1977733"/>
      <w:bookmarkStart w:id="809" w:name="_Toc533708128"/>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eastAsia="zh-CN"/>
        </w:rPr>
        <w:t>、投标人财务状况表格式</w:t>
      </w:r>
      <w:bookmarkEnd w:id="794"/>
      <w:bookmarkEnd w:id="795"/>
      <w:bookmarkEnd w:id="796"/>
      <w:bookmarkEnd w:id="797"/>
      <w:bookmarkEnd w:id="798"/>
      <w:bookmarkEnd w:id="799"/>
      <w:bookmarkEnd w:id="800"/>
      <w:bookmarkEnd w:id="801"/>
      <w:bookmarkEnd w:id="802"/>
      <w:bookmarkEnd w:id="803"/>
      <w:bookmarkEnd w:id="804"/>
      <w:bookmarkEnd w:id="805"/>
    </w:p>
    <w:p w14:paraId="18180AAE">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37F301F1">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614B4D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157BFD9C">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4CB2B826">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1BB3306C">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67531ACF">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235C69EB">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23E7EB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15A9F194">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2021</w:t>
            </w:r>
          </w:p>
        </w:tc>
        <w:tc>
          <w:tcPr>
            <w:tcW w:w="1944" w:type="dxa"/>
            <w:vAlign w:val="center"/>
          </w:tcPr>
          <w:p w14:paraId="39636135">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526AC646">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center"/>
          </w:tcPr>
          <w:p w14:paraId="4F5D1BA0">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782A1A58">
            <w:pPr>
              <w:autoSpaceDE w:val="0"/>
              <w:autoSpaceDN w:val="0"/>
              <w:adjustRightInd w:val="0"/>
              <w:spacing w:line="360" w:lineRule="auto"/>
              <w:jc w:val="center"/>
              <w:rPr>
                <w:rFonts w:ascii="宋体" w:hAnsi="宋体" w:eastAsia="宋体" w:cs="宋体"/>
                <w:color w:val="auto"/>
                <w:kern w:val="0"/>
                <w:szCs w:val="21"/>
                <w:highlight w:val="none"/>
              </w:rPr>
            </w:pPr>
          </w:p>
        </w:tc>
      </w:tr>
      <w:tr w14:paraId="487ED6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487160C1">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2022</w:t>
            </w:r>
          </w:p>
        </w:tc>
        <w:tc>
          <w:tcPr>
            <w:tcW w:w="1944" w:type="dxa"/>
            <w:vAlign w:val="center"/>
          </w:tcPr>
          <w:p w14:paraId="2CC2EF96">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4E38A14E">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16376977">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7663C1C5">
            <w:pPr>
              <w:autoSpaceDE w:val="0"/>
              <w:autoSpaceDN w:val="0"/>
              <w:adjustRightInd w:val="0"/>
              <w:spacing w:line="360" w:lineRule="auto"/>
              <w:jc w:val="center"/>
              <w:rPr>
                <w:rFonts w:ascii="宋体" w:hAnsi="宋体" w:eastAsia="宋体" w:cs="宋体"/>
                <w:color w:val="auto"/>
                <w:kern w:val="0"/>
                <w:szCs w:val="21"/>
                <w:highlight w:val="none"/>
              </w:rPr>
            </w:pPr>
          </w:p>
        </w:tc>
      </w:tr>
      <w:tr w14:paraId="692CB3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71D98F0E">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2023</w:t>
            </w:r>
          </w:p>
        </w:tc>
        <w:tc>
          <w:tcPr>
            <w:tcW w:w="1944" w:type="dxa"/>
            <w:vAlign w:val="center"/>
          </w:tcPr>
          <w:p w14:paraId="1645E2E1">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67F72405">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6DA1AEB0">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7D091BAF">
            <w:pPr>
              <w:autoSpaceDE w:val="0"/>
              <w:autoSpaceDN w:val="0"/>
              <w:adjustRightInd w:val="0"/>
              <w:spacing w:line="360" w:lineRule="auto"/>
              <w:jc w:val="center"/>
              <w:rPr>
                <w:rFonts w:ascii="宋体" w:hAnsi="宋体" w:eastAsia="宋体" w:cs="宋体"/>
                <w:color w:val="auto"/>
                <w:kern w:val="0"/>
                <w:szCs w:val="21"/>
                <w:highlight w:val="none"/>
              </w:rPr>
            </w:pPr>
          </w:p>
        </w:tc>
      </w:tr>
      <w:tr w14:paraId="3F7053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083D6FB8">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16F0607A">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43FF2BC3">
            <w:pPr>
              <w:autoSpaceDE w:val="0"/>
              <w:autoSpaceDN w:val="0"/>
              <w:adjustRightInd w:val="0"/>
              <w:spacing w:line="360" w:lineRule="auto"/>
              <w:jc w:val="center"/>
              <w:rPr>
                <w:rFonts w:ascii="宋体" w:hAnsi="宋体" w:eastAsia="宋体" w:cs="宋体"/>
                <w:color w:val="auto"/>
                <w:kern w:val="0"/>
                <w:szCs w:val="21"/>
                <w:highlight w:val="none"/>
              </w:rPr>
            </w:pPr>
          </w:p>
        </w:tc>
      </w:tr>
    </w:tbl>
    <w:p w14:paraId="3F32F308">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670F1181">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6B72213E">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60647711">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035554A2">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9" w:type="default"/>
          <w:pgSz w:w="11907" w:h="16840"/>
          <w:pgMar w:top="1191" w:right="1043" w:bottom="1191" w:left="1043"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806"/>
    <w:bookmarkEnd w:id="807"/>
    <w:bookmarkEnd w:id="808"/>
    <w:bookmarkEnd w:id="809"/>
    <w:p w14:paraId="0AE3A7D0">
      <w:pPr>
        <w:tabs>
          <w:tab w:val="left" w:pos="567"/>
        </w:tabs>
        <w:autoSpaceDE w:val="0"/>
        <w:autoSpaceDN w:val="0"/>
        <w:adjustRightInd w:val="0"/>
        <w:spacing w:line="360" w:lineRule="auto"/>
        <w:jc w:val="left"/>
        <w:outlineLvl w:val="1"/>
        <w:rPr>
          <w:rFonts w:hint="eastAsia" w:ascii="宋体" w:hAnsi="宋体" w:eastAsia="宋体" w:cs="宋体"/>
          <w:b/>
          <w:color w:val="auto"/>
          <w:sz w:val="32"/>
          <w:szCs w:val="32"/>
          <w:highlight w:val="none"/>
          <w:lang w:val="zh-CN" w:eastAsia="zh-CN"/>
        </w:rPr>
      </w:pPr>
      <w:bookmarkStart w:id="810" w:name="_Toc140596936"/>
      <w:bookmarkStart w:id="811" w:name="_Toc533708130"/>
      <w:bookmarkStart w:id="812" w:name="_Toc486167716"/>
      <w:bookmarkStart w:id="813" w:name="_Toc20034"/>
      <w:bookmarkStart w:id="814" w:name="_Toc9966"/>
      <w:bookmarkStart w:id="815" w:name="_Toc102860425"/>
      <w:bookmarkStart w:id="816" w:name="_Toc104991883"/>
      <w:bookmarkStart w:id="817" w:name="_Toc12417"/>
      <w:bookmarkStart w:id="818" w:name="_Toc10856"/>
      <w:bookmarkStart w:id="819" w:name="_Toc102860081"/>
      <w:bookmarkStart w:id="820" w:name="_Toc1977736"/>
      <w:bookmarkStart w:id="821" w:name="_Toc94107217"/>
      <w:bookmarkStart w:id="822" w:name="_Toc739_WPSOffice_Level2"/>
      <w:bookmarkStart w:id="823" w:name="_Toc15551"/>
      <w:bookmarkStart w:id="824" w:name="_Toc142508376"/>
      <w:bookmarkStart w:id="825" w:name="_Toc22263"/>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val="zh-CN" w:eastAsia="zh-CN"/>
        </w:rPr>
        <w:t>、合同条款偏离表格式</w:t>
      </w:r>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7F3A37BF">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826" w:name="_Toc26412_WPSOffice_Level3"/>
      <w:r>
        <w:rPr>
          <w:rFonts w:hint="eastAsia" w:ascii="宋体" w:hAnsi="宋体" w:eastAsia="宋体" w:cs="宋体"/>
          <w:b/>
          <w:bCs/>
          <w:color w:val="auto"/>
          <w:kern w:val="0"/>
          <w:sz w:val="28"/>
          <w:szCs w:val="30"/>
          <w:highlight w:val="none"/>
          <w:lang w:val="zh-CN"/>
        </w:rPr>
        <w:t>东莞市水务集团净水有限公司2025年生产药剂液体乙酸钠采购项目合同条款偏离表</w:t>
      </w:r>
      <w:bookmarkEnd w:id="826"/>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075A1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602731E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08F7358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7E9E802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4481D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3A1C40E2">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14:paraId="3895A4B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78EF779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3980324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57BCA97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07CE4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7930D4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785EA78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第一条</w:t>
            </w:r>
          </w:p>
        </w:tc>
        <w:tc>
          <w:tcPr>
            <w:tcW w:w="3055" w:type="dxa"/>
            <w:vAlign w:val="center"/>
          </w:tcPr>
          <w:p w14:paraId="559829F8">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合同项目</w:t>
            </w:r>
          </w:p>
        </w:tc>
        <w:tc>
          <w:tcPr>
            <w:tcW w:w="1346" w:type="dxa"/>
            <w:vAlign w:val="center"/>
          </w:tcPr>
          <w:p w14:paraId="244F58A9">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62B0265">
            <w:pPr>
              <w:autoSpaceDE w:val="0"/>
              <w:autoSpaceDN w:val="0"/>
              <w:adjustRightInd w:val="0"/>
              <w:spacing w:line="400" w:lineRule="exact"/>
              <w:jc w:val="center"/>
              <w:rPr>
                <w:rFonts w:ascii="宋体" w:hAnsi="宋体" w:eastAsia="宋体" w:cs="宋体"/>
                <w:color w:val="auto"/>
                <w:kern w:val="0"/>
                <w:szCs w:val="21"/>
                <w:highlight w:val="none"/>
              </w:rPr>
            </w:pPr>
          </w:p>
        </w:tc>
      </w:tr>
      <w:tr w14:paraId="64896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38770E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6CAC0E39">
            <w:pPr>
              <w:pStyle w:val="63"/>
              <w:snapToGrid w:val="0"/>
              <w:spacing w:line="240" w:lineRule="auto"/>
              <w:ind w:firstLine="0" w:firstLineChars="0"/>
              <w:jc w:val="center"/>
              <w:rPr>
                <w:rFonts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第二条</w:t>
            </w:r>
          </w:p>
        </w:tc>
        <w:tc>
          <w:tcPr>
            <w:tcW w:w="3055" w:type="dxa"/>
            <w:vAlign w:val="center"/>
          </w:tcPr>
          <w:p w14:paraId="2487384E">
            <w:pPr>
              <w:pStyle w:val="63"/>
              <w:snapToGrid w:val="0"/>
              <w:spacing w:line="240" w:lineRule="auto"/>
              <w:ind w:firstLine="0" w:firstLineChars="0"/>
              <w:jc w:val="center"/>
              <w:rPr>
                <w:rFonts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合同价款及销项税价</w:t>
            </w:r>
          </w:p>
        </w:tc>
        <w:tc>
          <w:tcPr>
            <w:tcW w:w="1346" w:type="dxa"/>
            <w:vAlign w:val="center"/>
          </w:tcPr>
          <w:p w14:paraId="10D19FF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F8C7E7F">
            <w:pPr>
              <w:autoSpaceDE w:val="0"/>
              <w:autoSpaceDN w:val="0"/>
              <w:adjustRightInd w:val="0"/>
              <w:spacing w:line="400" w:lineRule="exact"/>
              <w:jc w:val="center"/>
              <w:rPr>
                <w:rFonts w:ascii="宋体" w:hAnsi="宋体" w:eastAsia="宋体" w:cs="宋体"/>
                <w:color w:val="auto"/>
                <w:kern w:val="0"/>
                <w:szCs w:val="21"/>
                <w:highlight w:val="none"/>
              </w:rPr>
            </w:pPr>
          </w:p>
        </w:tc>
      </w:tr>
      <w:tr w14:paraId="4988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CCD892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4E8A52C4">
            <w:pPr>
              <w:pStyle w:val="63"/>
              <w:snapToGrid w:val="0"/>
              <w:spacing w:line="240" w:lineRule="auto"/>
              <w:ind w:firstLine="0" w:firstLineChars="0"/>
              <w:jc w:val="center"/>
              <w:rPr>
                <w:rFonts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第三条</w:t>
            </w:r>
          </w:p>
        </w:tc>
        <w:tc>
          <w:tcPr>
            <w:tcW w:w="3055" w:type="dxa"/>
            <w:vAlign w:val="center"/>
          </w:tcPr>
          <w:p w14:paraId="5910F9C4">
            <w:pPr>
              <w:pStyle w:val="63"/>
              <w:snapToGrid w:val="0"/>
              <w:spacing w:line="240" w:lineRule="auto"/>
              <w:ind w:firstLine="0" w:firstLineChars="0"/>
              <w:jc w:val="center"/>
              <w:rPr>
                <w:rFonts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合同组成</w:t>
            </w:r>
          </w:p>
        </w:tc>
        <w:tc>
          <w:tcPr>
            <w:tcW w:w="1346" w:type="dxa"/>
            <w:vAlign w:val="center"/>
          </w:tcPr>
          <w:p w14:paraId="18500786">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125AE65">
            <w:pPr>
              <w:autoSpaceDE w:val="0"/>
              <w:autoSpaceDN w:val="0"/>
              <w:adjustRightInd w:val="0"/>
              <w:spacing w:line="400" w:lineRule="exact"/>
              <w:jc w:val="center"/>
              <w:rPr>
                <w:rFonts w:ascii="宋体" w:hAnsi="宋体" w:eastAsia="宋体" w:cs="宋体"/>
                <w:color w:val="auto"/>
                <w:kern w:val="0"/>
                <w:szCs w:val="21"/>
                <w:highlight w:val="none"/>
              </w:rPr>
            </w:pPr>
          </w:p>
        </w:tc>
      </w:tr>
      <w:tr w14:paraId="20E5B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D43B62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0E63E5ED">
            <w:pPr>
              <w:pStyle w:val="63"/>
              <w:snapToGrid w:val="0"/>
              <w:spacing w:line="240" w:lineRule="auto"/>
              <w:ind w:firstLine="0" w:firstLineChars="0"/>
              <w:jc w:val="center"/>
              <w:rPr>
                <w:rFonts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第四条</w:t>
            </w:r>
          </w:p>
        </w:tc>
        <w:tc>
          <w:tcPr>
            <w:tcW w:w="3055" w:type="dxa"/>
            <w:vAlign w:val="center"/>
          </w:tcPr>
          <w:p w14:paraId="1D4538C2">
            <w:pPr>
              <w:pStyle w:val="63"/>
              <w:snapToGrid w:val="0"/>
              <w:spacing w:line="240" w:lineRule="auto"/>
              <w:ind w:firstLine="0" w:firstLineChars="0"/>
              <w:jc w:val="center"/>
              <w:rPr>
                <w:rFonts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技术要求及质量要求</w:t>
            </w:r>
          </w:p>
        </w:tc>
        <w:tc>
          <w:tcPr>
            <w:tcW w:w="1346" w:type="dxa"/>
            <w:vAlign w:val="center"/>
          </w:tcPr>
          <w:p w14:paraId="0B54A698">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9AE2F9E">
            <w:pPr>
              <w:autoSpaceDE w:val="0"/>
              <w:autoSpaceDN w:val="0"/>
              <w:adjustRightInd w:val="0"/>
              <w:spacing w:line="400" w:lineRule="exact"/>
              <w:jc w:val="center"/>
              <w:rPr>
                <w:rFonts w:ascii="宋体" w:hAnsi="宋体" w:eastAsia="宋体" w:cs="宋体"/>
                <w:color w:val="auto"/>
                <w:kern w:val="0"/>
                <w:szCs w:val="21"/>
                <w:highlight w:val="none"/>
              </w:rPr>
            </w:pPr>
          </w:p>
        </w:tc>
      </w:tr>
      <w:tr w14:paraId="426F2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061A1E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052318F6">
            <w:pPr>
              <w:pStyle w:val="63"/>
              <w:snapToGrid w:val="0"/>
              <w:spacing w:line="240" w:lineRule="auto"/>
              <w:ind w:firstLine="0" w:firstLineChars="0"/>
              <w:jc w:val="center"/>
              <w:rPr>
                <w:rFonts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第五条</w:t>
            </w:r>
          </w:p>
        </w:tc>
        <w:tc>
          <w:tcPr>
            <w:tcW w:w="3055" w:type="dxa"/>
            <w:vAlign w:val="center"/>
          </w:tcPr>
          <w:p w14:paraId="0E899466">
            <w:pPr>
              <w:pStyle w:val="63"/>
              <w:snapToGrid w:val="0"/>
              <w:spacing w:line="240" w:lineRule="auto"/>
              <w:ind w:firstLine="0" w:firstLineChars="0"/>
              <w:jc w:val="center"/>
              <w:rPr>
                <w:rFonts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交货要求</w:t>
            </w:r>
          </w:p>
        </w:tc>
        <w:tc>
          <w:tcPr>
            <w:tcW w:w="1346" w:type="dxa"/>
            <w:vAlign w:val="center"/>
          </w:tcPr>
          <w:p w14:paraId="0397FE0D">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8689A38">
            <w:pPr>
              <w:autoSpaceDE w:val="0"/>
              <w:autoSpaceDN w:val="0"/>
              <w:adjustRightInd w:val="0"/>
              <w:spacing w:line="400" w:lineRule="exact"/>
              <w:jc w:val="center"/>
              <w:rPr>
                <w:rFonts w:ascii="宋体" w:hAnsi="宋体" w:eastAsia="宋体" w:cs="宋体"/>
                <w:color w:val="auto"/>
                <w:kern w:val="0"/>
                <w:szCs w:val="21"/>
                <w:highlight w:val="none"/>
              </w:rPr>
            </w:pPr>
          </w:p>
        </w:tc>
      </w:tr>
      <w:tr w14:paraId="72567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54923F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160CB9D6">
            <w:pPr>
              <w:pStyle w:val="63"/>
              <w:snapToGrid w:val="0"/>
              <w:spacing w:line="240" w:lineRule="auto"/>
              <w:ind w:firstLine="0" w:firstLineChars="0"/>
              <w:jc w:val="center"/>
              <w:rPr>
                <w:rFonts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第六条</w:t>
            </w:r>
          </w:p>
        </w:tc>
        <w:tc>
          <w:tcPr>
            <w:tcW w:w="3055" w:type="dxa"/>
            <w:vAlign w:val="center"/>
          </w:tcPr>
          <w:p w14:paraId="7A607D6F">
            <w:pPr>
              <w:pStyle w:val="63"/>
              <w:snapToGrid w:val="0"/>
              <w:spacing w:line="240" w:lineRule="auto"/>
              <w:ind w:firstLine="0" w:firstLineChars="0"/>
              <w:jc w:val="center"/>
              <w:rPr>
                <w:rFonts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储存</w:t>
            </w:r>
          </w:p>
        </w:tc>
        <w:tc>
          <w:tcPr>
            <w:tcW w:w="1346" w:type="dxa"/>
            <w:vAlign w:val="center"/>
          </w:tcPr>
          <w:p w14:paraId="35D7F7A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1C01002">
            <w:pPr>
              <w:autoSpaceDE w:val="0"/>
              <w:autoSpaceDN w:val="0"/>
              <w:adjustRightInd w:val="0"/>
              <w:spacing w:line="400" w:lineRule="exact"/>
              <w:jc w:val="center"/>
              <w:rPr>
                <w:rFonts w:ascii="宋体" w:hAnsi="宋体" w:eastAsia="宋体" w:cs="宋体"/>
                <w:color w:val="auto"/>
                <w:kern w:val="0"/>
                <w:szCs w:val="21"/>
                <w:highlight w:val="none"/>
              </w:rPr>
            </w:pPr>
          </w:p>
        </w:tc>
      </w:tr>
      <w:tr w14:paraId="26842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6B6942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4093D379">
            <w:pPr>
              <w:pStyle w:val="63"/>
              <w:snapToGrid w:val="0"/>
              <w:spacing w:line="240" w:lineRule="auto"/>
              <w:ind w:firstLine="0" w:firstLineChars="0"/>
              <w:jc w:val="center"/>
              <w:rPr>
                <w:rFonts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第七条</w:t>
            </w:r>
          </w:p>
        </w:tc>
        <w:tc>
          <w:tcPr>
            <w:tcW w:w="3055" w:type="dxa"/>
            <w:vAlign w:val="center"/>
          </w:tcPr>
          <w:p w14:paraId="054F2D11">
            <w:pPr>
              <w:pStyle w:val="63"/>
              <w:snapToGrid w:val="0"/>
              <w:spacing w:line="240" w:lineRule="auto"/>
              <w:ind w:firstLine="0" w:firstLineChars="0"/>
              <w:jc w:val="center"/>
              <w:rPr>
                <w:rFonts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验收要求</w:t>
            </w:r>
          </w:p>
        </w:tc>
        <w:tc>
          <w:tcPr>
            <w:tcW w:w="1346" w:type="dxa"/>
            <w:vAlign w:val="center"/>
          </w:tcPr>
          <w:p w14:paraId="37A48B58">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97AE517">
            <w:pPr>
              <w:autoSpaceDE w:val="0"/>
              <w:autoSpaceDN w:val="0"/>
              <w:adjustRightInd w:val="0"/>
              <w:spacing w:line="400" w:lineRule="exact"/>
              <w:jc w:val="center"/>
              <w:rPr>
                <w:rFonts w:ascii="宋体" w:hAnsi="宋体" w:eastAsia="宋体" w:cs="宋体"/>
                <w:color w:val="auto"/>
                <w:kern w:val="0"/>
                <w:szCs w:val="21"/>
                <w:highlight w:val="none"/>
              </w:rPr>
            </w:pPr>
          </w:p>
        </w:tc>
      </w:tr>
      <w:tr w14:paraId="73AEA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641770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341E1FE8">
            <w:pPr>
              <w:pStyle w:val="63"/>
              <w:snapToGrid w:val="0"/>
              <w:spacing w:line="240" w:lineRule="auto"/>
              <w:ind w:firstLine="0" w:firstLineChars="0"/>
              <w:jc w:val="center"/>
              <w:rPr>
                <w:rFonts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第八条</w:t>
            </w:r>
          </w:p>
        </w:tc>
        <w:tc>
          <w:tcPr>
            <w:tcW w:w="3055" w:type="dxa"/>
            <w:vAlign w:val="center"/>
          </w:tcPr>
          <w:p w14:paraId="1796EE5B">
            <w:pPr>
              <w:pStyle w:val="63"/>
              <w:snapToGrid w:val="0"/>
              <w:spacing w:line="240" w:lineRule="auto"/>
              <w:ind w:firstLine="0" w:firstLineChars="0"/>
              <w:jc w:val="center"/>
              <w:rPr>
                <w:rFonts w:hint="eastAsia"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资料</w:t>
            </w:r>
            <w:r>
              <w:rPr>
                <w:rFonts w:ascii="宋体" w:eastAsia="宋体"/>
                <w:color w:val="auto"/>
                <w:sz w:val="21"/>
                <w:szCs w:val="21"/>
                <w:highlight w:val="none"/>
              </w:rPr>
              <w:t>要求</w:t>
            </w:r>
          </w:p>
        </w:tc>
        <w:tc>
          <w:tcPr>
            <w:tcW w:w="1346" w:type="dxa"/>
            <w:vAlign w:val="center"/>
          </w:tcPr>
          <w:p w14:paraId="52C3F64F">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DD641A3">
            <w:pPr>
              <w:autoSpaceDE w:val="0"/>
              <w:autoSpaceDN w:val="0"/>
              <w:adjustRightInd w:val="0"/>
              <w:spacing w:line="400" w:lineRule="exact"/>
              <w:jc w:val="center"/>
              <w:rPr>
                <w:rFonts w:ascii="宋体" w:hAnsi="宋体" w:eastAsia="宋体" w:cs="宋体"/>
                <w:color w:val="auto"/>
                <w:kern w:val="0"/>
                <w:szCs w:val="21"/>
                <w:highlight w:val="none"/>
              </w:rPr>
            </w:pPr>
          </w:p>
        </w:tc>
      </w:tr>
      <w:tr w14:paraId="27A45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5C93F5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4235B919">
            <w:pPr>
              <w:pStyle w:val="63"/>
              <w:snapToGrid w:val="0"/>
              <w:spacing w:line="240" w:lineRule="auto"/>
              <w:ind w:firstLine="0" w:firstLineChars="0"/>
              <w:jc w:val="center"/>
              <w:rPr>
                <w:rFonts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第九条</w:t>
            </w:r>
          </w:p>
        </w:tc>
        <w:tc>
          <w:tcPr>
            <w:tcW w:w="3055" w:type="dxa"/>
            <w:vAlign w:val="center"/>
          </w:tcPr>
          <w:p w14:paraId="386410D0">
            <w:pPr>
              <w:pStyle w:val="63"/>
              <w:snapToGrid w:val="0"/>
              <w:spacing w:line="240" w:lineRule="auto"/>
              <w:ind w:firstLine="0" w:firstLineChars="0"/>
              <w:jc w:val="center"/>
              <w:rPr>
                <w:rFonts w:hint="eastAsia"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权利保证</w:t>
            </w:r>
          </w:p>
        </w:tc>
        <w:tc>
          <w:tcPr>
            <w:tcW w:w="1346" w:type="dxa"/>
            <w:vAlign w:val="center"/>
          </w:tcPr>
          <w:p w14:paraId="03A9941E">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595F654">
            <w:pPr>
              <w:autoSpaceDE w:val="0"/>
              <w:autoSpaceDN w:val="0"/>
              <w:adjustRightInd w:val="0"/>
              <w:spacing w:line="400" w:lineRule="exact"/>
              <w:jc w:val="center"/>
              <w:rPr>
                <w:rFonts w:ascii="宋体" w:hAnsi="宋体" w:eastAsia="宋体" w:cs="宋体"/>
                <w:color w:val="auto"/>
                <w:kern w:val="0"/>
                <w:szCs w:val="21"/>
                <w:highlight w:val="none"/>
              </w:rPr>
            </w:pPr>
          </w:p>
        </w:tc>
      </w:tr>
      <w:tr w14:paraId="5DD56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C94A89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3A033896">
            <w:pPr>
              <w:pStyle w:val="63"/>
              <w:snapToGrid w:val="0"/>
              <w:spacing w:line="240" w:lineRule="auto"/>
              <w:ind w:firstLine="0" w:firstLineChars="0"/>
              <w:jc w:val="center"/>
              <w:rPr>
                <w:rFonts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第十条</w:t>
            </w:r>
          </w:p>
        </w:tc>
        <w:tc>
          <w:tcPr>
            <w:tcW w:w="3055" w:type="dxa"/>
            <w:vAlign w:val="center"/>
          </w:tcPr>
          <w:p w14:paraId="5F1DE888">
            <w:pPr>
              <w:pStyle w:val="63"/>
              <w:snapToGrid w:val="0"/>
              <w:spacing w:line="240" w:lineRule="auto"/>
              <w:ind w:firstLine="0" w:firstLineChars="0"/>
              <w:jc w:val="center"/>
              <w:rPr>
                <w:rFonts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质量保证及售后服务</w:t>
            </w:r>
          </w:p>
        </w:tc>
        <w:tc>
          <w:tcPr>
            <w:tcW w:w="1346" w:type="dxa"/>
            <w:vAlign w:val="center"/>
          </w:tcPr>
          <w:p w14:paraId="10EE017E">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F25DA0C">
            <w:pPr>
              <w:autoSpaceDE w:val="0"/>
              <w:autoSpaceDN w:val="0"/>
              <w:adjustRightInd w:val="0"/>
              <w:spacing w:line="400" w:lineRule="exact"/>
              <w:jc w:val="center"/>
              <w:rPr>
                <w:rFonts w:ascii="宋体" w:hAnsi="宋体" w:eastAsia="宋体" w:cs="宋体"/>
                <w:color w:val="auto"/>
                <w:kern w:val="0"/>
                <w:szCs w:val="21"/>
                <w:highlight w:val="none"/>
              </w:rPr>
            </w:pPr>
          </w:p>
        </w:tc>
      </w:tr>
      <w:tr w14:paraId="653DD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10A131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2EB21D4D">
            <w:pPr>
              <w:pStyle w:val="63"/>
              <w:snapToGrid w:val="0"/>
              <w:spacing w:line="240" w:lineRule="auto"/>
              <w:ind w:firstLine="0" w:firstLineChars="0"/>
              <w:jc w:val="center"/>
              <w:rPr>
                <w:rFonts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第十一条</w:t>
            </w:r>
          </w:p>
        </w:tc>
        <w:tc>
          <w:tcPr>
            <w:tcW w:w="3055" w:type="dxa"/>
            <w:vAlign w:val="center"/>
          </w:tcPr>
          <w:p w14:paraId="4C2573A3">
            <w:pPr>
              <w:pStyle w:val="63"/>
              <w:snapToGrid w:val="0"/>
              <w:spacing w:line="240" w:lineRule="auto"/>
              <w:ind w:firstLine="0" w:firstLineChars="0"/>
              <w:jc w:val="center"/>
              <w:rPr>
                <w:rFonts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履约担保</w:t>
            </w:r>
          </w:p>
        </w:tc>
        <w:tc>
          <w:tcPr>
            <w:tcW w:w="1346" w:type="dxa"/>
            <w:vAlign w:val="center"/>
          </w:tcPr>
          <w:p w14:paraId="5BB35BE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F0A9CEB">
            <w:pPr>
              <w:autoSpaceDE w:val="0"/>
              <w:autoSpaceDN w:val="0"/>
              <w:adjustRightInd w:val="0"/>
              <w:spacing w:line="400" w:lineRule="exact"/>
              <w:jc w:val="center"/>
              <w:rPr>
                <w:rFonts w:ascii="宋体" w:hAnsi="宋体" w:eastAsia="宋体" w:cs="宋体"/>
                <w:color w:val="auto"/>
                <w:kern w:val="0"/>
                <w:szCs w:val="21"/>
                <w:highlight w:val="none"/>
              </w:rPr>
            </w:pPr>
          </w:p>
        </w:tc>
      </w:tr>
      <w:tr w14:paraId="5E5B5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CE8FD6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5FFA68B4">
            <w:pPr>
              <w:pStyle w:val="63"/>
              <w:snapToGrid w:val="0"/>
              <w:spacing w:line="240" w:lineRule="auto"/>
              <w:ind w:firstLine="0" w:firstLineChars="0"/>
              <w:jc w:val="center"/>
              <w:rPr>
                <w:rFonts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第十二条</w:t>
            </w:r>
          </w:p>
        </w:tc>
        <w:tc>
          <w:tcPr>
            <w:tcW w:w="3055" w:type="dxa"/>
            <w:vAlign w:val="center"/>
          </w:tcPr>
          <w:p w14:paraId="6EEDCE63">
            <w:pPr>
              <w:pStyle w:val="63"/>
              <w:snapToGrid w:val="0"/>
              <w:spacing w:line="240" w:lineRule="auto"/>
              <w:ind w:firstLine="0" w:firstLineChars="0"/>
              <w:jc w:val="center"/>
              <w:rPr>
                <w:rFonts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付款方式</w:t>
            </w:r>
          </w:p>
        </w:tc>
        <w:tc>
          <w:tcPr>
            <w:tcW w:w="1346" w:type="dxa"/>
            <w:vAlign w:val="center"/>
          </w:tcPr>
          <w:p w14:paraId="3FF3ABF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F6A107B">
            <w:pPr>
              <w:autoSpaceDE w:val="0"/>
              <w:autoSpaceDN w:val="0"/>
              <w:adjustRightInd w:val="0"/>
              <w:spacing w:line="400" w:lineRule="exact"/>
              <w:jc w:val="center"/>
              <w:rPr>
                <w:rFonts w:ascii="宋体" w:hAnsi="宋体" w:eastAsia="宋体" w:cs="宋体"/>
                <w:color w:val="auto"/>
                <w:kern w:val="0"/>
                <w:szCs w:val="21"/>
                <w:highlight w:val="none"/>
              </w:rPr>
            </w:pPr>
          </w:p>
        </w:tc>
      </w:tr>
      <w:tr w14:paraId="2B47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5431EF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4E755589">
            <w:pPr>
              <w:pStyle w:val="63"/>
              <w:snapToGrid w:val="0"/>
              <w:spacing w:line="240" w:lineRule="auto"/>
              <w:ind w:firstLine="0" w:firstLineChars="0"/>
              <w:jc w:val="center"/>
              <w:rPr>
                <w:rFonts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第十三条</w:t>
            </w:r>
          </w:p>
        </w:tc>
        <w:tc>
          <w:tcPr>
            <w:tcW w:w="3055" w:type="dxa"/>
            <w:vAlign w:val="center"/>
          </w:tcPr>
          <w:p w14:paraId="21C365C3">
            <w:pPr>
              <w:pStyle w:val="63"/>
              <w:snapToGrid w:val="0"/>
              <w:spacing w:line="240" w:lineRule="auto"/>
              <w:ind w:firstLine="0" w:firstLineChars="0"/>
              <w:jc w:val="center"/>
              <w:rPr>
                <w:rFonts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不可抗力</w:t>
            </w:r>
          </w:p>
        </w:tc>
        <w:tc>
          <w:tcPr>
            <w:tcW w:w="1346" w:type="dxa"/>
            <w:vAlign w:val="center"/>
          </w:tcPr>
          <w:p w14:paraId="2966657E">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5B6D98B">
            <w:pPr>
              <w:autoSpaceDE w:val="0"/>
              <w:autoSpaceDN w:val="0"/>
              <w:adjustRightInd w:val="0"/>
              <w:spacing w:line="400" w:lineRule="exact"/>
              <w:jc w:val="center"/>
              <w:rPr>
                <w:rFonts w:ascii="宋体" w:hAnsi="宋体" w:eastAsia="宋体" w:cs="宋体"/>
                <w:color w:val="auto"/>
                <w:kern w:val="0"/>
                <w:szCs w:val="21"/>
                <w:highlight w:val="none"/>
              </w:rPr>
            </w:pPr>
          </w:p>
        </w:tc>
      </w:tr>
      <w:tr w14:paraId="5B857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890D92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14:paraId="0786B713">
            <w:pPr>
              <w:pStyle w:val="63"/>
              <w:snapToGrid w:val="0"/>
              <w:spacing w:line="240" w:lineRule="auto"/>
              <w:ind w:firstLine="0" w:firstLineChars="0"/>
              <w:jc w:val="center"/>
              <w:rPr>
                <w:rFonts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第十四条</w:t>
            </w:r>
          </w:p>
        </w:tc>
        <w:tc>
          <w:tcPr>
            <w:tcW w:w="3055" w:type="dxa"/>
            <w:vAlign w:val="center"/>
          </w:tcPr>
          <w:p w14:paraId="478EC184">
            <w:pPr>
              <w:pStyle w:val="63"/>
              <w:snapToGrid w:val="0"/>
              <w:spacing w:line="240" w:lineRule="auto"/>
              <w:ind w:firstLine="0" w:firstLineChars="0"/>
              <w:jc w:val="center"/>
              <w:rPr>
                <w:rFonts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索赔</w:t>
            </w:r>
          </w:p>
        </w:tc>
        <w:tc>
          <w:tcPr>
            <w:tcW w:w="1346" w:type="dxa"/>
            <w:vAlign w:val="center"/>
          </w:tcPr>
          <w:p w14:paraId="07517D04">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943F00B">
            <w:pPr>
              <w:autoSpaceDE w:val="0"/>
              <w:autoSpaceDN w:val="0"/>
              <w:adjustRightInd w:val="0"/>
              <w:spacing w:line="400" w:lineRule="exact"/>
              <w:jc w:val="center"/>
              <w:rPr>
                <w:rFonts w:ascii="宋体" w:hAnsi="宋体" w:eastAsia="宋体" w:cs="宋体"/>
                <w:color w:val="auto"/>
                <w:kern w:val="0"/>
                <w:szCs w:val="21"/>
                <w:highlight w:val="none"/>
              </w:rPr>
            </w:pPr>
          </w:p>
        </w:tc>
      </w:tr>
      <w:tr w14:paraId="7BCCC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A74FCC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14:paraId="29B4FC15">
            <w:pPr>
              <w:pStyle w:val="63"/>
              <w:snapToGrid w:val="0"/>
              <w:spacing w:line="240" w:lineRule="auto"/>
              <w:ind w:firstLine="0" w:firstLineChars="0"/>
              <w:jc w:val="center"/>
              <w:rPr>
                <w:rFonts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第十五条</w:t>
            </w:r>
          </w:p>
        </w:tc>
        <w:tc>
          <w:tcPr>
            <w:tcW w:w="3055" w:type="dxa"/>
            <w:vAlign w:val="center"/>
          </w:tcPr>
          <w:p w14:paraId="4F869C76">
            <w:pPr>
              <w:pStyle w:val="63"/>
              <w:snapToGrid w:val="0"/>
              <w:spacing w:line="240" w:lineRule="auto"/>
              <w:ind w:firstLine="0" w:firstLineChars="0"/>
              <w:jc w:val="center"/>
              <w:rPr>
                <w:rFonts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违约责任</w:t>
            </w:r>
          </w:p>
        </w:tc>
        <w:tc>
          <w:tcPr>
            <w:tcW w:w="1346" w:type="dxa"/>
            <w:vAlign w:val="center"/>
          </w:tcPr>
          <w:p w14:paraId="2EC23C4E">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7D2C320">
            <w:pPr>
              <w:autoSpaceDE w:val="0"/>
              <w:autoSpaceDN w:val="0"/>
              <w:adjustRightInd w:val="0"/>
              <w:spacing w:line="400" w:lineRule="exact"/>
              <w:jc w:val="center"/>
              <w:rPr>
                <w:rFonts w:ascii="宋体" w:hAnsi="宋体" w:eastAsia="宋体" w:cs="宋体"/>
                <w:color w:val="auto"/>
                <w:kern w:val="0"/>
                <w:szCs w:val="21"/>
                <w:highlight w:val="none"/>
              </w:rPr>
            </w:pPr>
          </w:p>
        </w:tc>
      </w:tr>
      <w:tr w14:paraId="6295E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480446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425" w:type="dxa"/>
            <w:vAlign w:val="center"/>
          </w:tcPr>
          <w:p w14:paraId="790FDA0F">
            <w:pPr>
              <w:pStyle w:val="63"/>
              <w:snapToGrid w:val="0"/>
              <w:spacing w:line="240" w:lineRule="auto"/>
              <w:ind w:firstLine="0" w:firstLineChars="0"/>
              <w:jc w:val="center"/>
              <w:rPr>
                <w:rFonts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第十六条</w:t>
            </w:r>
          </w:p>
        </w:tc>
        <w:tc>
          <w:tcPr>
            <w:tcW w:w="3055" w:type="dxa"/>
            <w:vAlign w:val="center"/>
          </w:tcPr>
          <w:p w14:paraId="0ED19101">
            <w:pPr>
              <w:pStyle w:val="63"/>
              <w:snapToGrid w:val="0"/>
              <w:spacing w:line="240" w:lineRule="auto"/>
              <w:ind w:firstLine="0" w:firstLineChars="0"/>
              <w:jc w:val="center"/>
              <w:rPr>
                <w:rFonts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争议解决</w:t>
            </w:r>
          </w:p>
        </w:tc>
        <w:tc>
          <w:tcPr>
            <w:tcW w:w="1346" w:type="dxa"/>
            <w:vAlign w:val="center"/>
          </w:tcPr>
          <w:p w14:paraId="3EC76CCA">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6057F5A">
            <w:pPr>
              <w:autoSpaceDE w:val="0"/>
              <w:autoSpaceDN w:val="0"/>
              <w:adjustRightInd w:val="0"/>
              <w:spacing w:line="400" w:lineRule="exact"/>
              <w:jc w:val="center"/>
              <w:rPr>
                <w:rFonts w:ascii="宋体" w:hAnsi="宋体" w:eastAsia="宋体" w:cs="宋体"/>
                <w:color w:val="auto"/>
                <w:kern w:val="0"/>
                <w:szCs w:val="21"/>
                <w:highlight w:val="none"/>
              </w:rPr>
            </w:pPr>
          </w:p>
        </w:tc>
      </w:tr>
      <w:tr w14:paraId="7CF0C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09E37CF">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1425" w:type="dxa"/>
            <w:vAlign w:val="center"/>
          </w:tcPr>
          <w:p w14:paraId="4556D0BB">
            <w:pPr>
              <w:pStyle w:val="63"/>
              <w:snapToGrid w:val="0"/>
              <w:spacing w:line="240" w:lineRule="auto"/>
              <w:ind w:firstLine="0" w:firstLineChars="0"/>
              <w:jc w:val="center"/>
              <w:rPr>
                <w:rFonts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第十七条</w:t>
            </w:r>
          </w:p>
        </w:tc>
        <w:tc>
          <w:tcPr>
            <w:tcW w:w="3055" w:type="dxa"/>
            <w:vAlign w:val="center"/>
          </w:tcPr>
          <w:p w14:paraId="7A7BB360">
            <w:pPr>
              <w:pStyle w:val="63"/>
              <w:snapToGrid w:val="0"/>
              <w:spacing w:line="240" w:lineRule="auto"/>
              <w:ind w:firstLine="0" w:firstLineChars="0"/>
              <w:jc w:val="center"/>
              <w:rPr>
                <w:rFonts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其他</w:t>
            </w:r>
          </w:p>
        </w:tc>
        <w:tc>
          <w:tcPr>
            <w:tcW w:w="1346" w:type="dxa"/>
            <w:vAlign w:val="center"/>
          </w:tcPr>
          <w:p w14:paraId="71B4CECB">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75A14D3">
            <w:pPr>
              <w:autoSpaceDE w:val="0"/>
              <w:autoSpaceDN w:val="0"/>
              <w:adjustRightInd w:val="0"/>
              <w:spacing w:line="400" w:lineRule="exact"/>
              <w:jc w:val="center"/>
              <w:rPr>
                <w:rFonts w:ascii="宋体" w:hAnsi="宋体" w:eastAsia="宋体" w:cs="宋体"/>
                <w:color w:val="auto"/>
                <w:kern w:val="0"/>
                <w:szCs w:val="21"/>
                <w:highlight w:val="none"/>
              </w:rPr>
            </w:pPr>
          </w:p>
        </w:tc>
      </w:tr>
      <w:tr w14:paraId="7854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291601B">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1425" w:type="dxa"/>
            <w:vAlign w:val="center"/>
          </w:tcPr>
          <w:p w14:paraId="09602182">
            <w:pPr>
              <w:pStyle w:val="63"/>
              <w:snapToGrid w:val="0"/>
              <w:spacing w:line="240" w:lineRule="auto"/>
              <w:ind w:firstLine="0" w:firstLineChars="0"/>
              <w:jc w:val="center"/>
              <w:rPr>
                <w:rFonts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附件</w:t>
            </w:r>
            <w:r>
              <w:rPr>
                <w:rFonts w:ascii="宋体" w:eastAsia="宋体"/>
                <w:color w:val="auto"/>
                <w:sz w:val="21"/>
                <w:szCs w:val="21"/>
                <w:highlight w:val="none"/>
              </w:rPr>
              <w:t>2</w:t>
            </w:r>
          </w:p>
        </w:tc>
        <w:tc>
          <w:tcPr>
            <w:tcW w:w="3055" w:type="dxa"/>
            <w:vAlign w:val="center"/>
          </w:tcPr>
          <w:p w14:paraId="7AFB9BEC">
            <w:pPr>
              <w:pStyle w:val="63"/>
              <w:snapToGrid w:val="0"/>
              <w:spacing w:line="240" w:lineRule="auto"/>
              <w:ind w:firstLine="0" w:firstLineChars="0"/>
              <w:jc w:val="center"/>
              <w:rPr>
                <w:rFonts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供应商履约评价表</w:t>
            </w:r>
          </w:p>
        </w:tc>
        <w:tc>
          <w:tcPr>
            <w:tcW w:w="1346" w:type="dxa"/>
            <w:vAlign w:val="center"/>
          </w:tcPr>
          <w:p w14:paraId="48FDBCAF">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07BD4D1">
            <w:pPr>
              <w:autoSpaceDE w:val="0"/>
              <w:autoSpaceDN w:val="0"/>
              <w:adjustRightInd w:val="0"/>
              <w:spacing w:line="400" w:lineRule="exact"/>
              <w:jc w:val="center"/>
              <w:rPr>
                <w:rFonts w:ascii="宋体" w:hAnsi="宋体" w:eastAsia="宋体" w:cs="宋体"/>
                <w:color w:val="auto"/>
                <w:kern w:val="0"/>
                <w:szCs w:val="21"/>
                <w:highlight w:val="none"/>
              </w:rPr>
            </w:pPr>
          </w:p>
        </w:tc>
      </w:tr>
      <w:tr w14:paraId="36C3D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E0E40F1">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1425" w:type="dxa"/>
            <w:vAlign w:val="center"/>
          </w:tcPr>
          <w:p w14:paraId="797E0C5B">
            <w:pPr>
              <w:pStyle w:val="63"/>
              <w:snapToGrid w:val="0"/>
              <w:spacing w:line="240" w:lineRule="auto"/>
              <w:ind w:firstLine="0" w:firstLineChars="0"/>
              <w:jc w:val="center"/>
              <w:rPr>
                <w:rFonts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附件</w:t>
            </w:r>
            <w:r>
              <w:rPr>
                <w:rFonts w:ascii="宋体" w:eastAsia="宋体"/>
                <w:color w:val="auto"/>
                <w:sz w:val="21"/>
                <w:szCs w:val="21"/>
                <w:highlight w:val="none"/>
              </w:rPr>
              <w:t>3</w:t>
            </w:r>
          </w:p>
        </w:tc>
        <w:tc>
          <w:tcPr>
            <w:tcW w:w="3055" w:type="dxa"/>
            <w:vAlign w:val="center"/>
          </w:tcPr>
          <w:p w14:paraId="79179A8E">
            <w:pPr>
              <w:pStyle w:val="63"/>
              <w:snapToGrid w:val="0"/>
              <w:spacing w:line="240" w:lineRule="auto"/>
              <w:ind w:firstLine="0" w:firstLineChars="0"/>
              <w:jc w:val="center"/>
              <w:rPr>
                <w:rFonts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廉洁协议书</w:t>
            </w:r>
          </w:p>
        </w:tc>
        <w:tc>
          <w:tcPr>
            <w:tcW w:w="1346" w:type="dxa"/>
            <w:vAlign w:val="center"/>
          </w:tcPr>
          <w:p w14:paraId="598F0D09">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099288D">
            <w:pPr>
              <w:autoSpaceDE w:val="0"/>
              <w:autoSpaceDN w:val="0"/>
              <w:adjustRightInd w:val="0"/>
              <w:spacing w:line="400" w:lineRule="exact"/>
              <w:jc w:val="center"/>
              <w:rPr>
                <w:rFonts w:ascii="宋体" w:hAnsi="宋体" w:eastAsia="宋体" w:cs="宋体"/>
                <w:color w:val="auto"/>
                <w:kern w:val="0"/>
                <w:szCs w:val="21"/>
                <w:highlight w:val="none"/>
              </w:rPr>
            </w:pPr>
          </w:p>
        </w:tc>
      </w:tr>
      <w:tr w14:paraId="6CD17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2B81982">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20</w:t>
            </w:r>
          </w:p>
        </w:tc>
        <w:tc>
          <w:tcPr>
            <w:tcW w:w="1425" w:type="dxa"/>
            <w:vAlign w:val="center"/>
          </w:tcPr>
          <w:p w14:paraId="210181EC">
            <w:pPr>
              <w:pStyle w:val="63"/>
              <w:snapToGrid w:val="0"/>
              <w:spacing w:line="240" w:lineRule="auto"/>
              <w:ind w:firstLine="0" w:firstLineChars="0"/>
              <w:jc w:val="center"/>
              <w:rPr>
                <w:rFonts w:hint="eastAsia"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附件</w:t>
            </w:r>
            <w:r>
              <w:rPr>
                <w:rFonts w:ascii="宋体" w:eastAsia="宋体"/>
                <w:color w:val="auto"/>
                <w:sz w:val="21"/>
                <w:szCs w:val="21"/>
                <w:highlight w:val="none"/>
              </w:rPr>
              <w:t>4</w:t>
            </w:r>
          </w:p>
        </w:tc>
        <w:tc>
          <w:tcPr>
            <w:tcW w:w="3055" w:type="dxa"/>
            <w:vAlign w:val="center"/>
          </w:tcPr>
          <w:p w14:paraId="7C96B721">
            <w:pPr>
              <w:pStyle w:val="63"/>
              <w:snapToGrid w:val="0"/>
              <w:spacing w:line="240" w:lineRule="auto"/>
              <w:ind w:firstLine="0" w:firstLineChars="0"/>
              <w:jc w:val="center"/>
              <w:rPr>
                <w:rFonts w:hint="eastAsia"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安全生产管理协议</w:t>
            </w:r>
          </w:p>
        </w:tc>
        <w:tc>
          <w:tcPr>
            <w:tcW w:w="1346" w:type="dxa"/>
            <w:vAlign w:val="center"/>
          </w:tcPr>
          <w:p w14:paraId="1F8E11F9">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2431EEE">
            <w:pPr>
              <w:autoSpaceDE w:val="0"/>
              <w:autoSpaceDN w:val="0"/>
              <w:adjustRightInd w:val="0"/>
              <w:spacing w:line="400" w:lineRule="exact"/>
              <w:jc w:val="center"/>
              <w:rPr>
                <w:rFonts w:ascii="宋体" w:hAnsi="宋体" w:eastAsia="宋体" w:cs="宋体"/>
                <w:color w:val="auto"/>
                <w:kern w:val="0"/>
                <w:szCs w:val="21"/>
                <w:highlight w:val="none"/>
              </w:rPr>
            </w:pPr>
          </w:p>
        </w:tc>
      </w:tr>
      <w:tr w14:paraId="5DDF1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62F559D">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21</w:t>
            </w:r>
          </w:p>
        </w:tc>
        <w:tc>
          <w:tcPr>
            <w:tcW w:w="1425" w:type="dxa"/>
            <w:vAlign w:val="center"/>
          </w:tcPr>
          <w:p w14:paraId="6F676F75">
            <w:pPr>
              <w:pStyle w:val="63"/>
              <w:snapToGrid w:val="0"/>
              <w:spacing w:line="240" w:lineRule="auto"/>
              <w:ind w:firstLine="0" w:firstLineChars="0"/>
              <w:jc w:val="center"/>
              <w:rPr>
                <w:rFonts w:hint="eastAsia" w:ascii="宋体" w:eastAsia="宋体"/>
                <w:color w:val="auto"/>
                <w:sz w:val="21"/>
                <w:szCs w:val="21"/>
                <w:highlight w:val="none"/>
                <w:lang w:val="en-US" w:eastAsia="zh-CN"/>
              </w:rPr>
            </w:pPr>
            <w:r>
              <w:rPr>
                <w:rFonts w:hint="eastAsia" w:ascii="宋体" w:eastAsia="宋体"/>
                <w:color w:val="auto"/>
                <w:sz w:val="21"/>
                <w:szCs w:val="21"/>
                <w:highlight w:val="none"/>
                <w:lang w:val="en-US" w:eastAsia="zh-CN"/>
              </w:rPr>
              <w:t>/</w:t>
            </w:r>
          </w:p>
        </w:tc>
        <w:tc>
          <w:tcPr>
            <w:tcW w:w="3055" w:type="dxa"/>
            <w:vAlign w:val="center"/>
          </w:tcPr>
          <w:p w14:paraId="5E798071">
            <w:pPr>
              <w:pStyle w:val="63"/>
              <w:snapToGrid w:val="0"/>
              <w:spacing w:line="240" w:lineRule="auto"/>
              <w:ind w:firstLine="0" w:firstLineChars="0"/>
              <w:jc w:val="center"/>
              <w:rPr>
                <w:rFonts w:hint="default" w:ascii="宋体" w:eastAsia="宋体"/>
                <w:color w:val="auto"/>
                <w:sz w:val="21"/>
                <w:szCs w:val="21"/>
                <w:highlight w:val="none"/>
                <w:lang w:val="en-US" w:eastAsia="zh-CN"/>
              </w:rPr>
            </w:pPr>
            <w:r>
              <w:rPr>
                <w:rFonts w:hint="eastAsia" w:ascii="宋体" w:eastAsia="宋体"/>
                <w:color w:val="auto"/>
                <w:sz w:val="21"/>
                <w:szCs w:val="21"/>
                <w:highlight w:val="none"/>
                <w:lang w:val="en-US" w:eastAsia="zh-CN"/>
              </w:rPr>
              <w:t>补充协议</w:t>
            </w:r>
          </w:p>
        </w:tc>
        <w:tc>
          <w:tcPr>
            <w:tcW w:w="1346" w:type="dxa"/>
            <w:vAlign w:val="center"/>
          </w:tcPr>
          <w:p w14:paraId="3C98DABA">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C62B085">
            <w:pPr>
              <w:autoSpaceDE w:val="0"/>
              <w:autoSpaceDN w:val="0"/>
              <w:adjustRightInd w:val="0"/>
              <w:spacing w:line="400" w:lineRule="exact"/>
              <w:jc w:val="center"/>
              <w:rPr>
                <w:rFonts w:ascii="宋体" w:hAnsi="宋体" w:eastAsia="宋体" w:cs="宋体"/>
                <w:color w:val="auto"/>
                <w:kern w:val="0"/>
                <w:szCs w:val="21"/>
                <w:highlight w:val="none"/>
              </w:rPr>
            </w:pPr>
          </w:p>
        </w:tc>
      </w:tr>
      <w:tr w14:paraId="711CF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BEE4839">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22</w:t>
            </w:r>
          </w:p>
        </w:tc>
        <w:tc>
          <w:tcPr>
            <w:tcW w:w="1425" w:type="dxa"/>
            <w:vAlign w:val="center"/>
          </w:tcPr>
          <w:p w14:paraId="5EECA5A0">
            <w:pPr>
              <w:pStyle w:val="63"/>
              <w:snapToGrid w:val="0"/>
              <w:spacing w:line="240" w:lineRule="auto"/>
              <w:ind w:firstLine="0" w:firstLineChars="0"/>
              <w:jc w:val="center"/>
              <w:rPr>
                <w:rFonts w:hint="eastAsia"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一</w:t>
            </w:r>
          </w:p>
        </w:tc>
        <w:tc>
          <w:tcPr>
            <w:tcW w:w="3055" w:type="dxa"/>
            <w:vAlign w:val="center"/>
          </w:tcPr>
          <w:p w14:paraId="4763E95B">
            <w:pPr>
              <w:pStyle w:val="63"/>
              <w:snapToGrid w:val="0"/>
              <w:spacing w:line="240" w:lineRule="auto"/>
              <w:ind w:firstLine="0" w:firstLineChars="0"/>
              <w:jc w:val="center"/>
              <w:rPr>
                <w:rFonts w:hint="eastAsia"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不可撤销银行履约保函</w:t>
            </w:r>
          </w:p>
        </w:tc>
        <w:tc>
          <w:tcPr>
            <w:tcW w:w="1346" w:type="dxa"/>
            <w:vAlign w:val="center"/>
          </w:tcPr>
          <w:p w14:paraId="7DAD2007">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5F81B0D">
            <w:pPr>
              <w:autoSpaceDE w:val="0"/>
              <w:autoSpaceDN w:val="0"/>
              <w:adjustRightInd w:val="0"/>
              <w:spacing w:line="400" w:lineRule="exact"/>
              <w:jc w:val="center"/>
              <w:rPr>
                <w:rFonts w:ascii="宋体" w:hAnsi="宋体" w:eastAsia="宋体" w:cs="宋体"/>
                <w:color w:val="auto"/>
                <w:kern w:val="0"/>
                <w:szCs w:val="21"/>
                <w:highlight w:val="none"/>
              </w:rPr>
            </w:pPr>
          </w:p>
        </w:tc>
      </w:tr>
      <w:tr w14:paraId="046C3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B822F68">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23</w:t>
            </w:r>
          </w:p>
        </w:tc>
        <w:tc>
          <w:tcPr>
            <w:tcW w:w="1425" w:type="dxa"/>
            <w:vAlign w:val="center"/>
          </w:tcPr>
          <w:p w14:paraId="3B51F6B0">
            <w:pPr>
              <w:pStyle w:val="63"/>
              <w:snapToGrid w:val="0"/>
              <w:spacing w:line="240" w:lineRule="auto"/>
              <w:ind w:firstLine="0" w:firstLineChars="0"/>
              <w:jc w:val="center"/>
              <w:rPr>
                <w:rFonts w:hint="eastAsia"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二</w:t>
            </w:r>
          </w:p>
        </w:tc>
        <w:tc>
          <w:tcPr>
            <w:tcW w:w="3055" w:type="dxa"/>
            <w:vAlign w:val="center"/>
          </w:tcPr>
          <w:p w14:paraId="6CB6E3D4">
            <w:pPr>
              <w:pStyle w:val="63"/>
              <w:snapToGrid w:val="0"/>
              <w:spacing w:line="240" w:lineRule="auto"/>
              <w:ind w:firstLine="0" w:firstLineChars="0"/>
              <w:jc w:val="center"/>
              <w:rPr>
                <w:rFonts w:hint="eastAsia"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履约保证保险凭证</w:t>
            </w:r>
          </w:p>
        </w:tc>
        <w:tc>
          <w:tcPr>
            <w:tcW w:w="1346" w:type="dxa"/>
            <w:vAlign w:val="center"/>
          </w:tcPr>
          <w:p w14:paraId="18CDEFAC">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BBC6008">
            <w:pPr>
              <w:autoSpaceDE w:val="0"/>
              <w:autoSpaceDN w:val="0"/>
              <w:adjustRightInd w:val="0"/>
              <w:spacing w:line="400" w:lineRule="exact"/>
              <w:jc w:val="center"/>
              <w:rPr>
                <w:rFonts w:ascii="宋体" w:hAnsi="宋体" w:eastAsia="宋体" w:cs="宋体"/>
                <w:color w:val="auto"/>
                <w:kern w:val="0"/>
                <w:szCs w:val="21"/>
                <w:highlight w:val="none"/>
              </w:rPr>
            </w:pPr>
          </w:p>
        </w:tc>
      </w:tr>
      <w:tr w14:paraId="08750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DC43B85">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w:t>
            </w:r>
          </w:p>
        </w:tc>
        <w:tc>
          <w:tcPr>
            <w:tcW w:w="1425" w:type="dxa"/>
            <w:vAlign w:val="center"/>
          </w:tcPr>
          <w:p w14:paraId="1A9BBB78">
            <w:pPr>
              <w:pStyle w:val="63"/>
              <w:snapToGrid w:val="0"/>
              <w:spacing w:line="240" w:lineRule="auto"/>
              <w:ind w:firstLine="0" w:firstLineChars="0"/>
              <w:jc w:val="center"/>
              <w:rPr>
                <w:rFonts w:ascii="宋体" w:hAnsi="宋体" w:eastAsia="宋体" w:cstheme="minorBidi"/>
                <w:color w:val="auto"/>
                <w:kern w:val="2"/>
                <w:sz w:val="21"/>
                <w:szCs w:val="21"/>
                <w:highlight w:val="none"/>
                <w:lang w:val="en-US" w:eastAsia="zh-CN" w:bidi="ar-SA"/>
              </w:rPr>
            </w:pPr>
            <w:r>
              <w:rPr>
                <w:rFonts w:hint="eastAsia" w:ascii="宋体" w:eastAsia="宋体"/>
                <w:color w:val="auto"/>
                <w:sz w:val="21"/>
                <w:szCs w:val="21"/>
                <w:highlight w:val="none"/>
              </w:rPr>
              <w:t>三</w:t>
            </w:r>
          </w:p>
        </w:tc>
        <w:tc>
          <w:tcPr>
            <w:tcW w:w="3055" w:type="dxa"/>
            <w:vAlign w:val="center"/>
          </w:tcPr>
          <w:p w14:paraId="30F4A748">
            <w:pPr>
              <w:pStyle w:val="63"/>
              <w:snapToGrid w:val="0"/>
              <w:spacing w:line="240" w:lineRule="auto"/>
              <w:ind w:firstLine="0" w:firstLineChars="0"/>
              <w:jc w:val="center"/>
              <w:rPr>
                <w:rFonts w:ascii="宋体" w:hAnsi="宋体" w:eastAsia="宋体" w:cstheme="minorBidi"/>
                <w:color w:val="auto"/>
                <w:kern w:val="2"/>
                <w:sz w:val="21"/>
                <w:szCs w:val="21"/>
                <w:highlight w:val="none"/>
                <w:lang w:val="en-US" w:eastAsia="zh-CN" w:bidi="ar-SA"/>
              </w:rPr>
            </w:pPr>
            <w:r>
              <w:rPr>
                <w:rFonts w:hint="eastAsia" w:ascii="宋体" w:hAnsi="宋体" w:eastAsia="宋体" w:cstheme="minorBidi"/>
                <w:color w:val="auto"/>
                <w:kern w:val="2"/>
                <w:sz w:val="21"/>
                <w:szCs w:val="21"/>
                <w:highlight w:val="none"/>
                <w:lang w:val="en-US" w:eastAsia="zh-CN" w:bidi="ar-SA"/>
              </w:rPr>
              <w:t>担保公司履约担保书</w:t>
            </w:r>
          </w:p>
        </w:tc>
        <w:tc>
          <w:tcPr>
            <w:tcW w:w="1346" w:type="dxa"/>
            <w:vAlign w:val="center"/>
          </w:tcPr>
          <w:p w14:paraId="3989B6A6">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470A78D">
            <w:pPr>
              <w:autoSpaceDE w:val="0"/>
              <w:autoSpaceDN w:val="0"/>
              <w:adjustRightInd w:val="0"/>
              <w:spacing w:line="400" w:lineRule="exact"/>
              <w:jc w:val="center"/>
              <w:rPr>
                <w:rFonts w:ascii="宋体" w:hAnsi="宋体" w:eastAsia="宋体" w:cs="宋体"/>
                <w:color w:val="auto"/>
                <w:kern w:val="0"/>
                <w:szCs w:val="21"/>
                <w:highlight w:val="none"/>
              </w:rPr>
            </w:pPr>
          </w:p>
        </w:tc>
      </w:tr>
    </w:tbl>
    <w:p w14:paraId="4DD151B7">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63FD732D">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17829D81">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24CC0640">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商务条件优于招标文件的要求；负偏离是指投标人提供的货物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商务条件不满足或不完全满足招标文件的要求；无偏离是指投标人提供的货物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商务条件完全满足招标文件的要求。</w:t>
      </w:r>
    </w:p>
    <w:p w14:paraId="0A91A58D">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077EE352">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2ECDF441">
      <w:pPr>
        <w:spacing w:line="360" w:lineRule="auto"/>
        <w:ind w:left="357" w:leftChars="-100" w:hanging="567" w:hangingChars="270"/>
        <w:rPr>
          <w:rFonts w:ascii="宋体" w:hAnsi="宋体" w:eastAsia="宋体" w:cs="宋体"/>
          <w:color w:val="auto"/>
          <w:szCs w:val="21"/>
          <w:highlight w:val="none"/>
        </w:rPr>
      </w:pPr>
    </w:p>
    <w:p w14:paraId="5068C5AC">
      <w:pPr>
        <w:spacing w:line="360" w:lineRule="auto"/>
        <w:ind w:left="357" w:leftChars="-100" w:hanging="567" w:hangingChars="270"/>
        <w:rPr>
          <w:rFonts w:ascii="宋体" w:hAnsi="宋体" w:eastAsia="宋体" w:cs="宋体"/>
          <w:color w:val="auto"/>
          <w:szCs w:val="21"/>
          <w:highlight w:val="none"/>
        </w:rPr>
      </w:pPr>
    </w:p>
    <w:p w14:paraId="18E2C952">
      <w:pPr>
        <w:spacing w:line="360" w:lineRule="auto"/>
        <w:ind w:left="357" w:leftChars="-100" w:hanging="567" w:hangingChars="270"/>
        <w:rPr>
          <w:rFonts w:ascii="宋体" w:hAnsi="宋体" w:eastAsia="宋体" w:cs="宋体"/>
          <w:color w:val="auto"/>
          <w:szCs w:val="21"/>
          <w:highlight w:val="none"/>
        </w:rPr>
      </w:pPr>
    </w:p>
    <w:p w14:paraId="24BC8D87">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53E34171">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136F4005">
      <w:pPr>
        <w:tabs>
          <w:tab w:val="left" w:pos="567"/>
        </w:tabs>
        <w:autoSpaceDE w:val="0"/>
        <w:autoSpaceDN w:val="0"/>
        <w:adjustRightInd w:val="0"/>
        <w:spacing w:line="360" w:lineRule="auto"/>
        <w:jc w:val="left"/>
        <w:outlineLvl w:val="1"/>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zh-CN" w:eastAsia="zh-CN"/>
        </w:rPr>
        <w:br w:type="page"/>
      </w:r>
      <w:bookmarkStart w:id="827" w:name="_Toc104991884"/>
      <w:bookmarkStart w:id="828" w:name="_Toc102860082"/>
      <w:bookmarkStart w:id="829" w:name="_Toc10839"/>
      <w:bookmarkStart w:id="830" w:name="_Toc13348"/>
      <w:bookmarkStart w:id="831" w:name="_Toc2075"/>
      <w:bookmarkStart w:id="832" w:name="_Toc140596937"/>
      <w:bookmarkStart w:id="833" w:name="_Toc10680"/>
      <w:bookmarkStart w:id="834" w:name="_Toc94107218"/>
      <w:bookmarkStart w:id="835" w:name="_Toc18451"/>
      <w:bookmarkStart w:id="836" w:name="_Toc30072"/>
      <w:bookmarkStart w:id="837" w:name="_Toc142508377"/>
      <w:bookmarkStart w:id="838" w:name="_Toc102860426"/>
      <w:bookmarkStart w:id="839" w:name="_Toc27980_WPSOffice_Level2"/>
      <w:bookmarkStart w:id="840" w:name="_Toc486167717"/>
      <w:r>
        <w:rPr>
          <w:rFonts w:hint="eastAsia" w:ascii="宋体" w:hAnsi="宋体" w:eastAsia="宋体" w:cs="宋体"/>
          <w:b/>
          <w:color w:val="auto"/>
          <w:sz w:val="32"/>
          <w:szCs w:val="32"/>
          <w:highlight w:val="none"/>
          <w:lang w:val="en-US" w:eastAsia="zh-CN"/>
        </w:rPr>
        <w:t>九、业绩表格式</w:t>
      </w:r>
      <w:bookmarkEnd w:id="827"/>
      <w:bookmarkEnd w:id="828"/>
      <w:bookmarkEnd w:id="829"/>
      <w:bookmarkEnd w:id="830"/>
      <w:bookmarkEnd w:id="831"/>
      <w:bookmarkEnd w:id="832"/>
      <w:bookmarkEnd w:id="833"/>
      <w:bookmarkEnd w:id="834"/>
      <w:bookmarkEnd w:id="835"/>
      <w:bookmarkEnd w:id="836"/>
      <w:bookmarkEnd w:id="837"/>
      <w:bookmarkEnd w:id="838"/>
    </w:p>
    <w:p w14:paraId="0A871DA9">
      <w:pPr>
        <w:autoSpaceDE w:val="0"/>
        <w:autoSpaceDN w:val="0"/>
        <w:adjustRightInd w:val="0"/>
        <w:spacing w:line="360" w:lineRule="auto"/>
        <w:ind w:firstLine="0"/>
        <w:jc w:val="center"/>
        <w:outlineLvl w:val="9"/>
        <w:rPr>
          <w:rFonts w:hint="eastAsia" w:ascii="宋体" w:hAnsi="宋体" w:eastAsia="宋体" w:cs="Times New Roman"/>
          <w:b/>
          <w:bCs/>
          <w:color w:val="auto"/>
          <w:sz w:val="30"/>
          <w:szCs w:val="30"/>
          <w:highlight w:val="none"/>
          <w:lang w:val="zh-CN"/>
        </w:rPr>
      </w:pPr>
      <w:bookmarkStart w:id="841" w:name="_Toc13226"/>
      <w:bookmarkStart w:id="842" w:name="_Toc30603"/>
      <w:r>
        <w:rPr>
          <w:rFonts w:hint="eastAsia" w:ascii="宋体" w:hAnsi="宋体" w:eastAsia="宋体" w:cs="Times New Roman"/>
          <w:b/>
          <w:bCs/>
          <w:color w:val="auto"/>
          <w:sz w:val="30"/>
          <w:szCs w:val="30"/>
          <w:highlight w:val="none"/>
          <w:lang w:val="en-US" w:eastAsia="zh-CN"/>
        </w:rPr>
        <w:t>投标人</w:t>
      </w:r>
      <w:r>
        <w:rPr>
          <w:rFonts w:hint="eastAsia" w:ascii="宋体" w:hAnsi="宋体" w:eastAsia="宋体" w:cs="Times New Roman"/>
          <w:b/>
          <w:bCs/>
          <w:color w:val="auto"/>
          <w:sz w:val="30"/>
          <w:szCs w:val="30"/>
          <w:highlight w:val="none"/>
          <w:lang w:val="zh-CN"/>
        </w:rPr>
        <w:t>202</w:t>
      </w:r>
      <w:r>
        <w:rPr>
          <w:rFonts w:hint="eastAsia" w:ascii="宋体" w:hAnsi="宋体" w:eastAsia="宋体" w:cs="Times New Roman"/>
          <w:b/>
          <w:bCs/>
          <w:color w:val="auto"/>
          <w:sz w:val="30"/>
          <w:szCs w:val="30"/>
          <w:highlight w:val="none"/>
          <w:lang w:val="en-US" w:eastAsia="zh-CN"/>
        </w:rPr>
        <w:t>2年</w:t>
      </w:r>
      <w:r>
        <w:rPr>
          <w:rFonts w:hint="eastAsia" w:ascii="宋体" w:hAnsi="宋体" w:eastAsia="宋体" w:cs="Times New Roman"/>
          <w:b/>
          <w:bCs/>
          <w:color w:val="auto"/>
          <w:sz w:val="30"/>
          <w:szCs w:val="30"/>
          <w:highlight w:val="none"/>
          <w:lang w:val="zh-CN"/>
        </w:rPr>
        <w:t>1月1日以来</w:t>
      </w:r>
      <w:r>
        <w:rPr>
          <w:rFonts w:hint="eastAsia" w:ascii="宋体" w:hAnsi="宋体" w:eastAsia="宋体" w:cs="Times New Roman"/>
          <w:b/>
          <w:bCs/>
          <w:color w:val="auto"/>
          <w:sz w:val="30"/>
          <w:szCs w:val="30"/>
          <w:highlight w:val="none"/>
          <w:lang w:val="en-US" w:eastAsia="zh-CN"/>
        </w:rPr>
        <w:t>具有的</w:t>
      </w:r>
      <w:r>
        <w:rPr>
          <w:rFonts w:hint="eastAsia" w:ascii="宋体" w:hAnsi="宋体" w:eastAsia="宋体" w:cs="Times New Roman"/>
          <w:b/>
          <w:bCs/>
          <w:color w:val="auto"/>
          <w:sz w:val="30"/>
          <w:szCs w:val="30"/>
          <w:highlight w:val="none"/>
          <w:lang w:val="zh-CN"/>
        </w:rPr>
        <w:t>投标品牌液体</w:t>
      </w:r>
      <w:r>
        <w:rPr>
          <w:rFonts w:hint="eastAsia" w:ascii="宋体" w:hAnsi="宋体" w:eastAsia="宋体" w:cs="Times New Roman"/>
          <w:b/>
          <w:bCs/>
          <w:color w:val="auto"/>
          <w:sz w:val="30"/>
          <w:szCs w:val="30"/>
          <w:highlight w:val="none"/>
          <w:lang w:val="en-US" w:eastAsia="zh-CN"/>
        </w:rPr>
        <w:t>乙酸钠</w:t>
      </w:r>
      <w:r>
        <w:rPr>
          <w:rFonts w:hint="eastAsia" w:ascii="宋体" w:hAnsi="宋体" w:eastAsia="宋体" w:cs="Times New Roman"/>
          <w:b/>
          <w:bCs/>
          <w:color w:val="auto"/>
          <w:sz w:val="30"/>
          <w:szCs w:val="30"/>
          <w:highlight w:val="none"/>
          <w:lang w:val="zh-CN"/>
        </w:rPr>
        <w:t>供货业绩表</w:t>
      </w:r>
      <w:bookmarkEnd w:id="841"/>
      <w:bookmarkEnd w:id="842"/>
    </w:p>
    <w:p w14:paraId="465B2082">
      <w:pPr>
        <w:autoSpaceDE w:val="0"/>
        <w:autoSpaceDN w:val="0"/>
        <w:adjustRightInd w:val="0"/>
        <w:spacing w:line="360" w:lineRule="auto"/>
        <w:ind w:firstLine="420" w:firstLineChars="200"/>
        <w:jc w:val="center"/>
        <w:rPr>
          <w:rFonts w:hint="eastAsia" w:ascii="宋体" w:hAnsi="宋体" w:eastAsia="宋体" w:cs="Times New Roman"/>
          <w:b w:val="0"/>
          <w:bCs w:val="0"/>
          <w:color w:val="auto"/>
          <w:sz w:val="21"/>
          <w:szCs w:val="21"/>
          <w:highlight w:val="none"/>
          <w:lang w:val="en-US" w:eastAsia="zh-CN"/>
        </w:rPr>
      </w:pPr>
      <w:r>
        <w:rPr>
          <w:rFonts w:hint="eastAsia" w:ascii="宋体" w:hAnsi="宋体" w:eastAsia="宋体" w:cs="Times New Roman"/>
          <w:b w:val="0"/>
          <w:bCs w:val="0"/>
          <w:color w:val="auto"/>
          <w:sz w:val="21"/>
          <w:szCs w:val="21"/>
          <w:highlight w:val="none"/>
          <w:lang w:val="en-US" w:eastAsia="zh-CN"/>
        </w:rPr>
        <w:t>本项业绩必须为：投标人2022年以来具有的投标品牌液体乙酸钠供货业绩（合同签订日期为2022年1月1日或以后）。</w:t>
      </w:r>
    </w:p>
    <w:tbl>
      <w:tblPr>
        <w:tblStyle w:val="37"/>
        <w:tblW w:w="4383"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66"/>
        <w:gridCol w:w="1213"/>
        <w:gridCol w:w="2001"/>
        <w:gridCol w:w="1270"/>
        <w:gridCol w:w="735"/>
        <w:gridCol w:w="822"/>
        <w:gridCol w:w="1364"/>
        <w:gridCol w:w="719"/>
      </w:tblGrid>
      <w:tr w14:paraId="18F551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4" w:hRule="atLeast"/>
          <w:jc w:val="center"/>
        </w:trPr>
        <w:tc>
          <w:tcPr>
            <w:tcW w:w="531" w:type="pct"/>
            <w:tcBorders>
              <w:top w:val="single" w:color="auto" w:sz="4" w:space="0"/>
              <w:left w:val="single" w:color="auto" w:sz="4" w:space="0"/>
              <w:bottom w:val="single" w:color="auto" w:sz="4" w:space="0"/>
              <w:right w:val="single" w:color="auto" w:sz="4" w:space="0"/>
            </w:tcBorders>
            <w:noWrap w:val="0"/>
            <w:vAlign w:val="center"/>
          </w:tcPr>
          <w:p w14:paraId="6330726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序号</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1D3E6C58">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项目</w:t>
            </w:r>
          </w:p>
          <w:p w14:paraId="6B6EAF7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 xml:space="preserve">名称 </w:t>
            </w:r>
          </w:p>
        </w:tc>
        <w:tc>
          <w:tcPr>
            <w:tcW w:w="1100" w:type="pct"/>
            <w:tcBorders>
              <w:top w:val="single" w:color="auto" w:sz="4" w:space="0"/>
              <w:left w:val="single" w:color="auto" w:sz="4" w:space="0"/>
              <w:bottom w:val="single" w:color="auto" w:sz="4" w:space="0"/>
              <w:right w:val="single" w:color="auto" w:sz="4" w:space="0"/>
            </w:tcBorders>
            <w:noWrap w:val="0"/>
            <w:vAlign w:val="center"/>
          </w:tcPr>
          <w:p w14:paraId="0CE28B86">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合同标的货物名称、品牌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数量</w:t>
            </w:r>
          </w:p>
        </w:tc>
        <w:tc>
          <w:tcPr>
            <w:tcW w:w="698" w:type="pct"/>
            <w:tcBorders>
              <w:top w:val="single" w:color="auto" w:sz="4" w:space="0"/>
              <w:left w:val="single" w:color="auto" w:sz="4" w:space="0"/>
              <w:bottom w:val="single" w:color="auto" w:sz="4" w:space="0"/>
              <w:right w:val="single" w:color="auto" w:sz="4" w:space="0"/>
            </w:tcBorders>
            <w:noWrap w:val="0"/>
            <w:vAlign w:val="center"/>
          </w:tcPr>
          <w:p w14:paraId="6EE03A0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单项合同金额（单位：万元）</w:t>
            </w:r>
          </w:p>
        </w:tc>
        <w:tc>
          <w:tcPr>
            <w:tcW w:w="404" w:type="pct"/>
            <w:tcBorders>
              <w:top w:val="single" w:color="auto" w:sz="4" w:space="0"/>
              <w:left w:val="single" w:color="auto" w:sz="4" w:space="0"/>
              <w:bottom w:val="single" w:color="auto" w:sz="4" w:space="0"/>
              <w:right w:val="single" w:color="auto" w:sz="4" w:space="0"/>
            </w:tcBorders>
            <w:noWrap w:val="0"/>
            <w:vAlign w:val="center"/>
          </w:tcPr>
          <w:p w14:paraId="3FA20382">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签约</w:t>
            </w:r>
          </w:p>
          <w:p w14:paraId="0CEB8950">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日期</w:t>
            </w:r>
          </w:p>
        </w:tc>
        <w:tc>
          <w:tcPr>
            <w:tcW w:w="452" w:type="pct"/>
            <w:tcBorders>
              <w:top w:val="single" w:color="auto" w:sz="4" w:space="0"/>
              <w:left w:val="single" w:color="auto" w:sz="4" w:space="0"/>
              <w:bottom w:val="single" w:color="auto" w:sz="4" w:space="0"/>
              <w:right w:val="single" w:color="auto" w:sz="4" w:space="0"/>
            </w:tcBorders>
            <w:noWrap w:val="0"/>
            <w:vAlign w:val="center"/>
          </w:tcPr>
          <w:p w14:paraId="1211DF71">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完成</w:t>
            </w:r>
          </w:p>
          <w:p w14:paraId="13F57C4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情况</w:t>
            </w:r>
          </w:p>
        </w:tc>
        <w:tc>
          <w:tcPr>
            <w:tcW w:w="750" w:type="pct"/>
            <w:tcBorders>
              <w:top w:val="single" w:color="auto" w:sz="4" w:space="0"/>
              <w:left w:val="single" w:color="auto" w:sz="4" w:space="0"/>
              <w:bottom w:val="single" w:color="auto" w:sz="4" w:space="0"/>
              <w:right w:val="single" w:color="auto" w:sz="4" w:space="0"/>
            </w:tcBorders>
            <w:noWrap w:val="0"/>
            <w:vAlign w:val="center"/>
          </w:tcPr>
          <w:p w14:paraId="09F2987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买方单位联系人及电话</w:t>
            </w:r>
          </w:p>
        </w:tc>
        <w:tc>
          <w:tcPr>
            <w:tcW w:w="395" w:type="pct"/>
            <w:tcBorders>
              <w:top w:val="single" w:color="auto" w:sz="4" w:space="0"/>
              <w:left w:val="single" w:color="auto" w:sz="4" w:space="0"/>
              <w:bottom w:val="single" w:color="auto" w:sz="4" w:space="0"/>
              <w:right w:val="single" w:color="auto" w:sz="4" w:space="0"/>
            </w:tcBorders>
            <w:noWrap w:val="0"/>
            <w:vAlign w:val="center"/>
          </w:tcPr>
          <w:p w14:paraId="0900C9F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备注</w:t>
            </w:r>
          </w:p>
        </w:tc>
      </w:tr>
      <w:tr w14:paraId="535371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531" w:type="pct"/>
            <w:tcBorders>
              <w:top w:val="single" w:color="auto" w:sz="4" w:space="0"/>
              <w:left w:val="single" w:color="auto" w:sz="4" w:space="0"/>
              <w:bottom w:val="single" w:color="auto" w:sz="4" w:space="0"/>
              <w:right w:val="single" w:color="auto" w:sz="4" w:space="0"/>
            </w:tcBorders>
            <w:noWrap w:val="0"/>
            <w:vAlign w:val="center"/>
          </w:tcPr>
          <w:p w14:paraId="38F9986B">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763C7D7D">
            <w:pPr>
              <w:spacing w:line="360" w:lineRule="auto"/>
              <w:jc w:val="center"/>
              <w:rPr>
                <w:rFonts w:hint="eastAsia" w:ascii="宋体" w:hAnsi="宋体" w:eastAsia="宋体" w:cs="宋体"/>
                <w:color w:val="auto"/>
                <w:sz w:val="21"/>
                <w:szCs w:val="21"/>
                <w:highlight w:val="none"/>
              </w:rPr>
            </w:pPr>
          </w:p>
        </w:tc>
        <w:tc>
          <w:tcPr>
            <w:tcW w:w="1100" w:type="pct"/>
            <w:tcBorders>
              <w:top w:val="single" w:color="auto" w:sz="4" w:space="0"/>
              <w:left w:val="single" w:color="auto" w:sz="4" w:space="0"/>
              <w:bottom w:val="single" w:color="auto" w:sz="4" w:space="0"/>
              <w:right w:val="single" w:color="auto" w:sz="4" w:space="0"/>
            </w:tcBorders>
            <w:noWrap w:val="0"/>
            <w:vAlign w:val="center"/>
          </w:tcPr>
          <w:p w14:paraId="771912F5">
            <w:pPr>
              <w:spacing w:line="360" w:lineRule="auto"/>
              <w:jc w:val="center"/>
              <w:rPr>
                <w:rFonts w:hint="eastAsia" w:ascii="宋体" w:hAnsi="宋体" w:eastAsia="宋体" w:cs="宋体"/>
                <w:color w:val="auto"/>
                <w:sz w:val="21"/>
                <w:szCs w:val="21"/>
                <w:highlight w:val="none"/>
              </w:rPr>
            </w:pPr>
          </w:p>
        </w:tc>
        <w:tc>
          <w:tcPr>
            <w:tcW w:w="698" w:type="pct"/>
            <w:tcBorders>
              <w:top w:val="single" w:color="auto" w:sz="4" w:space="0"/>
              <w:left w:val="single" w:color="auto" w:sz="4" w:space="0"/>
              <w:bottom w:val="single" w:color="auto" w:sz="4" w:space="0"/>
              <w:right w:val="single" w:color="auto" w:sz="4" w:space="0"/>
            </w:tcBorders>
            <w:noWrap w:val="0"/>
            <w:vAlign w:val="center"/>
          </w:tcPr>
          <w:p w14:paraId="5FA1C839">
            <w:pPr>
              <w:spacing w:line="360" w:lineRule="auto"/>
              <w:jc w:val="center"/>
              <w:rPr>
                <w:rFonts w:hint="eastAsia" w:ascii="宋体" w:hAnsi="宋体" w:eastAsia="宋体" w:cs="宋体"/>
                <w:color w:val="auto"/>
                <w:sz w:val="21"/>
                <w:szCs w:val="21"/>
                <w:highlight w:val="none"/>
              </w:rPr>
            </w:pPr>
          </w:p>
        </w:tc>
        <w:tc>
          <w:tcPr>
            <w:tcW w:w="404" w:type="pct"/>
            <w:tcBorders>
              <w:top w:val="single" w:color="auto" w:sz="4" w:space="0"/>
              <w:left w:val="single" w:color="auto" w:sz="4" w:space="0"/>
              <w:bottom w:val="single" w:color="auto" w:sz="4" w:space="0"/>
              <w:right w:val="single" w:color="auto" w:sz="4" w:space="0"/>
            </w:tcBorders>
            <w:noWrap w:val="0"/>
            <w:vAlign w:val="top"/>
          </w:tcPr>
          <w:p w14:paraId="1898A8AB">
            <w:pPr>
              <w:spacing w:line="360" w:lineRule="auto"/>
              <w:jc w:val="center"/>
              <w:rPr>
                <w:rFonts w:hint="eastAsia" w:ascii="宋体" w:hAnsi="宋体" w:eastAsia="宋体" w:cs="宋体"/>
                <w:color w:val="auto"/>
                <w:sz w:val="21"/>
                <w:szCs w:val="21"/>
                <w:highlight w:val="none"/>
                <w:u w:val="single"/>
              </w:rPr>
            </w:pPr>
          </w:p>
        </w:tc>
        <w:tc>
          <w:tcPr>
            <w:tcW w:w="452" w:type="pct"/>
            <w:tcBorders>
              <w:top w:val="single" w:color="auto" w:sz="4" w:space="0"/>
              <w:left w:val="single" w:color="auto" w:sz="4" w:space="0"/>
              <w:bottom w:val="single" w:color="auto" w:sz="4" w:space="0"/>
              <w:right w:val="single" w:color="auto" w:sz="4" w:space="0"/>
            </w:tcBorders>
            <w:noWrap w:val="0"/>
            <w:vAlign w:val="center"/>
          </w:tcPr>
          <w:p w14:paraId="2FD7A2A8">
            <w:pPr>
              <w:spacing w:line="360" w:lineRule="auto"/>
              <w:jc w:val="center"/>
              <w:rPr>
                <w:rFonts w:hint="eastAsia" w:ascii="宋体" w:hAnsi="宋体" w:eastAsia="宋体" w:cs="宋体"/>
                <w:color w:val="auto"/>
                <w:sz w:val="21"/>
                <w:szCs w:val="21"/>
                <w:highlight w:val="none"/>
              </w:rPr>
            </w:pPr>
          </w:p>
        </w:tc>
        <w:tc>
          <w:tcPr>
            <w:tcW w:w="750" w:type="pct"/>
            <w:tcBorders>
              <w:top w:val="single" w:color="auto" w:sz="4" w:space="0"/>
              <w:left w:val="single" w:color="auto" w:sz="4" w:space="0"/>
              <w:bottom w:val="single" w:color="auto" w:sz="4" w:space="0"/>
              <w:right w:val="single" w:color="auto" w:sz="4" w:space="0"/>
            </w:tcBorders>
            <w:noWrap w:val="0"/>
            <w:vAlign w:val="center"/>
          </w:tcPr>
          <w:p w14:paraId="7D9BC39B">
            <w:pPr>
              <w:spacing w:line="360" w:lineRule="auto"/>
              <w:jc w:val="center"/>
              <w:rPr>
                <w:rFonts w:hint="eastAsia" w:ascii="宋体" w:hAnsi="宋体" w:eastAsia="宋体" w:cs="宋体"/>
                <w:color w:val="auto"/>
                <w:sz w:val="21"/>
                <w:szCs w:val="21"/>
                <w:highlight w:val="none"/>
              </w:rPr>
            </w:pPr>
          </w:p>
        </w:tc>
        <w:tc>
          <w:tcPr>
            <w:tcW w:w="395" w:type="pct"/>
            <w:tcBorders>
              <w:top w:val="single" w:color="auto" w:sz="4" w:space="0"/>
              <w:left w:val="single" w:color="auto" w:sz="4" w:space="0"/>
              <w:bottom w:val="single" w:color="auto" w:sz="4" w:space="0"/>
              <w:right w:val="single" w:color="auto" w:sz="4" w:space="0"/>
            </w:tcBorders>
            <w:noWrap w:val="0"/>
            <w:vAlign w:val="center"/>
          </w:tcPr>
          <w:p w14:paraId="56289617">
            <w:pPr>
              <w:spacing w:line="360" w:lineRule="auto"/>
              <w:jc w:val="center"/>
              <w:rPr>
                <w:rFonts w:hint="eastAsia" w:ascii="宋体" w:hAnsi="宋体" w:eastAsia="宋体" w:cs="宋体"/>
                <w:color w:val="auto"/>
                <w:sz w:val="21"/>
                <w:szCs w:val="21"/>
                <w:highlight w:val="none"/>
              </w:rPr>
            </w:pPr>
          </w:p>
        </w:tc>
      </w:tr>
      <w:tr w14:paraId="1497E1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531" w:type="pct"/>
            <w:tcBorders>
              <w:top w:val="single" w:color="auto" w:sz="4" w:space="0"/>
              <w:left w:val="single" w:color="auto" w:sz="4" w:space="0"/>
              <w:bottom w:val="single" w:color="auto" w:sz="4" w:space="0"/>
              <w:right w:val="single" w:color="auto" w:sz="4" w:space="0"/>
            </w:tcBorders>
            <w:noWrap w:val="0"/>
            <w:vAlign w:val="center"/>
          </w:tcPr>
          <w:p w14:paraId="239837BD">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1BD4CCE0">
            <w:pPr>
              <w:spacing w:line="360" w:lineRule="auto"/>
              <w:jc w:val="center"/>
              <w:rPr>
                <w:rFonts w:hint="eastAsia" w:ascii="宋体" w:hAnsi="宋体" w:eastAsia="宋体" w:cs="宋体"/>
                <w:color w:val="auto"/>
                <w:sz w:val="21"/>
                <w:szCs w:val="21"/>
                <w:highlight w:val="none"/>
              </w:rPr>
            </w:pPr>
          </w:p>
        </w:tc>
        <w:tc>
          <w:tcPr>
            <w:tcW w:w="1100" w:type="pct"/>
            <w:tcBorders>
              <w:top w:val="single" w:color="auto" w:sz="4" w:space="0"/>
              <w:left w:val="single" w:color="auto" w:sz="4" w:space="0"/>
              <w:bottom w:val="single" w:color="auto" w:sz="4" w:space="0"/>
              <w:right w:val="single" w:color="auto" w:sz="4" w:space="0"/>
            </w:tcBorders>
            <w:noWrap w:val="0"/>
            <w:vAlign w:val="center"/>
          </w:tcPr>
          <w:p w14:paraId="369EF426">
            <w:pPr>
              <w:spacing w:line="360" w:lineRule="auto"/>
              <w:jc w:val="center"/>
              <w:rPr>
                <w:rFonts w:hint="eastAsia" w:ascii="宋体" w:hAnsi="宋体" w:eastAsia="宋体" w:cs="宋体"/>
                <w:color w:val="auto"/>
                <w:sz w:val="21"/>
                <w:szCs w:val="21"/>
                <w:highlight w:val="none"/>
              </w:rPr>
            </w:pPr>
          </w:p>
        </w:tc>
        <w:tc>
          <w:tcPr>
            <w:tcW w:w="698" w:type="pct"/>
            <w:tcBorders>
              <w:top w:val="single" w:color="auto" w:sz="4" w:space="0"/>
              <w:left w:val="single" w:color="auto" w:sz="4" w:space="0"/>
              <w:bottom w:val="single" w:color="auto" w:sz="4" w:space="0"/>
              <w:right w:val="single" w:color="auto" w:sz="4" w:space="0"/>
            </w:tcBorders>
            <w:noWrap w:val="0"/>
            <w:vAlign w:val="center"/>
          </w:tcPr>
          <w:p w14:paraId="066AB26C">
            <w:pPr>
              <w:spacing w:line="360" w:lineRule="auto"/>
              <w:jc w:val="center"/>
              <w:rPr>
                <w:rFonts w:hint="eastAsia" w:ascii="宋体" w:hAnsi="宋体" w:eastAsia="宋体" w:cs="宋体"/>
                <w:color w:val="auto"/>
                <w:sz w:val="21"/>
                <w:szCs w:val="21"/>
                <w:highlight w:val="none"/>
              </w:rPr>
            </w:pPr>
          </w:p>
        </w:tc>
        <w:tc>
          <w:tcPr>
            <w:tcW w:w="404" w:type="pct"/>
            <w:tcBorders>
              <w:top w:val="single" w:color="auto" w:sz="4" w:space="0"/>
              <w:left w:val="single" w:color="auto" w:sz="4" w:space="0"/>
              <w:bottom w:val="single" w:color="auto" w:sz="4" w:space="0"/>
              <w:right w:val="single" w:color="auto" w:sz="4" w:space="0"/>
            </w:tcBorders>
            <w:noWrap w:val="0"/>
            <w:vAlign w:val="top"/>
          </w:tcPr>
          <w:p w14:paraId="68F64DD7">
            <w:pPr>
              <w:spacing w:line="360" w:lineRule="auto"/>
              <w:jc w:val="center"/>
              <w:rPr>
                <w:rFonts w:hint="eastAsia" w:ascii="宋体" w:hAnsi="宋体" w:eastAsia="宋体" w:cs="宋体"/>
                <w:color w:val="auto"/>
                <w:sz w:val="21"/>
                <w:szCs w:val="21"/>
                <w:highlight w:val="none"/>
                <w:u w:val="single"/>
              </w:rPr>
            </w:pPr>
          </w:p>
        </w:tc>
        <w:tc>
          <w:tcPr>
            <w:tcW w:w="452" w:type="pct"/>
            <w:tcBorders>
              <w:top w:val="single" w:color="auto" w:sz="4" w:space="0"/>
              <w:left w:val="single" w:color="auto" w:sz="4" w:space="0"/>
              <w:bottom w:val="single" w:color="auto" w:sz="4" w:space="0"/>
              <w:right w:val="single" w:color="auto" w:sz="4" w:space="0"/>
            </w:tcBorders>
            <w:noWrap w:val="0"/>
            <w:vAlign w:val="center"/>
          </w:tcPr>
          <w:p w14:paraId="3D1B0875">
            <w:pPr>
              <w:spacing w:line="360" w:lineRule="auto"/>
              <w:jc w:val="center"/>
              <w:rPr>
                <w:rFonts w:hint="eastAsia" w:ascii="宋体" w:hAnsi="宋体" w:eastAsia="宋体" w:cs="宋体"/>
                <w:color w:val="auto"/>
                <w:sz w:val="21"/>
                <w:szCs w:val="21"/>
                <w:highlight w:val="none"/>
              </w:rPr>
            </w:pPr>
          </w:p>
        </w:tc>
        <w:tc>
          <w:tcPr>
            <w:tcW w:w="750" w:type="pct"/>
            <w:tcBorders>
              <w:top w:val="single" w:color="auto" w:sz="4" w:space="0"/>
              <w:left w:val="single" w:color="auto" w:sz="4" w:space="0"/>
              <w:bottom w:val="single" w:color="auto" w:sz="4" w:space="0"/>
              <w:right w:val="single" w:color="auto" w:sz="4" w:space="0"/>
            </w:tcBorders>
            <w:noWrap w:val="0"/>
            <w:vAlign w:val="center"/>
          </w:tcPr>
          <w:p w14:paraId="26D403BF">
            <w:pPr>
              <w:spacing w:line="360" w:lineRule="auto"/>
              <w:jc w:val="center"/>
              <w:rPr>
                <w:rFonts w:hint="eastAsia" w:ascii="宋体" w:hAnsi="宋体" w:eastAsia="宋体" w:cs="宋体"/>
                <w:color w:val="auto"/>
                <w:sz w:val="21"/>
                <w:szCs w:val="21"/>
                <w:highlight w:val="none"/>
              </w:rPr>
            </w:pPr>
          </w:p>
        </w:tc>
        <w:tc>
          <w:tcPr>
            <w:tcW w:w="395" w:type="pct"/>
            <w:tcBorders>
              <w:top w:val="single" w:color="auto" w:sz="4" w:space="0"/>
              <w:left w:val="single" w:color="auto" w:sz="4" w:space="0"/>
              <w:bottom w:val="single" w:color="auto" w:sz="4" w:space="0"/>
              <w:right w:val="single" w:color="auto" w:sz="4" w:space="0"/>
            </w:tcBorders>
            <w:noWrap w:val="0"/>
            <w:vAlign w:val="center"/>
          </w:tcPr>
          <w:p w14:paraId="51781920">
            <w:pPr>
              <w:spacing w:line="360" w:lineRule="auto"/>
              <w:jc w:val="center"/>
              <w:rPr>
                <w:rFonts w:hint="eastAsia" w:ascii="宋体" w:hAnsi="宋体" w:eastAsia="宋体" w:cs="宋体"/>
                <w:color w:val="auto"/>
                <w:sz w:val="21"/>
                <w:szCs w:val="21"/>
                <w:highlight w:val="none"/>
              </w:rPr>
            </w:pPr>
          </w:p>
        </w:tc>
      </w:tr>
      <w:tr w14:paraId="6CC556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531" w:type="pct"/>
            <w:tcBorders>
              <w:top w:val="single" w:color="auto" w:sz="4" w:space="0"/>
              <w:left w:val="single" w:color="auto" w:sz="4" w:space="0"/>
              <w:bottom w:val="single" w:color="auto" w:sz="4" w:space="0"/>
              <w:right w:val="single" w:color="auto" w:sz="4" w:space="0"/>
            </w:tcBorders>
            <w:noWrap w:val="0"/>
            <w:vAlign w:val="center"/>
          </w:tcPr>
          <w:p w14:paraId="483E3924">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2F904E07">
            <w:pPr>
              <w:spacing w:line="360" w:lineRule="auto"/>
              <w:jc w:val="center"/>
              <w:rPr>
                <w:rFonts w:hint="eastAsia" w:ascii="宋体" w:hAnsi="宋体" w:eastAsia="宋体" w:cs="宋体"/>
                <w:color w:val="auto"/>
                <w:sz w:val="21"/>
                <w:szCs w:val="21"/>
                <w:highlight w:val="none"/>
              </w:rPr>
            </w:pPr>
          </w:p>
        </w:tc>
        <w:tc>
          <w:tcPr>
            <w:tcW w:w="1100" w:type="pct"/>
            <w:tcBorders>
              <w:top w:val="single" w:color="auto" w:sz="4" w:space="0"/>
              <w:left w:val="single" w:color="auto" w:sz="4" w:space="0"/>
              <w:bottom w:val="single" w:color="auto" w:sz="4" w:space="0"/>
              <w:right w:val="single" w:color="auto" w:sz="4" w:space="0"/>
            </w:tcBorders>
            <w:noWrap w:val="0"/>
            <w:vAlign w:val="center"/>
          </w:tcPr>
          <w:p w14:paraId="04E50594">
            <w:pPr>
              <w:spacing w:line="360" w:lineRule="auto"/>
              <w:jc w:val="center"/>
              <w:rPr>
                <w:rFonts w:hint="eastAsia" w:ascii="宋体" w:hAnsi="宋体" w:eastAsia="宋体" w:cs="宋体"/>
                <w:color w:val="auto"/>
                <w:sz w:val="21"/>
                <w:szCs w:val="21"/>
                <w:highlight w:val="none"/>
              </w:rPr>
            </w:pPr>
          </w:p>
        </w:tc>
        <w:tc>
          <w:tcPr>
            <w:tcW w:w="698" w:type="pct"/>
            <w:tcBorders>
              <w:top w:val="single" w:color="auto" w:sz="4" w:space="0"/>
              <w:left w:val="single" w:color="auto" w:sz="4" w:space="0"/>
              <w:bottom w:val="single" w:color="auto" w:sz="4" w:space="0"/>
              <w:right w:val="single" w:color="auto" w:sz="4" w:space="0"/>
            </w:tcBorders>
            <w:noWrap w:val="0"/>
            <w:vAlign w:val="center"/>
          </w:tcPr>
          <w:p w14:paraId="29364591">
            <w:pPr>
              <w:spacing w:line="360" w:lineRule="auto"/>
              <w:jc w:val="center"/>
              <w:rPr>
                <w:rFonts w:hint="eastAsia" w:ascii="宋体" w:hAnsi="宋体" w:eastAsia="宋体" w:cs="宋体"/>
                <w:color w:val="auto"/>
                <w:sz w:val="21"/>
                <w:szCs w:val="21"/>
                <w:highlight w:val="none"/>
              </w:rPr>
            </w:pPr>
          </w:p>
        </w:tc>
        <w:tc>
          <w:tcPr>
            <w:tcW w:w="404" w:type="pct"/>
            <w:tcBorders>
              <w:top w:val="single" w:color="auto" w:sz="4" w:space="0"/>
              <w:left w:val="single" w:color="auto" w:sz="4" w:space="0"/>
              <w:bottom w:val="single" w:color="auto" w:sz="4" w:space="0"/>
              <w:right w:val="single" w:color="auto" w:sz="4" w:space="0"/>
            </w:tcBorders>
            <w:noWrap w:val="0"/>
            <w:vAlign w:val="top"/>
          </w:tcPr>
          <w:p w14:paraId="6527DFB2">
            <w:pPr>
              <w:spacing w:line="360" w:lineRule="auto"/>
              <w:jc w:val="center"/>
              <w:rPr>
                <w:rFonts w:hint="eastAsia" w:ascii="宋体" w:hAnsi="宋体" w:eastAsia="宋体" w:cs="宋体"/>
                <w:color w:val="auto"/>
                <w:sz w:val="21"/>
                <w:szCs w:val="21"/>
                <w:highlight w:val="none"/>
                <w:u w:val="single"/>
              </w:rPr>
            </w:pPr>
          </w:p>
        </w:tc>
        <w:tc>
          <w:tcPr>
            <w:tcW w:w="452" w:type="pct"/>
            <w:tcBorders>
              <w:top w:val="single" w:color="auto" w:sz="4" w:space="0"/>
              <w:left w:val="single" w:color="auto" w:sz="4" w:space="0"/>
              <w:bottom w:val="single" w:color="auto" w:sz="4" w:space="0"/>
              <w:right w:val="single" w:color="auto" w:sz="4" w:space="0"/>
            </w:tcBorders>
            <w:noWrap w:val="0"/>
            <w:vAlign w:val="center"/>
          </w:tcPr>
          <w:p w14:paraId="7610C393">
            <w:pPr>
              <w:spacing w:line="360" w:lineRule="auto"/>
              <w:jc w:val="center"/>
              <w:rPr>
                <w:rFonts w:hint="eastAsia" w:ascii="宋体" w:hAnsi="宋体" w:eastAsia="宋体" w:cs="宋体"/>
                <w:color w:val="auto"/>
                <w:sz w:val="21"/>
                <w:szCs w:val="21"/>
                <w:highlight w:val="none"/>
              </w:rPr>
            </w:pPr>
          </w:p>
        </w:tc>
        <w:tc>
          <w:tcPr>
            <w:tcW w:w="750" w:type="pct"/>
            <w:tcBorders>
              <w:top w:val="single" w:color="auto" w:sz="4" w:space="0"/>
              <w:left w:val="single" w:color="auto" w:sz="4" w:space="0"/>
              <w:bottom w:val="single" w:color="auto" w:sz="4" w:space="0"/>
              <w:right w:val="single" w:color="auto" w:sz="4" w:space="0"/>
            </w:tcBorders>
            <w:noWrap w:val="0"/>
            <w:vAlign w:val="center"/>
          </w:tcPr>
          <w:p w14:paraId="2EF0D8F9">
            <w:pPr>
              <w:spacing w:line="360" w:lineRule="auto"/>
              <w:jc w:val="center"/>
              <w:rPr>
                <w:rFonts w:hint="eastAsia" w:ascii="宋体" w:hAnsi="宋体" w:eastAsia="宋体" w:cs="宋体"/>
                <w:color w:val="auto"/>
                <w:sz w:val="21"/>
                <w:szCs w:val="21"/>
                <w:highlight w:val="none"/>
              </w:rPr>
            </w:pPr>
          </w:p>
        </w:tc>
        <w:tc>
          <w:tcPr>
            <w:tcW w:w="395" w:type="pct"/>
            <w:tcBorders>
              <w:top w:val="single" w:color="auto" w:sz="4" w:space="0"/>
              <w:left w:val="single" w:color="auto" w:sz="4" w:space="0"/>
              <w:bottom w:val="single" w:color="auto" w:sz="4" w:space="0"/>
              <w:right w:val="single" w:color="auto" w:sz="4" w:space="0"/>
            </w:tcBorders>
            <w:noWrap w:val="0"/>
            <w:vAlign w:val="center"/>
          </w:tcPr>
          <w:p w14:paraId="7B3D528D">
            <w:pPr>
              <w:spacing w:line="360" w:lineRule="auto"/>
              <w:jc w:val="center"/>
              <w:rPr>
                <w:rFonts w:hint="eastAsia" w:ascii="宋体" w:hAnsi="宋体" w:eastAsia="宋体" w:cs="宋体"/>
                <w:color w:val="auto"/>
                <w:sz w:val="21"/>
                <w:szCs w:val="21"/>
                <w:highlight w:val="none"/>
              </w:rPr>
            </w:pPr>
          </w:p>
        </w:tc>
      </w:tr>
      <w:tr w14:paraId="49281C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531" w:type="pct"/>
            <w:tcBorders>
              <w:top w:val="single" w:color="auto" w:sz="4" w:space="0"/>
              <w:left w:val="single" w:color="auto" w:sz="4" w:space="0"/>
              <w:bottom w:val="single" w:color="auto" w:sz="4" w:space="0"/>
              <w:right w:val="single" w:color="auto" w:sz="4" w:space="0"/>
            </w:tcBorders>
            <w:noWrap w:val="0"/>
            <w:vAlign w:val="center"/>
          </w:tcPr>
          <w:p w14:paraId="5271FCB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67" w:type="pct"/>
            <w:tcBorders>
              <w:top w:val="single" w:color="auto" w:sz="4" w:space="0"/>
              <w:left w:val="single" w:color="auto" w:sz="4" w:space="0"/>
              <w:bottom w:val="single" w:color="auto" w:sz="4" w:space="0"/>
              <w:right w:val="single" w:color="auto" w:sz="4" w:space="0"/>
            </w:tcBorders>
            <w:noWrap w:val="0"/>
            <w:vAlign w:val="center"/>
          </w:tcPr>
          <w:p w14:paraId="61CF6A7D">
            <w:pPr>
              <w:spacing w:line="360" w:lineRule="auto"/>
              <w:jc w:val="center"/>
              <w:rPr>
                <w:rFonts w:hint="eastAsia" w:ascii="宋体" w:hAnsi="宋体" w:eastAsia="宋体" w:cs="宋体"/>
                <w:color w:val="auto"/>
                <w:sz w:val="21"/>
                <w:szCs w:val="21"/>
                <w:highlight w:val="none"/>
              </w:rPr>
            </w:pPr>
          </w:p>
        </w:tc>
        <w:tc>
          <w:tcPr>
            <w:tcW w:w="1100" w:type="pct"/>
            <w:tcBorders>
              <w:top w:val="single" w:color="auto" w:sz="4" w:space="0"/>
              <w:left w:val="single" w:color="auto" w:sz="4" w:space="0"/>
              <w:bottom w:val="single" w:color="auto" w:sz="4" w:space="0"/>
              <w:right w:val="single" w:color="auto" w:sz="4" w:space="0"/>
            </w:tcBorders>
            <w:noWrap w:val="0"/>
            <w:vAlign w:val="center"/>
          </w:tcPr>
          <w:p w14:paraId="2D70E2FC">
            <w:pPr>
              <w:spacing w:line="360" w:lineRule="auto"/>
              <w:jc w:val="center"/>
              <w:rPr>
                <w:rFonts w:hint="eastAsia" w:ascii="宋体" w:hAnsi="宋体" w:eastAsia="宋体" w:cs="宋体"/>
                <w:color w:val="auto"/>
                <w:sz w:val="21"/>
                <w:szCs w:val="21"/>
                <w:highlight w:val="none"/>
              </w:rPr>
            </w:pPr>
          </w:p>
        </w:tc>
        <w:tc>
          <w:tcPr>
            <w:tcW w:w="698" w:type="pct"/>
            <w:tcBorders>
              <w:top w:val="single" w:color="auto" w:sz="4" w:space="0"/>
              <w:left w:val="single" w:color="auto" w:sz="4" w:space="0"/>
              <w:bottom w:val="single" w:color="auto" w:sz="4" w:space="0"/>
              <w:right w:val="single" w:color="auto" w:sz="4" w:space="0"/>
            </w:tcBorders>
            <w:noWrap w:val="0"/>
            <w:vAlign w:val="center"/>
          </w:tcPr>
          <w:p w14:paraId="220BA181">
            <w:pPr>
              <w:spacing w:line="360" w:lineRule="auto"/>
              <w:jc w:val="center"/>
              <w:rPr>
                <w:rFonts w:hint="eastAsia" w:ascii="宋体" w:hAnsi="宋体" w:eastAsia="宋体" w:cs="宋体"/>
                <w:color w:val="auto"/>
                <w:sz w:val="21"/>
                <w:szCs w:val="21"/>
                <w:highlight w:val="none"/>
              </w:rPr>
            </w:pPr>
          </w:p>
        </w:tc>
        <w:tc>
          <w:tcPr>
            <w:tcW w:w="404" w:type="pct"/>
            <w:tcBorders>
              <w:top w:val="single" w:color="auto" w:sz="4" w:space="0"/>
              <w:left w:val="single" w:color="auto" w:sz="4" w:space="0"/>
              <w:bottom w:val="single" w:color="auto" w:sz="4" w:space="0"/>
              <w:right w:val="single" w:color="auto" w:sz="4" w:space="0"/>
            </w:tcBorders>
            <w:noWrap w:val="0"/>
            <w:vAlign w:val="top"/>
          </w:tcPr>
          <w:p w14:paraId="4E42A16A">
            <w:pPr>
              <w:spacing w:line="360" w:lineRule="auto"/>
              <w:jc w:val="center"/>
              <w:rPr>
                <w:rFonts w:hint="eastAsia" w:ascii="宋体" w:hAnsi="宋体" w:eastAsia="宋体" w:cs="宋体"/>
                <w:color w:val="auto"/>
                <w:sz w:val="21"/>
                <w:szCs w:val="21"/>
                <w:highlight w:val="none"/>
              </w:rPr>
            </w:pPr>
          </w:p>
        </w:tc>
        <w:tc>
          <w:tcPr>
            <w:tcW w:w="452" w:type="pct"/>
            <w:tcBorders>
              <w:top w:val="single" w:color="auto" w:sz="4" w:space="0"/>
              <w:left w:val="single" w:color="auto" w:sz="4" w:space="0"/>
              <w:bottom w:val="single" w:color="auto" w:sz="4" w:space="0"/>
              <w:right w:val="single" w:color="auto" w:sz="4" w:space="0"/>
            </w:tcBorders>
            <w:noWrap w:val="0"/>
            <w:vAlign w:val="center"/>
          </w:tcPr>
          <w:p w14:paraId="1C409654">
            <w:pPr>
              <w:spacing w:line="360" w:lineRule="auto"/>
              <w:jc w:val="center"/>
              <w:rPr>
                <w:rFonts w:hint="eastAsia" w:ascii="宋体" w:hAnsi="宋体" w:eastAsia="宋体" w:cs="宋体"/>
                <w:color w:val="auto"/>
                <w:sz w:val="21"/>
                <w:szCs w:val="21"/>
                <w:highlight w:val="none"/>
              </w:rPr>
            </w:pPr>
          </w:p>
        </w:tc>
        <w:tc>
          <w:tcPr>
            <w:tcW w:w="750" w:type="pct"/>
            <w:tcBorders>
              <w:top w:val="single" w:color="auto" w:sz="4" w:space="0"/>
              <w:left w:val="single" w:color="auto" w:sz="4" w:space="0"/>
              <w:bottom w:val="single" w:color="auto" w:sz="4" w:space="0"/>
              <w:right w:val="single" w:color="auto" w:sz="4" w:space="0"/>
            </w:tcBorders>
            <w:noWrap w:val="0"/>
            <w:vAlign w:val="center"/>
          </w:tcPr>
          <w:p w14:paraId="64D1D421">
            <w:pPr>
              <w:spacing w:line="360" w:lineRule="auto"/>
              <w:jc w:val="center"/>
              <w:rPr>
                <w:rFonts w:hint="eastAsia" w:ascii="宋体" w:hAnsi="宋体" w:eastAsia="宋体" w:cs="宋体"/>
                <w:color w:val="auto"/>
                <w:sz w:val="21"/>
                <w:szCs w:val="21"/>
                <w:highlight w:val="none"/>
              </w:rPr>
            </w:pPr>
          </w:p>
        </w:tc>
        <w:tc>
          <w:tcPr>
            <w:tcW w:w="395" w:type="pct"/>
            <w:tcBorders>
              <w:top w:val="single" w:color="auto" w:sz="4" w:space="0"/>
              <w:left w:val="single" w:color="auto" w:sz="4" w:space="0"/>
              <w:bottom w:val="single" w:color="auto" w:sz="4" w:space="0"/>
              <w:right w:val="single" w:color="auto" w:sz="4" w:space="0"/>
            </w:tcBorders>
            <w:noWrap w:val="0"/>
            <w:vAlign w:val="center"/>
          </w:tcPr>
          <w:p w14:paraId="72B97109">
            <w:pPr>
              <w:spacing w:line="360" w:lineRule="auto"/>
              <w:jc w:val="center"/>
              <w:rPr>
                <w:rFonts w:hint="eastAsia" w:ascii="宋体" w:hAnsi="宋体" w:eastAsia="宋体" w:cs="宋体"/>
                <w:color w:val="auto"/>
                <w:sz w:val="21"/>
                <w:szCs w:val="21"/>
                <w:highlight w:val="none"/>
              </w:rPr>
            </w:pPr>
          </w:p>
        </w:tc>
      </w:tr>
    </w:tbl>
    <w:p w14:paraId="5656C399">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29C0E4B8">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6C5248E5">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（1）项目业绩按单项合同金额从高到低的方式排列；</w:t>
      </w:r>
      <w:r>
        <w:rPr>
          <w:rFonts w:hint="eastAsia" w:ascii="宋体" w:hAnsi="宋体" w:eastAsia="宋体" w:cs="Times New Roman"/>
          <w:b/>
          <w:bCs/>
          <w:color w:val="auto"/>
          <w:szCs w:val="24"/>
          <w:highlight w:val="none"/>
          <w:lang w:val="zh-CN"/>
        </w:rPr>
        <w:t>同一个单项合同的业绩可以同时在资格业绩和评分业绩重复放置；</w:t>
      </w:r>
    </w:p>
    <w:p w14:paraId="69E21089">
      <w:pPr>
        <w:autoSpaceDE w:val="0"/>
        <w:autoSpaceDN w:val="0"/>
        <w:adjustRightInd w:val="0"/>
        <w:snapToGrid w:val="0"/>
        <w:spacing w:line="360" w:lineRule="auto"/>
        <w:ind w:left="481" w:leftChars="-41" w:hanging="567" w:hangingChars="270"/>
        <w:jc w:val="left"/>
        <w:outlineLvl w:val="9"/>
        <w:rPr>
          <w:rFonts w:hint="eastAsia" w:ascii="宋体" w:hAnsi="宋体" w:eastAsia="宋体" w:cs="Times New Roman"/>
          <w:color w:val="auto"/>
          <w:szCs w:val="24"/>
          <w:highlight w:val="none"/>
          <w:lang w:val="zh-CN"/>
        </w:rPr>
      </w:pPr>
      <w:bookmarkStart w:id="843" w:name="_Toc23981"/>
      <w:bookmarkStart w:id="844" w:name="_Toc3876"/>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）业绩按以下条款作为考评依据：</w:t>
      </w:r>
      <w:bookmarkEnd w:id="843"/>
      <w:bookmarkEnd w:id="844"/>
    </w:p>
    <w:p w14:paraId="1E50696D">
      <w:pPr>
        <w:autoSpaceDE w:val="0"/>
        <w:autoSpaceDN w:val="0"/>
        <w:adjustRightInd/>
        <w:snapToGrid w:val="0"/>
        <w:spacing w:line="360" w:lineRule="auto"/>
        <w:ind w:left="0" w:leftChars="0" w:firstLine="0" w:firstLineChars="0"/>
        <w:jc w:val="left"/>
        <w:rPr>
          <w:rFonts w:hint="eastAsia"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1）须附合同复印件，否则不得分；</w:t>
      </w:r>
    </w:p>
    <w:p w14:paraId="272CE7E1">
      <w:pPr>
        <w:autoSpaceDE w:val="0"/>
        <w:autoSpaceDN w:val="0"/>
        <w:adjustRightInd/>
        <w:snapToGrid w:val="0"/>
        <w:spacing w:line="360" w:lineRule="auto"/>
        <w:ind w:left="0" w:leftChars="0" w:firstLine="0" w:firstLineChars="0"/>
        <w:jc w:val="left"/>
        <w:rPr>
          <w:rFonts w:hint="eastAsia"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2）若业绩为框架式协议或资格入围</w:t>
      </w:r>
      <w:r>
        <w:rPr>
          <w:rFonts w:hint="eastAsia" w:ascii="宋体" w:hAnsi="宋体" w:eastAsia="宋体" w:cs="Times New Roman"/>
          <w:b/>
          <w:bCs/>
          <w:color w:val="auto"/>
          <w:szCs w:val="24"/>
          <w:highlight w:val="none"/>
          <w:lang w:val="en-US" w:eastAsia="zh-CN"/>
        </w:rPr>
        <w:t>等</w:t>
      </w:r>
      <w:r>
        <w:rPr>
          <w:rFonts w:hint="eastAsia" w:ascii="宋体" w:hAnsi="宋体" w:eastAsia="宋体" w:cs="Times New Roman"/>
          <w:b/>
          <w:bCs/>
          <w:color w:val="auto"/>
          <w:szCs w:val="24"/>
          <w:highlight w:val="none"/>
          <w:lang w:val="zh-CN"/>
        </w:rPr>
        <w:t>无明确金额的合同，必须同时提供合同期限内已供货产品发票金额统计表和供货发票复印件，否则，视为无效业绩；</w:t>
      </w:r>
    </w:p>
    <w:p w14:paraId="370A65E7">
      <w:pPr>
        <w:numPr>
          <w:ilvl w:val="-1"/>
          <w:numId w:val="0"/>
        </w:numPr>
        <w:autoSpaceDE w:val="0"/>
        <w:autoSpaceDN w:val="0"/>
        <w:adjustRightInd/>
        <w:snapToGrid w:val="0"/>
        <w:spacing w:line="360" w:lineRule="auto"/>
        <w:ind w:left="0" w:leftChars="0" w:firstLine="0" w:firstLineChars="0"/>
        <w:jc w:val="left"/>
        <w:rPr>
          <w:rFonts w:hint="eastAsia" w:ascii="宋体" w:hAnsi="宋体" w:eastAsia="宋体" w:cs="Times New Roman"/>
          <w:b/>
          <w:bCs/>
          <w:color w:val="auto"/>
          <w:szCs w:val="24"/>
          <w:highlight w:val="none"/>
          <w:lang w:val="zh-CN" w:eastAsia="zh-CN"/>
        </w:rPr>
      </w:pPr>
      <w:r>
        <w:rPr>
          <w:rFonts w:hint="eastAsia" w:ascii="宋体" w:hAnsi="宋体" w:eastAsia="宋体" w:cs="Times New Roman"/>
          <w:b/>
          <w:bCs/>
          <w:color w:val="auto"/>
          <w:szCs w:val="24"/>
          <w:highlight w:val="none"/>
          <w:lang w:val="zh-CN" w:eastAsia="zh-CN"/>
        </w:rPr>
        <w:t>3）</w:t>
      </w:r>
      <w:r>
        <w:rPr>
          <w:rFonts w:hint="eastAsia" w:ascii="宋体" w:hAnsi="宋体" w:eastAsia="宋体" w:cs="Times New Roman"/>
          <w:b/>
          <w:bCs/>
          <w:color w:val="auto"/>
          <w:szCs w:val="24"/>
          <w:highlight w:val="none"/>
          <w:lang w:val="zh-CN"/>
        </w:rPr>
        <w:t>若合同无法反映评分条件（卖方为投标人、合同签订日期为202</w:t>
      </w:r>
      <w:r>
        <w:rPr>
          <w:rFonts w:hint="eastAsia" w:ascii="宋体" w:hAnsi="宋体" w:eastAsia="宋体" w:cs="Times New Roman"/>
          <w:b/>
          <w:bCs/>
          <w:color w:val="auto"/>
          <w:szCs w:val="24"/>
          <w:highlight w:val="none"/>
          <w:lang w:val="zh-CN" w:eastAsia="zh-CN"/>
        </w:rPr>
        <w:t>2</w:t>
      </w:r>
      <w:r>
        <w:rPr>
          <w:rFonts w:hint="eastAsia" w:ascii="宋体" w:hAnsi="宋体" w:eastAsia="宋体" w:cs="Times New Roman"/>
          <w:b/>
          <w:bCs/>
          <w:color w:val="auto"/>
          <w:szCs w:val="24"/>
          <w:highlight w:val="none"/>
          <w:lang w:val="zh-CN"/>
        </w:rPr>
        <w:t>年1月1日或以后、金额、合同标的必须包含投标品牌液体</w:t>
      </w:r>
      <w:r>
        <w:rPr>
          <w:rFonts w:hint="eastAsia" w:ascii="宋体" w:hAnsi="宋体" w:eastAsia="宋体" w:cs="Times New Roman"/>
          <w:b/>
          <w:bCs/>
          <w:color w:val="auto"/>
          <w:szCs w:val="24"/>
          <w:highlight w:val="none"/>
          <w:lang w:val="zh-CN" w:eastAsia="zh-CN"/>
        </w:rPr>
        <w:t>乙酸钠</w:t>
      </w:r>
      <w:r>
        <w:rPr>
          <w:rFonts w:hint="eastAsia" w:ascii="宋体" w:hAnsi="宋体" w:eastAsia="宋体" w:cs="Times New Roman"/>
          <w:b/>
          <w:bCs/>
          <w:color w:val="auto"/>
          <w:szCs w:val="24"/>
          <w:highlight w:val="none"/>
          <w:lang w:val="zh-CN"/>
        </w:rPr>
        <w:t>）</w:t>
      </w:r>
      <w:r>
        <w:rPr>
          <w:rFonts w:hint="eastAsia" w:ascii="宋体" w:hAnsi="宋体" w:eastAsia="宋体" w:cs="Times New Roman"/>
          <w:b/>
          <w:bCs/>
          <w:color w:val="auto"/>
          <w:szCs w:val="24"/>
          <w:highlight w:val="none"/>
          <w:lang w:val="zh-CN" w:eastAsia="zh-CN"/>
        </w:rPr>
        <w:t>的</w:t>
      </w:r>
      <w:r>
        <w:rPr>
          <w:rFonts w:hint="eastAsia" w:ascii="宋体" w:hAnsi="宋体" w:eastAsia="宋体" w:cs="Times New Roman"/>
          <w:b/>
          <w:bCs/>
          <w:color w:val="auto"/>
          <w:szCs w:val="24"/>
          <w:highlight w:val="none"/>
          <w:lang w:val="zh-CN"/>
        </w:rPr>
        <w:t>，</w:t>
      </w:r>
      <w:r>
        <w:rPr>
          <w:rFonts w:hint="eastAsia" w:ascii="宋体" w:hAnsi="宋体" w:eastAsia="宋体" w:cs="Times New Roman"/>
          <w:b/>
          <w:bCs/>
          <w:color w:val="auto"/>
          <w:kern w:val="2"/>
          <w:szCs w:val="24"/>
          <w:highlight w:val="none"/>
          <w:lang w:val="zh-CN"/>
        </w:rPr>
        <w:t>还需提供产品购买方出具的书面补充说明文件复印件作为辅助证明（补充说明文件复印件能显示购买方公章），否则不得分</w:t>
      </w:r>
      <w:r>
        <w:rPr>
          <w:rFonts w:hint="eastAsia" w:ascii="宋体" w:hAnsi="宋体" w:eastAsia="宋体" w:cs="Times New Roman"/>
          <w:b/>
          <w:bCs/>
          <w:color w:val="auto"/>
          <w:szCs w:val="24"/>
          <w:highlight w:val="none"/>
          <w:lang w:val="zh-CN" w:eastAsia="zh-CN"/>
        </w:rPr>
        <w:t>；</w:t>
      </w:r>
    </w:p>
    <w:p w14:paraId="5EE790A5">
      <w:pPr>
        <w:autoSpaceDE w:val="0"/>
        <w:autoSpaceDN w:val="0"/>
        <w:adjustRightInd w:val="0"/>
        <w:snapToGrid w:val="0"/>
        <w:spacing w:line="360" w:lineRule="auto"/>
        <w:ind w:left="483" w:leftChars="-41" w:hanging="569" w:hangingChars="270"/>
        <w:jc w:val="left"/>
        <w:rPr>
          <w:rFonts w:ascii="宋体" w:hAnsi="宋体" w:eastAsia="宋体" w:cs="宋体"/>
          <w:b/>
          <w:bCs/>
          <w:color w:val="auto"/>
          <w:kern w:val="0"/>
          <w:szCs w:val="21"/>
          <w:highlight w:val="none"/>
        </w:rPr>
      </w:pPr>
      <w:r>
        <w:rPr>
          <w:rFonts w:hint="eastAsia" w:ascii="宋体" w:hAnsi="宋体" w:eastAsia="宋体" w:cs="Times New Roman"/>
          <w:b/>
          <w:bCs/>
          <w:color w:val="auto"/>
          <w:szCs w:val="24"/>
          <w:highlight w:val="none"/>
          <w:lang w:val="zh-CN"/>
        </w:rPr>
        <w:t>（</w:t>
      </w:r>
      <w:r>
        <w:rPr>
          <w:rFonts w:hint="eastAsia" w:ascii="宋体" w:hAnsi="宋体" w:eastAsia="宋体" w:cs="Times New Roman"/>
          <w:b/>
          <w:bCs/>
          <w:color w:val="auto"/>
          <w:szCs w:val="24"/>
          <w:highlight w:val="none"/>
          <w:lang w:val="en-US" w:eastAsia="zh-CN"/>
        </w:rPr>
        <w:t>3</w:t>
      </w:r>
      <w:r>
        <w:rPr>
          <w:rFonts w:hint="eastAsia" w:ascii="宋体" w:hAnsi="宋体" w:eastAsia="宋体" w:cs="Times New Roman"/>
          <w:b/>
          <w:bCs/>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b/>
          <w:bCs/>
          <w:color w:val="auto"/>
          <w:kern w:val="0"/>
          <w:szCs w:val="21"/>
          <w:highlight w:val="none"/>
        </w:rPr>
        <w:t>。</w:t>
      </w:r>
    </w:p>
    <w:p w14:paraId="34A20EB7">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3F5C33F0">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2057D84C">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2B86C575">
      <w:pPr>
        <w:pageBreakBefore/>
        <w:snapToGrid w:val="0"/>
        <w:spacing w:line="360" w:lineRule="auto"/>
        <w:ind w:left="671" w:leftChars="-58" w:hanging="793" w:hangingChars="247"/>
        <w:outlineLvl w:val="9"/>
        <w:rPr>
          <w:rFonts w:hint="eastAsia" w:ascii="宋体" w:hAnsi="宋体" w:eastAsia="宋体" w:cs="宋体"/>
          <w:b/>
          <w:color w:val="auto"/>
          <w:kern w:val="2"/>
          <w:sz w:val="32"/>
          <w:szCs w:val="32"/>
          <w:highlight w:val="none"/>
          <w:lang w:val="zh-CN"/>
        </w:rPr>
      </w:pPr>
      <w:bookmarkStart w:id="845" w:name="_Toc8932"/>
      <w:bookmarkStart w:id="846" w:name="_Toc19801"/>
      <w:r>
        <w:rPr>
          <w:rFonts w:hint="eastAsia" w:ascii="宋体" w:hAnsi="宋体" w:eastAsia="宋体" w:cs="宋体"/>
          <w:b/>
          <w:color w:val="auto"/>
          <w:kern w:val="2"/>
          <w:sz w:val="32"/>
          <w:szCs w:val="32"/>
          <w:highlight w:val="none"/>
          <w:lang w:val="zh-CN"/>
        </w:rPr>
        <w:t>附表：已供货产品发票金额统计表</w:t>
      </w:r>
      <w:bookmarkEnd w:id="845"/>
      <w:bookmarkEnd w:id="846"/>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3202"/>
        <w:gridCol w:w="1416"/>
        <w:gridCol w:w="1274"/>
        <w:gridCol w:w="1558"/>
        <w:gridCol w:w="1241"/>
        <w:gridCol w:w="14"/>
      </w:tblGrid>
      <w:tr w14:paraId="59178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5BA23116">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5503" w:type="dxa"/>
            <w:gridSpan w:val="5"/>
            <w:noWrap w:val="0"/>
            <w:vAlign w:val="center"/>
          </w:tcPr>
          <w:p w14:paraId="7CC50DD9">
            <w:pPr>
              <w:pStyle w:val="20"/>
              <w:snapToGrid w:val="0"/>
              <w:spacing w:line="360" w:lineRule="auto"/>
              <w:ind w:left="0" w:leftChars="0"/>
              <w:jc w:val="center"/>
              <w:rPr>
                <w:rFonts w:hint="eastAsia" w:ascii="宋体" w:hAnsi="宋体" w:eastAsia="宋体" w:cs="宋体"/>
                <w:color w:val="auto"/>
                <w:sz w:val="21"/>
                <w:szCs w:val="21"/>
                <w:highlight w:val="none"/>
              </w:rPr>
            </w:pPr>
          </w:p>
        </w:tc>
      </w:tr>
      <w:tr w14:paraId="3B765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5902CC51">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合同约定的供货期</w:t>
            </w:r>
          </w:p>
        </w:tc>
        <w:tc>
          <w:tcPr>
            <w:tcW w:w="5503" w:type="dxa"/>
            <w:gridSpan w:val="5"/>
            <w:noWrap w:val="0"/>
            <w:vAlign w:val="center"/>
          </w:tcPr>
          <w:p w14:paraId="0D55774B">
            <w:pPr>
              <w:pStyle w:val="20"/>
              <w:snapToGrid w:val="0"/>
              <w:spacing w:line="360" w:lineRule="auto"/>
              <w:ind w:left="0" w:leftChars="0"/>
              <w:jc w:val="center"/>
              <w:rPr>
                <w:rFonts w:hint="eastAsia" w:ascii="宋体" w:hAnsi="宋体" w:eastAsia="宋体" w:cs="宋体"/>
                <w:color w:val="auto"/>
                <w:sz w:val="21"/>
                <w:szCs w:val="21"/>
                <w:highlight w:val="none"/>
              </w:rPr>
            </w:pPr>
          </w:p>
        </w:tc>
      </w:tr>
      <w:tr w14:paraId="3B793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5F67B696">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发票抬头（</w:t>
            </w:r>
            <w:r>
              <w:rPr>
                <w:rFonts w:hint="eastAsia" w:ascii="宋体" w:hAnsi="宋体" w:eastAsia="宋体" w:cs="宋体"/>
                <w:color w:val="auto"/>
                <w:sz w:val="21"/>
                <w:highlight w:val="none"/>
              </w:rPr>
              <w:t>合同购买方）</w:t>
            </w:r>
          </w:p>
        </w:tc>
        <w:tc>
          <w:tcPr>
            <w:tcW w:w="5503" w:type="dxa"/>
            <w:gridSpan w:val="5"/>
            <w:noWrap w:val="0"/>
            <w:vAlign w:val="center"/>
          </w:tcPr>
          <w:p w14:paraId="356419A9">
            <w:pPr>
              <w:pStyle w:val="20"/>
              <w:snapToGrid w:val="0"/>
              <w:spacing w:line="360" w:lineRule="auto"/>
              <w:ind w:left="0" w:leftChars="0"/>
              <w:jc w:val="center"/>
              <w:rPr>
                <w:rFonts w:hint="eastAsia" w:ascii="宋体" w:hAnsi="宋体" w:eastAsia="宋体" w:cs="宋体"/>
                <w:color w:val="auto"/>
                <w:sz w:val="21"/>
                <w:szCs w:val="21"/>
                <w:highlight w:val="none"/>
              </w:rPr>
            </w:pPr>
          </w:p>
        </w:tc>
      </w:tr>
      <w:tr w14:paraId="01380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01729770">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202" w:type="dxa"/>
            <w:noWrap w:val="0"/>
            <w:vAlign w:val="center"/>
          </w:tcPr>
          <w:p w14:paraId="2CE13538">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发票名目</w:t>
            </w:r>
          </w:p>
        </w:tc>
        <w:tc>
          <w:tcPr>
            <w:tcW w:w="1416" w:type="dxa"/>
            <w:noWrap w:val="0"/>
            <w:vAlign w:val="center"/>
          </w:tcPr>
          <w:p w14:paraId="64D2DD34">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发票金额（单位：万元）</w:t>
            </w:r>
          </w:p>
        </w:tc>
        <w:tc>
          <w:tcPr>
            <w:tcW w:w="1274" w:type="dxa"/>
            <w:noWrap w:val="0"/>
            <w:vAlign w:val="center"/>
          </w:tcPr>
          <w:p w14:paraId="13141DCA">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发票号码</w:t>
            </w:r>
          </w:p>
        </w:tc>
        <w:tc>
          <w:tcPr>
            <w:tcW w:w="1558" w:type="dxa"/>
            <w:noWrap w:val="0"/>
            <w:vAlign w:val="center"/>
          </w:tcPr>
          <w:p w14:paraId="09A612B8">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发票所属时期</w:t>
            </w:r>
          </w:p>
        </w:tc>
        <w:tc>
          <w:tcPr>
            <w:tcW w:w="1241" w:type="dxa"/>
            <w:noWrap w:val="0"/>
            <w:vAlign w:val="center"/>
          </w:tcPr>
          <w:p w14:paraId="2768CB16">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385C3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5B5C9027">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202" w:type="dxa"/>
            <w:noWrap w:val="0"/>
            <w:vAlign w:val="center"/>
          </w:tcPr>
          <w:p w14:paraId="2E56CDFD">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416" w:type="dxa"/>
            <w:noWrap w:val="0"/>
            <w:vAlign w:val="center"/>
          </w:tcPr>
          <w:p w14:paraId="7670AE8A">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74" w:type="dxa"/>
            <w:noWrap w:val="0"/>
            <w:vAlign w:val="center"/>
          </w:tcPr>
          <w:p w14:paraId="5BCE0D40">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58" w:type="dxa"/>
            <w:noWrap w:val="0"/>
            <w:vAlign w:val="center"/>
          </w:tcPr>
          <w:p w14:paraId="431475C1">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41" w:type="dxa"/>
            <w:noWrap w:val="0"/>
            <w:vAlign w:val="center"/>
          </w:tcPr>
          <w:p w14:paraId="671E9030">
            <w:pPr>
              <w:pStyle w:val="20"/>
              <w:snapToGrid w:val="0"/>
              <w:spacing w:line="360" w:lineRule="auto"/>
              <w:ind w:left="0" w:leftChars="0"/>
              <w:jc w:val="center"/>
              <w:rPr>
                <w:rFonts w:hint="eastAsia" w:ascii="宋体" w:hAnsi="宋体" w:eastAsia="宋体" w:cs="宋体"/>
                <w:color w:val="auto"/>
                <w:sz w:val="21"/>
                <w:szCs w:val="21"/>
                <w:highlight w:val="none"/>
              </w:rPr>
            </w:pPr>
          </w:p>
        </w:tc>
      </w:tr>
      <w:tr w14:paraId="21058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21F49E90">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202" w:type="dxa"/>
            <w:noWrap w:val="0"/>
            <w:vAlign w:val="center"/>
          </w:tcPr>
          <w:p w14:paraId="5892D79C">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416" w:type="dxa"/>
            <w:noWrap w:val="0"/>
            <w:vAlign w:val="center"/>
          </w:tcPr>
          <w:p w14:paraId="018D6549">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74" w:type="dxa"/>
            <w:noWrap w:val="0"/>
            <w:vAlign w:val="center"/>
          </w:tcPr>
          <w:p w14:paraId="2B98E030">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58" w:type="dxa"/>
            <w:noWrap w:val="0"/>
            <w:vAlign w:val="center"/>
          </w:tcPr>
          <w:p w14:paraId="509563F9">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41" w:type="dxa"/>
            <w:noWrap w:val="0"/>
            <w:vAlign w:val="center"/>
          </w:tcPr>
          <w:p w14:paraId="4387FBE1">
            <w:pPr>
              <w:pStyle w:val="20"/>
              <w:snapToGrid w:val="0"/>
              <w:spacing w:line="360" w:lineRule="auto"/>
              <w:ind w:left="0" w:leftChars="0"/>
              <w:jc w:val="center"/>
              <w:rPr>
                <w:rFonts w:hint="eastAsia" w:ascii="宋体" w:hAnsi="宋体" w:eastAsia="宋体" w:cs="宋体"/>
                <w:color w:val="auto"/>
                <w:sz w:val="21"/>
                <w:szCs w:val="21"/>
                <w:highlight w:val="none"/>
              </w:rPr>
            </w:pPr>
          </w:p>
        </w:tc>
      </w:tr>
      <w:tr w14:paraId="158BD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7E649CA6">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202" w:type="dxa"/>
            <w:noWrap w:val="0"/>
            <w:vAlign w:val="center"/>
          </w:tcPr>
          <w:p w14:paraId="12F20DF5">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416" w:type="dxa"/>
            <w:noWrap w:val="0"/>
            <w:vAlign w:val="center"/>
          </w:tcPr>
          <w:p w14:paraId="11EE077C">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74" w:type="dxa"/>
            <w:noWrap w:val="0"/>
            <w:vAlign w:val="center"/>
          </w:tcPr>
          <w:p w14:paraId="78697CF6">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58" w:type="dxa"/>
            <w:noWrap w:val="0"/>
            <w:vAlign w:val="center"/>
          </w:tcPr>
          <w:p w14:paraId="6173479E">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41" w:type="dxa"/>
            <w:noWrap w:val="0"/>
            <w:vAlign w:val="center"/>
          </w:tcPr>
          <w:p w14:paraId="694F2B62">
            <w:pPr>
              <w:pStyle w:val="20"/>
              <w:snapToGrid w:val="0"/>
              <w:spacing w:line="360" w:lineRule="auto"/>
              <w:ind w:left="0" w:leftChars="0"/>
              <w:jc w:val="center"/>
              <w:rPr>
                <w:rFonts w:hint="eastAsia" w:ascii="宋体" w:hAnsi="宋体" w:eastAsia="宋体" w:cs="宋体"/>
                <w:color w:val="auto"/>
                <w:sz w:val="21"/>
                <w:szCs w:val="21"/>
                <w:highlight w:val="none"/>
              </w:rPr>
            </w:pPr>
          </w:p>
        </w:tc>
      </w:tr>
      <w:tr w14:paraId="54FF3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4C69DEC9">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202" w:type="dxa"/>
            <w:noWrap w:val="0"/>
            <w:vAlign w:val="center"/>
          </w:tcPr>
          <w:p w14:paraId="0F410C92">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416" w:type="dxa"/>
            <w:noWrap w:val="0"/>
            <w:vAlign w:val="center"/>
          </w:tcPr>
          <w:p w14:paraId="28EA7CCA">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74" w:type="dxa"/>
            <w:noWrap w:val="0"/>
            <w:vAlign w:val="center"/>
          </w:tcPr>
          <w:p w14:paraId="09CB03C8">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58" w:type="dxa"/>
            <w:noWrap w:val="0"/>
            <w:vAlign w:val="center"/>
          </w:tcPr>
          <w:p w14:paraId="6F543D6A">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41" w:type="dxa"/>
            <w:noWrap w:val="0"/>
            <w:vAlign w:val="center"/>
          </w:tcPr>
          <w:p w14:paraId="519F4A4D">
            <w:pPr>
              <w:pStyle w:val="20"/>
              <w:snapToGrid w:val="0"/>
              <w:spacing w:line="360" w:lineRule="auto"/>
              <w:ind w:left="0" w:leftChars="0"/>
              <w:jc w:val="center"/>
              <w:rPr>
                <w:rFonts w:hint="eastAsia" w:ascii="宋体" w:hAnsi="宋体" w:eastAsia="宋体" w:cs="宋体"/>
                <w:color w:val="auto"/>
                <w:sz w:val="21"/>
                <w:szCs w:val="21"/>
                <w:highlight w:val="none"/>
              </w:rPr>
            </w:pPr>
          </w:p>
        </w:tc>
      </w:tr>
      <w:tr w14:paraId="55FFA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4079" w:type="dxa"/>
            <w:gridSpan w:val="2"/>
            <w:noWrap w:val="0"/>
            <w:vAlign w:val="center"/>
          </w:tcPr>
          <w:p w14:paraId="75110DDC">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发票金额合计（单位：万元）</w:t>
            </w:r>
          </w:p>
        </w:tc>
        <w:tc>
          <w:tcPr>
            <w:tcW w:w="5489" w:type="dxa"/>
            <w:gridSpan w:val="4"/>
            <w:noWrap w:val="0"/>
            <w:vAlign w:val="center"/>
          </w:tcPr>
          <w:p w14:paraId="092708A7">
            <w:pPr>
              <w:pStyle w:val="20"/>
              <w:snapToGrid w:val="0"/>
              <w:spacing w:line="360" w:lineRule="auto"/>
              <w:ind w:left="0" w:leftChars="0"/>
              <w:jc w:val="center"/>
              <w:rPr>
                <w:rFonts w:hint="eastAsia" w:ascii="宋体" w:hAnsi="宋体" w:eastAsia="宋体" w:cs="宋体"/>
                <w:color w:val="auto"/>
                <w:sz w:val="21"/>
                <w:szCs w:val="21"/>
                <w:highlight w:val="none"/>
              </w:rPr>
            </w:pPr>
          </w:p>
        </w:tc>
      </w:tr>
    </w:tbl>
    <w:p w14:paraId="277A38CB">
      <w:pPr>
        <w:snapToGrid w:val="0"/>
        <w:spacing w:line="360" w:lineRule="auto"/>
        <w:ind w:left="491" w:leftChars="-57" w:hanging="611" w:hangingChars="291"/>
        <w:rPr>
          <w:rFonts w:hint="eastAsia" w:ascii="宋体" w:hAnsi="宋体" w:eastAsia="宋体" w:cs="宋体"/>
          <w:color w:val="auto"/>
          <w:kern w:val="2"/>
          <w:sz w:val="21"/>
          <w:highlight w:val="none"/>
        </w:rPr>
      </w:pPr>
    </w:p>
    <w:p w14:paraId="3CED4ECE">
      <w:pPr>
        <w:snapToGrid w:val="0"/>
        <w:spacing w:line="360" w:lineRule="auto"/>
        <w:ind w:left="491" w:leftChars="-57" w:hanging="611" w:hangingChars="291"/>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备注：</w:t>
      </w:r>
    </w:p>
    <w:p w14:paraId="0E1F6F05">
      <w:pPr>
        <w:snapToGrid w:val="0"/>
        <w:spacing w:line="360" w:lineRule="auto"/>
        <w:ind w:left="396" w:leftChars="-58" w:hanging="518" w:hangingChars="247"/>
        <w:outlineLvl w:val="9"/>
        <w:rPr>
          <w:rFonts w:hint="eastAsia" w:ascii="宋体" w:hAnsi="宋体" w:eastAsia="宋体" w:cs="宋体"/>
          <w:color w:val="auto"/>
          <w:kern w:val="2"/>
          <w:sz w:val="21"/>
          <w:highlight w:val="none"/>
        </w:rPr>
      </w:pPr>
      <w:bookmarkStart w:id="847" w:name="_Toc10235"/>
      <w:bookmarkStart w:id="848" w:name="_Toc18014"/>
      <w:r>
        <w:rPr>
          <w:rFonts w:hint="eastAsia" w:ascii="宋体" w:hAnsi="宋体" w:eastAsia="宋体" w:cs="宋体"/>
          <w:color w:val="auto"/>
          <w:kern w:val="2"/>
          <w:sz w:val="21"/>
          <w:highlight w:val="none"/>
        </w:rPr>
        <w:t>（1）本统计表及供货发票复印件应后附于合同复印件；</w:t>
      </w:r>
      <w:bookmarkEnd w:id="847"/>
      <w:bookmarkEnd w:id="848"/>
    </w:p>
    <w:p w14:paraId="10E74431">
      <w:pPr>
        <w:snapToGrid w:val="0"/>
        <w:spacing w:line="360" w:lineRule="auto"/>
        <w:ind w:left="396" w:leftChars="-58" w:hanging="518" w:hangingChars="247"/>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（2）发票抬头应为合同购买方，销售方应为投标人，且发票名目、所属时期应与合同约定内容一致，否则不计分。</w:t>
      </w:r>
    </w:p>
    <w:p w14:paraId="568B5922">
      <w:pPr>
        <w:autoSpaceDE w:val="0"/>
        <w:autoSpaceDN w:val="0"/>
        <w:adjustRightInd w:val="0"/>
        <w:spacing w:line="360" w:lineRule="auto"/>
        <w:rPr>
          <w:rFonts w:ascii="宋体" w:hAnsi="宋体" w:eastAsia="宋体" w:cs="Times New Roman"/>
          <w:b/>
          <w:bCs/>
          <w:color w:val="auto"/>
          <w:sz w:val="30"/>
          <w:szCs w:val="30"/>
          <w:highlight w:val="none"/>
          <w:lang w:val="zh-CN"/>
        </w:rPr>
      </w:pPr>
    </w:p>
    <w:p w14:paraId="68E50797">
      <w:pPr>
        <w:autoSpaceDE w:val="0"/>
        <w:autoSpaceDN w:val="0"/>
        <w:adjustRightInd w:val="0"/>
        <w:spacing w:line="360" w:lineRule="auto"/>
        <w:ind w:firstLine="602"/>
        <w:rPr>
          <w:rFonts w:ascii="宋体" w:hAnsi="宋体" w:eastAsia="宋体" w:cs="Times New Roman"/>
          <w:b/>
          <w:bCs/>
          <w:color w:val="auto"/>
          <w:sz w:val="30"/>
          <w:szCs w:val="30"/>
          <w:highlight w:val="none"/>
          <w:lang w:val="zh-CN"/>
        </w:rPr>
      </w:pPr>
    </w:p>
    <w:bookmarkEnd w:id="839"/>
    <w:bookmarkEnd w:id="840"/>
    <w:p w14:paraId="4CABBED0">
      <w:pPr>
        <w:rPr>
          <w:rFonts w:hint="eastAsia" w:ascii="宋体" w:hAnsi="宋体" w:eastAsia="宋体" w:cs="宋体"/>
          <w:b/>
          <w:color w:val="auto"/>
          <w:sz w:val="32"/>
          <w:szCs w:val="32"/>
          <w:highlight w:val="none"/>
          <w:lang w:val="zh-CN" w:eastAsia="zh-CN"/>
        </w:rPr>
      </w:pPr>
      <w:bookmarkStart w:id="849" w:name="_Toc533708132"/>
      <w:bookmarkStart w:id="850" w:name="_Toc11745"/>
      <w:bookmarkStart w:id="851" w:name="_Toc94107220"/>
      <w:bookmarkStart w:id="852" w:name="_Toc102860083"/>
      <w:bookmarkStart w:id="853" w:name="_Toc22865"/>
      <w:bookmarkStart w:id="854" w:name="_Toc486167719"/>
      <w:bookmarkStart w:id="855" w:name="_Toc104991885"/>
      <w:bookmarkStart w:id="856" w:name="_Toc10423"/>
      <w:bookmarkStart w:id="857" w:name="_Toc102860427"/>
      <w:bookmarkStart w:id="858" w:name="_Toc18175_WPSOffice_Level2"/>
      <w:bookmarkStart w:id="859" w:name="_Toc13822"/>
      <w:bookmarkStart w:id="860" w:name="_Toc140596938"/>
      <w:bookmarkStart w:id="861" w:name="_Toc142508378"/>
      <w:bookmarkStart w:id="862" w:name="_Toc1977737"/>
      <w:r>
        <w:rPr>
          <w:rFonts w:hint="eastAsia" w:ascii="宋体" w:hAnsi="宋体" w:eastAsia="宋体" w:cs="宋体"/>
          <w:b/>
          <w:color w:val="auto"/>
          <w:sz w:val="32"/>
          <w:szCs w:val="32"/>
          <w:highlight w:val="none"/>
          <w:lang w:val="zh-CN" w:eastAsia="zh-CN"/>
        </w:rPr>
        <w:br w:type="page"/>
      </w:r>
    </w:p>
    <w:p w14:paraId="0C882482">
      <w:pPr>
        <w:tabs>
          <w:tab w:val="left" w:pos="567"/>
        </w:tabs>
        <w:spacing w:line="360" w:lineRule="auto"/>
        <w:outlineLvl w:val="1"/>
        <w:rPr>
          <w:rFonts w:hint="eastAsia" w:ascii="宋体" w:hAnsi="宋体" w:eastAsia="宋体" w:cs="宋体"/>
          <w:b/>
          <w:color w:val="auto"/>
          <w:sz w:val="32"/>
          <w:szCs w:val="32"/>
          <w:highlight w:val="none"/>
          <w:lang w:val="zh-CN" w:eastAsia="zh-CN"/>
        </w:rPr>
      </w:pPr>
      <w:bookmarkStart w:id="863" w:name="_Toc23587"/>
      <w:r>
        <w:rPr>
          <w:rFonts w:hint="eastAsia" w:ascii="宋体" w:hAnsi="宋体" w:eastAsia="宋体" w:cs="宋体"/>
          <w:b/>
          <w:color w:val="auto"/>
          <w:sz w:val="32"/>
          <w:szCs w:val="32"/>
          <w:highlight w:val="none"/>
          <w:lang w:val="zh-CN" w:eastAsia="zh-CN"/>
        </w:rPr>
        <w:t>十、车辆运输</w:t>
      </w:r>
      <w:bookmarkEnd w:id="863"/>
    </w:p>
    <w:p w14:paraId="2C918D0B">
      <w:pPr>
        <w:rPr>
          <w:rFonts w:hint="eastAsia" w:ascii="宋体" w:hAnsi="宋体" w:eastAsia="宋体" w:cs="宋体"/>
          <w:b/>
          <w:color w:val="auto"/>
          <w:sz w:val="32"/>
          <w:szCs w:val="32"/>
          <w:highlight w:val="none"/>
          <w:lang w:val="zh-CN" w:eastAsia="zh-CN"/>
        </w:rPr>
      </w:pPr>
    </w:p>
    <w:p w14:paraId="6773B111">
      <w:pPr>
        <w:spacing w:line="360" w:lineRule="auto"/>
        <w:jc w:val="left"/>
        <w:rPr>
          <w:rFonts w:hint="default" w:ascii="宋体" w:hAnsi="宋体" w:eastAsia="宋体" w:cs="宋体"/>
          <w:b w:val="0"/>
          <w:bCs w:val="0"/>
          <w:color w:val="auto"/>
          <w:kern w:val="0"/>
          <w:sz w:val="21"/>
          <w:szCs w:val="24"/>
          <w:highlight w:val="none"/>
          <w:lang w:val="en-US" w:eastAsia="zh-CN"/>
        </w:rPr>
      </w:pPr>
      <w:r>
        <w:rPr>
          <w:rFonts w:hint="default" w:ascii="宋体" w:hAnsi="宋体" w:eastAsia="宋体" w:cs="宋体"/>
          <w:b w:val="0"/>
          <w:bCs w:val="0"/>
          <w:color w:val="auto"/>
          <w:kern w:val="0"/>
          <w:sz w:val="21"/>
          <w:szCs w:val="24"/>
          <w:highlight w:val="none"/>
          <w:lang w:val="en-US" w:eastAsia="zh-CN"/>
        </w:rPr>
        <w:t>注：</w:t>
      </w:r>
      <w:r>
        <w:rPr>
          <w:rFonts w:hint="eastAsia" w:ascii="宋体" w:hAnsi="宋体" w:eastAsia="宋体" w:cs="宋体"/>
          <w:color w:val="auto"/>
          <w:szCs w:val="21"/>
          <w:lang w:val="zh-CN"/>
        </w:rPr>
        <w:t>拟为本项目投入的运输专用车</w:t>
      </w:r>
      <w:r>
        <w:rPr>
          <w:rFonts w:hint="eastAsia" w:ascii="宋体" w:hAnsi="宋体" w:eastAsia="宋体" w:cs="宋体"/>
          <w:color w:val="auto"/>
          <w:szCs w:val="21"/>
          <w:lang w:val="en-US" w:eastAsia="zh-CN"/>
        </w:rPr>
        <w:t>的相关资料。</w:t>
      </w:r>
    </w:p>
    <w:p w14:paraId="41FB6CD5">
      <w:pPr>
        <w:outlineLvl w:val="9"/>
        <w:rPr>
          <w:rFonts w:hint="eastAsia" w:ascii="宋体" w:hAnsi="宋体" w:eastAsia="宋体" w:cs="宋体"/>
          <w:b/>
          <w:color w:val="auto"/>
          <w:sz w:val="32"/>
          <w:szCs w:val="32"/>
          <w:highlight w:val="none"/>
          <w:lang w:val="zh-CN" w:eastAsia="zh-CN"/>
        </w:rPr>
      </w:pPr>
    </w:p>
    <w:p w14:paraId="6293F6C5">
      <w:pPr>
        <w:outlineLvl w:val="9"/>
        <w:rPr>
          <w:rFonts w:hint="eastAsia" w:ascii="宋体" w:hAnsi="宋体" w:eastAsia="宋体" w:cs="宋体"/>
          <w:b/>
          <w:color w:val="auto"/>
          <w:sz w:val="32"/>
          <w:szCs w:val="32"/>
          <w:highlight w:val="none"/>
          <w:lang w:val="zh-CN" w:eastAsia="zh-CN"/>
        </w:rPr>
      </w:pPr>
    </w:p>
    <w:p w14:paraId="5361895B">
      <w:pPr>
        <w:outlineLvl w:val="9"/>
        <w:rPr>
          <w:rFonts w:hint="eastAsia" w:ascii="宋体" w:hAnsi="宋体" w:eastAsia="宋体" w:cs="宋体"/>
          <w:b/>
          <w:color w:val="auto"/>
          <w:sz w:val="32"/>
          <w:szCs w:val="32"/>
          <w:highlight w:val="none"/>
          <w:lang w:val="zh-CN" w:eastAsia="zh-CN"/>
        </w:rPr>
      </w:pPr>
    </w:p>
    <w:p w14:paraId="775471D8">
      <w:pPr>
        <w:outlineLvl w:val="9"/>
        <w:rPr>
          <w:rFonts w:hint="eastAsia" w:ascii="宋体" w:hAnsi="宋体" w:eastAsia="宋体" w:cs="宋体"/>
          <w:b/>
          <w:color w:val="auto"/>
          <w:sz w:val="32"/>
          <w:szCs w:val="32"/>
          <w:highlight w:val="none"/>
          <w:lang w:val="zh-CN" w:eastAsia="zh-CN"/>
        </w:rPr>
      </w:pPr>
    </w:p>
    <w:p w14:paraId="6681B51B">
      <w:pPr>
        <w:outlineLvl w:val="9"/>
        <w:rPr>
          <w:rFonts w:hint="eastAsia" w:ascii="宋体" w:hAnsi="宋体" w:eastAsia="宋体" w:cs="宋体"/>
          <w:b/>
          <w:color w:val="auto"/>
          <w:sz w:val="32"/>
          <w:szCs w:val="32"/>
          <w:highlight w:val="none"/>
          <w:lang w:val="zh-CN" w:eastAsia="zh-CN"/>
        </w:rPr>
      </w:pPr>
    </w:p>
    <w:p w14:paraId="3EC84490">
      <w:pPr>
        <w:outlineLvl w:val="9"/>
        <w:rPr>
          <w:rFonts w:hint="eastAsia" w:ascii="宋体" w:hAnsi="宋体" w:eastAsia="宋体" w:cs="宋体"/>
          <w:b/>
          <w:color w:val="auto"/>
          <w:sz w:val="32"/>
          <w:szCs w:val="32"/>
          <w:highlight w:val="none"/>
          <w:lang w:val="zh-CN" w:eastAsia="zh-CN"/>
        </w:rPr>
      </w:pPr>
    </w:p>
    <w:p w14:paraId="08A2ED3A">
      <w:pPr>
        <w:outlineLvl w:val="9"/>
        <w:rPr>
          <w:rFonts w:hint="eastAsia" w:ascii="宋体" w:hAnsi="宋体" w:eastAsia="宋体" w:cs="宋体"/>
          <w:b/>
          <w:color w:val="auto"/>
          <w:sz w:val="32"/>
          <w:szCs w:val="32"/>
          <w:highlight w:val="none"/>
          <w:lang w:val="zh-CN" w:eastAsia="zh-CN"/>
        </w:rPr>
      </w:pPr>
    </w:p>
    <w:p w14:paraId="3722E075">
      <w:pPr>
        <w:outlineLvl w:val="9"/>
        <w:rPr>
          <w:rFonts w:hint="eastAsia" w:ascii="宋体" w:hAnsi="宋体" w:eastAsia="宋体" w:cs="宋体"/>
          <w:b/>
          <w:color w:val="auto"/>
          <w:sz w:val="32"/>
          <w:szCs w:val="32"/>
          <w:highlight w:val="none"/>
          <w:lang w:val="zh-CN" w:eastAsia="zh-CN"/>
        </w:rPr>
      </w:pPr>
    </w:p>
    <w:p w14:paraId="0925D5AA">
      <w:pPr>
        <w:outlineLvl w:val="9"/>
        <w:rPr>
          <w:rFonts w:hint="eastAsia" w:ascii="宋体" w:hAnsi="宋体" w:eastAsia="宋体" w:cs="宋体"/>
          <w:b/>
          <w:color w:val="auto"/>
          <w:sz w:val="32"/>
          <w:szCs w:val="32"/>
          <w:highlight w:val="none"/>
          <w:lang w:val="zh-CN" w:eastAsia="zh-CN"/>
        </w:rPr>
      </w:pPr>
    </w:p>
    <w:p w14:paraId="7A177F47">
      <w:pPr>
        <w:outlineLvl w:val="9"/>
        <w:rPr>
          <w:rFonts w:hint="eastAsia" w:ascii="宋体" w:hAnsi="宋体" w:eastAsia="宋体" w:cs="宋体"/>
          <w:b/>
          <w:color w:val="auto"/>
          <w:sz w:val="32"/>
          <w:szCs w:val="32"/>
          <w:highlight w:val="none"/>
          <w:lang w:val="zh-CN" w:eastAsia="zh-CN"/>
        </w:rPr>
      </w:pPr>
    </w:p>
    <w:p w14:paraId="63298D2A">
      <w:pPr>
        <w:outlineLvl w:val="9"/>
        <w:rPr>
          <w:rFonts w:hint="eastAsia" w:ascii="宋体" w:hAnsi="宋体" w:eastAsia="宋体" w:cs="宋体"/>
          <w:b/>
          <w:color w:val="auto"/>
          <w:sz w:val="32"/>
          <w:szCs w:val="32"/>
          <w:highlight w:val="none"/>
          <w:lang w:val="zh-CN" w:eastAsia="zh-CN"/>
        </w:rPr>
      </w:pPr>
    </w:p>
    <w:p w14:paraId="5535C31F">
      <w:pPr>
        <w:outlineLvl w:val="9"/>
        <w:rPr>
          <w:rFonts w:hint="eastAsia" w:ascii="宋体" w:hAnsi="宋体" w:eastAsia="宋体" w:cs="宋体"/>
          <w:b/>
          <w:color w:val="auto"/>
          <w:sz w:val="32"/>
          <w:szCs w:val="32"/>
          <w:highlight w:val="none"/>
          <w:lang w:val="zh-CN" w:eastAsia="zh-CN"/>
        </w:rPr>
      </w:pPr>
    </w:p>
    <w:p w14:paraId="4BD9AB96">
      <w:pPr>
        <w:outlineLvl w:val="9"/>
        <w:rPr>
          <w:rFonts w:hint="eastAsia" w:ascii="宋体" w:hAnsi="宋体" w:eastAsia="宋体" w:cs="宋体"/>
          <w:b/>
          <w:color w:val="auto"/>
          <w:sz w:val="32"/>
          <w:szCs w:val="32"/>
          <w:highlight w:val="none"/>
          <w:lang w:val="zh-CN" w:eastAsia="zh-CN"/>
        </w:rPr>
      </w:pPr>
    </w:p>
    <w:p w14:paraId="67DE6340">
      <w:pPr>
        <w:outlineLvl w:val="9"/>
        <w:rPr>
          <w:rFonts w:hint="eastAsia" w:ascii="宋体" w:hAnsi="宋体" w:eastAsia="宋体" w:cs="宋体"/>
          <w:b/>
          <w:color w:val="auto"/>
          <w:sz w:val="32"/>
          <w:szCs w:val="32"/>
          <w:highlight w:val="none"/>
          <w:lang w:val="zh-CN" w:eastAsia="zh-CN"/>
        </w:rPr>
      </w:pPr>
    </w:p>
    <w:p w14:paraId="12431CBC">
      <w:pPr>
        <w:outlineLvl w:val="9"/>
        <w:rPr>
          <w:rFonts w:hint="eastAsia" w:ascii="宋体" w:hAnsi="宋体" w:eastAsia="宋体" w:cs="宋体"/>
          <w:b/>
          <w:color w:val="auto"/>
          <w:sz w:val="32"/>
          <w:szCs w:val="32"/>
          <w:highlight w:val="none"/>
          <w:lang w:val="zh-CN" w:eastAsia="zh-CN"/>
        </w:rPr>
      </w:pPr>
    </w:p>
    <w:p w14:paraId="135C415A">
      <w:pPr>
        <w:outlineLvl w:val="9"/>
        <w:rPr>
          <w:rFonts w:hint="eastAsia" w:ascii="宋体" w:hAnsi="宋体" w:eastAsia="宋体" w:cs="宋体"/>
          <w:b/>
          <w:color w:val="auto"/>
          <w:sz w:val="32"/>
          <w:szCs w:val="32"/>
          <w:highlight w:val="none"/>
          <w:lang w:val="zh-CN" w:eastAsia="zh-CN"/>
        </w:rPr>
      </w:pPr>
    </w:p>
    <w:p w14:paraId="6E3C2ECF">
      <w:pPr>
        <w:outlineLvl w:val="9"/>
        <w:rPr>
          <w:rFonts w:hint="eastAsia" w:ascii="宋体" w:hAnsi="宋体" w:eastAsia="宋体" w:cs="宋体"/>
          <w:b/>
          <w:color w:val="auto"/>
          <w:sz w:val="32"/>
          <w:szCs w:val="32"/>
          <w:highlight w:val="none"/>
          <w:lang w:val="zh-CN" w:eastAsia="zh-CN"/>
        </w:rPr>
      </w:pPr>
    </w:p>
    <w:p w14:paraId="056AE816">
      <w:pPr>
        <w:outlineLvl w:val="9"/>
        <w:rPr>
          <w:rFonts w:hint="eastAsia" w:ascii="宋体" w:hAnsi="宋体" w:eastAsia="宋体" w:cs="宋体"/>
          <w:b/>
          <w:color w:val="auto"/>
          <w:sz w:val="32"/>
          <w:szCs w:val="32"/>
          <w:highlight w:val="none"/>
          <w:lang w:val="zh-CN" w:eastAsia="zh-CN"/>
        </w:rPr>
      </w:pPr>
    </w:p>
    <w:p w14:paraId="5DDB6D97">
      <w:pPr>
        <w:outlineLvl w:val="9"/>
        <w:rPr>
          <w:rFonts w:hint="eastAsia" w:ascii="宋体" w:hAnsi="宋体" w:eastAsia="宋体" w:cs="宋体"/>
          <w:b/>
          <w:color w:val="auto"/>
          <w:sz w:val="32"/>
          <w:szCs w:val="32"/>
          <w:highlight w:val="none"/>
          <w:lang w:val="zh-CN" w:eastAsia="zh-CN"/>
        </w:rPr>
      </w:pPr>
    </w:p>
    <w:p w14:paraId="5A1DDF29">
      <w:pPr>
        <w:outlineLvl w:val="9"/>
        <w:rPr>
          <w:rFonts w:hint="eastAsia" w:ascii="宋体" w:hAnsi="宋体" w:eastAsia="宋体" w:cs="宋体"/>
          <w:b/>
          <w:color w:val="auto"/>
          <w:sz w:val="32"/>
          <w:szCs w:val="32"/>
          <w:highlight w:val="none"/>
          <w:lang w:val="zh-CN" w:eastAsia="zh-CN"/>
        </w:rPr>
      </w:pPr>
    </w:p>
    <w:p w14:paraId="1986B6BB">
      <w:pPr>
        <w:outlineLvl w:val="9"/>
        <w:rPr>
          <w:rFonts w:hint="eastAsia" w:ascii="宋体" w:hAnsi="宋体" w:eastAsia="宋体" w:cs="宋体"/>
          <w:b/>
          <w:color w:val="auto"/>
          <w:sz w:val="32"/>
          <w:szCs w:val="32"/>
          <w:highlight w:val="none"/>
          <w:lang w:val="zh-CN" w:eastAsia="zh-CN"/>
        </w:rPr>
      </w:pPr>
    </w:p>
    <w:p w14:paraId="662EACAE">
      <w:pPr>
        <w:outlineLvl w:val="9"/>
        <w:rPr>
          <w:rFonts w:hint="eastAsia" w:ascii="宋体" w:hAnsi="宋体" w:eastAsia="宋体" w:cs="宋体"/>
          <w:b/>
          <w:color w:val="auto"/>
          <w:sz w:val="32"/>
          <w:szCs w:val="32"/>
          <w:highlight w:val="none"/>
          <w:lang w:val="zh-CN" w:eastAsia="zh-CN"/>
        </w:rPr>
      </w:pPr>
    </w:p>
    <w:p w14:paraId="71422243">
      <w:pPr>
        <w:outlineLvl w:val="9"/>
        <w:rPr>
          <w:rFonts w:hint="eastAsia" w:ascii="宋体" w:hAnsi="宋体" w:eastAsia="宋体" w:cs="宋体"/>
          <w:b/>
          <w:color w:val="auto"/>
          <w:sz w:val="32"/>
          <w:szCs w:val="32"/>
          <w:highlight w:val="none"/>
          <w:lang w:val="zh-CN" w:eastAsia="zh-CN"/>
        </w:rPr>
      </w:pPr>
    </w:p>
    <w:p w14:paraId="75B41D5E">
      <w:pPr>
        <w:outlineLvl w:val="9"/>
        <w:rPr>
          <w:rFonts w:hint="eastAsia" w:ascii="宋体" w:hAnsi="宋体" w:eastAsia="宋体" w:cs="宋体"/>
          <w:b/>
          <w:color w:val="auto"/>
          <w:sz w:val="32"/>
          <w:szCs w:val="32"/>
          <w:highlight w:val="none"/>
          <w:lang w:val="zh-CN" w:eastAsia="zh-CN"/>
        </w:rPr>
      </w:pPr>
    </w:p>
    <w:p w14:paraId="2105C24C">
      <w:pPr>
        <w:outlineLvl w:val="9"/>
        <w:rPr>
          <w:rFonts w:hint="eastAsia" w:ascii="宋体" w:hAnsi="宋体" w:eastAsia="宋体" w:cs="宋体"/>
          <w:b/>
          <w:color w:val="auto"/>
          <w:sz w:val="32"/>
          <w:szCs w:val="32"/>
          <w:highlight w:val="none"/>
          <w:lang w:val="zh-CN" w:eastAsia="zh-CN"/>
        </w:rPr>
      </w:pPr>
    </w:p>
    <w:p w14:paraId="5C9866C8">
      <w:pPr>
        <w:outlineLvl w:val="9"/>
        <w:rPr>
          <w:rFonts w:hint="eastAsia" w:ascii="宋体" w:hAnsi="宋体" w:eastAsia="宋体" w:cs="宋体"/>
          <w:b/>
          <w:color w:val="auto"/>
          <w:sz w:val="32"/>
          <w:szCs w:val="32"/>
          <w:highlight w:val="none"/>
          <w:lang w:val="zh-CN" w:eastAsia="zh-CN"/>
        </w:rPr>
      </w:pPr>
    </w:p>
    <w:p w14:paraId="73A05552">
      <w:pPr>
        <w:outlineLvl w:val="9"/>
        <w:rPr>
          <w:rFonts w:hint="eastAsia" w:ascii="宋体" w:hAnsi="宋体" w:eastAsia="宋体" w:cs="宋体"/>
          <w:b/>
          <w:color w:val="auto"/>
          <w:sz w:val="32"/>
          <w:szCs w:val="32"/>
          <w:highlight w:val="none"/>
          <w:lang w:val="zh-CN" w:eastAsia="zh-CN"/>
        </w:rPr>
      </w:pPr>
    </w:p>
    <w:p w14:paraId="3A7FBBE7">
      <w:pPr>
        <w:outlineLvl w:val="9"/>
        <w:rPr>
          <w:rFonts w:hint="eastAsia"/>
          <w:color w:val="auto"/>
          <w:lang w:val="zh-CN" w:eastAsia="zh-CN"/>
        </w:rPr>
      </w:pPr>
    </w:p>
    <w:p w14:paraId="30505B0E">
      <w:pPr>
        <w:outlineLvl w:val="9"/>
        <w:rPr>
          <w:rFonts w:hint="eastAsia"/>
          <w:color w:val="auto"/>
          <w:lang w:val="zh-CN" w:eastAsia="zh-CN"/>
        </w:rPr>
      </w:pPr>
    </w:p>
    <w:p w14:paraId="5761D20A">
      <w:pPr>
        <w:rPr>
          <w:rFonts w:hint="eastAsia" w:ascii="宋体" w:hAnsi="宋体" w:eastAsia="宋体" w:cs="宋体"/>
          <w:b/>
          <w:color w:val="auto"/>
          <w:sz w:val="32"/>
          <w:szCs w:val="32"/>
          <w:highlight w:val="none"/>
          <w:lang w:val="zh-CN" w:eastAsia="zh-CN"/>
        </w:rPr>
      </w:pPr>
      <w:bookmarkStart w:id="864" w:name="_Toc23977"/>
      <w:r>
        <w:rPr>
          <w:rFonts w:hint="eastAsia" w:ascii="宋体" w:hAnsi="宋体" w:eastAsia="宋体" w:cs="宋体"/>
          <w:b/>
          <w:color w:val="auto"/>
          <w:sz w:val="32"/>
          <w:szCs w:val="32"/>
          <w:highlight w:val="none"/>
          <w:lang w:val="zh-CN" w:eastAsia="zh-CN"/>
        </w:rPr>
        <w:br w:type="page"/>
      </w:r>
    </w:p>
    <w:p w14:paraId="0EA6F327">
      <w:pPr>
        <w:tabs>
          <w:tab w:val="left" w:pos="567"/>
        </w:tabs>
        <w:autoSpaceDE w:val="0"/>
        <w:autoSpaceDN w:val="0"/>
        <w:adjustRightInd w:val="0"/>
        <w:spacing w:line="360" w:lineRule="auto"/>
        <w:jc w:val="left"/>
        <w:outlineLvl w:val="1"/>
        <w:rPr>
          <w:rFonts w:hint="eastAsia" w:ascii="宋体" w:hAnsi="宋体" w:eastAsia="宋体" w:cs="宋体"/>
          <w:b/>
          <w:color w:val="auto"/>
          <w:sz w:val="32"/>
          <w:szCs w:val="32"/>
          <w:highlight w:val="none"/>
          <w:lang w:val="zh-CN" w:eastAsia="zh-CN"/>
        </w:rPr>
      </w:pPr>
      <w:bookmarkStart w:id="865" w:name="_Toc2492"/>
      <w:r>
        <w:rPr>
          <w:rFonts w:hint="eastAsia" w:ascii="宋体" w:hAnsi="宋体" w:eastAsia="宋体" w:cs="宋体"/>
          <w:b/>
          <w:color w:val="auto"/>
          <w:sz w:val="32"/>
          <w:szCs w:val="32"/>
          <w:highlight w:val="none"/>
          <w:lang w:val="zh-CN" w:eastAsia="zh-CN"/>
        </w:rPr>
        <w:t>十</w:t>
      </w:r>
      <w:r>
        <w:rPr>
          <w:rFonts w:hint="eastAsia" w:ascii="宋体" w:hAnsi="宋体" w:eastAsia="宋体" w:cs="宋体"/>
          <w:b/>
          <w:color w:val="auto"/>
          <w:sz w:val="32"/>
          <w:szCs w:val="32"/>
          <w:highlight w:val="none"/>
          <w:lang w:val="en-US" w:eastAsia="zh-CN"/>
        </w:rPr>
        <w:t>一</w:t>
      </w:r>
      <w:r>
        <w:rPr>
          <w:rFonts w:hint="eastAsia" w:ascii="宋体" w:hAnsi="宋体" w:eastAsia="宋体" w:cs="宋体"/>
          <w:b/>
          <w:color w:val="auto"/>
          <w:sz w:val="32"/>
          <w:szCs w:val="32"/>
          <w:highlight w:val="none"/>
          <w:lang w:val="zh-CN" w:eastAsia="zh-CN"/>
        </w:rPr>
        <w:t>、投标保证金汇入情况说明</w:t>
      </w:r>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4"/>
      <w:bookmarkEnd w:id="865"/>
    </w:p>
    <w:p w14:paraId="2FF1C980">
      <w:pPr>
        <w:autoSpaceDE w:val="0"/>
        <w:autoSpaceDN w:val="0"/>
        <w:adjustRightInd w:val="0"/>
        <w:spacing w:line="360" w:lineRule="auto"/>
        <w:jc w:val="left"/>
        <w:rPr>
          <w:rFonts w:ascii="宋体" w:hAnsi="宋体" w:eastAsia="宋体" w:cs="宋体"/>
          <w:color w:val="auto"/>
          <w:szCs w:val="24"/>
          <w:highlight w:val="none"/>
        </w:rPr>
      </w:pPr>
    </w:p>
    <w:p w14:paraId="2314F9D0">
      <w:pPr>
        <w:autoSpaceDE w:val="0"/>
        <w:autoSpaceDN w:val="0"/>
        <w:adjustRightInd w:val="0"/>
        <w:spacing w:line="360" w:lineRule="auto"/>
        <w:jc w:val="center"/>
        <w:outlineLvl w:val="9"/>
        <w:rPr>
          <w:rFonts w:ascii="宋体" w:hAnsi="宋体" w:eastAsia="宋体" w:cs="宋体"/>
          <w:b/>
          <w:bCs/>
          <w:color w:val="auto"/>
          <w:kern w:val="0"/>
          <w:sz w:val="24"/>
          <w:szCs w:val="24"/>
          <w:highlight w:val="none"/>
        </w:rPr>
      </w:pPr>
      <w:bookmarkStart w:id="866" w:name="_Toc22541"/>
      <w:bookmarkStart w:id="867" w:name="_Toc10370"/>
      <w:bookmarkStart w:id="868" w:name="_Toc31832_WPSOffice_Level3"/>
      <w:r>
        <w:rPr>
          <w:rFonts w:hint="eastAsia" w:ascii="宋体" w:hAnsi="宋体" w:eastAsia="宋体" w:cs="宋体"/>
          <w:b/>
          <w:bCs/>
          <w:color w:val="auto"/>
          <w:kern w:val="0"/>
          <w:sz w:val="24"/>
          <w:szCs w:val="24"/>
          <w:highlight w:val="none"/>
        </w:rPr>
        <w:t>投标保证金汇入情况说明</w:t>
      </w:r>
      <w:bookmarkEnd w:id="866"/>
      <w:bookmarkEnd w:id="867"/>
      <w:bookmarkEnd w:id="868"/>
    </w:p>
    <w:p w14:paraId="045269EA">
      <w:pPr>
        <w:autoSpaceDE w:val="0"/>
        <w:autoSpaceDN w:val="0"/>
        <w:adjustRightInd w:val="0"/>
        <w:spacing w:line="360" w:lineRule="auto"/>
        <w:jc w:val="center"/>
        <w:rPr>
          <w:rFonts w:ascii="宋体" w:hAnsi="宋体" w:eastAsia="宋体" w:cs="宋体"/>
          <w:b/>
          <w:bCs/>
          <w:color w:val="auto"/>
          <w:kern w:val="0"/>
          <w:szCs w:val="24"/>
          <w:highlight w:val="none"/>
        </w:rPr>
      </w:pPr>
    </w:p>
    <w:p w14:paraId="49D5C516">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东莞市水务集团净水有限公司</w:t>
      </w:r>
      <w:r>
        <w:rPr>
          <w:rFonts w:hint="eastAsia" w:ascii="宋体" w:hAnsi="宋体" w:eastAsia="宋体" w:cs="宋体"/>
          <w:color w:val="auto"/>
          <w:szCs w:val="21"/>
          <w:highlight w:val="none"/>
        </w:rPr>
        <w:t>：</w:t>
      </w:r>
    </w:p>
    <w:p w14:paraId="6DB63C98">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lang w:eastAsia="zh-CN"/>
        </w:rPr>
        <w:t>东莞市水务集团净水有限公司2025年生产药剂液体乙酸钠采购项目</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eastAsia="zh-CN"/>
        </w:rPr>
        <w:t>WTZB2024DG0079</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782D4343">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14:paraId="02723C8E">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2F32D415">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14:paraId="40560FE9">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2F722916">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427D5D20">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14:paraId="5E0F1CDD">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0C3D7FF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14:paraId="63BF35A3">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62DAB927">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19A382D3">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1D55A077">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6FA4C80E">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2FFB18BB">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4B237649">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7E78EC59">
      <w:pPr>
        <w:spacing w:line="360" w:lineRule="auto"/>
        <w:ind w:left="340" w:leftChars="162" w:firstLine="425"/>
        <w:rPr>
          <w:rFonts w:ascii="宋体" w:hAnsi="宋体" w:eastAsia="宋体" w:cs="宋体"/>
          <w:b/>
          <w:bCs/>
          <w:color w:val="auto"/>
          <w:szCs w:val="21"/>
          <w:highlight w:val="none"/>
        </w:rPr>
      </w:pPr>
      <w:bookmarkStart w:id="869" w:name="_Toc26208_WPSOffice_Level3"/>
      <w:r>
        <w:rPr>
          <w:rFonts w:hint="eastAsia" w:ascii="宋体" w:hAnsi="宋体" w:eastAsia="宋体" w:cs="宋体"/>
          <w:b/>
          <w:bCs/>
          <w:color w:val="auto"/>
          <w:szCs w:val="21"/>
          <w:highlight w:val="none"/>
        </w:rPr>
        <w:t>附：1、我方投标保证金汇款凭证（复印件）</w:t>
      </w:r>
      <w:bookmarkEnd w:id="869"/>
    </w:p>
    <w:p w14:paraId="2096AFDD">
      <w:pPr>
        <w:spacing w:line="360" w:lineRule="auto"/>
        <w:ind w:left="340" w:leftChars="162" w:firstLine="839" w:firstLineChars="398"/>
        <w:outlineLvl w:val="9"/>
        <w:rPr>
          <w:rFonts w:ascii="宋体" w:hAnsi="宋体" w:eastAsia="宋体" w:cs="宋体"/>
          <w:b/>
          <w:bCs/>
          <w:color w:val="auto"/>
          <w:szCs w:val="21"/>
          <w:highlight w:val="none"/>
        </w:rPr>
      </w:pPr>
      <w:bookmarkStart w:id="870" w:name="_Toc19228"/>
      <w:bookmarkStart w:id="871" w:name="_Toc12992_WPSOffice_Level3"/>
      <w:bookmarkStart w:id="872" w:name="_Toc25157"/>
      <w:r>
        <w:rPr>
          <w:rFonts w:hint="eastAsia" w:ascii="宋体" w:hAnsi="宋体" w:eastAsia="宋体" w:cs="宋体"/>
          <w:b/>
          <w:bCs/>
          <w:color w:val="auto"/>
          <w:szCs w:val="21"/>
          <w:highlight w:val="none"/>
        </w:rPr>
        <w:t>2、我方基本账户开户许可证（复印件）</w:t>
      </w:r>
      <w:bookmarkEnd w:id="870"/>
      <w:bookmarkEnd w:id="871"/>
      <w:bookmarkEnd w:id="872"/>
    </w:p>
    <w:p w14:paraId="55E9373A">
      <w:pPr>
        <w:spacing w:line="360" w:lineRule="auto"/>
        <w:ind w:left="340" w:leftChars="162" w:firstLine="839" w:firstLineChars="398"/>
        <w:outlineLvl w:val="9"/>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56C349B5">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14:paraId="5C5656D5">
      <w:pPr>
        <w:spacing w:line="360" w:lineRule="auto"/>
        <w:ind w:firstLine="424" w:firstLineChars="202"/>
        <w:rPr>
          <w:rFonts w:ascii="宋体" w:hAnsi="宋体" w:eastAsia="宋体" w:cs="宋体"/>
          <w:color w:val="auto"/>
          <w:szCs w:val="24"/>
          <w:highlight w:val="none"/>
        </w:rPr>
      </w:pPr>
      <w:bookmarkStart w:id="873" w:name="_Toc486167721"/>
    </w:p>
    <w:p w14:paraId="25768C32">
      <w:pPr>
        <w:spacing w:line="360" w:lineRule="auto"/>
        <w:ind w:firstLine="424" w:firstLineChars="202"/>
        <w:rPr>
          <w:rFonts w:ascii="宋体" w:hAnsi="宋体" w:eastAsia="宋体" w:cs="宋体"/>
          <w:color w:val="auto"/>
          <w:szCs w:val="24"/>
          <w:highlight w:val="none"/>
        </w:rPr>
      </w:pPr>
      <w:bookmarkStart w:id="874" w:name="_Toc533708134"/>
    </w:p>
    <w:p w14:paraId="17E01768">
      <w:pPr>
        <w:widowControl/>
        <w:jc w:val="left"/>
        <w:rPr>
          <w:rFonts w:ascii="宋体" w:hAnsi="宋体" w:eastAsia="宋体" w:cs="宋体"/>
          <w:b/>
          <w:color w:val="auto"/>
          <w:kern w:val="0"/>
          <w:szCs w:val="21"/>
          <w:highlight w:val="none"/>
        </w:rPr>
      </w:pPr>
      <w:r>
        <w:rPr>
          <w:rFonts w:ascii="宋体" w:hAnsi="宋体" w:eastAsia="宋体" w:cs="宋体"/>
          <w:b/>
          <w:color w:val="auto"/>
          <w:kern w:val="0"/>
          <w:szCs w:val="21"/>
          <w:highlight w:val="none"/>
        </w:rPr>
        <w:br w:type="page"/>
      </w:r>
    </w:p>
    <w:p w14:paraId="34D3690D">
      <w:pPr>
        <w:tabs>
          <w:tab w:val="left" w:pos="567"/>
        </w:tabs>
        <w:autoSpaceDE w:val="0"/>
        <w:autoSpaceDN w:val="0"/>
        <w:adjustRightInd w:val="0"/>
        <w:spacing w:line="360" w:lineRule="auto"/>
        <w:jc w:val="left"/>
        <w:outlineLvl w:val="1"/>
        <w:rPr>
          <w:rFonts w:hint="eastAsia" w:ascii="宋体" w:hAnsi="宋体" w:eastAsia="宋体" w:cs="宋体"/>
          <w:b/>
          <w:color w:val="auto"/>
          <w:sz w:val="32"/>
          <w:szCs w:val="32"/>
          <w:highlight w:val="none"/>
          <w:lang w:val="en-US" w:eastAsia="zh-CN"/>
        </w:rPr>
        <w:sectPr>
          <w:pgSz w:w="12240" w:h="15840"/>
          <w:pgMar w:top="1191" w:right="1043" w:bottom="1191" w:left="1043" w:header="720" w:footer="720" w:gutter="0"/>
          <w:cols w:space="720" w:num="1"/>
          <w:titlePg/>
          <w:docGrid w:linePitch="326" w:charSpace="0"/>
        </w:sectPr>
      </w:pPr>
      <w:bookmarkStart w:id="875" w:name="_Toc94107221"/>
      <w:bookmarkStart w:id="876" w:name="_Toc28071"/>
      <w:bookmarkStart w:id="877" w:name="_Toc102860428"/>
      <w:bookmarkStart w:id="878" w:name="_Toc16292"/>
      <w:bookmarkStart w:id="879" w:name="_Toc23702"/>
      <w:bookmarkStart w:id="880" w:name="_Toc102860084"/>
      <w:bookmarkStart w:id="881" w:name="_Toc104991886"/>
      <w:bookmarkStart w:id="882" w:name="_Toc140596939"/>
      <w:bookmarkStart w:id="883" w:name="_Toc28820"/>
      <w:bookmarkStart w:id="884" w:name="_Toc18032"/>
      <w:bookmarkStart w:id="885" w:name="_Toc1977738"/>
      <w:bookmarkStart w:id="886" w:name="_Toc16558"/>
      <w:bookmarkStart w:id="887" w:name="_Toc142508379"/>
      <w:r>
        <w:rPr>
          <w:rFonts w:hint="eastAsia" w:ascii="宋体" w:hAnsi="宋体" w:eastAsia="宋体" w:cs="宋体"/>
          <w:b/>
          <w:color w:val="auto"/>
          <w:sz w:val="32"/>
          <w:szCs w:val="32"/>
          <w:highlight w:val="none"/>
          <w:lang w:val="zh-CN" w:eastAsia="zh-CN"/>
        </w:rPr>
        <w:t>十</w:t>
      </w:r>
      <w:r>
        <w:rPr>
          <w:rFonts w:hint="eastAsia" w:ascii="宋体" w:hAnsi="宋体" w:eastAsia="宋体" w:cs="宋体"/>
          <w:b/>
          <w:color w:val="auto"/>
          <w:sz w:val="32"/>
          <w:szCs w:val="32"/>
          <w:highlight w:val="none"/>
          <w:lang w:val="en-US" w:eastAsia="zh-CN"/>
        </w:rPr>
        <w:t>二</w:t>
      </w:r>
      <w:r>
        <w:rPr>
          <w:rFonts w:hint="eastAsia" w:ascii="宋体" w:hAnsi="宋体" w:eastAsia="宋体" w:cs="宋体"/>
          <w:b/>
          <w:color w:val="auto"/>
          <w:sz w:val="32"/>
          <w:szCs w:val="32"/>
          <w:highlight w:val="none"/>
          <w:lang w:val="zh-CN" w:eastAsia="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color w:val="auto"/>
          <w:sz w:val="32"/>
          <w:szCs w:val="32"/>
          <w:highlight w:val="none"/>
          <w:lang w:val="en-US" w:eastAsia="zh-CN"/>
        </w:rPr>
        <w:t>及有关</w:t>
      </w:r>
      <w:r>
        <w:rPr>
          <w:rFonts w:hint="eastAsia" w:ascii="宋体" w:hAnsi="宋体" w:eastAsia="宋体" w:cs="宋体"/>
          <w:b/>
          <w:color w:val="auto"/>
          <w:sz w:val="32"/>
          <w:szCs w:val="32"/>
          <w:highlight w:val="none"/>
          <w:lang w:val="zh-CN" w:eastAsia="zh-CN"/>
        </w:rPr>
        <w:t>服务能力的有关其它商务文件（不做强制要求）</w:t>
      </w:r>
      <w:bookmarkEnd w:id="875"/>
      <w:bookmarkEnd w:id="876"/>
      <w:bookmarkEnd w:id="877"/>
      <w:bookmarkEnd w:id="878"/>
      <w:bookmarkEnd w:id="879"/>
      <w:bookmarkEnd w:id="880"/>
      <w:bookmarkEnd w:id="881"/>
      <w:bookmarkEnd w:id="882"/>
      <w:bookmarkEnd w:id="883"/>
      <w:bookmarkEnd w:id="884"/>
      <w:bookmarkEnd w:id="885"/>
      <w:bookmarkEnd w:id="886"/>
      <w:bookmarkEnd w:id="887"/>
    </w:p>
    <w:p w14:paraId="6A1DA987">
      <w:pPr>
        <w:tabs>
          <w:tab w:val="left" w:pos="567"/>
        </w:tabs>
        <w:autoSpaceDE w:val="0"/>
        <w:autoSpaceDN w:val="0"/>
        <w:adjustRightInd w:val="0"/>
        <w:spacing w:line="360" w:lineRule="auto"/>
        <w:jc w:val="left"/>
        <w:outlineLvl w:val="1"/>
        <w:rPr>
          <w:rFonts w:hint="eastAsia" w:ascii="宋体" w:hAnsi="宋体" w:eastAsia="宋体" w:cs="宋体"/>
          <w:b/>
          <w:color w:val="auto"/>
          <w:sz w:val="32"/>
          <w:szCs w:val="32"/>
          <w:highlight w:val="none"/>
          <w:lang w:val="en-US" w:eastAsia="zh-CN"/>
        </w:rPr>
      </w:pPr>
      <w:bookmarkStart w:id="888" w:name="_Toc1977739"/>
      <w:bookmarkStart w:id="889" w:name="_Toc94107222"/>
      <w:bookmarkStart w:id="890" w:name="_Toc104991887"/>
      <w:bookmarkStart w:id="891" w:name="_Toc142508380"/>
      <w:bookmarkStart w:id="892" w:name="_Toc140596940"/>
      <w:bookmarkStart w:id="893" w:name="_Toc29333"/>
      <w:bookmarkStart w:id="894" w:name="_Toc102860085"/>
      <w:bookmarkStart w:id="895" w:name="_Toc14341"/>
      <w:bookmarkStart w:id="896" w:name="_Toc15051"/>
      <w:bookmarkStart w:id="897" w:name="_Toc15692"/>
      <w:bookmarkStart w:id="898" w:name="_Toc24702"/>
      <w:bookmarkStart w:id="899" w:name="_Toc22032"/>
      <w:bookmarkStart w:id="900" w:name="_Toc102860429"/>
      <w:r>
        <w:rPr>
          <w:rFonts w:hint="eastAsia" w:ascii="宋体" w:hAnsi="宋体" w:eastAsia="宋体" w:cs="宋体"/>
          <w:b/>
          <w:color w:val="auto"/>
          <w:sz w:val="32"/>
          <w:szCs w:val="32"/>
          <w:highlight w:val="none"/>
          <w:lang w:val="en-US" w:eastAsia="zh-CN"/>
        </w:rPr>
        <w:t>十三、技术响应文件格式</w:t>
      </w:r>
      <w:bookmarkEnd w:id="874"/>
      <w:bookmarkEnd w:id="888"/>
      <w:bookmarkEnd w:id="889"/>
      <w:bookmarkEnd w:id="890"/>
      <w:bookmarkEnd w:id="891"/>
      <w:bookmarkEnd w:id="892"/>
      <w:bookmarkEnd w:id="893"/>
      <w:bookmarkEnd w:id="894"/>
      <w:bookmarkEnd w:id="895"/>
      <w:bookmarkEnd w:id="896"/>
      <w:bookmarkEnd w:id="897"/>
      <w:bookmarkEnd w:id="898"/>
      <w:bookmarkEnd w:id="899"/>
      <w:bookmarkEnd w:id="900"/>
    </w:p>
    <w:p w14:paraId="32A50555">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4A017EB3">
      <w:pPr>
        <w:spacing w:line="360" w:lineRule="auto"/>
        <w:ind w:left="443" w:leftChars="77" w:hanging="281" w:hangingChars="134"/>
        <w:outlineLvl w:val="9"/>
        <w:rPr>
          <w:rFonts w:ascii="宋体" w:hAnsi="宋体" w:eastAsia="宋体" w:cs="宋体"/>
          <w:color w:val="auto"/>
          <w:kern w:val="0"/>
          <w:szCs w:val="21"/>
          <w:highlight w:val="none"/>
        </w:rPr>
      </w:pPr>
      <w:bookmarkStart w:id="901" w:name="_Toc8998"/>
      <w:bookmarkStart w:id="902" w:name="_Toc3859"/>
      <w:r>
        <w:rPr>
          <w:rFonts w:hint="eastAsia" w:ascii="宋体" w:hAnsi="宋体" w:eastAsia="宋体" w:cs="宋体"/>
          <w:color w:val="auto"/>
          <w:kern w:val="0"/>
          <w:szCs w:val="21"/>
          <w:highlight w:val="none"/>
        </w:rPr>
        <w:t>1、用户需求响应程度（即1</w:t>
      </w:r>
      <w:r>
        <w:rPr>
          <w:rFonts w:hint="eastAsia" w:ascii="宋体" w:hAnsi="宋体" w:eastAsia="宋体" w:cs="宋体"/>
          <w:color w:val="auto"/>
          <w:kern w:val="0"/>
          <w:szCs w:val="21"/>
          <w:highlight w:val="none"/>
          <w:lang w:val="en-US" w:eastAsia="zh-CN"/>
        </w:rPr>
        <w:t>3</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bookmarkEnd w:id="901"/>
      <w:bookmarkEnd w:id="902"/>
    </w:p>
    <w:p w14:paraId="084C4046">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2、投标产品技术指标承诺书（格式见1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2投标产品技术指标承诺书格式）；</w:t>
      </w:r>
    </w:p>
    <w:p w14:paraId="51152244">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3、第三方检测机构出具的检验报告复印件（须为</w:t>
      </w:r>
      <w:r>
        <w:rPr>
          <w:rFonts w:hint="eastAsia" w:ascii="宋体" w:hAnsi="宋体" w:eastAsia="宋体" w:cs="宋体"/>
          <w:color w:val="auto"/>
          <w:kern w:val="0"/>
          <w:szCs w:val="21"/>
          <w:highlight w:val="none"/>
          <w:lang w:eastAsia="zh-CN"/>
        </w:rPr>
        <w:t>2024年</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lang w:eastAsia="zh-CN"/>
        </w:rPr>
        <w:t>月</w:t>
      </w:r>
      <w:r>
        <w:rPr>
          <w:rFonts w:hint="eastAsia" w:ascii="宋体" w:hAnsi="宋体" w:eastAsia="宋体" w:cs="宋体"/>
          <w:color w:val="auto"/>
          <w:kern w:val="0"/>
          <w:szCs w:val="21"/>
          <w:highlight w:val="none"/>
        </w:rPr>
        <w:t>1日以后出具的投标产品检验报告）；</w:t>
      </w:r>
    </w:p>
    <w:p w14:paraId="108ABC16">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生产工艺</w:t>
      </w:r>
      <w:r>
        <w:rPr>
          <w:rFonts w:hint="eastAsia" w:ascii="宋体" w:hAnsi="宋体" w:eastAsia="宋体" w:cs="宋体"/>
          <w:color w:val="auto"/>
          <w:kern w:val="0"/>
          <w:szCs w:val="21"/>
          <w:highlight w:val="none"/>
        </w:rPr>
        <w:t>（投标人自行编写，其中应包含生产工艺流程图）；</w:t>
      </w:r>
    </w:p>
    <w:p w14:paraId="00E9890C">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、生产供货保障能力（投标人自行编写）；</w:t>
      </w:r>
    </w:p>
    <w:p w14:paraId="7A78541D">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、质量保证体系和措施（投标人自行编写）；</w:t>
      </w:r>
    </w:p>
    <w:p w14:paraId="1342F34A">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、投标人认为有必要提供的其它材料（不做强制要求）。</w:t>
      </w:r>
    </w:p>
    <w:p w14:paraId="47DFD92E">
      <w:pP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14:paraId="0BDDF415">
      <w:pPr>
        <w:pStyle w:val="20"/>
        <w:spacing w:line="360" w:lineRule="auto"/>
        <w:jc w:val="center"/>
        <w:rPr>
          <w:rFonts w:hint="eastAsia" w:ascii="宋体" w:hAnsi="宋体" w:eastAsia="宋体" w:cs="宋体"/>
          <w:color w:val="auto"/>
          <w:sz w:val="84"/>
          <w:highlight w:val="none"/>
        </w:rPr>
      </w:pPr>
    </w:p>
    <w:p w14:paraId="4827B785">
      <w:pPr>
        <w:pStyle w:val="20"/>
        <w:spacing w:line="360" w:lineRule="auto"/>
        <w:jc w:val="center"/>
        <w:rPr>
          <w:rFonts w:hint="eastAsia" w:ascii="宋体" w:hAnsi="宋体" w:eastAsia="宋体" w:cs="宋体"/>
          <w:color w:val="auto"/>
          <w:sz w:val="84"/>
          <w:highlight w:val="none"/>
        </w:rPr>
      </w:pPr>
    </w:p>
    <w:p w14:paraId="72185B50">
      <w:pPr>
        <w:pStyle w:val="20"/>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7827F06D">
      <w:pPr>
        <w:pStyle w:val="20"/>
        <w:spacing w:line="360" w:lineRule="auto"/>
        <w:rPr>
          <w:rFonts w:hint="eastAsia" w:ascii="宋体" w:hAnsi="宋体" w:eastAsia="宋体" w:cs="宋体"/>
          <w:color w:val="auto"/>
          <w:highlight w:val="none"/>
        </w:rPr>
      </w:pPr>
    </w:p>
    <w:p w14:paraId="355F3451">
      <w:pPr>
        <w:pStyle w:val="20"/>
        <w:spacing w:line="360" w:lineRule="auto"/>
        <w:rPr>
          <w:rFonts w:hint="eastAsia" w:ascii="宋体" w:hAnsi="宋体" w:eastAsia="宋体" w:cs="宋体"/>
          <w:color w:val="auto"/>
          <w:highlight w:val="none"/>
        </w:rPr>
      </w:pPr>
    </w:p>
    <w:p w14:paraId="0DA89FEE">
      <w:pPr>
        <w:pStyle w:val="20"/>
        <w:spacing w:line="360" w:lineRule="auto"/>
        <w:rPr>
          <w:rFonts w:hint="eastAsia" w:ascii="宋体" w:hAnsi="宋体" w:eastAsia="宋体" w:cs="宋体"/>
          <w:color w:val="auto"/>
          <w:highlight w:val="none"/>
        </w:rPr>
      </w:pPr>
    </w:p>
    <w:p w14:paraId="1E4CCB0C">
      <w:pPr>
        <w:pStyle w:val="20"/>
        <w:spacing w:line="360" w:lineRule="auto"/>
        <w:rPr>
          <w:rFonts w:hint="eastAsia" w:ascii="宋体" w:hAnsi="宋体" w:eastAsia="宋体" w:cs="宋体"/>
          <w:color w:val="auto"/>
          <w:highlight w:val="none"/>
        </w:rPr>
      </w:pPr>
    </w:p>
    <w:p w14:paraId="3CEA616B">
      <w:pPr>
        <w:pStyle w:val="20"/>
        <w:spacing w:line="360" w:lineRule="auto"/>
        <w:rPr>
          <w:rFonts w:hint="eastAsia" w:ascii="宋体" w:hAnsi="宋体" w:eastAsia="宋体" w:cs="宋体"/>
          <w:color w:val="auto"/>
          <w:highlight w:val="none"/>
        </w:rPr>
      </w:pPr>
    </w:p>
    <w:p w14:paraId="2FB30923">
      <w:pPr>
        <w:pStyle w:val="20"/>
        <w:spacing w:line="360" w:lineRule="auto"/>
        <w:rPr>
          <w:rFonts w:hint="eastAsia" w:ascii="宋体" w:hAnsi="宋体" w:eastAsia="宋体" w:cs="宋体"/>
          <w:color w:val="auto"/>
          <w:highlight w:val="none"/>
        </w:rPr>
      </w:pPr>
    </w:p>
    <w:p w14:paraId="41D7B572">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7E2689B7">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75A6A67E">
      <w:pPr>
        <w:pStyle w:val="20"/>
        <w:spacing w:line="360" w:lineRule="auto"/>
        <w:ind w:firstLine="1875" w:firstLineChars="625"/>
        <w:outlineLvl w:val="9"/>
        <w:rPr>
          <w:rFonts w:hint="eastAsia" w:ascii="宋体" w:hAnsi="宋体" w:eastAsia="宋体" w:cs="宋体"/>
          <w:color w:val="auto"/>
          <w:sz w:val="30"/>
          <w:highlight w:val="none"/>
          <w:u w:val="single"/>
        </w:rPr>
      </w:pPr>
      <w:bookmarkStart w:id="903" w:name="_Toc22711"/>
      <w:bookmarkStart w:id="904" w:name="_Toc10959"/>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部分</w:t>
      </w:r>
      <w:bookmarkEnd w:id="903"/>
      <w:bookmarkEnd w:id="904"/>
      <w:r>
        <w:rPr>
          <w:rFonts w:hint="eastAsia" w:ascii="宋体" w:hAnsi="宋体" w:eastAsia="宋体" w:cs="宋体"/>
          <w:color w:val="auto"/>
          <w:sz w:val="30"/>
          <w:highlight w:val="none"/>
          <w:u w:val="single"/>
        </w:rPr>
        <w:t xml:space="preserve"> </w:t>
      </w:r>
    </w:p>
    <w:p w14:paraId="159482DA">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1748445D">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69EB8A07">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66646734">
      <w:pPr>
        <w:pStyle w:val="20"/>
        <w:spacing w:line="360" w:lineRule="auto"/>
        <w:rPr>
          <w:rFonts w:hint="eastAsia" w:ascii="宋体" w:hAnsi="宋体" w:eastAsia="宋体" w:cs="宋体"/>
          <w:color w:val="auto"/>
          <w:highlight w:val="none"/>
        </w:rPr>
      </w:pPr>
    </w:p>
    <w:p w14:paraId="3468F5D9">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EDA97BB">
      <w:pPr>
        <w:pStyle w:val="20"/>
        <w:spacing w:line="360" w:lineRule="auto"/>
        <w:rPr>
          <w:rFonts w:hint="eastAsia" w:ascii="宋体" w:hAnsi="宋体" w:eastAsia="宋体" w:cs="宋体"/>
          <w:color w:val="auto"/>
          <w:highlight w:val="none"/>
        </w:rPr>
      </w:pPr>
    </w:p>
    <w:p w14:paraId="64EA145C">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198978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7996F8CC">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7DA936B6">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17CA3492">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6BF09980">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02CD44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00B3B8E3">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6E2240F9">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65D9FD25">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20CFD76A">
            <w:pPr>
              <w:adjustRightInd w:val="0"/>
              <w:snapToGrid w:val="0"/>
              <w:spacing w:line="360" w:lineRule="auto"/>
              <w:rPr>
                <w:rFonts w:hint="eastAsia" w:ascii="宋体" w:hAnsi="宋体" w:eastAsia="宋体" w:cs="宋体"/>
                <w:bCs/>
                <w:color w:val="auto"/>
                <w:szCs w:val="21"/>
                <w:highlight w:val="none"/>
              </w:rPr>
            </w:pPr>
          </w:p>
        </w:tc>
      </w:tr>
      <w:tr w14:paraId="0193EE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0C1EDE8F">
            <w:pPr>
              <w:rPr>
                <w:rFonts w:hint="eastAsia" w:ascii="宋体" w:hAnsi="宋体" w:eastAsia="宋体" w:cs="宋体"/>
                <w:bCs/>
                <w:color w:val="auto"/>
                <w:szCs w:val="21"/>
                <w:highlight w:val="none"/>
              </w:rPr>
            </w:pPr>
          </w:p>
        </w:tc>
        <w:tc>
          <w:tcPr>
            <w:tcW w:w="1337" w:type="pct"/>
            <w:vAlign w:val="center"/>
          </w:tcPr>
          <w:p w14:paraId="21B2FE4E">
            <w:pPr>
              <w:rPr>
                <w:rFonts w:hint="eastAsia" w:ascii="宋体" w:hAnsi="宋体" w:eastAsia="宋体" w:cs="宋体"/>
                <w:bCs/>
                <w:color w:val="auto"/>
                <w:szCs w:val="21"/>
                <w:highlight w:val="none"/>
              </w:rPr>
            </w:pPr>
          </w:p>
        </w:tc>
        <w:tc>
          <w:tcPr>
            <w:tcW w:w="861" w:type="pct"/>
            <w:vAlign w:val="center"/>
          </w:tcPr>
          <w:p w14:paraId="43893666">
            <w:pP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322FD783">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1EEBAF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36694FE7">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249D3F5B">
            <w:pPr>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14:paraId="7ED4032A">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2F461BA4">
            <w:pPr>
              <w:spacing w:line="360" w:lineRule="auto"/>
              <w:ind w:firstLine="8" w:firstLineChars="4"/>
              <w:rPr>
                <w:rFonts w:hint="eastAsia" w:ascii="宋体" w:hAnsi="宋体" w:eastAsia="宋体" w:cs="宋体"/>
                <w:bCs/>
                <w:color w:val="auto"/>
                <w:szCs w:val="21"/>
                <w:highlight w:val="none"/>
              </w:rPr>
            </w:pPr>
          </w:p>
        </w:tc>
      </w:tr>
      <w:tr w14:paraId="46572D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5AA67CEA">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24DC2603">
            <w:pPr>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71FF985D">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0B16E581">
            <w:pPr>
              <w:adjustRightInd w:val="0"/>
              <w:snapToGrid w:val="0"/>
              <w:spacing w:line="360" w:lineRule="auto"/>
              <w:rPr>
                <w:rFonts w:hint="eastAsia" w:ascii="宋体" w:hAnsi="宋体" w:eastAsia="宋体" w:cs="宋体"/>
                <w:bCs/>
                <w:color w:val="auto"/>
                <w:szCs w:val="21"/>
                <w:highlight w:val="none"/>
              </w:rPr>
            </w:pPr>
          </w:p>
        </w:tc>
      </w:tr>
      <w:tr w14:paraId="070298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0280304C">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3159F923">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5C55218F">
            <w:pPr>
              <w:spacing w:line="360" w:lineRule="auto"/>
              <w:jc w:val="center"/>
              <w:rPr>
                <w:rFonts w:hint="eastAsia" w:ascii="宋体" w:hAnsi="宋体" w:eastAsia="宋体" w:cs="宋体"/>
                <w:bCs/>
                <w:color w:val="auto"/>
                <w:szCs w:val="21"/>
                <w:highlight w:val="none"/>
              </w:rPr>
            </w:pPr>
          </w:p>
        </w:tc>
      </w:tr>
    </w:tbl>
    <w:p w14:paraId="58F542EF">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bookmarkEnd w:id="873"/>
      <w:bookmarkStart w:id="905" w:name="_Toc30890"/>
      <w:bookmarkStart w:id="906" w:name="_Toc20630"/>
      <w:bookmarkStart w:id="907" w:name="_Toc94107223"/>
      <w:bookmarkStart w:id="908" w:name="_Toc142508381"/>
      <w:bookmarkStart w:id="909" w:name="_Toc7463"/>
      <w:bookmarkStart w:id="910" w:name="_Toc1558"/>
      <w:bookmarkStart w:id="911" w:name="_Toc102860086"/>
      <w:bookmarkStart w:id="912" w:name="_Toc533708135"/>
      <w:bookmarkStart w:id="913" w:name="_Toc1977740"/>
      <w:bookmarkStart w:id="914" w:name="_Toc102860430"/>
      <w:bookmarkStart w:id="915" w:name="_Toc104991888"/>
      <w:bookmarkStart w:id="916" w:name="_Toc140596941"/>
      <w:bookmarkStart w:id="917" w:name="_Toc6021"/>
      <w:bookmarkStart w:id="918" w:name="_Toc29228"/>
      <w:r>
        <w:rPr>
          <w:rFonts w:hint="eastAsia" w:ascii="宋体" w:hAnsi="宋体" w:eastAsia="宋体" w:cs="宋体"/>
          <w:b/>
          <w:color w:val="auto"/>
          <w:kern w:val="0"/>
          <w:sz w:val="30"/>
          <w:szCs w:val="30"/>
          <w:highlight w:val="none"/>
          <w:lang w:val="en-US" w:eastAsia="zh-CN"/>
        </w:rPr>
        <w:t>13.1 用户需求偏离表格式</w:t>
      </w:r>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p>
    <w:p w14:paraId="428C2450">
      <w:pPr>
        <w:spacing w:before="120" w:after="120" w:line="360" w:lineRule="auto"/>
        <w:jc w:val="center"/>
        <w:outlineLvl w:val="9"/>
        <w:rPr>
          <w:rFonts w:ascii="宋体" w:hAnsi="宋体" w:eastAsia="宋体" w:cs="Times New Roman"/>
          <w:color w:val="auto"/>
          <w:kern w:val="0"/>
          <w:szCs w:val="21"/>
          <w:highlight w:val="none"/>
        </w:rPr>
      </w:pPr>
      <w:bookmarkStart w:id="919" w:name="_Toc13893"/>
      <w:bookmarkStart w:id="920" w:name="_Toc17449_WPSOffice_Level3"/>
      <w:bookmarkStart w:id="921" w:name="_Toc2242"/>
      <w:r>
        <w:rPr>
          <w:rFonts w:hint="eastAsia" w:ascii="宋体" w:hAnsi="宋体" w:eastAsia="宋体" w:cs="宋体"/>
          <w:b/>
          <w:color w:val="auto"/>
          <w:kern w:val="0"/>
          <w:sz w:val="30"/>
          <w:szCs w:val="30"/>
          <w:highlight w:val="none"/>
          <w:lang w:val="zh-CN"/>
        </w:rPr>
        <w:t>用户需求偏离表</w:t>
      </w:r>
      <w:bookmarkEnd w:id="919"/>
      <w:bookmarkEnd w:id="920"/>
      <w:bookmarkEnd w:id="921"/>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952"/>
        <w:gridCol w:w="6413"/>
        <w:gridCol w:w="722"/>
        <w:gridCol w:w="867"/>
        <w:gridCol w:w="819"/>
      </w:tblGrid>
      <w:tr w14:paraId="1E23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8" w:type="pct"/>
            <w:vMerge w:val="restart"/>
            <w:vAlign w:val="center"/>
          </w:tcPr>
          <w:p w14:paraId="76B89956">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3551" w:type="pct"/>
            <w:gridSpan w:val="2"/>
            <w:vAlign w:val="center"/>
          </w:tcPr>
          <w:p w14:paraId="4A9B1733">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1160" w:type="pct"/>
            <w:gridSpan w:val="3"/>
            <w:vAlign w:val="center"/>
          </w:tcPr>
          <w:p w14:paraId="770199E1">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14:paraId="612E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8" w:type="pct"/>
            <w:vMerge w:val="continue"/>
            <w:vAlign w:val="center"/>
          </w:tcPr>
          <w:p w14:paraId="280257B8">
            <w:pPr>
              <w:keepNext/>
              <w:keepLines/>
              <w:spacing w:line="400" w:lineRule="exact"/>
              <w:jc w:val="center"/>
              <w:outlineLvl w:val="9"/>
              <w:rPr>
                <w:rFonts w:ascii="宋体" w:hAnsi="宋体" w:eastAsia="宋体" w:cs="宋体"/>
                <w:color w:val="auto"/>
                <w:kern w:val="0"/>
                <w:sz w:val="18"/>
                <w:szCs w:val="18"/>
                <w:highlight w:val="none"/>
              </w:rPr>
            </w:pPr>
          </w:p>
        </w:tc>
        <w:tc>
          <w:tcPr>
            <w:tcW w:w="459" w:type="pct"/>
            <w:vAlign w:val="center"/>
          </w:tcPr>
          <w:p w14:paraId="555945F7">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3092" w:type="pct"/>
            <w:vAlign w:val="center"/>
          </w:tcPr>
          <w:p w14:paraId="240342F3">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348" w:type="pct"/>
            <w:vAlign w:val="center"/>
          </w:tcPr>
          <w:p w14:paraId="6C5A818D">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418" w:type="pct"/>
            <w:vAlign w:val="center"/>
          </w:tcPr>
          <w:p w14:paraId="07D79771">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393" w:type="pct"/>
            <w:vAlign w:val="center"/>
          </w:tcPr>
          <w:p w14:paraId="6E4D2BE9">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14:paraId="6F2CC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27A24991">
            <w:pPr>
              <w:pageBreakBefore w:val="0"/>
              <w:widowControl w:val="0"/>
              <w:kinsoku/>
              <w:wordWrap/>
              <w:overflowPunct/>
              <w:topLinePunct w:val="0"/>
              <w:bidi w:val="0"/>
              <w:snapToGrid/>
              <w:spacing w:line="240" w:lineRule="auto"/>
              <w:jc w:val="center"/>
              <w:textAlignment w:val="auto"/>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1</w:t>
            </w:r>
          </w:p>
        </w:tc>
        <w:tc>
          <w:tcPr>
            <w:tcW w:w="459" w:type="pct"/>
            <w:vAlign w:val="center"/>
          </w:tcPr>
          <w:p w14:paraId="17BFB89D">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color w:val="auto"/>
                <w:kern w:val="0"/>
                <w:sz w:val="21"/>
                <w:szCs w:val="21"/>
                <w:highlight w:val="none"/>
                <w:lang w:val="en-US" w:eastAsia="zh-CN"/>
              </w:rPr>
            </w:pPr>
            <w:r>
              <w:rPr>
                <w:rFonts w:hint="eastAsia" w:ascii="宋体" w:hAnsi="宋体" w:eastAsia="宋体" w:cs="Times New Roman"/>
                <w:b/>
                <w:color w:val="auto"/>
                <w:kern w:val="0"/>
                <w:sz w:val="21"/>
                <w:szCs w:val="21"/>
                <w:highlight w:val="none"/>
                <w:lang w:val="en-US" w:eastAsia="zh-CN"/>
              </w:rPr>
              <w:t>一</w:t>
            </w:r>
          </w:p>
        </w:tc>
        <w:tc>
          <w:tcPr>
            <w:tcW w:w="3092" w:type="pct"/>
            <w:vAlign w:val="center"/>
          </w:tcPr>
          <w:p w14:paraId="21291C20">
            <w:pPr>
              <w:pageBreakBefore w:val="0"/>
              <w:widowControl w:val="0"/>
              <w:kinsoku/>
              <w:wordWrap/>
              <w:overflowPunct/>
              <w:topLinePunct w:val="0"/>
              <w:autoSpaceDE w:val="0"/>
              <w:autoSpaceDN w:val="0"/>
              <w:bidi w:val="0"/>
              <w:adjustRightInd w:val="0"/>
              <w:snapToGrid/>
              <w:spacing w:line="240" w:lineRule="auto"/>
              <w:textAlignment w:val="auto"/>
              <w:rPr>
                <w:rFonts w:hint="default"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基本招标要求</w:t>
            </w:r>
          </w:p>
        </w:tc>
        <w:tc>
          <w:tcPr>
            <w:tcW w:w="348" w:type="pct"/>
            <w:vAlign w:val="center"/>
          </w:tcPr>
          <w:p w14:paraId="77C5963F">
            <w:pPr>
              <w:keepNext/>
              <w:keepLines/>
              <w:pageBreakBefore w:val="0"/>
              <w:widowControl w:val="0"/>
              <w:kinsoku/>
              <w:wordWrap/>
              <w:overflowPunct/>
              <w:topLinePunct w:val="0"/>
              <w:bidi w:val="0"/>
              <w:snapToGrid/>
              <w:spacing w:line="240" w:lineRule="auto"/>
              <w:jc w:val="center"/>
              <w:textAlignment w:val="auto"/>
              <w:outlineLvl w:val="9"/>
              <w:rPr>
                <w:rFonts w:ascii="宋体" w:hAnsi="宋体" w:eastAsia="宋体" w:cs="宋体"/>
                <w:color w:val="auto"/>
                <w:kern w:val="0"/>
                <w:sz w:val="21"/>
                <w:szCs w:val="21"/>
                <w:highlight w:val="none"/>
              </w:rPr>
            </w:pPr>
          </w:p>
        </w:tc>
        <w:tc>
          <w:tcPr>
            <w:tcW w:w="418" w:type="pct"/>
            <w:vAlign w:val="center"/>
          </w:tcPr>
          <w:p w14:paraId="25FCECA0">
            <w:pPr>
              <w:keepNext/>
              <w:keepLines/>
              <w:pageBreakBefore w:val="0"/>
              <w:widowControl w:val="0"/>
              <w:kinsoku/>
              <w:wordWrap/>
              <w:overflowPunct/>
              <w:topLinePunct w:val="0"/>
              <w:bidi w:val="0"/>
              <w:snapToGrid/>
              <w:spacing w:line="240" w:lineRule="auto"/>
              <w:jc w:val="center"/>
              <w:textAlignment w:val="auto"/>
              <w:outlineLvl w:val="9"/>
              <w:rPr>
                <w:rFonts w:ascii="宋体" w:hAnsi="宋体" w:eastAsia="宋体" w:cs="宋体"/>
                <w:color w:val="auto"/>
                <w:kern w:val="0"/>
                <w:sz w:val="21"/>
                <w:szCs w:val="21"/>
                <w:highlight w:val="none"/>
              </w:rPr>
            </w:pPr>
          </w:p>
        </w:tc>
        <w:tc>
          <w:tcPr>
            <w:tcW w:w="393" w:type="pct"/>
            <w:vAlign w:val="center"/>
          </w:tcPr>
          <w:p w14:paraId="3FD5FBF9">
            <w:pPr>
              <w:keepNext/>
              <w:keepLines/>
              <w:pageBreakBefore w:val="0"/>
              <w:widowControl w:val="0"/>
              <w:kinsoku/>
              <w:wordWrap/>
              <w:overflowPunct/>
              <w:topLinePunct w:val="0"/>
              <w:bidi w:val="0"/>
              <w:snapToGrid/>
              <w:spacing w:line="240" w:lineRule="auto"/>
              <w:jc w:val="center"/>
              <w:textAlignment w:val="auto"/>
              <w:outlineLvl w:val="9"/>
              <w:rPr>
                <w:rFonts w:ascii="宋体" w:hAnsi="宋体" w:eastAsia="宋体" w:cs="宋体"/>
                <w:color w:val="auto"/>
                <w:kern w:val="0"/>
                <w:sz w:val="21"/>
                <w:szCs w:val="21"/>
                <w:highlight w:val="none"/>
              </w:rPr>
            </w:pPr>
          </w:p>
        </w:tc>
      </w:tr>
      <w:tr w14:paraId="39E52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3A4B4AAE">
            <w:pPr>
              <w:pageBreakBefore w:val="0"/>
              <w:widowControl w:val="0"/>
              <w:kinsoku/>
              <w:wordWrap/>
              <w:overflowPunct/>
              <w:topLinePunct w:val="0"/>
              <w:bidi w:val="0"/>
              <w:snapToGrid/>
              <w:spacing w:line="240" w:lineRule="auto"/>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459" w:type="pct"/>
            <w:vAlign w:val="center"/>
          </w:tcPr>
          <w:p w14:paraId="01AC550B">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二</w:t>
            </w:r>
          </w:p>
        </w:tc>
        <w:tc>
          <w:tcPr>
            <w:tcW w:w="3092" w:type="pct"/>
            <w:vAlign w:val="center"/>
          </w:tcPr>
          <w:p w14:paraId="7C5C4AB1">
            <w:pPr>
              <w:pageBreakBefore w:val="0"/>
              <w:widowControl w:val="0"/>
              <w:kinsoku/>
              <w:wordWrap/>
              <w:overflowPunct/>
              <w:topLinePunct w:val="0"/>
              <w:bidi w:val="0"/>
              <w:adjustRightInd w:val="0"/>
              <w:snapToGrid/>
              <w:spacing w:line="240" w:lineRule="auto"/>
              <w:ind w:firstLine="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标的物</w:t>
            </w:r>
          </w:p>
        </w:tc>
        <w:tc>
          <w:tcPr>
            <w:tcW w:w="348" w:type="pct"/>
            <w:vAlign w:val="center"/>
          </w:tcPr>
          <w:p w14:paraId="7B6D1032">
            <w:pPr>
              <w:keepNext/>
              <w:keepLines/>
              <w:pageBreakBefore w:val="0"/>
              <w:widowControl w:val="0"/>
              <w:kinsoku/>
              <w:wordWrap/>
              <w:overflowPunct/>
              <w:topLinePunct w:val="0"/>
              <w:bidi w:val="0"/>
              <w:snapToGrid/>
              <w:spacing w:line="240" w:lineRule="auto"/>
              <w:jc w:val="center"/>
              <w:textAlignment w:val="auto"/>
              <w:outlineLvl w:val="9"/>
              <w:rPr>
                <w:rFonts w:ascii="宋体" w:hAnsi="宋体" w:eastAsia="宋体" w:cs="宋体"/>
                <w:color w:val="auto"/>
                <w:kern w:val="0"/>
                <w:sz w:val="21"/>
                <w:szCs w:val="21"/>
                <w:highlight w:val="none"/>
              </w:rPr>
            </w:pPr>
          </w:p>
        </w:tc>
        <w:tc>
          <w:tcPr>
            <w:tcW w:w="418" w:type="pct"/>
            <w:vAlign w:val="center"/>
          </w:tcPr>
          <w:p w14:paraId="2994CFED">
            <w:pPr>
              <w:keepNext/>
              <w:keepLines/>
              <w:pageBreakBefore w:val="0"/>
              <w:widowControl w:val="0"/>
              <w:kinsoku/>
              <w:wordWrap/>
              <w:overflowPunct/>
              <w:topLinePunct w:val="0"/>
              <w:bidi w:val="0"/>
              <w:snapToGrid/>
              <w:spacing w:line="240" w:lineRule="auto"/>
              <w:jc w:val="center"/>
              <w:textAlignment w:val="auto"/>
              <w:outlineLvl w:val="9"/>
              <w:rPr>
                <w:rFonts w:ascii="宋体" w:hAnsi="宋体" w:eastAsia="宋体" w:cs="宋体"/>
                <w:color w:val="auto"/>
                <w:kern w:val="0"/>
                <w:sz w:val="21"/>
                <w:szCs w:val="21"/>
                <w:highlight w:val="none"/>
              </w:rPr>
            </w:pPr>
          </w:p>
        </w:tc>
        <w:tc>
          <w:tcPr>
            <w:tcW w:w="393" w:type="pct"/>
            <w:vAlign w:val="center"/>
          </w:tcPr>
          <w:p w14:paraId="50268C96">
            <w:pPr>
              <w:keepNext/>
              <w:keepLines/>
              <w:pageBreakBefore w:val="0"/>
              <w:widowControl w:val="0"/>
              <w:kinsoku/>
              <w:wordWrap/>
              <w:overflowPunct/>
              <w:topLinePunct w:val="0"/>
              <w:bidi w:val="0"/>
              <w:snapToGrid/>
              <w:spacing w:line="240" w:lineRule="auto"/>
              <w:jc w:val="center"/>
              <w:textAlignment w:val="auto"/>
              <w:outlineLvl w:val="9"/>
              <w:rPr>
                <w:rFonts w:ascii="宋体" w:hAnsi="宋体" w:eastAsia="宋体" w:cs="宋体"/>
                <w:color w:val="auto"/>
                <w:kern w:val="0"/>
                <w:sz w:val="21"/>
                <w:szCs w:val="21"/>
                <w:highlight w:val="none"/>
              </w:rPr>
            </w:pPr>
          </w:p>
        </w:tc>
      </w:tr>
      <w:tr w14:paraId="1D5E6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2EFCF598">
            <w:pPr>
              <w:pageBreakBefore w:val="0"/>
              <w:widowControl w:val="0"/>
              <w:kinsoku/>
              <w:wordWrap/>
              <w:overflowPunct/>
              <w:topLinePunct w:val="0"/>
              <w:bidi w:val="0"/>
              <w:snapToGrid/>
              <w:spacing w:line="240" w:lineRule="auto"/>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459" w:type="pct"/>
            <w:vAlign w:val="center"/>
          </w:tcPr>
          <w:p w14:paraId="081E2B1C">
            <w:pPr>
              <w:pageBreakBefore w:val="0"/>
              <w:widowControl w:val="0"/>
              <w:kinsoku/>
              <w:wordWrap/>
              <w:overflowPunct/>
              <w:topLinePunct w:val="0"/>
              <w:bidi w:val="0"/>
              <w:snapToGrid/>
              <w:spacing w:line="240" w:lineRule="auto"/>
              <w:jc w:val="center"/>
              <w:textAlignment w:val="auto"/>
              <w:rPr>
                <w:rFonts w:hint="eastAsia" w:ascii="宋体" w:hAnsi="宋体" w:eastAsia="宋体"/>
                <w:b/>
                <w:color w:val="auto"/>
                <w:sz w:val="21"/>
                <w:szCs w:val="21"/>
                <w:highlight w:val="none"/>
                <w:lang w:val="en-US" w:eastAsia="zh-CN"/>
              </w:rPr>
            </w:pPr>
            <w:r>
              <w:rPr>
                <w:rFonts w:hint="eastAsia" w:ascii="宋体" w:hAnsi="宋体" w:eastAsia="宋体"/>
                <w:b/>
                <w:color w:val="auto"/>
                <w:sz w:val="21"/>
                <w:szCs w:val="21"/>
                <w:highlight w:val="none"/>
                <w:lang w:val="en-US" w:eastAsia="zh-CN"/>
              </w:rPr>
              <w:t>三</w:t>
            </w:r>
          </w:p>
        </w:tc>
        <w:tc>
          <w:tcPr>
            <w:tcW w:w="3092" w:type="pct"/>
            <w:vAlign w:val="center"/>
          </w:tcPr>
          <w:p w14:paraId="271F5F5F">
            <w:pPr>
              <w:pageBreakBefore w:val="0"/>
              <w:widowControl w:val="0"/>
              <w:kinsoku/>
              <w:wordWrap/>
              <w:overflowPunct/>
              <w:topLinePunct w:val="0"/>
              <w:bidi w:val="0"/>
              <w:snapToGrid/>
              <w:spacing w:line="240" w:lineRule="auto"/>
              <w:ind w:firstLine="0" w:firstLineChars="0"/>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交货要求</w:t>
            </w:r>
          </w:p>
        </w:tc>
        <w:tc>
          <w:tcPr>
            <w:tcW w:w="348" w:type="pct"/>
            <w:vAlign w:val="center"/>
          </w:tcPr>
          <w:p w14:paraId="472322C0">
            <w:pPr>
              <w:keepNext/>
              <w:keepLines/>
              <w:pageBreakBefore w:val="0"/>
              <w:widowControl w:val="0"/>
              <w:kinsoku/>
              <w:wordWrap/>
              <w:overflowPunct/>
              <w:topLinePunct w:val="0"/>
              <w:bidi w:val="0"/>
              <w:snapToGrid/>
              <w:spacing w:line="240" w:lineRule="auto"/>
              <w:jc w:val="center"/>
              <w:textAlignment w:val="auto"/>
              <w:outlineLvl w:val="9"/>
              <w:rPr>
                <w:rFonts w:ascii="宋体" w:hAnsi="宋体" w:eastAsia="宋体" w:cs="宋体"/>
                <w:color w:val="auto"/>
                <w:kern w:val="0"/>
                <w:sz w:val="21"/>
                <w:szCs w:val="21"/>
                <w:highlight w:val="none"/>
              </w:rPr>
            </w:pPr>
          </w:p>
        </w:tc>
        <w:tc>
          <w:tcPr>
            <w:tcW w:w="418" w:type="pct"/>
            <w:vAlign w:val="center"/>
          </w:tcPr>
          <w:p w14:paraId="65624BE1">
            <w:pPr>
              <w:keepNext/>
              <w:keepLines/>
              <w:pageBreakBefore w:val="0"/>
              <w:widowControl w:val="0"/>
              <w:kinsoku/>
              <w:wordWrap/>
              <w:overflowPunct/>
              <w:topLinePunct w:val="0"/>
              <w:bidi w:val="0"/>
              <w:snapToGrid/>
              <w:spacing w:line="240" w:lineRule="auto"/>
              <w:jc w:val="center"/>
              <w:textAlignment w:val="auto"/>
              <w:outlineLvl w:val="9"/>
              <w:rPr>
                <w:rFonts w:ascii="宋体" w:hAnsi="宋体" w:eastAsia="宋体" w:cs="宋体"/>
                <w:color w:val="auto"/>
                <w:kern w:val="0"/>
                <w:sz w:val="21"/>
                <w:szCs w:val="21"/>
                <w:highlight w:val="none"/>
              </w:rPr>
            </w:pPr>
          </w:p>
        </w:tc>
        <w:tc>
          <w:tcPr>
            <w:tcW w:w="393" w:type="pct"/>
            <w:vAlign w:val="center"/>
          </w:tcPr>
          <w:p w14:paraId="0A80064C">
            <w:pPr>
              <w:keepNext/>
              <w:keepLines/>
              <w:pageBreakBefore w:val="0"/>
              <w:widowControl w:val="0"/>
              <w:kinsoku/>
              <w:wordWrap/>
              <w:overflowPunct/>
              <w:topLinePunct w:val="0"/>
              <w:bidi w:val="0"/>
              <w:snapToGrid/>
              <w:spacing w:line="240" w:lineRule="auto"/>
              <w:jc w:val="center"/>
              <w:textAlignment w:val="auto"/>
              <w:outlineLvl w:val="9"/>
              <w:rPr>
                <w:rFonts w:ascii="宋体" w:hAnsi="宋体" w:eastAsia="宋体" w:cs="宋体"/>
                <w:color w:val="auto"/>
                <w:kern w:val="0"/>
                <w:sz w:val="21"/>
                <w:szCs w:val="21"/>
                <w:highlight w:val="none"/>
              </w:rPr>
            </w:pPr>
          </w:p>
        </w:tc>
      </w:tr>
      <w:tr w14:paraId="0DDF4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2136B2A6">
            <w:pPr>
              <w:pageBreakBefore w:val="0"/>
              <w:widowControl w:val="0"/>
              <w:kinsoku/>
              <w:wordWrap/>
              <w:overflowPunct/>
              <w:topLinePunct w:val="0"/>
              <w:bidi w:val="0"/>
              <w:snapToGrid/>
              <w:spacing w:line="240" w:lineRule="auto"/>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459" w:type="pct"/>
            <w:vAlign w:val="center"/>
          </w:tcPr>
          <w:p w14:paraId="5AC44B7E">
            <w:pPr>
              <w:pageBreakBefore w:val="0"/>
              <w:widowControl w:val="0"/>
              <w:kinsoku/>
              <w:wordWrap/>
              <w:overflowPunct/>
              <w:topLinePunct w:val="0"/>
              <w:bidi w:val="0"/>
              <w:snapToGrid/>
              <w:spacing w:line="240" w:lineRule="auto"/>
              <w:jc w:val="center"/>
              <w:textAlignment w:val="auto"/>
              <w:rPr>
                <w:rFonts w:hint="eastAsia" w:ascii="宋体" w:hAnsi="宋体" w:eastAsia="宋体"/>
                <w:b/>
                <w:color w:val="auto"/>
                <w:sz w:val="21"/>
                <w:szCs w:val="21"/>
                <w:highlight w:val="none"/>
                <w:lang w:val="en-US" w:eastAsia="zh-CN"/>
              </w:rPr>
            </w:pPr>
            <w:r>
              <w:rPr>
                <w:rFonts w:hint="eastAsia" w:ascii="宋体" w:hAnsi="宋体" w:eastAsia="宋体"/>
                <w:b w:val="0"/>
                <w:bCs/>
                <w:color w:val="auto"/>
                <w:sz w:val="21"/>
                <w:szCs w:val="21"/>
                <w:highlight w:val="none"/>
                <w:lang w:val="en-US" w:eastAsia="zh-CN"/>
              </w:rPr>
              <w:t>四</w:t>
            </w:r>
          </w:p>
        </w:tc>
        <w:tc>
          <w:tcPr>
            <w:tcW w:w="3092" w:type="pct"/>
            <w:vAlign w:val="center"/>
          </w:tcPr>
          <w:p w14:paraId="4D49A425">
            <w:pPr>
              <w:pageBreakBefore w:val="0"/>
              <w:widowControl w:val="0"/>
              <w:kinsoku/>
              <w:wordWrap/>
              <w:overflowPunct/>
              <w:topLinePunct w:val="0"/>
              <w:bidi w:val="0"/>
              <w:snapToGrid/>
              <w:spacing w:line="240" w:lineRule="auto"/>
              <w:ind w:firstLine="0" w:firstLineChars="0"/>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验收要求</w:t>
            </w:r>
          </w:p>
        </w:tc>
        <w:tc>
          <w:tcPr>
            <w:tcW w:w="348" w:type="pct"/>
            <w:vAlign w:val="center"/>
          </w:tcPr>
          <w:p w14:paraId="7E51D698">
            <w:pPr>
              <w:keepNext/>
              <w:keepLines/>
              <w:pageBreakBefore w:val="0"/>
              <w:widowControl w:val="0"/>
              <w:kinsoku/>
              <w:wordWrap/>
              <w:overflowPunct/>
              <w:topLinePunct w:val="0"/>
              <w:bidi w:val="0"/>
              <w:snapToGrid/>
              <w:spacing w:line="240" w:lineRule="auto"/>
              <w:jc w:val="center"/>
              <w:textAlignment w:val="auto"/>
              <w:outlineLvl w:val="9"/>
              <w:rPr>
                <w:rFonts w:ascii="宋体" w:hAnsi="宋体" w:eastAsia="宋体" w:cs="宋体"/>
                <w:color w:val="auto"/>
                <w:kern w:val="0"/>
                <w:sz w:val="21"/>
                <w:szCs w:val="21"/>
                <w:highlight w:val="none"/>
              </w:rPr>
            </w:pPr>
          </w:p>
        </w:tc>
        <w:tc>
          <w:tcPr>
            <w:tcW w:w="418" w:type="pct"/>
            <w:vAlign w:val="center"/>
          </w:tcPr>
          <w:p w14:paraId="47F33673">
            <w:pPr>
              <w:keepNext/>
              <w:keepLines/>
              <w:pageBreakBefore w:val="0"/>
              <w:widowControl w:val="0"/>
              <w:kinsoku/>
              <w:wordWrap/>
              <w:overflowPunct/>
              <w:topLinePunct w:val="0"/>
              <w:bidi w:val="0"/>
              <w:snapToGrid/>
              <w:spacing w:line="240" w:lineRule="auto"/>
              <w:jc w:val="center"/>
              <w:textAlignment w:val="auto"/>
              <w:outlineLvl w:val="9"/>
              <w:rPr>
                <w:rFonts w:ascii="宋体" w:hAnsi="宋体" w:eastAsia="宋体" w:cs="宋体"/>
                <w:color w:val="auto"/>
                <w:kern w:val="0"/>
                <w:sz w:val="21"/>
                <w:szCs w:val="21"/>
                <w:highlight w:val="none"/>
              </w:rPr>
            </w:pPr>
          </w:p>
        </w:tc>
        <w:tc>
          <w:tcPr>
            <w:tcW w:w="393" w:type="pct"/>
            <w:vAlign w:val="center"/>
          </w:tcPr>
          <w:p w14:paraId="3D6C72B2">
            <w:pPr>
              <w:keepNext/>
              <w:keepLines/>
              <w:pageBreakBefore w:val="0"/>
              <w:widowControl w:val="0"/>
              <w:kinsoku/>
              <w:wordWrap/>
              <w:overflowPunct/>
              <w:topLinePunct w:val="0"/>
              <w:bidi w:val="0"/>
              <w:snapToGrid/>
              <w:spacing w:line="240" w:lineRule="auto"/>
              <w:jc w:val="center"/>
              <w:textAlignment w:val="auto"/>
              <w:outlineLvl w:val="9"/>
              <w:rPr>
                <w:rFonts w:ascii="宋体" w:hAnsi="宋体" w:eastAsia="宋体" w:cs="宋体"/>
                <w:color w:val="auto"/>
                <w:kern w:val="0"/>
                <w:sz w:val="21"/>
                <w:szCs w:val="21"/>
                <w:highlight w:val="none"/>
              </w:rPr>
            </w:pPr>
          </w:p>
        </w:tc>
      </w:tr>
      <w:tr w14:paraId="2F21C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1640F974">
            <w:pPr>
              <w:pageBreakBefore w:val="0"/>
              <w:widowControl w:val="0"/>
              <w:kinsoku/>
              <w:wordWrap/>
              <w:overflowPunct/>
              <w:topLinePunct w:val="0"/>
              <w:bidi w:val="0"/>
              <w:snapToGrid/>
              <w:spacing w:line="240" w:lineRule="auto"/>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459" w:type="pct"/>
            <w:vAlign w:val="center"/>
          </w:tcPr>
          <w:p w14:paraId="6D82EAE5">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五</w:t>
            </w:r>
          </w:p>
        </w:tc>
        <w:tc>
          <w:tcPr>
            <w:tcW w:w="3092" w:type="pct"/>
            <w:vAlign w:val="center"/>
          </w:tcPr>
          <w:p w14:paraId="01CD9318">
            <w:pPr>
              <w:pageBreakBefore w:val="0"/>
              <w:widowControl w:val="0"/>
              <w:kinsoku/>
              <w:wordWrap/>
              <w:overflowPunct/>
              <w:topLinePunct w:val="0"/>
              <w:bidi w:val="0"/>
              <w:snapToGrid/>
              <w:spacing w:line="240" w:lineRule="auto"/>
              <w:ind w:firstLine="0" w:firstLineChars="0"/>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资料要求</w:t>
            </w:r>
          </w:p>
        </w:tc>
        <w:tc>
          <w:tcPr>
            <w:tcW w:w="348" w:type="pct"/>
            <w:vAlign w:val="center"/>
          </w:tcPr>
          <w:p w14:paraId="39DDF369">
            <w:pPr>
              <w:keepNext/>
              <w:keepLines/>
              <w:pageBreakBefore w:val="0"/>
              <w:widowControl w:val="0"/>
              <w:kinsoku/>
              <w:wordWrap/>
              <w:overflowPunct/>
              <w:topLinePunct w:val="0"/>
              <w:bidi w:val="0"/>
              <w:snapToGrid/>
              <w:spacing w:line="240" w:lineRule="auto"/>
              <w:jc w:val="center"/>
              <w:textAlignment w:val="auto"/>
              <w:outlineLvl w:val="9"/>
              <w:rPr>
                <w:rFonts w:ascii="宋体" w:hAnsi="宋体" w:eastAsia="宋体" w:cs="宋体"/>
                <w:color w:val="auto"/>
                <w:kern w:val="0"/>
                <w:sz w:val="21"/>
                <w:szCs w:val="21"/>
                <w:highlight w:val="none"/>
              </w:rPr>
            </w:pPr>
          </w:p>
        </w:tc>
        <w:tc>
          <w:tcPr>
            <w:tcW w:w="418" w:type="pct"/>
            <w:vAlign w:val="center"/>
          </w:tcPr>
          <w:p w14:paraId="608E9674">
            <w:pPr>
              <w:keepNext/>
              <w:keepLines/>
              <w:pageBreakBefore w:val="0"/>
              <w:widowControl w:val="0"/>
              <w:kinsoku/>
              <w:wordWrap/>
              <w:overflowPunct/>
              <w:topLinePunct w:val="0"/>
              <w:bidi w:val="0"/>
              <w:snapToGrid/>
              <w:spacing w:line="240" w:lineRule="auto"/>
              <w:jc w:val="center"/>
              <w:textAlignment w:val="auto"/>
              <w:outlineLvl w:val="9"/>
              <w:rPr>
                <w:rFonts w:ascii="宋体" w:hAnsi="宋体" w:eastAsia="宋体" w:cs="宋体"/>
                <w:color w:val="auto"/>
                <w:kern w:val="0"/>
                <w:sz w:val="21"/>
                <w:szCs w:val="21"/>
                <w:highlight w:val="none"/>
              </w:rPr>
            </w:pPr>
          </w:p>
        </w:tc>
        <w:tc>
          <w:tcPr>
            <w:tcW w:w="393" w:type="pct"/>
            <w:vAlign w:val="center"/>
          </w:tcPr>
          <w:p w14:paraId="39438633">
            <w:pPr>
              <w:keepNext/>
              <w:keepLines/>
              <w:pageBreakBefore w:val="0"/>
              <w:widowControl w:val="0"/>
              <w:kinsoku/>
              <w:wordWrap/>
              <w:overflowPunct/>
              <w:topLinePunct w:val="0"/>
              <w:bidi w:val="0"/>
              <w:snapToGrid/>
              <w:spacing w:line="240" w:lineRule="auto"/>
              <w:jc w:val="center"/>
              <w:textAlignment w:val="auto"/>
              <w:outlineLvl w:val="9"/>
              <w:rPr>
                <w:rFonts w:ascii="宋体" w:hAnsi="宋体" w:eastAsia="宋体" w:cs="宋体"/>
                <w:color w:val="auto"/>
                <w:kern w:val="0"/>
                <w:sz w:val="21"/>
                <w:szCs w:val="21"/>
                <w:highlight w:val="none"/>
              </w:rPr>
            </w:pPr>
          </w:p>
        </w:tc>
      </w:tr>
      <w:tr w14:paraId="730DE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567F0269">
            <w:pPr>
              <w:pageBreakBefore w:val="0"/>
              <w:widowControl w:val="0"/>
              <w:kinsoku/>
              <w:wordWrap/>
              <w:overflowPunct/>
              <w:topLinePunct w:val="0"/>
              <w:bidi w:val="0"/>
              <w:snapToGrid/>
              <w:spacing w:line="240" w:lineRule="auto"/>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459" w:type="pct"/>
            <w:vAlign w:val="center"/>
          </w:tcPr>
          <w:p w14:paraId="3A472976">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六</w:t>
            </w:r>
          </w:p>
        </w:tc>
        <w:tc>
          <w:tcPr>
            <w:tcW w:w="3092" w:type="pct"/>
            <w:vAlign w:val="center"/>
          </w:tcPr>
          <w:p w14:paraId="64E3FDA3">
            <w:pPr>
              <w:pageBreakBefore w:val="0"/>
              <w:widowControl w:val="0"/>
              <w:kinsoku/>
              <w:wordWrap/>
              <w:overflowPunct/>
              <w:topLinePunct w:val="0"/>
              <w:bidi w:val="0"/>
              <w:snapToGrid/>
              <w:spacing w:line="240" w:lineRule="auto"/>
              <w:ind w:firstLine="0" w:firstLineChars="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质量保证及售后要求</w:t>
            </w:r>
          </w:p>
        </w:tc>
        <w:tc>
          <w:tcPr>
            <w:tcW w:w="348" w:type="pct"/>
            <w:vAlign w:val="center"/>
          </w:tcPr>
          <w:p w14:paraId="493BD6EE">
            <w:pPr>
              <w:keepNext/>
              <w:keepLines/>
              <w:pageBreakBefore w:val="0"/>
              <w:widowControl w:val="0"/>
              <w:kinsoku/>
              <w:wordWrap/>
              <w:overflowPunct/>
              <w:topLinePunct w:val="0"/>
              <w:bidi w:val="0"/>
              <w:snapToGrid/>
              <w:spacing w:line="240" w:lineRule="auto"/>
              <w:jc w:val="center"/>
              <w:textAlignment w:val="auto"/>
              <w:outlineLvl w:val="9"/>
              <w:rPr>
                <w:rFonts w:ascii="宋体" w:hAnsi="宋体" w:eastAsia="宋体" w:cs="宋体"/>
                <w:color w:val="auto"/>
                <w:kern w:val="0"/>
                <w:sz w:val="21"/>
                <w:szCs w:val="21"/>
                <w:highlight w:val="none"/>
              </w:rPr>
            </w:pPr>
          </w:p>
        </w:tc>
        <w:tc>
          <w:tcPr>
            <w:tcW w:w="418" w:type="pct"/>
            <w:vAlign w:val="center"/>
          </w:tcPr>
          <w:p w14:paraId="2507ACB5">
            <w:pPr>
              <w:keepNext/>
              <w:keepLines/>
              <w:pageBreakBefore w:val="0"/>
              <w:widowControl w:val="0"/>
              <w:kinsoku/>
              <w:wordWrap/>
              <w:overflowPunct/>
              <w:topLinePunct w:val="0"/>
              <w:bidi w:val="0"/>
              <w:snapToGrid/>
              <w:spacing w:line="240" w:lineRule="auto"/>
              <w:jc w:val="center"/>
              <w:textAlignment w:val="auto"/>
              <w:outlineLvl w:val="9"/>
              <w:rPr>
                <w:rFonts w:ascii="宋体" w:hAnsi="宋体" w:eastAsia="宋体" w:cs="宋体"/>
                <w:color w:val="auto"/>
                <w:kern w:val="0"/>
                <w:sz w:val="21"/>
                <w:szCs w:val="21"/>
                <w:highlight w:val="none"/>
              </w:rPr>
            </w:pPr>
          </w:p>
        </w:tc>
        <w:tc>
          <w:tcPr>
            <w:tcW w:w="393" w:type="pct"/>
            <w:vAlign w:val="center"/>
          </w:tcPr>
          <w:p w14:paraId="1A9A2E7B">
            <w:pPr>
              <w:keepNext/>
              <w:keepLines/>
              <w:pageBreakBefore w:val="0"/>
              <w:widowControl w:val="0"/>
              <w:kinsoku/>
              <w:wordWrap/>
              <w:overflowPunct/>
              <w:topLinePunct w:val="0"/>
              <w:bidi w:val="0"/>
              <w:snapToGrid/>
              <w:spacing w:line="240" w:lineRule="auto"/>
              <w:jc w:val="center"/>
              <w:textAlignment w:val="auto"/>
              <w:outlineLvl w:val="9"/>
              <w:rPr>
                <w:rFonts w:ascii="宋体" w:hAnsi="宋体" w:eastAsia="宋体" w:cs="宋体"/>
                <w:color w:val="auto"/>
                <w:kern w:val="0"/>
                <w:sz w:val="21"/>
                <w:szCs w:val="21"/>
                <w:highlight w:val="none"/>
              </w:rPr>
            </w:pPr>
          </w:p>
        </w:tc>
      </w:tr>
      <w:tr w14:paraId="26867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1828E055">
            <w:pPr>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w:t>
            </w:r>
          </w:p>
        </w:tc>
        <w:tc>
          <w:tcPr>
            <w:tcW w:w="459" w:type="pct"/>
            <w:vAlign w:val="center"/>
          </w:tcPr>
          <w:p w14:paraId="3A9734AC">
            <w:pPr>
              <w:pageBreakBefore w:val="0"/>
              <w:widowControl w:val="0"/>
              <w:kinsoku/>
              <w:wordWrap/>
              <w:overflowPunct/>
              <w:topLinePunct w:val="0"/>
              <w:bidi w:val="0"/>
              <w:snapToGrid/>
              <w:spacing w:line="240" w:lineRule="auto"/>
              <w:jc w:val="center"/>
              <w:textAlignment w:val="auto"/>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七</w:t>
            </w:r>
          </w:p>
        </w:tc>
        <w:tc>
          <w:tcPr>
            <w:tcW w:w="3092" w:type="pct"/>
            <w:vAlign w:val="center"/>
          </w:tcPr>
          <w:p w14:paraId="2E0B14BF">
            <w:pPr>
              <w:pageBreakBefore w:val="0"/>
              <w:widowControl w:val="0"/>
              <w:kinsoku/>
              <w:wordWrap/>
              <w:overflowPunct/>
              <w:topLinePunct w:val="0"/>
              <w:bidi w:val="0"/>
              <w:snapToGrid/>
              <w:spacing w:line="240" w:lineRule="auto"/>
              <w:ind w:firstLine="0" w:firstLineChars="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货物的结算</w:t>
            </w:r>
          </w:p>
        </w:tc>
        <w:tc>
          <w:tcPr>
            <w:tcW w:w="348" w:type="pct"/>
            <w:vAlign w:val="center"/>
          </w:tcPr>
          <w:p w14:paraId="7F94F77D">
            <w:pPr>
              <w:keepNext/>
              <w:keepLines/>
              <w:pageBreakBefore w:val="0"/>
              <w:widowControl w:val="0"/>
              <w:kinsoku/>
              <w:wordWrap/>
              <w:overflowPunct/>
              <w:topLinePunct w:val="0"/>
              <w:bidi w:val="0"/>
              <w:snapToGrid/>
              <w:spacing w:line="240" w:lineRule="auto"/>
              <w:jc w:val="center"/>
              <w:textAlignment w:val="auto"/>
              <w:outlineLvl w:val="9"/>
              <w:rPr>
                <w:rFonts w:ascii="宋体" w:hAnsi="宋体" w:eastAsia="宋体" w:cs="宋体"/>
                <w:color w:val="auto"/>
                <w:kern w:val="0"/>
                <w:sz w:val="21"/>
                <w:szCs w:val="21"/>
                <w:highlight w:val="none"/>
              </w:rPr>
            </w:pPr>
          </w:p>
        </w:tc>
        <w:tc>
          <w:tcPr>
            <w:tcW w:w="418" w:type="pct"/>
            <w:vAlign w:val="center"/>
          </w:tcPr>
          <w:p w14:paraId="2E08A4CB">
            <w:pPr>
              <w:keepNext/>
              <w:keepLines/>
              <w:pageBreakBefore w:val="0"/>
              <w:widowControl w:val="0"/>
              <w:kinsoku/>
              <w:wordWrap/>
              <w:overflowPunct/>
              <w:topLinePunct w:val="0"/>
              <w:bidi w:val="0"/>
              <w:snapToGrid/>
              <w:spacing w:line="240" w:lineRule="auto"/>
              <w:jc w:val="center"/>
              <w:textAlignment w:val="auto"/>
              <w:outlineLvl w:val="9"/>
              <w:rPr>
                <w:rFonts w:ascii="宋体" w:hAnsi="宋体" w:eastAsia="宋体" w:cs="宋体"/>
                <w:color w:val="auto"/>
                <w:kern w:val="0"/>
                <w:sz w:val="21"/>
                <w:szCs w:val="21"/>
                <w:highlight w:val="none"/>
              </w:rPr>
            </w:pPr>
          </w:p>
        </w:tc>
        <w:tc>
          <w:tcPr>
            <w:tcW w:w="393" w:type="pct"/>
            <w:vAlign w:val="center"/>
          </w:tcPr>
          <w:p w14:paraId="35484078">
            <w:pPr>
              <w:keepNext/>
              <w:keepLines/>
              <w:pageBreakBefore w:val="0"/>
              <w:widowControl w:val="0"/>
              <w:kinsoku/>
              <w:wordWrap/>
              <w:overflowPunct/>
              <w:topLinePunct w:val="0"/>
              <w:bidi w:val="0"/>
              <w:snapToGrid/>
              <w:spacing w:line="240" w:lineRule="auto"/>
              <w:jc w:val="center"/>
              <w:textAlignment w:val="auto"/>
              <w:outlineLvl w:val="9"/>
              <w:rPr>
                <w:rFonts w:ascii="宋体" w:hAnsi="宋体" w:eastAsia="宋体" w:cs="宋体"/>
                <w:color w:val="auto"/>
                <w:kern w:val="0"/>
                <w:sz w:val="21"/>
                <w:szCs w:val="21"/>
                <w:highlight w:val="none"/>
              </w:rPr>
            </w:pPr>
          </w:p>
        </w:tc>
      </w:tr>
      <w:tr w14:paraId="3584A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2F107653">
            <w:pPr>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p>
        </w:tc>
        <w:tc>
          <w:tcPr>
            <w:tcW w:w="459" w:type="pct"/>
            <w:vAlign w:val="center"/>
          </w:tcPr>
          <w:p w14:paraId="5AECD52F">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八</w:t>
            </w:r>
          </w:p>
        </w:tc>
        <w:tc>
          <w:tcPr>
            <w:tcW w:w="3092" w:type="pct"/>
            <w:vAlign w:val="center"/>
          </w:tcPr>
          <w:p w14:paraId="23111CA4">
            <w:pPr>
              <w:pageBreakBefore w:val="0"/>
              <w:widowControl w:val="0"/>
              <w:kinsoku/>
              <w:wordWrap/>
              <w:overflowPunct/>
              <w:topLinePunct w:val="0"/>
              <w:bidi w:val="0"/>
              <w:snapToGrid/>
              <w:spacing w:line="240" w:lineRule="auto"/>
              <w:ind w:firstLine="0" w:firstLineChars="0"/>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其他要求</w:t>
            </w:r>
          </w:p>
        </w:tc>
        <w:tc>
          <w:tcPr>
            <w:tcW w:w="348" w:type="pct"/>
            <w:vAlign w:val="center"/>
          </w:tcPr>
          <w:p w14:paraId="73B01FCA">
            <w:pPr>
              <w:keepNext/>
              <w:keepLines/>
              <w:pageBreakBefore w:val="0"/>
              <w:widowControl w:val="0"/>
              <w:kinsoku/>
              <w:wordWrap/>
              <w:overflowPunct/>
              <w:topLinePunct w:val="0"/>
              <w:bidi w:val="0"/>
              <w:snapToGrid/>
              <w:spacing w:line="240" w:lineRule="auto"/>
              <w:jc w:val="center"/>
              <w:textAlignment w:val="auto"/>
              <w:outlineLvl w:val="9"/>
              <w:rPr>
                <w:rFonts w:ascii="宋体" w:hAnsi="宋体" w:eastAsia="宋体" w:cs="宋体"/>
                <w:color w:val="auto"/>
                <w:kern w:val="0"/>
                <w:sz w:val="21"/>
                <w:szCs w:val="21"/>
                <w:highlight w:val="none"/>
              </w:rPr>
            </w:pPr>
          </w:p>
        </w:tc>
        <w:tc>
          <w:tcPr>
            <w:tcW w:w="418" w:type="pct"/>
            <w:vAlign w:val="center"/>
          </w:tcPr>
          <w:p w14:paraId="0BC4EC50">
            <w:pPr>
              <w:keepNext/>
              <w:keepLines/>
              <w:pageBreakBefore w:val="0"/>
              <w:widowControl w:val="0"/>
              <w:kinsoku/>
              <w:wordWrap/>
              <w:overflowPunct/>
              <w:topLinePunct w:val="0"/>
              <w:bidi w:val="0"/>
              <w:snapToGrid/>
              <w:spacing w:line="240" w:lineRule="auto"/>
              <w:jc w:val="center"/>
              <w:textAlignment w:val="auto"/>
              <w:outlineLvl w:val="9"/>
              <w:rPr>
                <w:rFonts w:ascii="宋体" w:hAnsi="宋体" w:eastAsia="宋体" w:cs="宋体"/>
                <w:color w:val="auto"/>
                <w:kern w:val="0"/>
                <w:sz w:val="21"/>
                <w:szCs w:val="21"/>
                <w:highlight w:val="none"/>
              </w:rPr>
            </w:pPr>
          </w:p>
        </w:tc>
        <w:tc>
          <w:tcPr>
            <w:tcW w:w="393" w:type="pct"/>
            <w:vAlign w:val="center"/>
          </w:tcPr>
          <w:p w14:paraId="06386319">
            <w:pPr>
              <w:keepNext/>
              <w:keepLines/>
              <w:pageBreakBefore w:val="0"/>
              <w:widowControl w:val="0"/>
              <w:kinsoku/>
              <w:wordWrap/>
              <w:overflowPunct/>
              <w:topLinePunct w:val="0"/>
              <w:bidi w:val="0"/>
              <w:snapToGrid/>
              <w:spacing w:line="240" w:lineRule="auto"/>
              <w:jc w:val="center"/>
              <w:textAlignment w:val="auto"/>
              <w:outlineLvl w:val="9"/>
              <w:rPr>
                <w:rFonts w:ascii="宋体" w:hAnsi="宋体" w:eastAsia="宋体" w:cs="宋体"/>
                <w:color w:val="auto"/>
                <w:kern w:val="0"/>
                <w:sz w:val="21"/>
                <w:szCs w:val="21"/>
                <w:highlight w:val="none"/>
              </w:rPr>
            </w:pPr>
          </w:p>
        </w:tc>
      </w:tr>
      <w:tr w14:paraId="79D9D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53E17E5A">
            <w:pPr>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459" w:type="pct"/>
            <w:vAlign w:val="center"/>
          </w:tcPr>
          <w:p w14:paraId="42A755CF">
            <w:pPr>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附件</w:t>
            </w:r>
          </w:p>
        </w:tc>
        <w:tc>
          <w:tcPr>
            <w:tcW w:w="3092" w:type="pct"/>
            <w:vAlign w:val="center"/>
          </w:tcPr>
          <w:p w14:paraId="438C4687">
            <w:pPr>
              <w:pageBreakBefore w:val="0"/>
              <w:widowControl w:val="0"/>
              <w:kinsoku/>
              <w:wordWrap/>
              <w:overflowPunct/>
              <w:topLinePunct w:val="0"/>
              <w:bidi w:val="0"/>
              <w:snapToGrid/>
              <w:spacing w:line="240" w:lineRule="auto"/>
              <w:ind w:firstLine="0" w:firstLineChars="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招标人运营项目相关信息</w:t>
            </w:r>
          </w:p>
        </w:tc>
        <w:tc>
          <w:tcPr>
            <w:tcW w:w="348" w:type="pct"/>
            <w:vAlign w:val="center"/>
          </w:tcPr>
          <w:p w14:paraId="02639542">
            <w:pPr>
              <w:keepNext/>
              <w:keepLines/>
              <w:pageBreakBefore w:val="0"/>
              <w:widowControl w:val="0"/>
              <w:kinsoku/>
              <w:wordWrap/>
              <w:overflowPunct/>
              <w:topLinePunct w:val="0"/>
              <w:bidi w:val="0"/>
              <w:snapToGrid/>
              <w:spacing w:line="240" w:lineRule="auto"/>
              <w:jc w:val="center"/>
              <w:textAlignment w:val="auto"/>
              <w:outlineLvl w:val="9"/>
              <w:rPr>
                <w:rFonts w:ascii="宋体" w:hAnsi="宋体" w:eastAsia="宋体" w:cs="宋体"/>
                <w:color w:val="auto"/>
                <w:kern w:val="0"/>
                <w:sz w:val="21"/>
                <w:szCs w:val="21"/>
                <w:highlight w:val="none"/>
              </w:rPr>
            </w:pPr>
          </w:p>
        </w:tc>
        <w:tc>
          <w:tcPr>
            <w:tcW w:w="418" w:type="pct"/>
            <w:vAlign w:val="center"/>
          </w:tcPr>
          <w:p w14:paraId="021004DE">
            <w:pPr>
              <w:keepNext/>
              <w:keepLines/>
              <w:pageBreakBefore w:val="0"/>
              <w:widowControl w:val="0"/>
              <w:kinsoku/>
              <w:wordWrap/>
              <w:overflowPunct/>
              <w:topLinePunct w:val="0"/>
              <w:bidi w:val="0"/>
              <w:snapToGrid/>
              <w:spacing w:line="240" w:lineRule="auto"/>
              <w:jc w:val="center"/>
              <w:textAlignment w:val="auto"/>
              <w:outlineLvl w:val="9"/>
              <w:rPr>
                <w:rFonts w:ascii="宋体" w:hAnsi="宋体" w:eastAsia="宋体" w:cs="宋体"/>
                <w:color w:val="auto"/>
                <w:kern w:val="0"/>
                <w:sz w:val="21"/>
                <w:szCs w:val="21"/>
                <w:highlight w:val="none"/>
              </w:rPr>
            </w:pPr>
          </w:p>
        </w:tc>
        <w:tc>
          <w:tcPr>
            <w:tcW w:w="393" w:type="pct"/>
            <w:vAlign w:val="center"/>
          </w:tcPr>
          <w:p w14:paraId="3B74CE1E">
            <w:pPr>
              <w:keepNext/>
              <w:keepLines/>
              <w:pageBreakBefore w:val="0"/>
              <w:widowControl w:val="0"/>
              <w:kinsoku/>
              <w:wordWrap/>
              <w:overflowPunct/>
              <w:topLinePunct w:val="0"/>
              <w:bidi w:val="0"/>
              <w:snapToGrid/>
              <w:spacing w:line="240" w:lineRule="auto"/>
              <w:jc w:val="center"/>
              <w:textAlignment w:val="auto"/>
              <w:outlineLvl w:val="9"/>
              <w:rPr>
                <w:rFonts w:ascii="宋体" w:hAnsi="宋体" w:eastAsia="宋体" w:cs="宋体"/>
                <w:color w:val="auto"/>
                <w:kern w:val="0"/>
                <w:sz w:val="21"/>
                <w:szCs w:val="21"/>
                <w:highlight w:val="none"/>
              </w:rPr>
            </w:pPr>
          </w:p>
        </w:tc>
      </w:tr>
      <w:tr w14:paraId="173E7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6"/>
            <w:vAlign w:val="center"/>
          </w:tcPr>
          <w:p w14:paraId="604D11AA">
            <w:pPr>
              <w:keepNext/>
              <w:keepLines/>
              <w:pageBreakBefore w:val="0"/>
              <w:widowControl w:val="0"/>
              <w:kinsoku/>
              <w:wordWrap/>
              <w:overflowPunct/>
              <w:topLinePunct w:val="0"/>
              <w:bidi w:val="0"/>
              <w:snapToGrid/>
              <w:spacing w:line="240" w:lineRule="auto"/>
              <w:jc w:val="both"/>
              <w:textAlignment w:val="auto"/>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用户需求书“★”条款汇总：</w:t>
            </w:r>
          </w:p>
        </w:tc>
      </w:tr>
      <w:tr w14:paraId="63646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2003F341">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459" w:type="pct"/>
            <w:vAlign w:val="center"/>
          </w:tcPr>
          <w:p w14:paraId="6AA86B7F">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二</w:t>
            </w:r>
          </w:p>
        </w:tc>
        <w:tc>
          <w:tcPr>
            <w:tcW w:w="3092" w:type="pct"/>
            <w:vAlign w:val="center"/>
          </w:tcPr>
          <w:p w14:paraId="6BAFBD31">
            <w:pPr>
              <w:pageBreakBefore w:val="0"/>
              <w:widowControl w:val="0"/>
              <w:kinsoku/>
              <w:wordWrap/>
              <w:overflowPunct/>
              <w:topLinePunct w:val="0"/>
              <w:bidi w:val="0"/>
              <w:snapToGrid/>
              <w:spacing w:line="360" w:lineRule="auto"/>
              <w:ind w:firstLine="0" w:firstLineChars="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3、本次采购涉及招标人运营项目及采购数量为暂定，仅为便于计算暂定总合同价使用，不作为招标人最终采购数量的保证，招标人保留根据运营项目及新增运营项目实际情况，对采购数量进行灵活调整的权利。合同履约过程中，如本项目因新增合同主体需要额外供货，招标人权属子公司、招标人权属子公司关联公司有权依据不含税中标综合单价与中标人协商并签订补充协议，并确保其作为原合同的有效补充。中标人应充分理解并接受本项目在合同履约期间可能新增合同主体的可能性，并承诺在接到招标人权属子公司、招标人权属子公司关联公司关于新增合同主体的供货通知及签订补充协议的要求时，积极配合并履行相应的供货义务，确保供货的及时性和质量等符合原合同的要求。实际招标人运营项目根据项目工艺及性质，结合小试及项目实际使用效果选用，招标人的实际需求数量以招标人运营项目每次的供货通知为准，在供货期内投标人不得因招标人实际采购数量的减少或增加而要求提供任何形式的补偿或赔偿，或要求招标人按暂定采购数量采购相应货物。</w:t>
            </w:r>
          </w:p>
        </w:tc>
        <w:tc>
          <w:tcPr>
            <w:tcW w:w="348" w:type="pct"/>
            <w:vAlign w:val="center"/>
          </w:tcPr>
          <w:p w14:paraId="766F171F">
            <w:pPr>
              <w:keepNext/>
              <w:keepLines/>
              <w:pageBreakBefore w:val="0"/>
              <w:widowControl w:val="0"/>
              <w:kinsoku/>
              <w:wordWrap/>
              <w:overflowPunct/>
              <w:topLinePunct w:val="0"/>
              <w:bidi w:val="0"/>
              <w:snapToGrid/>
              <w:spacing w:line="240" w:lineRule="auto"/>
              <w:jc w:val="center"/>
              <w:textAlignment w:val="auto"/>
              <w:outlineLvl w:val="9"/>
              <w:rPr>
                <w:rFonts w:ascii="宋体" w:hAnsi="宋体" w:eastAsia="宋体" w:cs="宋体"/>
                <w:color w:val="auto"/>
                <w:kern w:val="0"/>
                <w:sz w:val="21"/>
                <w:szCs w:val="21"/>
                <w:highlight w:val="none"/>
              </w:rPr>
            </w:pPr>
          </w:p>
        </w:tc>
        <w:tc>
          <w:tcPr>
            <w:tcW w:w="418" w:type="pct"/>
            <w:vAlign w:val="center"/>
          </w:tcPr>
          <w:p w14:paraId="4D8AE055">
            <w:pPr>
              <w:keepNext/>
              <w:keepLines/>
              <w:pageBreakBefore w:val="0"/>
              <w:widowControl w:val="0"/>
              <w:kinsoku/>
              <w:wordWrap/>
              <w:overflowPunct/>
              <w:topLinePunct w:val="0"/>
              <w:bidi w:val="0"/>
              <w:snapToGrid/>
              <w:spacing w:line="240" w:lineRule="auto"/>
              <w:jc w:val="center"/>
              <w:textAlignment w:val="auto"/>
              <w:outlineLvl w:val="9"/>
              <w:rPr>
                <w:rFonts w:ascii="宋体" w:hAnsi="宋体" w:eastAsia="宋体" w:cs="宋体"/>
                <w:color w:val="auto"/>
                <w:kern w:val="0"/>
                <w:sz w:val="21"/>
                <w:szCs w:val="21"/>
                <w:highlight w:val="none"/>
              </w:rPr>
            </w:pPr>
          </w:p>
        </w:tc>
        <w:tc>
          <w:tcPr>
            <w:tcW w:w="393" w:type="pct"/>
            <w:vAlign w:val="center"/>
          </w:tcPr>
          <w:p w14:paraId="66F9A103">
            <w:pPr>
              <w:keepNext/>
              <w:keepLines/>
              <w:pageBreakBefore w:val="0"/>
              <w:widowControl w:val="0"/>
              <w:kinsoku/>
              <w:wordWrap/>
              <w:overflowPunct/>
              <w:topLinePunct w:val="0"/>
              <w:bidi w:val="0"/>
              <w:snapToGrid/>
              <w:spacing w:line="240" w:lineRule="auto"/>
              <w:jc w:val="center"/>
              <w:textAlignment w:val="auto"/>
              <w:outlineLvl w:val="9"/>
              <w:rPr>
                <w:rFonts w:ascii="宋体" w:hAnsi="宋体" w:eastAsia="宋体" w:cs="宋体"/>
                <w:color w:val="auto"/>
                <w:kern w:val="0"/>
                <w:sz w:val="21"/>
                <w:szCs w:val="21"/>
                <w:highlight w:val="none"/>
              </w:rPr>
            </w:pPr>
          </w:p>
        </w:tc>
      </w:tr>
      <w:tr w14:paraId="4E1DF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05E73729">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w:t>
            </w:r>
          </w:p>
        </w:tc>
        <w:tc>
          <w:tcPr>
            <w:tcW w:w="459" w:type="pct"/>
            <w:vAlign w:val="center"/>
          </w:tcPr>
          <w:p w14:paraId="1C7E6FBE">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二</w:t>
            </w:r>
          </w:p>
        </w:tc>
        <w:tc>
          <w:tcPr>
            <w:tcW w:w="3092" w:type="pct"/>
            <w:vAlign w:val="center"/>
          </w:tcPr>
          <w:p w14:paraId="0AA1330E">
            <w:pPr>
              <w:spacing w:line="360" w:lineRule="auto"/>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★4、主要技术指标</w:t>
            </w:r>
          </w:p>
          <w:p w14:paraId="1AEDFF37">
            <w:pPr>
              <w:spacing w:line="360" w:lineRule="auto"/>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（1）液体乙酸钠产品外观为无色透明液体。</w:t>
            </w:r>
          </w:p>
          <w:p w14:paraId="3B9A79F2">
            <w:pPr>
              <w:spacing w:line="360" w:lineRule="auto"/>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（2）液体乙酸钠必须符合《生化法处理废（污）水用碳源 乙酸钠》(HG/T 5959-2021 )Ⅱ型产品质量及检测标准，主要技术指标要求如下：</w:t>
            </w:r>
          </w:p>
          <w:p w14:paraId="3267BE56">
            <w:pPr>
              <w:spacing w:line="360" w:lineRule="auto"/>
              <w:ind w:firstLine="275" w:firstLineChars="131"/>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表1  液体乙酸钠主要技术指标</w:t>
            </w:r>
          </w:p>
          <w:tbl>
            <w:tblPr>
              <w:tblStyle w:val="37"/>
              <w:tblW w:w="598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3"/>
              <w:gridCol w:w="2081"/>
            </w:tblGrid>
            <w:tr w14:paraId="4C7AC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03" w:type="dxa"/>
                  <w:noWrap w:val="0"/>
                  <w:vAlign w:val="center"/>
                </w:tcPr>
                <w:p w14:paraId="39C5BF7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指标项目</w:t>
                  </w:r>
                </w:p>
              </w:tc>
              <w:tc>
                <w:tcPr>
                  <w:tcW w:w="2081" w:type="dxa"/>
                  <w:noWrap w:val="0"/>
                  <w:vAlign w:val="center"/>
                </w:tcPr>
                <w:p w14:paraId="40ADF2A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指标</w:t>
                  </w:r>
                </w:p>
              </w:tc>
            </w:tr>
            <w:tr w14:paraId="1F6C1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03" w:type="dxa"/>
                  <w:noWrap w:val="0"/>
                  <w:vAlign w:val="center"/>
                </w:tcPr>
                <w:p w14:paraId="2B082CA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乙酸钠</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CH</w:t>
                  </w:r>
                  <w:r>
                    <w:rPr>
                      <w:rFonts w:hint="eastAsia" w:ascii="宋体" w:hAnsi="宋体" w:eastAsia="宋体" w:cs="宋体"/>
                      <w:b w:val="0"/>
                      <w:bCs/>
                      <w:color w:val="auto"/>
                      <w:sz w:val="21"/>
                      <w:szCs w:val="21"/>
                      <w:highlight w:val="none"/>
                      <w:vertAlign w:val="subscript"/>
                      <w:lang w:val="en-US" w:eastAsia="zh-CN"/>
                    </w:rPr>
                    <w:t>3</w:t>
                  </w:r>
                  <w:r>
                    <w:rPr>
                      <w:rFonts w:hint="eastAsia" w:ascii="宋体" w:hAnsi="宋体" w:eastAsia="宋体" w:cs="宋体"/>
                      <w:b w:val="0"/>
                      <w:bCs/>
                      <w:color w:val="auto"/>
                      <w:sz w:val="21"/>
                      <w:szCs w:val="21"/>
                      <w:highlight w:val="none"/>
                      <w:lang w:val="en-US" w:eastAsia="zh-CN"/>
                    </w:rPr>
                    <w:t>COONa）的</w:t>
                  </w:r>
                  <w:r>
                    <w:rPr>
                      <w:rFonts w:hint="eastAsia" w:ascii="宋体" w:hAnsi="宋体" w:eastAsia="宋体" w:cs="宋体"/>
                      <w:b w:val="0"/>
                      <w:bCs/>
                      <w:color w:val="auto"/>
                      <w:sz w:val="21"/>
                      <w:szCs w:val="21"/>
                      <w:highlight w:val="none"/>
                    </w:rPr>
                    <w:t>质量分数，%</w:t>
                  </w:r>
                </w:p>
              </w:tc>
              <w:tc>
                <w:tcPr>
                  <w:tcW w:w="2081" w:type="dxa"/>
                  <w:noWrap w:val="0"/>
                  <w:vAlign w:val="center"/>
                </w:tcPr>
                <w:p w14:paraId="0C9422D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≥25</w:t>
                  </w:r>
                </w:p>
              </w:tc>
            </w:tr>
            <w:tr w14:paraId="2A9A8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03" w:type="dxa"/>
                  <w:noWrap w:val="0"/>
                  <w:vAlign w:val="center"/>
                </w:tcPr>
                <w:p w14:paraId="6040E5F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化学需氧量（</w:t>
                  </w:r>
                  <w:r>
                    <w:rPr>
                      <w:rFonts w:hint="eastAsia" w:ascii="宋体" w:hAnsi="宋体" w:eastAsia="宋体" w:cs="宋体"/>
                      <w:b w:val="0"/>
                      <w:bCs/>
                      <w:color w:val="auto"/>
                      <w:sz w:val="21"/>
                      <w:szCs w:val="21"/>
                      <w:highlight w:val="none"/>
                    </w:rPr>
                    <w:t>COD</w:t>
                  </w:r>
                  <w:r>
                    <w:rPr>
                      <w:rFonts w:hint="eastAsia" w:ascii="宋体" w:hAnsi="宋体" w:eastAsia="宋体" w:cs="宋体"/>
                      <w:b w:val="0"/>
                      <w:bCs/>
                      <w:color w:val="auto"/>
                      <w:sz w:val="21"/>
                      <w:szCs w:val="21"/>
                      <w:highlight w:val="none"/>
                      <w:vertAlign w:val="subscript"/>
                      <w:lang w:val="en-US" w:eastAsia="zh-CN"/>
                    </w:rPr>
                    <w:t>Cr</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，mg/L</w:t>
                  </w:r>
                </w:p>
              </w:tc>
              <w:tc>
                <w:tcPr>
                  <w:tcW w:w="2081" w:type="dxa"/>
                  <w:noWrap w:val="0"/>
                  <w:vAlign w:val="center"/>
                </w:tcPr>
                <w:p w14:paraId="7317EE1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1.95×10</w:t>
                  </w:r>
                  <w:r>
                    <w:rPr>
                      <w:rFonts w:hint="eastAsia" w:ascii="宋体" w:hAnsi="宋体" w:eastAsia="宋体" w:cs="宋体"/>
                      <w:b w:val="0"/>
                      <w:bCs/>
                      <w:color w:val="auto"/>
                      <w:sz w:val="21"/>
                      <w:szCs w:val="21"/>
                      <w:highlight w:val="none"/>
                      <w:vertAlign w:val="superscript"/>
                      <w:lang w:val="en-US" w:eastAsia="zh-CN"/>
                    </w:rPr>
                    <w:t>5</w:t>
                  </w:r>
                </w:p>
              </w:tc>
            </w:tr>
            <w:tr w14:paraId="1B4DB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03" w:type="dxa"/>
                  <w:noWrap w:val="0"/>
                  <w:vAlign w:val="center"/>
                </w:tcPr>
                <w:p w14:paraId="2A9E3A1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pH</w:t>
                  </w:r>
                  <w:r>
                    <w:rPr>
                      <w:rFonts w:hint="eastAsia" w:ascii="宋体" w:hAnsi="宋体" w:eastAsia="宋体" w:cs="宋体"/>
                      <w:b w:val="0"/>
                      <w:bCs/>
                      <w:color w:val="auto"/>
                      <w:sz w:val="21"/>
                      <w:szCs w:val="21"/>
                      <w:highlight w:val="none"/>
                      <w:lang w:val="en-US" w:eastAsia="zh-CN"/>
                    </w:rPr>
                    <w:t>值</w:t>
                  </w:r>
                </w:p>
              </w:tc>
              <w:tc>
                <w:tcPr>
                  <w:tcW w:w="2081" w:type="dxa"/>
                  <w:noWrap w:val="0"/>
                  <w:vAlign w:val="center"/>
                </w:tcPr>
                <w:p w14:paraId="703712C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7.5~9</w:t>
                  </w:r>
                </w:p>
              </w:tc>
            </w:tr>
            <w:tr w14:paraId="5D4A2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03" w:type="dxa"/>
                  <w:noWrap w:val="0"/>
                  <w:vAlign w:val="center"/>
                </w:tcPr>
                <w:p w14:paraId="7D472BD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水不溶物</w:t>
                  </w:r>
                  <w:r>
                    <w:rPr>
                      <w:rFonts w:hint="eastAsia" w:ascii="宋体" w:hAnsi="宋体" w:eastAsia="宋体" w:cs="宋体"/>
                      <w:b w:val="0"/>
                      <w:bCs/>
                      <w:color w:val="auto"/>
                      <w:sz w:val="21"/>
                      <w:szCs w:val="21"/>
                      <w:highlight w:val="none"/>
                      <w:lang w:val="en-US" w:eastAsia="zh-CN"/>
                    </w:rPr>
                    <w:t>的质量分数</w:t>
                  </w:r>
                  <w:r>
                    <w:rPr>
                      <w:rFonts w:hint="eastAsia" w:ascii="宋体" w:hAnsi="宋体" w:eastAsia="宋体" w:cs="宋体"/>
                      <w:b w:val="0"/>
                      <w:bCs/>
                      <w:color w:val="auto"/>
                      <w:sz w:val="21"/>
                      <w:szCs w:val="21"/>
                      <w:highlight w:val="none"/>
                    </w:rPr>
                    <w:t>，%</w:t>
                  </w:r>
                </w:p>
              </w:tc>
              <w:tc>
                <w:tcPr>
                  <w:tcW w:w="2081" w:type="dxa"/>
                  <w:noWrap w:val="0"/>
                  <w:vAlign w:val="center"/>
                </w:tcPr>
                <w:p w14:paraId="3934F1F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0.05</w:t>
                  </w:r>
                </w:p>
              </w:tc>
            </w:tr>
            <w:tr w14:paraId="65CB1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03" w:type="dxa"/>
                  <w:noWrap w:val="0"/>
                  <w:vAlign w:val="center"/>
                </w:tcPr>
                <w:p w14:paraId="35D93CF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氯化物（按</w:t>
                  </w:r>
                  <w:r>
                    <w:rPr>
                      <w:rFonts w:hint="eastAsia" w:ascii="宋体" w:hAnsi="宋体" w:eastAsia="宋体" w:cs="宋体"/>
                      <w:b w:val="0"/>
                      <w:bCs/>
                      <w:color w:val="auto"/>
                      <w:sz w:val="21"/>
                      <w:szCs w:val="21"/>
                      <w:highlight w:val="none"/>
                      <w:lang w:val="en-US" w:eastAsia="zh-CN"/>
                    </w:rPr>
                    <w:t>Cl</w:t>
                  </w:r>
                  <w:r>
                    <w:rPr>
                      <w:rFonts w:hint="eastAsia" w:ascii="宋体" w:hAnsi="宋体" w:eastAsia="宋体" w:cs="宋体"/>
                      <w:b w:val="0"/>
                      <w:bCs/>
                      <w:color w:val="auto"/>
                      <w:sz w:val="21"/>
                      <w:szCs w:val="21"/>
                      <w:highlight w:val="none"/>
                    </w:rPr>
                    <w:t>计）</w:t>
                  </w:r>
                  <w:r>
                    <w:rPr>
                      <w:rFonts w:hint="eastAsia" w:ascii="宋体" w:hAnsi="宋体" w:eastAsia="宋体" w:cs="宋体"/>
                      <w:b w:val="0"/>
                      <w:bCs/>
                      <w:color w:val="auto"/>
                      <w:sz w:val="21"/>
                      <w:szCs w:val="21"/>
                      <w:highlight w:val="none"/>
                      <w:lang w:val="en-US" w:eastAsia="zh-CN"/>
                    </w:rPr>
                    <w:t>的质量分数</w:t>
                  </w:r>
                  <w:r>
                    <w:rPr>
                      <w:rFonts w:hint="eastAsia" w:ascii="宋体" w:hAnsi="宋体" w:eastAsia="宋体" w:cs="宋体"/>
                      <w:b w:val="0"/>
                      <w:bCs/>
                      <w:color w:val="auto"/>
                      <w:sz w:val="21"/>
                      <w:szCs w:val="21"/>
                      <w:highlight w:val="none"/>
                    </w:rPr>
                    <w:t>，%</w:t>
                  </w:r>
                </w:p>
              </w:tc>
              <w:tc>
                <w:tcPr>
                  <w:tcW w:w="2081" w:type="dxa"/>
                  <w:noWrap w:val="0"/>
                  <w:vAlign w:val="center"/>
                </w:tcPr>
                <w:p w14:paraId="4213E30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0.10</w:t>
                  </w:r>
                </w:p>
              </w:tc>
            </w:tr>
          </w:tbl>
          <w:p w14:paraId="475BA1FD">
            <w:pPr>
              <w:pageBreakBefore w:val="0"/>
              <w:widowControl/>
              <w:kinsoku/>
              <w:wordWrap/>
              <w:overflowPunct/>
              <w:topLinePunct w:val="0"/>
              <w:bidi w:val="0"/>
              <w:snapToGrid/>
              <w:spacing w:line="360" w:lineRule="auto"/>
              <w:ind w:firstLine="0" w:firstLineChars="0"/>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（3）投标人供货的药剂的原料应符合《生化法处理废（污）水用碳源乙酸钠》(HG/T 5959-2021 )标准要求。</w:t>
            </w:r>
          </w:p>
          <w:p w14:paraId="3D3730E4">
            <w:pPr>
              <w:pageBreakBefore w:val="0"/>
              <w:widowControl/>
              <w:kinsoku/>
              <w:wordWrap/>
              <w:overflowPunct/>
              <w:topLinePunct w:val="0"/>
              <w:bidi w:val="0"/>
              <w:snapToGrid/>
              <w:spacing w:line="360" w:lineRule="auto"/>
              <w:ind w:firstLine="0" w:firstLineChars="0"/>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（4）供货期间，如有发布最新的行业标准或国家标准，招标人有权根据招标人运营项目实际情况及有关行业标准或国家标准对合同的主要技术指标进行变更调整，投标人应无条件接受。</w:t>
            </w:r>
          </w:p>
          <w:p w14:paraId="2BEA68F9">
            <w:pPr>
              <w:pageBreakBefore w:val="0"/>
              <w:widowControl/>
              <w:kinsoku/>
              <w:wordWrap/>
              <w:overflowPunct/>
              <w:topLinePunct w:val="0"/>
              <w:bidi w:val="0"/>
              <w:snapToGrid/>
              <w:spacing w:line="360" w:lineRule="auto"/>
              <w:ind w:firstLine="0" w:firstLineChars="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（5）投标人应根据各项目工艺以及性质，提供保证供货的药剂用作碳源达到良好的脱氮效果；投标人提供的药剂不得造成污水处理厂其他出水水质指标如氨氮、总磷明显升高。</w:t>
            </w:r>
          </w:p>
        </w:tc>
        <w:tc>
          <w:tcPr>
            <w:tcW w:w="348" w:type="pct"/>
            <w:vAlign w:val="center"/>
          </w:tcPr>
          <w:p w14:paraId="1F4BE3E1">
            <w:pPr>
              <w:keepNext/>
              <w:keepLines/>
              <w:pageBreakBefore w:val="0"/>
              <w:widowControl w:val="0"/>
              <w:kinsoku/>
              <w:wordWrap/>
              <w:overflowPunct/>
              <w:topLinePunct w:val="0"/>
              <w:bidi w:val="0"/>
              <w:snapToGrid/>
              <w:spacing w:line="240" w:lineRule="auto"/>
              <w:jc w:val="center"/>
              <w:textAlignment w:val="auto"/>
              <w:outlineLvl w:val="9"/>
              <w:rPr>
                <w:rFonts w:ascii="宋体" w:hAnsi="宋体" w:eastAsia="宋体" w:cs="宋体"/>
                <w:color w:val="auto"/>
                <w:kern w:val="0"/>
                <w:sz w:val="21"/>
                <w:szCs w:val="21"/>
                <w:highlight w:val="none"/>
              </w:rPr>
            </w:pPr>
          </w:p>
        </w:tc>
        <w:tc>
          <w:tcPr>
            <w:tcW w:w="418" w:type="pct"/>
            <w:vAlign w:val="center"/>
          </w:tcPr>
          <w:p w14:paraId="373BCDAB">
            <w:pPr>
              <w:keepNext/>
              <w:keepLines/>
              <w:pageBreakBefore w:val="0"/>
              <w:widowControl w:val="0"/>
              <w:kinsoku/>
              <w:wordWrap/>
              <w:overflowPunct/>
              <w:topLinePunct w:val="0"/>
              <w:bidi w:val="0"/>
              <w:snapToGrid/>
              <w:spacing w:line="240" w:lineRule="auto"/>
              <w:jc w:val="center"/>
              <w:textAlignment w:val="auto"/>
              <w:outlineLvl w:val="9"/>
              <w:rPr>
                <w:rFonts w:ascii="宋体" w:hAnsi="宋体" w:eastAsia="宋体" w:cs="宋体"/>
                <w:color w:val="auto"/>
                <w:kern w:val="0"/>
                <w:sz w:val="21"/>
                <w:szCs w:val="21"/>
                <w:highlight w:val="none"/>
              </w:rPr>
            </w:pPr>
          </w:p>
        </w:tc>
        <w:tc>
          <w:tcPr>
            <w:tcW w:w="393" w:type="pct"/>
            <w:vAlign w:val="center"/>
          </w:tcPr>
          <w:p w14:paraId="01727E41">
            <w:pPr>
              <w:keepNext/>
              <w:keepLines/>
              <w:pageBreakBefore w:val="0"/>
              <w:widowControl w:val="0"/>
              <w:kinsoku/>
              <w:wordWrap/>
              <w:overflowPunct/>
              <w:topLinePunct w:val="0"/>
              <w:bidi w:val="0"/>
              <w:snapToGrid/>
              <w:spacing w:line="240" w:lineRule="auto"/>
              <w:jc w:val="center"/>
              <w:textAlignment w:val="auto"/>
              <w:outlineLvl w:val="9"/>
              <w:rPr>
                <w:rFonts w:ascii="宋体" w:hAnsi="宋体" w:eastAsia="宋体" w:cs="宋体"/>
                <w:color w:val="auto"/>
                <w:kern w:val="0"/>
                <w:sz w:val="21"/>
                <w:szCs w:val="21"/>
                <w:highlight w:val="none"/>
              </w:rPr>
            </w:pPr>
          </w:p>
        </w:tc>
      </w:tr>
      <w:tr w14:paraId="4B5D5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22F20AEA">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w:t>
            </w:r>
          </w:p>
        </w:tc>
        <w:tc>
          <w:tcPr>
            <w:tcW w:w="459" w:type="pct"/>
            <w:vAlign w:val="center"/>
          </w:tcPr>
          <w:p w14:paraId="5893C4F4">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二</w:t>
            </w:r>
          </w:p>
        </w:tc>
        <w:tc>
          <w:tcPr>
            <w:tcW w:w="3092" w:type="pct"/>
            <w:vAlign w:val="center"/>
          </w:tcPr>
          <w:p w14:paraId="6B8AB523">
            <w:pPr>
              <w:pageBreakBefore w:val="0"/>
              <w:widowControl w:val="0"/>
              <w:kinsoku/>
              <w:wordWrap/>
              <w:overflowPunct/>
              <w:topLinePunct w:val="0"/>
              <w:bidi w:val="0"/>
              <w:snapToGrid/>
              <w:spacing w:line="360" w:lineRule="auto"/>
              <w:ind w:firstLine="0" w:firstLineChars="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5、投标人投标时须提供投标人或生产厂家委托的反映报价产品性能参数的具有资质的第三方检测机构出具的符合表1《液体乙酸钠主要技术指标》要求的检验报告，检验报告上的标徽应包括但不限于CMA认证标徽，报告日期为</w:t>
            </w:r>
            <w:r>
              <w:rPr>
                <w:rFonts w:hint="eastAsia" w:ascii="宋体" w:hAnsi="宋体" w:eastAsia="宋体"/>
                <w:color w:val="auto"/>
                <w:sz w:val="21"/>
                <w:szCs w:val="21"/>
                <w:highlight w:val="none"/>
                <w:lang w:eastAsia="zh-CN"/>
              </w:rPr>
              <w:t>2024年</w:t>
            </w:r>
            <w:r>
              <w:rPr>
                <w:rFonts w:hint="eastAsia" w:ascii="宋体" w:hAnsi="宋体" w:eastAsia="宋体"/>
                <w:color w:val="auto"/>
                <w:sz w:val="21"/>
                <w:szCs w:val="21"/>
                <w:highlight w:val="none"/>
                <w:lang w:val="en-US" w:eastAsia="zh-CN"/>
              </w:rPr>
              <w:t>8</w:t>
            </w:r>
            <w:r>
              <w:rPr>
                <w:rFonts w:hint="eastAsia" w:ascii="宋体" w:hAnsi="宋体" w:eastAsia="宋体"/>
                <w:color w:val="auto"/>
                <w:sz w:val="21"/>
                <w:szCs w:val="21"/>
                <w:highlight w:val="none"/>
                <w:lang w:eastAsia="zh-CN"/>
              </w:rPr>
              <w:t>月</w:t>
            </w:r>
            <w:r>
              <w:rPr>
                <w:rFonts w:hint="eastAsia" w:ascii="宋体" w:hAnsi="宋体" w:eastAsia="宋体"/>
                <w:color w:val="auto"/>
                <w:sz w:val="21"/>
                <w:szCs w:val="21"/>
                <w:highlight w:val="none"/>
              </w:rPr>
              <w:t>1日以后，检验报告中检验指标为表1《液体乙酸钠主要技术指标》中各指标项目，检验报告使用的检测方法需符合《生化法处理废（污）水用碳源 乙酸钠》(HG/T 5959-2021 )。</w:t>
            </w:r>
          </w:p>
        </w:tc>
        <w:tc>
          <w:tcPr>
            <w:tcW w:w="348" w:type="pct"/>
            <w:vAlign w:val="center"/>
          </w:tcPr>
          <w:p w14:paraId="73E5A720">
            <w:pPr>
              <w:keepNext/>
              <w:keepLines/>
              <w:pageBreakBefore w:val="0"/>
              <w:widowControl w:val="0"/>
              <w:kinsoku/>
              <w:wordWrap/>
              <w:overflowPunct/>
              <w:topLinePunct w:val="0"/>
              <w:bidi w:val="0"/>
              <w:snapToGrid/>
              <w:spacing w:line="240" w:lineRule="auto"/>
              <w:jc w:val="center"/>
              <w:textAlignment w:val="auto"/>
              <w:outlineLvl w:val="9"/>
              <w:rPr>
                <w:rFonts w:ascii="宋体" w:hAnsi="宋体" w:eastAsia="宋体" w:cs="宋体"/>
                <w:color w:val="auto"/>
                <w:kern w:val="0"/>
                <w:sz w:val="21"/>
                <w:szCs w:val="21"/>
                <w:highlight w:val="none"/>
              </w:rPr>
            </w:pPr>
          </w:p>
        </w:tc>
        <w:tc>
          <w:tcPr>
            <w:tcW w:w="418" w:type="pct"/>
            <w:vAlign w:val="center"/>
          </w:tcPr>
          <w:p w14:paraId="5F1D2068">
            <w:pPr>
              <w:keepNext/>
              <w:keepLines/>
              <w:pageBreakBefore w:val="0"/>
              <w:widowControl w:val="0"/>
              <w:kinsoku/>
              <w:wordWrap/>
              <w:overflowPunct/>
              <w:topLinePunct w:val="0"/>
              <w:bidi w:val="0"/>
              <w:snapToGrid/>
              <w:spacing w:line="240" w:lineRule="auto"/>
              <w:jc w:val="center"/>
              <w:textAlignment w:val="auto"/>
              <w:outlineLvl w:val="9"/>
              <w:rPr>
                <w:rFonts w:ascii="宋体" w:hAnsi="宋体" w:eastAsia="宋体" w:cs="宋体"/>
                <w:color w:val="auto"/>
                <w:kern w:val="0"/>
                <w:sz w:val="21"/>
                <w:szCs w:val="21"/>
                <w:highlight w:val="none"/>
              </w:rPr>
            </w:pPr>
          </w:p>
        </w:tc>
        <w:tc>
          <w:tcPr>
            <w:tcW w:w="393" w:type="pct"/>
            <w:vAlign w:val="center"/>
          </w:tcPr>
          <w:p w14:paraId="159EBD4C">
            <w:pPr>
              <w:keepNext/>
              <w:keepLines/>
              <w:pageBreakBefore w:val="0"/>
              <w:widowControl w:val="0"/>
              <w:kinsoku/>
              <w:wordWrap/>
              <w:overflowPunct/>
              <w:topLinePunct w:val="0"/>
              <w:bidi w:val="0"/>
              <w:snapToGrid/>
              <w:spacing w:line="240" w:lineRule="auto"/>
              <w:jc w:val="center"/>
              <w:textAlignment w:val="auto"/>
              <w:outlineLvl w:val="9"/>
              <w:rPr>
                <w:rFonts w:ascii="宋体" w:hAnsi="宋体" w:eastAsia="宋体" w:cs="宋体"/>
                <w:color w:val="auto"/>
                <w:kern w:val="0"/>
                <w:sz w:val="21"/>
                <w:szCs w:val="21"/>
                <w:highlight w:val="none"/>
              </w:rPr>
            </w:pPr>
          </w:p>
        </w:tc>
      </w:tr>
    </w:tbl>
    <w:p w14:paraId="4C2739E0">
      <w:pPr>
        <w:spacing w:line="360" w:lineRule="auto"/>
        <w:rPr>
          <w:rFonts w:ascii="宋体" w:hAnsi="宋体" w:eastAsia="宋体" w:cs="宋体"/>
          <w:color w:val="auto"/>
          <w:szCs w:val="21"/>
          <w:highlight w:val="none"/>
        </w:rPr>
      </w:pPr>
    </w:p>
    <w:p w14:paraId="0DA979D0">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42F09AB3">
      <w:pPr>
        <w:spacing w:line="360" w:lineRule="auto"/>
        <w:ind w:left="605" w:leftChars="18" w:hanging="567" w:hangingChars="270"/>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79BC1536">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35E6C60E">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6A8E2508">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708EAF9B">
      <w:pPr>
        <w:spacing w:line="360" w:lineRule="auto"/>
        <w:rPr>
          <w:rFonts w:ascii="宋体" w:hAnsi="宋体" w:eastAsia="宋体" w:cs="宋体"/>
          <w:color w:val="auto"/>
          <w:szCs w:val="21"/>
          <w:highlight w:val="none"/>
        </w:rPr>
      </w:pPr>
    </w:p>
    <w:p w14:paraId="2D1EC516">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335BFBA7">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14:paraId="007B5A7D">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bookmarkStart w:id="922" w:name="_Toc104991889"/>
      <w:bookmarkStart w:id="923" w:name="_Toc140596942"/>
      <w:bookmarkStart w:id="924" w:name="_Toc28623"/>
      <w:bookmarkStart w:id="925" w:name="_Toc102860087"/>
      <w:bookmarkStart w:id="926" w:name="_Toc94107224"/>
      <w:bookmarkStart w:id="927" w:name="_Toc102860431"/>
      <w:bookmarkStart w:id="928" w:name="_Toc20665"/>
      <w:bookmarkStart w:id="929" w:name="_Toc142508382"/>
      <w:bookmarkStart w:id="930" w:name="_Toc29070"/>
      <w:bookmarkStart w:id="931" w:name="_Toc32528"/>
      <w:bookmarkStart w:id="932" w:name="_Toc29460"/>
      <w:bookmarkStart w:id="933" w:name="_Toc28348"/>
      <w:r>
        <w:rPr>
          <w:rFonts w:hint="eastAsia" w:ascii="宋体" w:hAnsi="宋体" w:eastAsia="宋体" w:cs="宋体"/>
          <w:b/>
          <w:color w:val="auto"/>
          <w:kern w:val="0"/>
          <w:sz w:val="30"/>
          <w:szCs w:val="30"/>
          <w:highlight w:val="none"/>
          <w:lang w:val="en-US" w:eastAsia="zh-CN"/>
        </w:rPr>
        <w:t xml:space="preserve">13.2 </w:t>
      </w:r>
      <w:bookmarkEnd w:id="922"/>
      <w:bookmarkEnd w:id="923"/>
      <w:bookmarkEnd w:id="924"/>
      <w:bookmarkEnd w:id="925"/>
      <w:bookmarkEnd w:id="926"/>
      <w:bookmarkEnd w:id="927"/>
      <w:bookmarkEnd w:id="928"/>
      <w:bookmarkEnd w:id="929"/>
      <w:r>
        <w:rPr>
          <w:rFonts w:hint="eastAsia" w:ascii="宋体" w:hAnsi="宋体" w:eastAsia="宋体" w:cs="宋体"/>
          <w:b/>
          <w:color w:val="auto"/>
          <w:kern w:val="0"/>
          <w:sz w:val="30"/>
          <w:szCs w:val="30"/>
          <w:highlight w:val="none"/>
          <w:lang w:val="en-US" w:eastAsia="zh-CN"/>
        </w:rPr>
        <w:t>投标产品技术指标承诺书格式</w:t>
      </w:r>
      <w:bookmarkEnd w:id="930"/>
      <w:bookmarkEnd w:id="931"/>
      <w:bookmarkEnd w:id="932"/>
      <w:bookmarkEnd w:id="933"/>
    </w:p>
    <w:p w14:paraId="3A47F9B5">
      <w:pPr>
        <w:spacing w:line="360" w:lineRule="auto"/>
        <w:jc w:val="center"/>
        <w:outlineLvl w:val="9"/>
        <w:rPr>
          <w:rFonts w:hint="eastAsia" w:ascii="宋体" w:hAnsi="宋体" w:eastAsia="宋体" w:cs="宋体"/>
          <w:b/>
          <w:bCs/>
          <w:color w:val="auto"/>
          <w:kern w:val="2"/>
          <w:sz w:val="30"/>
          <w:szCs w:val="30"/>
          <w:highlight w:val="none"/>
          <w:lang w:val="zh-CN"/>
        </w:rPr>
      </w:pPr>
      <w:bookmarkStart w:id="934" w:name="_Toc31354"/>
      <w:bookmarkStart w:id="935" w:name="_Toc28982"/>
      <w:r>
        <w:rPr>
          <w:rFonts w:hint="eastAsia" w:ascii="宋体" w:hAnsi="宋体" w:eastAsia="宋体" w:cs="宋体"/>
          <w:b/>
          <w:bCs/>
          <w:color w:val="auto"/>
          <w:kern w:val="2"/>
          <w:sz w:val="32"/>
          <w:szCs w:val="32"/>
          <w:highlight w:val="none"/>
          <w:lang w:val="zh-CN"/>
        </w:rPr>
        <w:t>投标产品</w:t>
      </w:r>
      <w:r>
        <w:rPr>
          <w:rFonts w:hint="eastAsia" w:ascii="宋体" w:hAnsi="宋体" w:eastAsia="宋体" w:cs="宋体"/>
          <w:b/>
          <w:bCs/>
          <w:color w:val="auto"/>
          <w:kern w:val="2"/>
          <w:sz w:val="30"/>
          <w:szCs w:val="30"/>
          <w:highlight w:val="none"/>
          <w:lang w:val="zh-CN"/>
        </w:rPr>
        <w:t>技术指标承诺书</w:t>
      </w:r>
      <w:bookmarkEnd w:id="934"/>
      <w:bookmarkEnd w:id="935"/>
    </w:p>
    <w:p w14:paraId="0398A1AE">
      <w:pPr>
        <w:spacing w:line="360" w:lineRule="auto"/>
        <w:rPr>
          <w:rFonts w:hint="eastAsia" w:ascii="宋体" w:hAnsi="宋体" w:eastAsia="宋体" w:cs="宋体"/>
          <w:color w:val="auto"/>
          <w:sz w:val="21"/>
          <w:szCs w:val="21"/>
          <w:highlight w:val="none"/>
        </w:rPr>
      </w:pPr>
    </w:p>
    <w:p w14:paraId="01A9AE6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致：东莞市水务集团净水有限公司</w:t>
      </w:r>
    </w:p>
    <w:p w14:paraId="2AFDDF5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我方已详细研究了本项目招标文件</w:t>
      </w:r>
      <w:r>
        <w:rPr>
          <w:rFonts w:hint="eastAsia" w:ascii="宋体" w:hAnsi="宋体" w:eastAsia="宋体" w:cs="宋体"/>
          <w:b/>
          <w:color w:val="auto"/>
          <w:sz w:val="21"/>
          <w:szCs w:val="21"/>
          <w:highlight w:val="none"/>
        </w:rPr>
        <w:t>用户需求书主要技术指标</w:t>
      </w:r>
      <w:r>
        <w:rPr>
          <w:rFonts w:hint="eastAsia" w:ascii="宋体" w:hAnsi="宋体" w:eastAsia="宋体" w:cs="宋体"/>
          <w:color w:val="auto"/>
          <w:sz w:val="21"/>
          <w:szCs w:val="21"/>
          <w:highlight w:val="none"/>
        </w:rPr>
        <w:t>的所有内容包括相关资料及修正文（如有），完全理解并接受上述内容所有条款及要求。</w:t>
      </w:r>
    </w:p>
    <w:p w14:paraId="5A0451F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我方承诺在履行合同过程中按本项目招标文件</w:t>
      </w:r>
      <w:r>
        <w:rPr>
          <w:rFonts w:hint="eastAsia" w:ascii="宋体" w:hAnsi="宋体" w:eastAsia="宋体" w:cs="宋体"/>
          <w:b/>
          <w:color w:val="auto"/>
          <w:sz w:val="21"/>
          <w:szCs w:val="21"/>
          <w:highlight w:val="none"/>
        </w:rPr>
        <w:t>用户需求书主要技术指标</w:t>
      </w:r>
      <w:r>
        <w:rPr>
          <w:rFonts w:hint="eastAsia" w:ascii="宋体" w:hAnsi="宋体" w:eastAsia="宋体" w:cs="宋体"/>
          <w:color w:val="auto"/>
          <w:sz w:val="21"/>
          <w:szCs w:val="21"/>
          <w:highlight w:val="none"/>
        </w:rPr>
        <w:t>的所有内容包括相关资料及修正文（如有）的条款和要求提供货物和相关的服务。</w:t>
      </w:r>
    </w:p>
    <w:p w14:paraId="121561F7">
      <w:pPr>
        <w:snapToGrid w:val="0"/>
        <w:spacing w:line="360" w:lineRule="auto"/>
        <w:ind w:left="399" w:leftChars="-58" w:hanging="521" w:hangingChars="247"/>
        <w:rPr>
          <w:rFonts w:hint="eastAsia" w:ascii="宋体" w:hAnsi="宋体" w:eastAsia="宋体" w:cs="宋体"/>
          <w:b/>
          <w:color w:val="auto"/>
          <w:sz w:val="21"/>
          <w:szCs w:val="21"/>
          <w:highlight w:val="none"/>
        </w:rPr>
      </w:pPr>
    </w:p>
    <w:p w14:paraId="48FC8F05">
      <w:pPr>
        <w:autoSpaceDE/>
        <w:autoSpaceDN/>
        <w:adjustRightInd/>
        <w:snapToGrid w:val="0"/>
        <w:spacing w:line="360" w:lineRule="auto"/>
        <w:ind w:left="396" w:leftChars="-58" w:right="0" w:rightChars="0" w:hanging="518" w:hangingChars="247"/>
        <w:jc w:val="left"/>
        <w:rPr>
          <w:rFonts w:hint="eastAsia" w:ascii="宋体" w:hAnsi="宋体" w:eastAsia="宋体" w:cs="宋体"/>
          <w:color w:val="auto"/>
          <w:kern w:val="3"/>
          <w:sz w:val="21"/>
          <w:szCs w:val="21"/>
          <w:highlight w:val="none"/>
        </w:rPr>
      </w:pPr>
      <w:r>
        <w:rPr>
          <w:rFonts w:hint="eastAsia" w:ascii="宋体" w:hAnsi="宋体" w:eastAsia="宋体" w:cs="宋体"/>
          <w:color w:val="auto"/>
          <w:kern w:val="3"/>
          <w:sz w:val="21"/>
          <w:szCs w:val="21"/>
          <w:highlight w:val="none"/>
        </w:rPr>
        <w:t>备注：</w:t>
      </w:r>
    </w:p>
    <w:p w14:paraId="1A1AE3AF">
      <w:pPr>
        <w:autoSpaceDE/>
        <w:autoSpaceDN/>
        <w:adjustRightInd/>
        <w:snapToGrid w:val="0"/>
        <w:spacing w:line="360" w:lineRule="auto"/>
        <w:ind w:left="0" w:leftChars="0" w:firstLine="422" w:firstLineChars="200"/>
        <w:jc w:val="left"/>
        <w:rPr>
          <w:rFonts w:ascii="宋体" w:hAnsi="宋体" w:eastAsia="宋体" w:cs="Times New Roman"/>
          <w:color w:val="auto"/>
          <w:kern w:val="3"/>
          <w:szCs w:val="21"/>
          <w:highlight w:val="none"/>
        </w:rPr>
      </w:pPr>
      <w:r>
        <w:rPr>
          <w:rFonts w:hint="eastAsia" w:ascii="宋体" w:hAnsi="宋体" w:eastAsia="宋体" w:cs="宋体"/>
          <w:b/>
          <w:color w:val="auto"/>
          <w:sz w:val="21"/>
          <w:szCs w:val="21"/>
          <w:highlight w:val="none"/>
        </w:rPr>
        <w:t>投标人须提供具有资质的第三方检测机构出具的反映报价产品性能参数（须包含用户需求书表1《液体乙酸钠主要技术指标》所列的指标）的检验报告，检验报告上的标徽应包括但不限于CMA认证标徽，报告日期为</w:t>
      </w:r>
      <w:r>
        <w:rPr>
          <w:rFonts w:hint="eastAsia" w:ascii="宋体" w:hAnsi="宋体" w:eastAsia="宋体" w:cs="宋体"/>
          <w:b/>
          <w:color w:val="auto"/>
          <w:sz w:val="21"/>
          <w:szCs w:val="21"/>
          <w:highlight w:val="none"/>
          <w:lang w:eastAsia="zh-CN"/>
        </w:rPr>
        <w:t>2024年</w:t>
      </w:r>
      <w:r>
        <w:rPr>
          <w:rFonts w:hint="eastAsia" w:ascii="宋体" w:hAnsi="宋体" w:eastAsia="宋体" w:cs="宋体"/>
          <w:b/>
          <w:color w:val="auto"/>
          <w:sz w:val="21"/>
          <w:szCs w:val="21"/>
          <w:highlight w:val="none"/>
          <w:lang w:val="en-US" w:eastAsia="zh-CN"/>
        </w:rPr>
        <w:t>8</w:t>
      </w:r>
      <w:r>
        <w:rPr>
          <w:rFonts w:hint="eastAsia" w:ascii="宋体" w:hAnsi="宋体" w:eastAsia="宋体" w:cs="宋体"/>
          <w:b/>
          <w:color w:val="auto"/>
          <w:sz w:val="21"/>
          <w:szCs w:val="21"/>
          <w:highlight w:val="none"/>
          <w:lang w:eastAsia="zh-CN"/>
        </w:rPr>
        <w:t>月</w:t>
      </w:r>
      <w:r>
        <w:rPr>
          <w:rFonts w:hint="eastAsia" w:ascii="宋体" w:hAnsi="宋体" w:eastAsia="宋体" w:cs="宋体"/>
          <w:b/>
          <w:color w:val="auto"/>
          <w:sz w:val="21"/>
          <w:szCs w:val="21"/>
          <w:highlight w:val="none"/>
        </w:rPr>
        <w:t>1日以后。</w:t>
      </w:r>
    </w:p>
    <w:p w14:paraId="16B2E6E1">
      <w:pPr>
        <w:autoSpaceDE w:val="0"/>
        <w:autoSpaceDN w:val="0"/>
        <w:adjustRightInd w:val="0"/>
        <w:spacing w:line="360" w:lineRule="auto"/>
        <w:ind w:firstLine="4200" w:firstLineChars="2000"/>
        <w:jc w:val="left"/>
        <w:rPr>
          <w:rFonts w:ascii="宋体" w:hAnsi="宋体" w:eastAsia="宋体" w:cs="Times New Roman"/>
          <w:color w:val="auto"/>
          <w:kern w:val="0"/>
          <w:szCs w:val="21"/>
          <w:highlight w:val="none"/>
        </w:rPr>
      </w:pPr>
      <w:r>
        <w:rPr>
          <w:rFonts w:ascii="宋体" w:hAnsi="宋体" w:eastAsia="宋体" w:cs="Times New Roman"/>
          <w:color w:val="auto"/>
          <w:kern w:val="3"/>
          <w:szCs w:val="21"/>
          <w:highlight w:val="none"/>
        </w:rPr>
        <w:t xml:space="preserve">投 标 人（加盖投标人法人公章）：              </w:t>
      </w:r>
    </w:p>
    <w:p w14:paraId="7E8D0D85">
      <w:pPr>
        <w:spacing w:line="360" w:lineRule="auto"/>
        <w:ind w:firstLine="4200" w:firstLineChars="20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日  期：        年     月     日</w:t>
      </w:r>
    </w:p>
    <w:p w14:paraId="7E6BAE72">
      <w:pPr>
        <w:widowControl/>
        <w:jc w:val="left"/>
        <w:rPr>
          <w:rFonts w:ascii="宋体" w:hAnsi="宋体" w:eastAsia="宋体" w:cs="Times New Roman"/>
          <w:color w:val="auto"/>
          <w:kern w:val="0"/>
          <w:szCs w:val="21"/>
          <w:highlight w:val="none"/>
        </w:rPr>
      </w:pPr>
      <w:bookmarkStart w:id="936" w:name="_Toc94107225"/>
      <w:r>
        <w:rPr>
          <w:rFonts w:ascii="宋体" w:hAnsi="宋体" w:eastAsia="宋体" w:cs="Times New Roman"/>
          <w:color w:val="auto"/>
          <w:kern w:val="0"/>
          <w:szCs w:val="21"/>
          <w:highlight w:val="none"/>
        </w:rPr>
        <w:br w:type="page"/>
      </w:r>
    </w:p>
    <w:bookmarkEnd w:id="936"/>
    <w:p w14:paraId="4A32A161">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bookmarkStart w:id="937" w:name="_Toc2825"/>
      <w:bookmarkStart w:id="938" w:name="_Toc322"/>
      <w:bookmarkStart w:id="939" w:name="_Toc142508389"/>
      <w:bookmarkStart w:id="940" w:name="_Toc140596949"/>
      <w:bookmarkStart w:id="941" w:name="_Toc102860438"/>
      <w:bookmarkStart w:id="942" w:name="_Toc104991896"/>
      <w:bookmarkStart w:id="943" w:name="_Toc102860094"/>
      <w:bookmarkStart w:id="944" w:name="_Toc533708139"/>
      <w:r>
        <w:rPr>
          <w:rFonts w:hint="eastAsia" w:ascii="宋体" w:hAnsi="宋体" w:eastAsia="宋体" w:cs="宋体"/>
          <w:b/>
          <w:color w:val="auto"/>
          <w:kern w:val="0"/>
          <w:sz w:val="30"/>
          <w:szCs w:val="30"/>
          <w:highlight w:val="none"/>
          <w:lang w:val="en-US" w:eastAsia="zh-CN"/>
        </w:rPr>
        <w:t>13.3 第三方检测机构出具的检验报告复印件（须为2024年8月1日以后出具的投标产品检验报告）</w:t>
      </w:r>
      <w:bookmarkEnd w:id="937"/>
      <w:bookmarkEnd w:id="938"/>
    </w:p>
    <w:p w14:paraId="27D04264">
      <w:pPr>
        <w:rPr>
          <w:rFonts w:hint="eastAsia" w:ascii="宋体" w:hAnsi="宋体" w:eastAsia="宋体" w:cs="宋体"/>
          <w:b/>
          <w:color w:val="auto"/>
          <w:kern w:val="0"/>
          <w:sz w:val="30"/>
          <w:szCs w:val="30"/>
          <w:highlight w:val="none"/>
          <w:lang w:val="en-US" w:eastAsia="zh-CN"/>
        </w:rPr>
      </w:pPr>
    </w:p>
    <w:p w14:paraId="33551DA2">
      <w:pPr>
        <w:spacing w:line="360" w:lineRule="auto"/>
        <w:ind w:firstLine="422" w:firstLineChars="200"/>
        <w:rPr>
          <w:rFonts w:hint="eastAsia" w:ascii="宋体" w:hAnsi="宋体" w:eastAsia="宋体" w:cs="宋体"/>
          <w:b/>
          <w:color w:val="auto"/>
          <w:kern w:val="0"/>
          <w:sz w:val="21"/>
          <w:szCs w:val="21"/>
          <w:highlight w:val="none"/>
          <w:lang w:val="en-US" w:eastAsia="zh-CN"/>
        </w:rPr>
      </w:pPr>
    </w:p>
    <w:p w14:paraId="52D42CF7">
      <w:pPr>
        <w:spacing w:line="360" w:lineRule="auto"/>
        <w:ind w:firstLine="422" w:firstLineChars="200"/>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说明：投标人投标时须提供投标人或生产厂家委托的反映报价产品性能参数的具有资质的第三方检测机构出具的符合用户需求书表1《液体乙酸钠主要技术指标》要求的检验报告，检验报告上的标徽应包括但不限于CMA认证标徽，报告日期为2024年8月1日以后，检验报告中检验指标为用户需求书表1《液体乙酸钠主要技术指标》中各指标项目，检验报告使用的检测方法需符合《生化法处理废（污）水用碳源 乙酸钠》(HG/T 5959-2021 )。</w:t>
      </w:r>
    </w:p>
    <w:p w14:paraId="14B3F22A">
      <w:pPr>
        <w:rPr>
          <w:rFonts w:hint="eastAsia" w:ascii="宋体" w:hAnsi="宋体" w:eastAsia="宋体" w:cs="宋体"/>
          <w:b/>
          <w:color w:val="auto"/>
          <w:kern w:val="0"/>
          <w:sz w:val="30"/>
          <w:szCs w:val="30"/>
          <w:highlight w:val="none"/>
          <w:lang w:val="en-US" w:eastAsia="zh-CN"/>
        </w:rPr>
      </w:pPr>
    </w:p>
    <w:p w14:paraId="719BC671">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4E4DF783">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bookmarkStart w:id="945" w:name="_Toc30733"/>
      <w:bookmarkStart w:id="946" w:name="_Toc27616"/>
      <w:bookmarkStart w:id="947" w:name="_Toc17674"/>
      <w:bookmarkStart w:id="948" w:name="_Toc26112"/>
      <w:bookmarkStart w:id="949" w:name="_Toc770"/>
      <w:bookmarkStart w:id="950" w:name="_Toc1222"/>
      <w:r>
        <w:rPr>
          <w:rFonts w:hint="eastAsia" w:ascii="宋体" w:hAnsi="宋体" w:eastAsia="宋体" w:cs="宋体"/>
          <w:b/>
          <w:color w:val="auto"/>
          <w:kern w:val="0"/>
          <w:sz w:val="30"/>
          <w:szCs w:val="30"/>
          <w:highlight w:val="none"/>
          <w:lang w:val="en-US" w:eastAsia="zh-CN"/>
        </w:rPr>
        <w:t>13.4 生产工艺（投标人自行编写，其中应包含生产工艺流程图）</w:t>
      </w:r>
      <w:bookmarkEnd w:id="945"/>
      <w:bookmarkEnd w:id="946"/>
      <w:bookmarkEnd w:id="947"/>
      <w:bookmarkEnd w:id="948"/>
    </w:p>
    <w:p w14:paraId="749C517E">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18BD83E9">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bookmarkStart w:id="951" w:name="_Toc14693"/>
      <w:bookmarkStart w:id="952" w:name="_Toc841"/>
      <w:bookmarkStart w:id="953" w:name="_Toc3668"/>
      <w:bookmarkStart w:id="954" w:name="_Toc7250"/>
      <w:r>
        <w:rPr>
          <w:rFonts w:hint="eastAsia" w:ascii="宋体" w:hAnsi="宋体" w:eastAsia="宋体" w:cs="宋体"/>
          <w:b/>
          <w:color w:val="auto"/>
          <w:kern w:val="0"/>
          <w:sz w:val="30"/>
          <w:szCs w:val="30"/>
          <w:highlight w:val="none"/>
          <w:lang w:val="en-US" w:eastAsia="zh-CN"/>
        </w:rPr>
        <w:t>13.5 生产供货保障能力（投标人自行编写）</w:t>
      </w:r>
      <w:bookmarkEnd w:id="951"/>
      <w:bookmarkEnd w:id="952"/>
      <w:bookmarkEnd w:id="953"/>
      <w:bookmarkEnd w:id="954"/>
    </w:p>
    <w:p w14:paraId="353344CF">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663FF13F">
      <w:pPr>
        <w:tabs>
          <w:tab w:val="left" w:pos="567"/>
        </w:tabs>
        <w:autoSpaceDE w:val="0"/>
        <w:autoSpaceDN w:val="0"/>
        <w:adjustRightInd w:val="0"/>
        <w:spacing w:line="360" w:lineRule="auto"/>
        <w:jc w:val="left"/>
        <w:outlineLvl w:val="2"/>
        <w:rPr>
          <w:rFonts w:hint="default"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bookmarkStart w:id="955" w:name="_Toc4956"/>
      <w:bookmarkStart w:id="956" w:name="_Toc7378"/>
      <w:bookmarkStart w:id="957" w:name="_Toc19007"/>
      <w:bookmarkStart w:id="958" w:name="_Toc28334"/>
      <w:r>
        <w:rPr>
          <w:rFonts w:hint="eastAsia" w:ascii="宋体" w:hAnsi="宋体" w:eastAsia="宋体" w:cs="宋体"/>
          <w:b/>
          <w:color w:val="auto"/>
          <w:kern w:val="0"/>
          <w:sz w:val="30"/>
          <w:szCs w:val="30"/>
          <w:highlight w:val="none"/>
          <w:lang w:val="en-US" w:eastAsia="zh-CN"/>
        </w:rPr>
        <w:t>13.6 质量保证体系和措施（投标人自行编写）</w:t>
      </w:r>
      <w:bookmarkEnd w:id="955"/>
      <w:bookmarkEnd w:id="956"/>
      <w:bookmarkEnd w:id="957"/>
      <w:bookmarkEnd w:id="958"/>
    </w:p>
    <w:p w14:paraId="37EE355B">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025C29D5">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08771F8F">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bookmarkStart w:id="959" w:name="_Toc5116"/>
      <w:bookmarkStart w:id="960" w:name="_Toc18489"/>
      <w:bookmarkStart w:id="961" w:name="_Toc6260"/>
      <w:bookmarkStart w:id="962" w:name="_Toc29851"/>
      <w:r>
        <w:rPr>
          <w:rFonts w:hint="eastAsia" w:ascii="宋体" w:hAnsi="宋体" w:eastAsia="宋体" w:cs="宋体"/>
          <w:b/>
          <w:color w:val="auto"/>
          <w:kern w:val="0"/>
          <w:sz w:val="30"/>
          <w:szCs w:val="30"/>
          <w:highlight w:val="none"/>
          <w:lang w:val="en-US" w:eastAsia="zh-CN"/>
        </w:rPr>
        <w:t>13.7 投标人认为有必要提供的其它材料（不做强制要求）</w:t>
      </w:r>
      <w:bookmarkEnd w:id="939"/>
      <w:bookmarkEnd w:id="940"/>
      <w:bookmarkEnd w:id="941"/>
      <w:bookmarkEnd w:id="942"/>
      <w:bookmarkEnd w:id="943"/>
      <w:bookmarkEnd w:id="949"/>
      <w:bookmarkEnd w:id="950"/>
      <w:bookmarkEnd w:id="959"/>
      <w:bookmarkEnd w:id="960"/>
      <w:bookmarkEnd w:id="961"/>
      <w:bookmarkEnd w:id="962"/>
    </w:p>
    <w:p w14:paraId="6F4A731F">
      <w:pPr>
        <w:autoSpaceDE w:val="0"/>
        <w:autoSpaceDN w:val="0"/>
        <w:adjustRightInd w:val="0"/>
        <w:jc w:val="left"/>
        <w:rPr>
          <w:rFonts w:ascii="宋体" w:hAnsi="宋体" w:eastAsia="宋体" w:cs="Times New Roman"/>
          <w:color w:val="auto"/>
          <w:kern w:val="0"/>
          <w:sz w:val="24"/>
          <w:szCs w:val="24"/>
          <w:highlight w:val="none"/>
        </w:rPr>
      </w:pPr>
    </w:p>
    <w:p w14:paraId="321DE9FB">
      <w:pPr>
        <w:autoSpaceDE w:val="0"/>
        <w:autoSpaceDN w:val="0"/>
        <w:adjustRightInd w:val="0"/>
        <w:jc w:val="left"/>
        <w:rPr>
          <w:rFonts w:ascii="宋体" w:hAnsi="宋体" w:eastAsia="宋体" w:cs="Times New Roman"/>
          <w:color w:val="auto"/>
          <w:kern w:val="0"/>
          <w:sz w:val="24"/>
          <w:szCs w:val="24"/>
          <w:highlight w:val="none"/>
        </w:rPr>
      </w:pPr>
    </w:p>
    <w:p w14:paraId="09C9C48F">
      <w:pPr>
        <w:autoSpaceDE w:val="0"/>
        <w:autoSpaceDN w:val="0"/>
        <w:adjustRightInd w:val="0"/>
        <w:jc w:val="left"/>
        <w:rPr>
          <w:rFonts w:ascii="宋体" w:hAnsi="宋体" w:eastAsia="宋体" w:cs="Times New Roman"/>
          <w:color w:val="auto"/>
          <w:kern w:val="0"/>
          <w:sz w:val="24"/>
          <w:szCs w:val="24"/>
          <w:highlight w:val="none"/>
        </w:rPr>
      </w:pPr>
    </w:p>
    <w:p w14:paraId="7B08F836">
      <w:pPr>
        <w:autoSpaceDE w:val="0"/>
        <w:autoSpaceDN w:val="0"/>
        <w:adjustRightInd w:val="0"/>
        <w:jc w:val="left"/>
        <w:rPr>
          <w:rFonts w:ascii="宋体" w:hAnsi="宋体" w:eastAsia="宋体" w:cs="Times New Roman"/>
          <w:color w:val="auto"/>
          <w:kern w:val="0"/>
          <w:sz w:val="24"/>
          <w:szCs w:val="24"/>
          <w:highlight w:val="none"/>
        </w:rPr>
      </w:pPr>
    </w:p>
    <w:p w14:paraId="6605DB24">
      <w:pPr>
        <w:autoSpaceDE w:val="0"/>
        <w:autoSpaceDN w:val="0"/>
        <w:adjustRightInd w:val="0"/>
        <w:jc w:val="left"/>
        <w:rPr>
          <w:rFonts w:ascii="宋体" w:hAnsi="宋体" w:eastAsia="宋体" w:cs="Times New Roman"/>
          <w:color w:val="auto"/>
          <w:kern w:val="0"/>
          <w:sz w:val="24"/>
          <w:szCs w:val="24"/>
          <w:highlight w:val="none"/>
        </w:rPr>
      </w:pPr>
    </w:p>
    <w:p w14:paraId="4C65A3A8">
      <w:pPr>
        <w:autoSpaceDE w:val="0"/>
        <w:autoSpaceDN w:val="0"/>
        <w:adjustRightInd w:val="0"/>
        <w:jc w:val="left"/>
        <w:rPr>
          <w:rFonts w:ascii="宋体" w:hAnsi="宋体" w:eastAsia="宋体" w:cs="Times New Roman"/>
          <w:color w:val="auto"/>
          <w:kern w:val="0"/>
          <w:sz w:val="24"/>
          <w:szCs w:val="24"/>
          <w:highlight w:val="none"/>
        </w:rPr>
      </w:pPr>
    </w:p>
    <w:p w14:paraId="0B03311F">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495ECEC5">
      <w:pPr>
        <w:autoSpaceDE w:val="0"/>
        <w:autoSpaceDN w:val="0"/>
        <w:adjustRightInd w:val="0"/>
        <w:jc w:val="left"/>
        <w:rPr>
          <w:rFonts w:ascii="宋体" w:hAnsi="宋体" w:eastAsia="宋体" w:cs="Times New Roman"/>
          <w:color w:val="auto"/>
          <w:kern w:val="0"/>
          <w:sz w:val="24"/>
          <w:szCs w:val="24"/>
          <w:highlight w:val="none"/>
        </w:rPr>
      </w:pPr>
    </w:p>
    <w:p w14:paraId="1442D16F">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963" w:name="_Toc14708"/>
      <w:bookmarkStart w:id="964" w:name="_Toc28845"/>
      <w:bookmarkStart w:id="965" w:name="_Toc15176"/>
      <w:bookmarkStart w:id="966" w:name="_Toc142508390"/>
      <w:bookmarkStart w:id="967" w:name="_Toc25469"/>
      <w:bookmarkStart w:id="968" w:name="_Toc22601_WPSOffice_Level1"/>
      <w:bookmarkStart w:id="969" w:name="_Toc522047402"/>
      <w:bookmarkStart w:id="970" w:name="_Toc521918141"/>
      <w:r>
        <w:rPr>
          <w:rFonts w:hint="eastAsia" w:ascii="宋体" w:hAnsi="宋体" w:eastAsia="宋体" w:cs="宋体"/>
          <w:b/>
          <w:bCs/>
          <w:color w:val="auto"/>
          <w:kern w:val="44"/>
          <w:sz w:val="32"/>
          <w:szCs w:val="32"/>
          <w:highlight w:val="none"/>
          <w:lang w:val="zh-CN"/>
        </w:rPr>
        <w:t>附件一：评标工作大纲</w:t>
      </w:r>
      <w:bookmarkEnd w:id="963"/>
      <w:bookmarkEnd w:id="964"/>
      <w:bookmarkEnd w:id="965"/>
      <w:bookmarkEnd w:id="966"/>
      <w:bookmarkEnd w:id="967"/>
    </w:p>
    <w:p w14:paraId="22A52FD8">
      <w:pPr>
        <w:autoSpaceDE w:val="0"/>
        <w:autoSpaceDN w:val="0"/>
        <w:adjustRightInd w:val="0"/>
        <w:spacing w:line="400" w:lineRule="atLeast"/>
        <w:jc w:val="center"/>
        <w:rPr>
          <w:rFonts w:ascii="宋体" w:hAnsi="宋体" w:eastAsia="宋体" w:cs="宋体"/>
          <w:b/>
          <w:bCs/>
          <w:color w:val="auto"/>
          <w:szCs w:val="21"/>
          <w:highlight w:val="none"/>
        </w:rPr>
      </w:pPr>
    </w:p>
    <w:p w14:paraId="306A24DA">
      <w:pPr>
        <w:autoSpaceDE w:val="0"/>
        <w:autoSpaceDN w:val="0"/>
        <w:adjustRightInd w:val="0"/>
        <w:spacing w:line="400" w:lineRule="atLeast"/>
        <w:jc w:val="center"/>
        <w:rPr>
          <w:rFonts w:ascii="宋体" w:hAnsi="宋体" w:eastAsia="宋体" w:cs="宋体"/>
          <w:b/>
          <w:bCs/>
          <w:color w:val="auto"/>
          <w:szCs w:val="21"/>
          <w:highlight w:val="none"/>
        </w:rPr>
      </w:pPr>
    </w:p>
    <w:p w14:paraId="1E562140">
      <w:pPr>
        <w:autoSpaceDE w:val="0"/>
        <w:autoSpaceDN w:val="0"/>
        <w:adjustRightInd w:val="0"/>
        <w:spacing w:line="400" w:lineRule="atLeast"/>
        <w:jc w:val="center"/>
        <w:rPr>
          <w:rFonts w:ascii="宋体" w:hAnsi="宋体" w:eastAsia="宋体" w:cs="宋体"/>
          <w:b/>
          <w:bCs/>
          <w:color w:val="auto"/>
          <w:szCs w:val="21"/>
          <w:highlight w:val="none"/>
        </w:rPr>
      </w:pPr>
    </w:p>
    <w:p w14:paraId="24708B5F">
      <w:pPr>
        <w:autoSpaceDE w:val="0"/>
        <w:autoSpaceDN w:val="0"/>
        <w:adjustRightInd w:val="0"/>
        <w:spacing w:line="400" w:lineRule="atLeast"/>
        <w:jc w:val="center"/>
        <w:rPr>
          <w:rFonts w:ascii="宋体" w:hAnsi="宋体" w:eastAsia="宋体" w:cs="宋体"/>
          <w:b/>
          <w:bCs/>
          <w:color w:val="auto"/>
          <w:szCs w:val="21"/>
          <w:highlight w:val="none"/>
        </w:rPr>
      </w:pPr>
    </w:p>
    <w:p w14:paraId="618E5E4D">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东莞市水务集团净水有限公司2025年生产药剂液体乙酸钠采购项目</w:t>
      </w:r>
    </w:p>
    <w:p w14:paraId="30A8129F">
      <w:pPr>
        <w:autoSpaceDE w:val="0"/>
        <w:autoSpaceDN w:val="0"/>
        <w:adjustRightInd w:val="0"/>
        <w:spacing w:line="360" w:lineRule="auto"/>
        <w:jc w:val="center"/>
        <w:rPr>
          <w:rFonts w:ascii="宋体" w:hAnsi="宋体" w:eastAsia="宋体" w:cs="宋体"/>
          <w:b/>
          <w:bCs/>
          <w:color w:val="auto"/>
          <w:sz w:val="36"/>
          <w:szCs w:val="36"/>
          <w:highlight w:val="none"/>
        </w:rPr>
      </w:pPr>
      <w:bookmarkStart w:id="971" w:name="_Toc14752_WPSOffice_Level1"/>
      <w:r>
        <w:rPr>
          <w:rFonts w:hint="eastAsia" w:ascii="宋体" w:hAnsi="宋体" w:eastAsia="宋体" w:cs="宋体"/>
          <w:b/>
          <w:bCs/>
          <w:color w:val="auto"/>
          <w:sz w:val="36"/>
          <w:szCs w:val="36"/>
          <w:highlight w:val="none"/>
          <w:lang w:val="zh-CN"/>
        </w:rPr>
        <w:t>（招标编号：WTZB2024DG0079）</w:t>
      </w:r>
      <w:bookmarkEnd w:id="971"/>
    </w:p>
    <w:p w14:paraId="21CDE726">
      <w:pPr>
        <w:autoSpaceDE w:val="0"/>
        <w:autoSpaceDN w:val="0"/>
        <w:adjustRightInd w:val="0"/>
        <w:spacing w:line="400" w:lineRule="atLeast"/>
        <w:jc w:val="center"/>
        <w:rPr>
          <w:rFonts w:ascii="宋体" w:hAnsi="宋体" w:eastAsia="宋体" w:cs="宋体"/>
          <w:b/>
          <w:bCs/>
          <w:color w:val="auto"/>
          <w:sz w:val="36"/>
          <w:szCs w:val="36"/>
          <w:highlight w:val="none"/>
        </w:rPr>
      </w:pPr>
    </w:p>
    <w:p w14:paraId="0A5191B5">
      <w:pPr>
        <w:autoSpaceDE w:val="0"/>
        <w:autoSpaceDN w:val="0"/>
        <w:adjustRightInd w:val="0"/>
        <w:spacing w:line="400" w:lineRule="atLeast"/>
        <w:jc w:val="center"/>
        <w:rPr>
          <w:rFonts w:ascii="宋体" w:hAnsi="宋体" w:eastAsia="宋体" w:cs="宋体"/>
          <w:b/>
          <w:bCs/>
          <w:color w:val="auto"/>
          <w:sz w:val="36"/>
          <w:szCs w:val="36"/>
          <w:highlight w:val="none"/>
        </w:rPr>
      </w:pPr>
    </w:p>
    <w:p w14:paraId="72C1AB1D">
      <w:pPr>
        <w:autoSpaceDE w:val="0"/>
        <w:autoSpaceDN w:val="0"/>
        <w:adjustRightInd w:val="0"/>
        <w:spacing w:line="400" w:lineRule="atLeast"/>
        <w:jc w:val="center"/>
        <w:rPr>
          <w:rFonts w:ascii="宋体" w:hAnsi="宋体" w:eastAsia="宋体" w:cs="宋体"/>
          <w:b/>
          <w:bCs/>
          <w:color w:val="auto"/>
          <w:sz w:val="36"/>
          <w:szCs w:val="36"/>
          <w:highlight w:val="none"/>
        </w:rPr>
      </w:pPr>
    </w:p>
    <w:p w14:paraId="5B4280FD">
      <w:pPr>
        <w:autoSpaceDE w:val="0"/>
        <w:autoSpaceDN w:val="0"/>
        <w:adjustRightInd w:val="0"/>
        <w:spacing w:line="400" w:lineRule="atLeast"/>
        <w:jc w:val="center"/>
        <w:rPr>
          <w:rFonts w:ascii="宋体" w:hAnsi="宋体" w:eastAsia="宋体" w:cs="宋体"/>
          <w:b/>
          <w:bCs/>
          <w:color w:val="auto"/>
          <w:sz w:val="36"/>
          <w:szCs w:val="36"/>
          <w:highlight w:val="none"/>
        </w:rPr>
      </w:pPr>
    </w:p>
    <w:p w14:paraId="2F1F5106">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972" w:name="_Toc18947_WPSOffice_Level2"/>
      <w:r>
        <w:rPr>
          <w:rFonts w:hint="eastAsia" w:ascii="宋体" w:hAnsi="宋体" w:eastAsia="宋体" w:cs="宋体"/>
          <w:b/>
          <w:bCs/>
          <w:color w:val="auto"/>
          <w:sz w:val="72"/>
          <w:szCs w:val="72"/>
          <w:highlight w:val="none"/>
          <w:lang w:val="zh-CN"/>
        </w:rPr>
        <w:t>评标工作大纲</w:t>
      </w:r>
      <w:bookmarkEnd w:id="972"/>
    </w:p>
    <w:p w14:paraId="628FACC4">
      <w:pPr>
        <w:autoSpaceDE w:val="0"/>
        <w:autoSpaceDN w:val="0"/>
        <w:adjustRightInd w:val="0"/>
        <w:spacing w:line="400" w:lineRule="atLeast"/>
        <w:jc w:val="center"/>
        <w:rPr>
          <w:rFonts w:ascii="宋体" w:hAnsi="宋体" w:eastAsia="宋体" w:cs="宋体"/>
          <w:b/>
          <w:bCs/>
          <w:color w:val="auto"/>
          <w:sz w:val="36"/>
          <w:szCs w:val="36"/>
          <w:highlight w:val="none"/>
        </w:rPr>
      </w:pPr>
    </w:p>
    <w:p w14:paraId="1322DF69">
      <w:pPr>
        <w:autoSpaceDE w:val="0"/>
        <w:autoSpaceDN w:val="0"/>
        <w:adjustRightInd w:val="0"/>
        <w:spacing w:line="400" w:lineRule="atLeast"/>
        <w:rPr>
          <w:rFonts w:ascii="宋体" w:hAnsi="宋体" w:eastAsia="宋体" w:cs="宋体"/>
          <w:b/>
          <w:bCs/>
          <w:color w:val="auto"/>
          <w:sz w:val="36"/>
          <w:szCs w:val="36"/>
          <w:highlight w:val="none"/>
        </w:rPr>
      </w:pPr>
    </w:p>
    <w:p w14:paraId="2ECEF532">
      <w:pPr>
        <w:autoSpaceDE w:val="0"/>
        <w:autoSpaceDN w:val="0"/>
        <w:adjustRightInd w:val="0"/>
        <w:spacing w:line="400" w:lineRule="atLeast"/>
        <w:jc w:val="center"/>
        <w:rPr>
          <w:rFonts w:ascii="宋体" w:hAnsi="宋体" w:eastAsia="宋体" w:cs="宋体"/>
          <w:b/>
          <w:bCs/>
          <w:color w:val="auto"/>
          <w:sz w:val="36"/>
          <w:szCs w:val="36"/>
          <w:highlight w:val="none"/>
        </w:rPr>
      </w:pPr>
    </w:p>
    <w:p w14:paraId="5B80440B">
      <w:pPr>
        <w:autoSpaceDE w:val="0"/>
        <w:autoSpaceDN w:val="0"/>
        <w:adjustRightInd w:val="0"/>
        <w:spacing w:line="400" w:lineRule="atLeast"/>
        <w:jc w:val="center"/>
        <w:rPr>
          <w:rFonts w:ascii="宋体" w:hAnsi="宋体" w:eastAsia="宋体" w:cs="宋体"/>
          <w:b/>
          <w:bCs/>
          <w:color w:val="auto"/>
          <w:sz w:val="36"/>
          <w:szCs w:val="36"/>
          <w:highlight w:val="none"/>
        </w:rPr>
      </w:pPr>
    </w:p>
    <w:p w14:paraId="2013D184">
      <w:pPr>
        <w:autoSpaceDE w:val="0"/>
        <w:autoSpaceDN w:val="0"/>
        <w:adjustRightInd w:val="0"/>
        <w:spacing w:line="400" w:lineRule="atLeast"/>
        <w:jc w:val="center"/>
        <w:rPr>
          <w:rFonts w:ascii="宋体" w:hAnsi="宋体" w:eastAsia="宋体" w:cs="宋体"/>
          <w:b/>
          <w:bCs/>
          <w:color w:val="auto"/>
          <w:sz w:val="36"/>
          <w:szCs w:val="36"/>
          <w:highlight w:val="none"/>
        </w:rPr>
      </w:pPr>
    </w:p>
    <w:p w14:paraId="5A6605EE">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广州宏达工程顾问集团有限公司</w:t>
      </w:r>
    </w:p>
    <w:p w14:paraId="406F2B14">
      <w:pPr>
        <w:autoSpaceDE w:val="0"/>
        <w:autoSpaceDN w:val="0"/>
        <w:adjustRightInd w:val="0"/>
        <w:spacing w:line="400" w:lineRule="atLeast"/>
        <w:jc w:val="center"/>
        <w:rPr>
          <w:rFonts w:ascii="宋体" w:hAnsi="宋体" w:eastAsia="宋体" w:cs="宋体"/>
          <w:b/>
          <w:bCs/>
          <w:color w:val="auto"/>
          <w:sz w:val="36"/>
          <w:szCs w:val="36"/>
          <w:highlight w:val="none"/>
        </w:rPr>
      </w:pPr>
    </w:p>
    <w:p w14:paraId="5B0FAEBF">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973" w:name="_Toc32395_WPSOffice_Level1"/>
      <w:r>
        <w:rPr>
          <w:rFonts w:hint="eastAsia" w:ascii="宋体" w:hAnsi="宋体" w:eastAsia="宋体" w:cs="宋体"/>
          <w:b/>
          <w:bCs/>
          <w:color w:val="auto"/>
          <w:sz w:val="36"/>
          <w:szCs w:val="36"/>
          <w:highlight w:val="none"/>
          <w:lang w:val="zh-CN"/>
        </w:rPr>
        <w:t>目录</w:t>
      </w:r>
      <w:bookmarkEnd w:id="973"/>
    </w:p>
    <w:p w14:paraId="3C72A73C">
      <w:pPr>
        <w:autoSpaceDE w:val="0"/>
        <w:autoSpaceDN w:val="0"/>
        <w:adjustRightInd w:val="0"/>
        <w:spacing w:line="400" w:lineRule="atLeast"/>
        <w:jc w:val="center"/>
        <w:rPr>
          <w:rFonts w:ascii="宋体" w:hAnsi="宋体" w:eastAsia="宋体" w:cs="宋体"/>
          <w:color w:val="auto"/>
          <w:sz w:val="44"/>
          <w:szCs w:val="44"/>
          <w:highlight w:val="none"/>
        </w:rPr>
      </w:pPr>
    </w:p>
    <w:p w14:paraId="2894BA3A">
      <w:pPr>
        <w:autoSpaceDE w:val="0"/>
        <w:autoSpaceDN w:val="0"/>
        <w:adjustRightInd w:val="0"/>
        <w:spacing w:line="360" w:lineRule="auto"/>
        <w:ind w:left="567" w:hanging="567"/>
        <w:rPr>
          <w:rFonts w:ascii="宋体" w:hAnsi="宋体" w:eastAsia="宋体" w:cs="宋体"/>
          <w:color w:val="auto"/>
          <w:szCs w:val="30"/>
          <w:highlight w:val="none"/>
        </w:rPr>
      </w:pPr>
      <w:bookmarkStart w:id="974"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974"/>
    </w:p>
    <w:p w14:paraId="7F0BEB22">
      <w:pPr>
        <w:autoSpaceDE w:val="0"/>
        <w:autoSpaceDN w:val="0"/>
        <w:adjustRightInd w:val="0"/>
        <w:spacing w:line="360" w:lineRule="auto"/>
        <w:ind w:left="567" w:hanging="567"/>
        <w:rPr>
          <w:rFonts w:ascii="宋体" w:hAnsi="宋体" w:eastAsia="宋体" w:cs="宋体"/>
          <w:color w:val="auto"/>
          <w:szCs w:val="30"/>
          <w:highlight w:val="none"/>
        </w:rPr>
      </w:pPr>
      <w:bookmarkStart w:id="975"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975"/>
    </w:p>
    <w:p w14:paraId="6FAE717E">
      <w:pPr>
        <w:autoSpaceDE w:val="0"/>
        <w:autoSpaceDN w:val="0"/>
        <w:adjustRightInd w:val="0"/>
        <w:spacing w:line="360" w:lineRule="auto"/>
        <w:ind w:left="567" w:hanging="567"/>
        <w:rPr>
          <w:rFonts w:ascii="宋体" w:hAnsi="宋体" w:eastAsia="宋体" w:cs="宋体"/>
          <w:color w:val="auto"/>
          <w:szCs w:val="30"/>
          <w:highlight w:val="none"/>
        </w:rPr>
      </w:pPr>
      <w:bookmarkStart w:id="976"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976"/>
    </w:p>
    <w:p w14:paraId="5F083380">
      <w:pPr>
        <w:autoSpaceDE w:val="0"/>
        <w:autoSpaceDN w:val="0"/>
        <w:adjustRightInd w:val="0"/>
        <w:spacing w:line="360" w:lineRule="auto"/>
        <w:ind w:left="567" w:hanging="567"/>
        <w:rPr>
          <w:rFonts w:ascii="宋体" w:hAnsi="宋体" w:eastAsia="宋体" w:cs="宋体"/>
          <w:color w:val="auto"/>
          <w:szCs w:val="30"/>
          <w:highlight w:val="none"/>
        </w:rPr>
      </w:pPr>
      <w:bookmarkStart w:id="977" w:name="_Toc1206_WPSOffice_Level1"/>
      <w:r>
        <w:rPr>
          <w:rFonts w:hint="eastAsia" w:ascii="宋体" w:hAnsi="宋体" w:eastAsia="宋体" w:cs="宋体"/>
          <w:color w:val="auto"/>
          <w:szCs w:val="30"/>
          <w:highlight w:val="none"/>
        </w:rPr>
        <w:t>四、 比较和评价</w:t>
      </w:r>
      <w:bookmarkEnd w:id="977"/>
    </w:p>
    <w:p w14:paraId="01FBC355">
      <w:pPr>
        <w:autoSpaceDE w:val="0"/>
        <w:autoSpaceDN w:val="0"/>
        <w:adjustRightInd w:val="0"/>
        <w:spacing w:line="360" w:lineRule="auto"/>
        <w:ind w:left="567" w:hanging="567"/>
        <w:rPr>
          <w:rFonts w:ascii="宋体" w:hAnsi="宋体" w:eastAsia="宋体" w:cs="宋体"/>
          <w:color w:val="auto"/>
          <w:szCs w:val="30"/>
          <w:highlight w:val="none"/>
        </w:rPr>
      </w:pPr>
      <w:bookmarkStart w:id="978"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978"/>
    </w:p>
    <w:p w14:paraId="68C76775">
      <w:pPr>
        <w:autoSpaceDE w:val="0"/>
        <w:autoSpaceDN w:val="0"/>
        <w:adjustRightInd w:val="0"/>
        <w:spacing w:line="360" w:lineRule="auto"/>
        <w:ind w:left="567" w:hanging="567"/>
        <w:rPr>
          <w:rFonts w:ascii="宋体" w:hAnsi="宋体" w:eastAsia="宋体" w:cs="宋体"/>
          <w:color w:val="auto"/>
          <w:szCs w:val="30"/>
          <w:highlight w:val="none"/>
        </w:rPr>
      </w:pPr>
      <w:bookmarkStart w:id="979"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979"/>
    </w:p>
    <w:p w14:paraId="0129D866">
      <w:pPr>
        <w:autoSpaceDE w:val="0"/>
        <w:autoSpaceDN w:val="0"/>
        <w:adjustRightInd w:val="0"/>
        <w:spacing w:line="360" w:lineRule="auto"/>
        <w:ind w:left="567" w:hanging="567"/>
        <w:rPr>
          <w:rFonts w:ascii="宋体" w:hAnsi="宋体" w:eastAsia="宋体" w:cs="宋体"/>
          <w:color w:val="auto"/>
          <w:szCs w:val="30"/>
          <w:highlight w:val="none"/>
        </w:rPr>
      </w:pPr>
      <w:bookmarkStart w:id="980"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980"/>
    </w:p>
    <w:p w14:paraId="37623C09">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4A4C23A1">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7C48341B">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5BCC0E55">
      <w:pPr>
        <w:tabs>
          <w:tab w:val="left" w:pos="1140"/>
        </w:tabs>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r>
        <w:rPr>
          <w:rFonts w:hint="eastAsia" w:ascii="宋体" w:hAnsi="宋体" w:eastAsia="宋体" w:cs="宋体"/>
          <w:color w:val="auto"/>
          <w:sz w:val="30"/>
          <w:szCs w:val="30"/>
          <w:highlight w:val="none"/>
        </w:rPr>
        <w:br w:type="page"/>
      </w:r>
      <w:bookmarkStart w:id="981" w:name="_Toc27181_WPSOffice_Level1"/>
      <w:r>
        <w:rPr>
          <w:rFonts w:hint="eastAsia" w:ascii="宋体" w:hAnsi="宋体" w:eastAsia="宋体" w:cs="宋体"/>
          <w:b/>
          <w:bCs/>
          <w:color w:val="auto"/>
          <w:sz w:val="28"/>
          <w:szCs w:val="28"/>
          <w:highlight w:val="none"/>
          <w:lang w:val="zh-CN"/>
        </w:rPr>
        <w:t>一、总则</w:t>
      </w:r>
      <w:bookmarkEnd w:id="981"/>
    </w:p>
    <w:p w14:paraId="5A75EB8C">
      <w:pPr>
        <w:tabs>
          <w:tab w:val="left" w:pos="567"/>
          <w:tab w:val="left" w:pos="600"/>
        </w:tabs>
        <w:autoSpaceDE w:val="0"/>
        <w:autoSpaceDN w:val="0"/>
        <w:adjustRightInd w:val="0"/>
        <w:spacing w:line="360" w:lineRule="auto"/>
        <w:ind w:left="600" w:hanging="600"/>
        <w:outlineLvl w:val="9"/>
        <w:rPr>
          <w:rFonts w:ascii="宋体" w:hAnsi="宋体" w:eastAsia="宋体" w:cs="宋体"/>
          <w:b/>
          <w:bCs/>
          <w:color w:val="auto"/>
          <w:szCs w:val="24"/>
          <w:highlight w:val="none"/>
          <w:lang w:val="zh-CN"/>
        </w:rPr>
      </w:pPr>
      <w:bookmarkStart w:id="982" w:name="_Toc31157"/>
      <w:bookmarkStart w:id="983" w:name="_Toc30391"/>
      <w:r>
        <w:rPr>
          <w:rFonts w:hint="eastAsia" w:ascii="宋体" w:hAnsi="宋体" w:eastAsia="宋体" w:cs="宋体"/>
          <w:b/>
          <w:bCs/>
          <w:color w:val="auto"/>
          <w:szCs w:val="24"/>
          <w:highlight w:val="none"/>
          <w:lang w:val="zh-CN"/>
        </w:rPr>
        <w:t>1、一般规定</w:t>
      </w:r>
      <w:bookmarkEnd w:id="982"/>
      <w:bookmarkEnd w:id="983"/>
    </w:p>
    <w:p w14:paraId="6E34470A">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东莞市水务集团净水有限公司2025年生产药剂液体乙酸钠采购项目</w:t>
      </w:r>
      <w:r>
        <w:rPr>
          <w:rFonts w:hint="eastAsia" w:ascii="宋体" w:hAnsi="宋体" w:eastAsia="宋体" w:cs="宋体"/>
          <w:color w:val="auto"/>
          <w:szCs w:val="21"/>
          <w:highlight w:val="none"/>
          <w:lang w:val="zh-CN"/>
        </w:rPr>
        <w:t>(招标编号：WTZB2024DG0079</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587313A3">
      <w:pPr>
        <w:autoSpaceDE w:val="0"/>
        <w:autoSpaceDN w:val="0"/>
        <w:adjustRightInd w:val="0"/>
        <w:spacing w:line="360" w:lineRule="auto"/>
        <w:ind w:left="567" w:hanging="567"/>
        <w:outlineLvl w:val="9"/>
        <w:rPr>
          <w:rFonts w:ascii="宋体" w:hAnsi="宋体" w:eastAsia="宋体" w:cs="宋体"/>
          <w:color w:val="auto"/>
          <w:szCs w:val="24"/>
          <w:highlight w:val="none"/>
          <w:lang w:val="zh-CN"/>
        </w:rPr>
      </w:pPr>
      <w:bookmarkStart w:id="984" w:name="_Toc20989"/>
      <w:bookmarkStart w:id="985" w:name="_Toc24623"/>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bookmarkEnd w:id="984"/>
      <w:bookmarkEnd w:id="985"/>
    </w:p>
    <w:p w14:paraId="7E98CDEA">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广州宏达工程顾问集团有限公司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14:paraId="12D37AB5">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01809A0A">
      <w:pPr>
        <w:numPr>
          <w:ilvl w:val="1"/>
          <w:numId w:val="4"/>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7BC89A14">
      <w:pPr>
        <w:autoSpaceDE w:val="0"/>
        <w:autoSpaceDN w:val="0"/>
        <w:adjustRightInd w:val="0"/>
        <w:spacing w:line="360" w:lineRule="auto"/>
        <w:rPr>
          <w:rFonts w:ascii="宋体" w:hAnsi="宋体" w:eastAsia="宋体" w:cs="宋体"/>
          <w:color w:val="auto"/>
          <w:sz w:val="24"/>
          <w:szCs w:val="24"/>
          <w:highlight w:val="none"/>
          <w:lang w:val="zh-CN"/>
        </w:rPr>
      </w:pPr>
    </w:p>
    <w:p w14:paraId="4F79451B">
      <w:pPr>
        <w:tabs>
          <w:tab w:val="left" w:pos="567"/>
          <w:tab w:val="left" w:pos="600"/>
        </w:tabs>
        <w:autoSpaceDE w:val="0"/>
        <w:autoSpaceDN w:val="0"/>
        <w:adjustRightInd w:val="0"/>
        <w:spacing w:line="360" w:lineRule="auto"/>
        <w:ind w:left="600" w:hanging="600"/>
        <w:outlineLvl w:val="9"/>
        <w:rPr>
          <w:rFonts w:hint="eastAsia" w:ascii="宋体" w:hAnsi="宋体" w:eastAsia="宋体" w:cs="宋体"/>
          <w:b/>
          <w:bCs/>
          <w:color w:val="auto"/>
          <w:szCs w:val="24"/>
          <w:highlight w:val="none"/>
          <w:lang w:val="zh-CN"/>
        </w:rPr>
      </w:pPr>
      <w:bookmarkStart w:id="986" w:name="_Toc28074"/>
      <w:bookmarkStart w:id="987" w:name="_Toc313"/>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bookmarkEnd w:id="986"/>
      <w:bookmarkEnd w:id="987"/>
    </w:p>
    <w:p w14:paraId="7994046B">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hint="eastAsia" w:ascii="宋体" w:hAnsi="宋体" w:eastAsia="宋体" w:cs="宋体"/>
          <w:b/>
          <w:bCs/>
          <w:color w:val="auto"/>
          <w:kern w:val="0"/>
          <w:szCs w:val="24"/>
          <w:highlight w:val="none"/>
          <w:lang w:val="en-US" w:eastAsia="zh-CN"/>
        </w:rPr>
        <w:t>7</w:t>
      </w:r>
      <w:r>
        <w:rPr>
          <w:rFonts w:ascii="宋体" w:hAnsi="宋体" w:eastAsia="宋体" w:cs="宋体"/>
          <w:b/>
          <w:bCs/>
          <w:color w:val="auto"/>
          <w:kern w:val="0"/>
          <w:szCs w:val="24"/>
          <w:highlight w:val="none"/>
        </w:rPr>
        <w:t>人以上（含</w:t>
      </w:r>
      <w:r>
        <w:rPr>
          <w:rFonts w:hint="eastAsia" w:ascii="宋体" w:hAnsi="宋体" w:eastAsia="宋体" w:cs="宋体"/>
          <w:b/>
          <w:bCs/>
          <w:color w:val="auto"/>
          <w:kern w:val="0"/>
          <w:szCs w:val="24"/>
          <w:highlight w:val="none"/>
          <w:lang w:val="en-US" w:eastAsia="zh-CN"/>
        </w:rPr>
        <w:t>7</w:t>
      </w:r>
      <w:r>
        <w:rPr>
          <w:rFonts w:ascii="宋体" w:hAnsi="宋体" w:eastAsia="宋体" w:cs="宋体"/>
          <w:b/>
          <w:bCs/>
          <w:color w:val="auto"/>
          <w:kern w:val="0"/>
          <w:szCs w:val="24"/>
          <w:highlight w:val="none"/>
        </w:rPr>
        <w:t>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2AE28C4E">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40946C06">
      <w:pPr>
        <w:autoSpaceDE w:val="0"/>
        <w:autoSpaceDN w:val="0"/>
        <w:adjustRightInd w:val="0"/>
        <w:spacing w:line="360" w:lineRule="auto"/>
        <w:ind w:left="600" w:hanging="600"/>
        <w:outlineLvl w:val="9"/>
        <w:rPr>
          <w:rFonts w:ascii="宋体" w:hAnsi="宋体" w:eastAsia="宋体" w:cs="宋体"/>
          <w:color w:val="auto"/>
          <w:szCs w:val="24"/>
          <w:highlight w:val="none"/>
          <w:lang w:val="zh-CN"/>
        </w:rPr>
      </w:pPr>
      <w:bookmarkStart w:id="988" w:name="_Toc20354"/>
      <w:bookmarkStart w:id="989" w:name="_Toc12536"/>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bookmarkEnd w:id="988"/>
      <w:bookmarkEnd w:id="989"/>
    </w:p>
    <w:p w14:paraId="61C7EC1E">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3B7B2682">
      <w:pPr>
        <w:autoSpaceDE w:val="0"/>
        <w:autoSpaceDN w:val="0"/>
        <w:adjustRightInd w:val="0"/>
        <w:spacing w:line="360" w:lineRule="auto"/>
        <w:rPr>
          <w:rFonts w:ascii="宋体" w:hAnsi="宋体" w:eastAsia="宋体" w:cs="宋体"/>
          <w:color w:val="auto"/>
          <w:sz w:val="24"/>
          <w:szCs w:val="24"/>
          <w:highlight w:val="none"/>
          <w:lang w:val="zh-CN"/>
        </w:rPr>
      </w:pPr>
    </w:p>
    <w:p w14:paraId="07AAEC76">
      <w:pPr>
        <w:tabs>
          <w:tab w:val="left" w:pos="567"/>
          <w:tab w:val="left" w:pos="600"/>
        </w:tabs>
        <w:autoSpaceDE w:val="0"/>
        <w:autoSpaceDN w:val="0"/>
        <w:adjustRightInd w:val="0"/>
        <w:spacing w:line="360" w:lineRule="auto"/>
        <w:ind w:left="600" w:hanging="600"/>
        <w:outlineLvl w:val="9"/>
        <w:rPr>
          <w:rFonts w:hint="eastAsia" w:ascii="宋体" w:hAnsi="宋体" w:eastAsia="宋体" w:cs="宋体"/>
          <w:b/>
          <w:bCs/>
          <w:color w:val="auto"/>
          <w:szCs w:val="24"/>
          <w:highlight w:val="none"/>
          <w:lang w:val="zh-CN"/>
        </w:rPr>
      </w:pPr>
      <w:bookmarkStart w:id="990" w:name="_Toc10133"/>
      <w:bookmarkStart w:id="991" w:name="_Toc25616"/>
      <w:r>
        <w:rPr>
          <w:rFonts w:hint="eastAsia" w:ascii="宋体" w:hAnsi="宋体" w:eastAsia="宋体" w:cs="宋体"/>
          <w:b/>
          <w:bCs/>
          <w:color w:val="auto"/>
          <w:szCs w:val="24"/>
          <w:highlight w:val="none"/>
          <w:lang w:val="zh-CN"/>
        </w:rPr>
        <w:t>3、评标委员会职责</w:t>
      </w:r>
      <w:bookmarkEnd w:id="990"/>
      <w:bookmarkEnd w:id="991"/>
    </w:p>
    <w:p w14:paraId="500EF81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0F1B137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745AD227">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1B99831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494AA7AC">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02240C33">
      <w:pPr>
        <w:tabs>
          <w:tab w:val="left" w:pos="567"/>
          <w:tab w:val="left" w:pos="600"/>
        </w:tabs>
        <w:autoSpaceDE w:val="0"/>
        <w:autoSpaceDN w:val="0"/>
        <w:adjustRightInd w:val="0"/>
        <w:spacing w:line="360" w:lineRule="auto"/>
        <w:ind w:left="600" w:hanging="600"/>
        <w:outlineLvl w:val="9"/>
        <w:rPr>
          <w:rFonts w:hint="eastAsia" w:ascii="宋体" w:hAnsi="宋体" w:eastAsia="宋体" w:cs="宋体"/>
          <w:b/>
          <w:bCs/>
          <w:color w:val="auto"/>
          <w:szCs w:val="24"/>
          <w:highlight w:val="none"/>
          <w:lang w:val="zh-CN"/>
        </w:rPr>
      </w:pPr>
      <w:bookmarkStart w:id="992" w:name="_Toc11800"/>
      <w:bookmarkStart w:id="993" w:name="_Toc14051"/>
      <w:r>
        <w:rPr>
          <w:rFonts w:hint="eastAsia" w:ascii="宋体" w:hAnsi="宋体" w:eastAsia="宋体" w:cs="宋体"/>
          <w:b/>
          <w:bCs/>
          <w:color w:val="auto"/>
          <w:szCs w:val="24"/>
          <w:highlight w:val="none"/>
          <w:lang w:val="zh-CN"/>
        </w:rPr>
        <w:t>4、评标委员会义务</w:t>
      </w:r>
      <w:bookmarkEnd w:id="992"/>
      <w:bookmarkEnd w:id="993"/>
    </w:p>
    <w:p w14:paraId="4A655259">
      <w:pPr>
        <w:autoSpaceDE w:val="0"/>
        <w:autoSpaceDN w:val="0"/>
        <w:adjustRightInd w:val="0"/>
        <w:spacing w:line="360" w:lineRule="auto"/>
        <w:jc w:val="left"/>
        <w:outlineLvl w:val="9"/>
        <w:rPr>
          <w:rFonts w:ascii="宋体" w:hAnsi="宋体" w:eastAsia="宋体" w:cs="宋体"/>
          <w:color w:val="auto"/>
          <w:kern w:val="0"/>
          <w:szCs w:val="24"/>
          <w:highlight w:val="none"/>
          <w:lang w:val="zh-CN"/>
        </w:rPr>
      </w:pPr>
      <w:bookmarkStart w:id="994" w:name="_Toc22297"/>
      <w:bookmarkStart w:id="995" w:name="_Toc24958"/>
      <w:r>
        <w:rPr>
          <w:rFonts w:hint="eastAsia" w:ascii="宋体" w:hAnsi="宋体" w:eastAsia="宋体" w:cs="宋体"/>
          <w:color w:val="auto"/>
          <w:kern w:val="0"/>
          <w:szCs w:val="24"/>
          <w:highlight w:val="none"/>
          <w:lang w:val="zh-CN"/>
        </w:rPr>
        <w:t>4.1  遵纪守法，客观、公正、廉洁地履行职责；</w:t>
      </w:r>
      <w:bookmarkEnd w:id="994"/>
      <w:bookmarkEnd w:id="995"/>
    </w:p>
    <w:p w14:paraId="06594B67">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78DE385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39E2BFB1">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14B3D2D1">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48B8F8CF">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6DDEF840">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6942B312">
      <w:pPr>
        <w:tabs>
          <w:tab w:val="left" w:pos="567"/>
          <w:tab w:val="left" w:pos="600"/>
        </w:tabs>
        <w:autoSpaceDE w:val="0"/>
        <w:autoSpaceDN w:val="0"/>
        <w:adjustRightInd w:val="0"/>
        <w:spacing w:line="360" w:lineRule="auto"/>
        <w:ind w:left="600" w:hanging="600"/>
        <w:outlineLvl w:val="9"/>
        <w:rPr>
          <w:rFonts w:hint="eastAsia" w:ascii="宋体" w:hAnsi="宋体" w:eastAsia="宋体" w:cs="宋体"/>
          <w:b/>
          <w:bCs/>
          <w:color w:val="auto"/>
          <w:szCs w:val="24"/>
          <w:highlight w:val="none"/>
          <w:lang w:val="zh-CN"/>
        </w:rPr>
      </w:pPr>
      <w:bookmarkStart w:id="996" w:name="_Toc11318"/>
      <w:bookmarkStart w:id="997" w:name="_Toc590"/>
      <w:r>
        <w:rPr>
          <w:rFonts w:hint="eastAsia" w:ascii="宋体" w:hAnsi="宋体" w:eastAsia="宋体" w:cs="宋体"/>
          <w:b/>
          <w:bCs/>
          <w:color w:val="auto"/>
          <w:szCs w:val="24"/>
          <w:highlight w:val="none"/>
          <w:lang w:val="zh-CN"/>
        </w:rPr>
        <w:t>5、评审程序</w:t>
      </w:r>
      <w:bookmarkEnd w:id="996"/>
      <w:bookmarkEnd w:id="997"/>
    </w:p>
    <w:p w14:paraId="17FE8B4F">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公开招标：</w:t>
      </w:r>
    </w:p>
    <w:p w14:paraId="786802AF">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14:paraId="5B0B1EAF">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14:paraId="0736300C">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14:paraId="61BCA9C2">
      <w:pPr>
        <w:autoSpaceDE w:val="0"/>
        <w:autoSpaceDN w:val="0"/>
        <w:adjustRightInd w:val="0"/>
        <w:spacing w:line="360" w:lineRule="auto"/>
        <w:ind w:left="567" w:hanging="567"/>
        <w:outlineLvl w:val="9"/>
        <w:rPr>
          <w:rFonts w:ascii="宋体" w:hAnsi="宋体" w:eastAsia="宋体" w:cs="Times New Roman"/>
          <w:color w:val="auto"/>
          <w:szCs w:val="24"/>
          <w:highlight w:val="none"/>
          <w:lang w:val="zh-CN"/>
        </w:rPr>
      </w:pPr>
      <w:bookmarkStart w:id="998" w:name="_Toc32616"/>
      <w:bookmarkStart w:id="999" w:name="_Toc19504"/>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bookmarkEnd w:id="998"/>
      <w:bookmarkEnd w:id="999"/>
    </w:p>
    <w:p w14:paraId="27DA6AF9">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14:paraId="6820A463">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14:paraId="34A18F71">
      <w:pPr>
        <w:autoSpaceDE w:val="0"/>
        <w:autoSpaceDN w:val="0"/>
        <w:adjustRightInd w:val="0"/>
        <w:spacing w:line="360" w:lineRule="auto"/>
        <w:ind w:left="525" w:hanging="525" w:hangingChars="250"/>
        <w:jc w:val="left"/>
        <w:outlineLvl w:val="9"/>
        <w:rPr>
          <w:rFonts w:ascii="宋体" w:hAnsi="宋体" w:eastAsia="宋体" w:cs="Times New Roman"/>
          <w:color w:val="auto"/>
          <w:szCs w:val="24"/>
          <w:highlight w:val="none"/>
          <w:lang w:val="zh-CN"/>
        </w:rPr>
      </w:pPr>
      <w:bookmarkStart w:id="1000" w:name="_Toc8001"/>
      <w:bookmarkStart w:id="1001" w:name="_Toc25895"/>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bookmarkEnd w:id="1000"/>
      <w:bookmarkEnd w:id="1001"/>
    </w:p>
    <w:p w14:paraId="7C91D34B">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14:paraId="4FB08556">
      <w:pPr>
        <w:autoSpaceDE w:val="0"/>
        <w:autoSpaceDN w:val="0"/>
        <w:adjustRightInd w:val="0"/>
        <w:spacing w:line="360" w:lineRule="auto"/>
        <w:ind w:left="185" w:leftChars="88" w:firstLine="3443" w:firstLineChars="1225"/>
        <w:outlineLvl w:val="9"/>
        <w:rPr>
          <w:rFonts w:hint="eastAsia" w:ascii="宋体" w:hAnsi="宋体" w:eastAsia="宋体" w:cs="宋体"/>
          <w:b/>
          <w:bCs/>
          <w:color w:val="auto"/>
          <w:sz w:val="28"/>
          <w:szCs w:val="28"/>
          <w:highlight w:val="none"/>
          <w:lang w:val="zh-CN"/>
        </w:rPr>
      </w:pPr>
      <w:bookmarkStart w:id="1002" w:name="_Toc27056"/>
      <w:bookmarkStart w:id="1003" w:name="_Toc19435_WPSOffice_Level1"/>
      <w:bookmarkStart w:id="1004" w:name="_Toc6714"/>
      <w:r>
        <w:rPr>
          <w:rFonts w:hint="eastAsia" w:ascii="宋体" w:hAnsi="宋体" w:eastAsia="宋体" w:cs="宋体"/>
          <w:b/>
          <w:bCs/>
          <w:color w:val="auto"/>
          <w:sz w:val="28"/>
          <w:szCs w:val="28"/>
          <w:highlight w:val="none"/>
          <w:lang w:val="zh-CN"/>
        </w:rPr>
        <w:t>二、投标文件的初审</w:t>
      </w:r>
      <w:bookmarkEnd w:id="1002"/>
      <w:bookmarkEnd w:id="1003"/>
      <w:bookmarkEnd w:id="1004"/>
    </w:p>
    <w:p w14:paraId="029A5DEB">
      <w:pPr>
        <w:tabs>
          <w:tab w:val="left" w:pos="567"/>
          <w:tab w:val="left" w:pos="600"/>
        </w:tabs>
        <w:autoSpaceDE w:val="0"/>
        <w:autoSpaceDN w:val="0"/>
        <w:adjustRightInd w:val="0"/>
        <w:spacing w:line="360" w:lineRule="auto"/>
        <w:ind w:left="600" w:hanging="600"/>
        <w:outlineLvl w:val="9"/>
        <w:rPr>
          <w:rFonts w:hint="eastAsia" w:ascii="宋体" w:hAnsi="宋体" w:eastAsia="宋体" w:cs="宋体"/>
          <w:b/>
          <w:bCs/>
          <w:color w:val="auto"/>
          <w:szCs w:val="24"/>
          <w:highlight w:val="none"/>
          <w:lang w:val="zh-CN"/>
        </w:rPr>
      </w:pPr>
      <w:bookmarkStart w:id="1005" w:name="_Toc25919"/>
      <w:bookmarkStart w:id="1006" w:name="_Toc5113"/>
      <w:r>
        <w:rPr>
          <w:rFonts w:hint="eastAsia" w:ascii="宋体" w:hAnsi="宋体" w:eastAsia="宋体" w:cs="宋体"/>
          <w:b/>
          <w:bCs/>
          <w:color w:val="auto"/>
          <w:szCs w:val="24"/>
          <w:highlight w:val="none"/>
          <w:lang w:val="zh-CN"/>
        </w:rPr>
        <w:t>6、投标文件的初审分为资格性检查和符合性检查。</w:t>
      </w:r>
      <w:bookmarkEnd w:id="1005"/>
      <w:bookmarkEnd w:id="1006"/>
    </w:p>
    <w:p w14:paraId="3E4EE4B9">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0D108EBE">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12A4E986">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szCs w:val="24"/>
          <w:highlight w:val="none"/>
          <w:lang w:val="en-US" w:eastAsia="zh-CN"/>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lang w:val="en-US" w:eastAsia="zh-CN"/>
        </w:rPr>
        <w:t>和性能</w:t>
      </w:r>
      <w:r>
        <w:rPr>
          <w:rFonts w:hint="eastAsia" w:ascii="宋体" w:hAnsi="宋体" w:eastAsia="宋体" w:cs="宋体"/>
          <w:color w:val="auto"/>
          <w:szCs w:val="24"/>
          <w:highlight w:val="none"/>
          <w:lang w:val="zh-CN"/>
        </w:rPr>
        <w:t>，或指与招标文件有实质不一致，限制了合同项下委托人的权利和承包人的义务, 或对该重大偏离的修改对提交实质性响应投标的其他投标人将不公平。</w:t>
      </w:r>
    </w:p>
    <w:p w14:paraId="20059194">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61636A3B">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70DED2CB">
      <w:pPr>
        <w:tabs>
          <w:tab w:val="left" w:pos="567"/>
          <w:tab w:val="left" w:pos="600"/>
        </w:tabs>
        <w:autoSpaceDE w:val="0"/>
        <w:autoSpaceDN w:val="0"/>
        <w:adjustRightInd w:val="0"/>
        <w:spacing w:line="360" w:lineRule="auto"/>
        <w:ind w:left="600" w:hanging="600"/>
        <w:outlineLvl w:val="9"/>
        <w:rPr>
          <w:rFonts w:hint="eastAsia" w:ascii="宋体" w:hAnsi="宋体" w:eastAsia="宋体" w:cs="宋体"/>
          <w:b/>
          <w:bCs/>
          <w:color w:val="auto"/>
          <w:szCs w:val="24"/>
          <w:highlight w:val="none"/>
          <w:lang w:val="zh-CN"/>
        </w:rPr>
      </w:pPr>
      <w:bookmarkStart w:id="1007" w:name="_Toc18199"/>
      <w:bookmarkStart w:id="1008" w:name="_Toc8679"/>
      <w:r>
        <w:rPr>
          <w:rFonts w:hint="eastAsia" w:ascii="宋体" w:hAnsi="宋体" w:eastAsia="宋体" w:cs="宋体"/>
          <w:b/>
          <w:bCs/>
          <w:color w:val="auto"/>
          <w:szCs w:val="24"/>
          <w:highlight w:val="none"/>
          <w:lang w:val="zh-CN"/>
        </w:rPr>
        <w:t>7、投标文件出现下列情况之一的，被认定为无效投标：</w:t>
      </w:r>
      <w:bookmarkEnd w:id="1007"/>
      <w:bookmarkEnd w:id="1008"/>
    </w:p>
    <w:p w14:paraId="4F59E49A">
      <w:pPr>
        <w:autoSpaceDE w:val="0"/>
        <w:autoSpaceDN w:val="0"/>
        <w:adjustRightInd w:val="0"/>
        <w:spacing w:line="360" w:lineRule="auto"/>
        <w:outlineLvl w:val="9"/>
        <w:rPr>
          <w:rFonts w:ascii="宋体" w:hAnsi="宋体" w:eastAsia="宋体" w:cs="宋体"/>
          <w:b/>
          <w:color w:val="auto"/>
          <w:szCs w:val="21"/>
          <w:highlight w:val="none"/>
          <w:lang w:val="zh-CN"/>
        </w:rPr>
      </w:pPr>
      <w:bookmarkStart w:id="1009" w:name="_Toc29809"/>
      <w:bookmarkStart w:id="1010" w:name="_Toc13515"/>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bookmarkEnd w:id="1009"/>
      <w:bookmarkEnd w:id="1010"/>
    </w:p>
    <w:p w14:paraId="5FFA0FCE">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color w:val="auto"/>
          <w:kern w:val="0"/>
          <w:szCs w:val="21"/>
          <w:highlight w:val="none"/>
        </w:rPr>
        <w:t>投标文件中的</w:t>
      </w:r>
      <w:r>
        <w:rPr>
          <w:rFonts w:hint="eastAsia" w:ascii="宋体" w:hAnsi="宋体" w:eastAsia="宋体" w:cs="Times New Roman"/>
          <w:b/>
          <w:bCs/>
          <w:color w:val="auto"/>
          <w:kern w:val="0"/>
          <w:szCs w:val="21"/>
          <w:highlight w:val="none"/>
        </w:rPr>
        <w:t>投标报价</w:t>
      </w:r>
      <w:r>
        <w:rPr>
          <w:rFonts w:hint="eastAsia" w:ascii="宋体" w:hAnsi="宋体" w:eastAsia="宋体" w:cs="Times New Roman"/>
          <w:b/>
          <w:bCs/>
          <w:color w:val="auto"/>
          <w:kern w:val="0"/>
          <w:szCs w:val="21"/>
          <w:highlight w:val="none"/>
          <w:lang w:val="en-US" w:eastAsia="zh-CN"/>
        </w:rPr>
        <w:t>或综合单价</w:t>
      </w:r>
      <w:r>
        <w:rPr>
          <w:rFonts w:hint="eastAsia" w:ascii="宋体" w:hAnsi="宋体" w:eastAsia="宋体" w:cs="Times New Roman"/>
          <w:b/>
          <w:bCs/>
          <w:color w:val="auto"/>
          <w:kern w:val="0"/>
          <w:szCs w:val="21"/>
          <w:highlight w:val="none"/>
        </w:rPr>
        <w:t>高于</w:t>
      </w:r>
      <w:r>
        <w:rPr>
          <w:rFonts w:hint="eastAsia" w:ascii="宋体" w:hAnsi="宋体" w:eastAsia="宋体" w:cs="Times New Roman"/>
          <w:b/>
          <w:bCs/>
          <w:color w:val="auto"/>
          <w:kern w:val="0"/>
          <w:szCs w:val="21"/>
          <w:highlight w:val="none"/>
          <w:lang w:val="en-US" w:eastAsia="zh-CN"/>
        </w:rPr>
        <w:t>不含税最高投标限价或不含税预算综合单价</w:t>
      </w:r>
      <w:r>
        <w:rPr>
          <w:rFonts w:hint="eastAsia" w:ascii="宋体" w:hAnsi="宋体" w:eastAsia="宋体" w:cs="Times New Roman"/>
          <w:b/>
          <w:bCs/>
          <w:color w:val="auto"/>
          <w:kern w:val="0"/>
          <w:szCs w:val="21"/>
          <w:highlight w:val="none"/>
        </w:rPr>
        <w:t>的</w:t>
      </w:r>
      <w:r>
        <w:rPr>
          <w:rFonts w:hint="eastAsia" w:ascii="宋体" w:hAnsi="宋体" w:eastAsia="宋体" w:cs="宋体"/>
          <w:b/>
          <w:bCs/>
          <w:color w:val="auto"/>
          <w:kern w:val="0"/>
          <w:szCs w:val="21"/>
          <w:highlight w:val="none"/>
        </w:rPr>
        <w:t>；</w:t>
      </w:r>
    </w:p>
    <w:p w14:paraId="0E5CAE89">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3668BDA7">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6E9A4ED3">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7047CDCB">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7.6  投标文件未按照招标文件规定要求密封；投标文件无法定代表人或其授权代表签字（或盖私章），或签字人无法定代表人有效授权的；签字盖章不符合招标文件要求的； </w:t>
      </w:r>
    </w:p>
    <w:p w14:paraId="6378899A">
      <w:pPr>
        <w:spacing w:line="360" w:lineRule="auto"/>
        <w:ind w:left="527" w:hanging="527" w:hangingChars="250"/>
        <w:outlineLvl w:val="9"/>
        <w:rPr>
          <w:rFonts w:ascii="宋体" w:hAnsi="宋体" w:eastAsia="宋体" w:cs="宋体"/>
          <w:b/>
          <w:bCs/>
          <w:color w:val="auto"/>
          <w:kern w:val="0"/>
          <w:szCs w:val="21"/>
          <w:highlight w:val="none"/>
        </w:rPr>
      </w:pPr>
      <w:bookmarkStart w:id="1011" w:name="_Toc24102"/>
      <w:bookmarkStart w:id="1012" w:name="_Toc24514"/>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rPr>
        <w:t>7</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bookmarkEnd w:id="1011"/>
      <w:bookmarkEnd w:id="1012"/>
    </w:p>
    <w:p w14:paraId="258F0A37">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7.8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6635DB9A">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9</w:t>
      </w:r>
      <w:r>
        <w:rPr>
          <w:rFonts w:ascii="宋体" w:hAnsi="宋体" w:eastAsia="宋体" w:cs="Times New Roman"/>
          <w:b/>
          <w:color w:val="auto"/>
          <w:kern w:val="0"/>
          <w:szCs w:val="21"/>
          <w:highlight w:val="none"/>
        </w:rPr>
        <w:t xml:space="preserve">  未提供或虚假填写《合同条款偏离表》，或对《合同条款偏离表》有负偏离的；</w:t>
      </w:r>
    </w:p>
    <w:p w14:paraId="65C8FB79">
      <w:pPr>
        <w:spacing w:line="360" w:lineRule="auto"/>
        <w:ind w:left="413" w:hanging="413" w:hangingChars="196"/>
        <w:outlineLvl w:val="9"/>
        <w:rPr>
          <w:rFonts w:ascii="宋体" w:hAnsi="宋体" w:eastAsia="宋体" w:cs="Times New Roman"/>
          <w:b/>
          <w:color w:val="auto"/>
          <w:kern w:val="0"/>
          <w:szCs w:val="21"/>
          <w:highlight w:val="none"/>
        </w:rPr>
      </w:pPr>
      <w:bookmarkStart w:id="1013" w:name="_Toc11567"/>
      <w:bookmarkStart w:id="1014" w:name="_Toc17951"/>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10</w:t>
      </w:r>
      <w:r>
        <w:rPr>
          <w:rFonts w:ascii="宋体" w:hAnsi="宋体" w:eastAsia="宋体" w:cs="Times New Roman"/>
          <w:b/>
          <w:color w:val="auto"/>
          <w:kern w:val="0"/>
          <w:szCs w:val="21"/>
          <w:highlight w:val="none"/>
        </w:rPr>
        <w:t xml:space="preserve">  未填写或虚假填写《用户需求偏离表》的；</w:t>
      </w:r>
      <w:bookmarkEnd w:id="1013"/>
      <w:bookmarkEnd w:id="1014"/>
    </w:p>
    <w:p w14:paraId="5F624B5D">
      <w:pPr>
        <w:spacing w:line="360" w:lineRule="auto"/>
        <w:ind w:left="413" w:hanging="413" w:hangingChars="196"/>
        <w:rPr>
          <w:rFonts w:hint="eastAsia"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11</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lang w:val="en-US" w:eastAsia="zh-CN"/>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p>
    <w:p w14:paraId="4036E8EC">
      <w:pPr>
        <w:spacing w:line="360" w:lineRule="auto"/>
        <w:ind w:left="413" w:hanging="413" w:hangingChars="196"/>
        <w:rPr>
          <w:rFonts w:hint="default" w:ascii="宋体" w:hAnsi="宋体" w:eastAsia="宋体" w:cs="Times New Roman"/>
          <w:b/>
          <w:color w:val="auto"/>
          <w:kern w:val="0"/>
          <w:szCs w:val="21"/>
          <w:highlight w:val="none"/>
          <w:lang w:val="en-US" w:eastAsia="zh-CN"/>
        </w:rPr>
      </w:pPr>
      <w:r>
        <w:rPr>
          <w:rFonts w:hint="eastAsia" w:ascii="宋体" w:hAnsi="宋体" w:eastAsia="宋体" w:cs="Times New Roman"/>
          <w:b/>
          <w:color w:val="auto"/>
          <w:kern w:val="0"/>
          <w:szCs w:val="21"/>
          <w:highlight w:val="none"/>
          <w:lang w:val="en-US" w:eastAsia="zh-CN"/>
        </w:rPr>
        <w:t>7.12  投标产品的制造商及取得投标产品制造商就本次投标独家授权的经销商同时参与本项目投标的。</w:t>
      </w:r>
    </w:p>
    <w:p w14:paraId="28C113B4">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6C50AE14">
      <w:pPr>
        <w:spacing w:line="360" w:lineRule="auto"/>
        <w:ind w:left="480"/>
        <w:rPr>
          <w:rFonts w:ascii="宋体" w:hAnsi="宋体" w:eastAsia="宋体" w:cs="宋体"/>
          <w:b/>
          <w:color w:val="auto"/>
          <w:kern w:val="0"/>
          <w:szCs w:val="21"/>
          <w:highlight w:val="none"/>
        </w:rPr>
      </w:pPr>
    </w:p>
    <w:p w14:paraId="72C49BB9">
      <w:pPr>
        <w:autoSpaceDE w:val="0"/>
        <w:autoSpaceDN w:val="0"/>
        <w:adjustRightInd w:val="0"/>
        <w:spacing w:line="360" w:lineRule="auto"/>
        <w:ind w:left="185" w:leftChars="88" w:firstLine="3443" w:firstLineChars="1225"/>
        <w:outlineLvl w:val="9"/>
        <w:rPr>
          <w:rFonts w:hint="eastAsia" w:ascii="宋体" w:hAnsi="宋体" w:eastAsia="宋体" w:cs="宋体"/>
          <w:b/>
          <w:bCs/>
          <w:color w:val="auto"/>
          <w:sz w:val="28"/>
          <w:szCs w:val="28"/>
          <w:highlight w:val="none"/>
          <w:lang w:val="zh-CN"/>
        </w:rPr>
      </w:pPr>
      <w:bookmarkStart w:id="1015" w:name="_Toc4109_WPSOffice_Level1"/>
      <w:bookmarkStart w:id="1016" w:name="_Toc28620"/>
      <w:bookmarkStart w:id="1017" w:name="_Toc11835"/>
      <w:r>
        <w:rPr>
          <w:rFonts w:hint="eastAsia" w:ascii="宋体" w:hAnsi="宋体" w:eastAsia="宋体" w:cs="宋体"/>
          <w:b/>
          <w:bCs/>
          <w:color w:val="auto"/>
          <w:sz w:val="28"/>
          <w:szCs w:val="28"/>
          <w:highlight w:val="none"/>
          <w:lang w:val="zh-CN"/>
        </w:rPr>
        <w:t>三、澄清有关问题</w:t>
      </w:r>
      <w:bookmarkEnd w:id="1015"/>
      <w:bookmarkEnd w:id="1016"/>
      <w:bookmarkEnd w:id="1017"/>
    </w:p>
    <w:p w14:paraId="63F05503">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2DAA9424">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5E88FDE0">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09131422">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66207AA6">
      <w:pPr>
        <w:spacing w:line="360" w:lineRule="auto"/>
        <w:ind w:left="424" w:hanging="424" w:hangingChars="202"/>
        <w:outlineLvl w:val="9"/>
        <w:rPr>
          <w:rFonts w:ascii="宋体" w:hAnsi="宋体" w:eastAsia="宋体" w:cs="宋体"/>
          <w:color w:val="auto"/>
          <w:kern w:val="0"/>
          <w:szCs w:val="21"/>
          <w:highlight w:val="none"/>
        </w:rPr>
      </w:pPr>
      <w:bookmarkStart w:id="1018" w:name="_Toc26832"/>
      <w:bookmarkStart w:id="1019" w:name="_Toc25833"/>
      <w:r>
        <w:rPr>
          <w:rFonts w:hint="eastAsia" w:ascii="宋体" w:hAnsi="宋体" w:eastAsia="宋体" w:cs="宋体"/>
          <w:color w:val="auto"/>
          <w:kern w:val="0"/>
          <w:szCs w:val="21"/>
          <w:highlight w:val="none"/>
        </w:rPr>
        <w:t>9.4  投标文件报价计算错误的修正</w:t>
      </w:r>
      <w:bookmarkEnd w:id="1018"/>
      <w:bookmarkEnd w:id="1019"/>
    </w:p>
    <w:p w14:paraId="3CD7195C">
      <w:pPr>
        <w:autoSpaceDE/>
        <w:autoSpaceDN/>
        <w:adjustRightInd/>
        <w:spacing w:line="360" w:lineRule="auto"/>
        <w:ind w:left="567"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7E61161F">
      <w:pPr>
        <w:autoSpaceDE/>
        <w:autoSpaceDN/>
        <w:adjustRightInd/>
        <w:spacing w:line="360" w:lineRule="auto"/>
        <w:ind w:left="0"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A</w:t>
      </w:r>
      <w:r>
        <w:rPr>
          <w:rFonts w:hint="eastAsia" w:ascii="宋体" w:hAnsi="宋体" w:eastAsia="宋体" w:cs="宋体"/>
          <w:color w:val="auto"/>
          <w:kern w:val="0"/>
          <w:szCs w:val="21"/>
          <w:highlight w:val="none"/>
          <w:lang w:val="zh-CN"/>
        </w:rPr>
        <w:t>）当以数字表示的金额与以文字表示的金额不一致时，以文字表示的金额为准；</w:t>
      </w:r>
    </w:p>
    <w:p w14:paraId="6E809559">
      <w:pPr>
        <w:autoSpaceDE/>
        <w:autoSpaceDN/>
        <w:adjustRightInd/>
        <w:spacing w:line="360" w:lineRule="auto"/>
        <w:ind w:left="420" w:leftChars="200" w:firstLine="0" w:firstLineChars="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B</w:t>
      </w:r>
      <w:r>
        <w:rPr>
          <w:rFonts w:hint="eastAsia" w:ascii="宋体" w:hAnsi="宋体" w:eastAsia="宋体" w:cs="宋体"/>
          <w:color w:val="auto"/>
          <w:kern w:val="0"/>
          <w:szCs w:val="21"/>
          <w:highlight w:val="none"/>
          <w:lang w:val="zh-CN"/>
        </w:rPr>
        <w:t>）当开标一览表(投标报价表)内总报价金额与按综合单价计算的总价不一致的，以综合单价计算结果为准，</w:t>
      </w:r>
      <w:r>
        <w:rPr>
          <w:rFonts w:hint="eastAsia" w:ascii="宋体" w:hAnsi="宋体" w:eastAsia="宋体" w:cs="宋体"/>
          <w:color w:val="auto"/>
          <w:kern w:val="0"/>
          <w:szCs w:val="21"/>
          <w:highlight w:val="none"/>
          <w:lang w:val="en-US" w:eastAsia="zh-CN"/>
        </w:rPr>
        <w:t>单项</w:t>
      </w:r>
      <w:r>
        <w:rPr>
          <w:rFonts w:hint="eastAsia" w:ascii="宋体" w:hAnsi="宋体" w:eastAsia="宋体" w:cs="宋体"/>
          <w:color w:val="auto"/>
          <w:kern w:val="0"/>
          <w:szCs w:val="21"/>
          <w:highlight w:val="none"/>
          <w:lang w:val="zh-CN"/>
        </w:rPr>
        <w:t>金额小数点有明显错位的，应以总价为准，并修正综合单价金额；</w:t>
      </w:r>
    </w:p>
    <w:p w14:paraId="51108B5A">
      <w:pPr>
        <w:autoSpaceDE/>
        <w:autoSpaceDN/>
        <w:adjustRightInd/>
        <w:spacing w:line="360" w:lineRule="auto"/>
        <w:ind w:left="0" w:firstLine="420" w:firstLineChars="200"/>
        <w:jc w:val="left"/>
        <w:rPr>
          <w:rFonts w:ascii="宋体" w:hAnsi="宋体" w:eastAsia="宋体" w:cs="Times New Roman"/>
          <w:color w:val="auto"/>
          <w:kern w:val="0"/>
          <w:sz w:val="24"/>
          <w:szCs w:val="24"/>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C</w:t>
      </w:r>
      <w:r>
        <w:rPr>
          <w:rFonts w:hint="eastAsia" w:ascii="宋体" w:hAnsi="宋体" w:eastAsia="宋体" w:cs="宋体"/>
          <w:color w:val="auto"/>
          <w:kern w:val="0"/>
          <w:szCs w:val="21"/>
          <w:highlight w:val="none"/>
          <w:lang w:val="zh-CN"/>
        </w:rPr>
        <w:t>）按前述修正原则排序依次进行修正至唯一值后的报价表经双方确认后，作为合同文件的组成部分。</w:t>
      </w:r>
    </w:p>
    <w:p w14:paraId="2D823E90">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558AC37D">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431B0F38">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1020" w:name="_Toc8518_WPSOffice_Level1"/>
    </w:p>
    <w:p w14:paraId="2B5128CC">
      <w:pPr>
        <w:autoSpaceDE w:val="0"/>
        <w:autoSpaceDN w:val="0"/>
        <w:adjustRightInd w:val="0"/>
        <w:spacing w:line="360" w:lineRule="auto"/>
        <w:ind w:left="185" w:leftChars="88" w:firstLine="3443" w:firstLineChars="1225"/>
        <w:outlineLvl w:val="9"/>
        <w:rPr>
          <w:rFonts w:hint="eastAsia" w:ascii="宋体" w:hAnsi="宋体" w:eastAsia="宋体" w:cs="宋体"/>
          <w:b/>
          <w:bCs/>
          <w:color w:val="auto"/>
          <w:sz w:val="28"/>
          <w:szCs w:val="28"/>
          <w:highlight w:val="none"/>
          <w:lang w:val="zh-CN"/>
        </w:rPr>
      </w:pPr>
      <w:bookmarkStart w:id="1021" w:name="_Toc10835"/>
      <w:bookmarkStart w:id="1022" w:name="_Toc21209"/>
      <w:r>
        <w:rPr>
          <w:rFonts w:hint="eastAsia" w:ascii="宋体" w:hAnsi="宋体" w:eastAsia="宋体" w:cs="宋体"/>
          <w:b/>
          <w:bCs/>
          <w:color w:val="auto"/>
          <w:sz w:val="28"/>
          <w:szCs w:val="28"/>
          <w:highlight w:val="none"/>
          <w:lang w:val="zh-CN"/>
        </w:rPr>
        <w:t>四、比较和评价</w:t>
      </w:r>
      <w:bookmarkEnd w:id="1020"/>
      <w:bookmarkEnd w:id="1021"/>
      <w:bookmarkEnd w:id="1022"/>
    </w:p>
    <w:p w14:paraId="75CF732B">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4C54B4A9">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44DE583A">
      <w:pPr>
        <w:tabs>
          <w:tab w:val="left" w:pos="567"/>
          <w:tab w:val="left" w:pos="600"/>
        </w:tabs>
        <w:autoSpaceDE w:val="0"/>
        <w:autoSpaceDN w:val="0"/>
        <w:adjustRightInd w:val="0"/>
        <w:spacing w:line="360" w:lineRule="auto"/>
        <w:ind w:left="600" w:hanging="600"/>
        <w:outlineLvl w:val="9"/>
        <w:rPr>
          <w:rFonts w:hint="eastAsia" w:ascii="宋体" w:hAnsi="宋体" w:eastAsia="宋体" w:cs="宋体"/>
          <w:b/>
          <w:bCs/>
          <w:color w:val="auto"/>
          <w:szCs w:val="24"/>
          <w:highlight w:val="none"/>
          <w:lang w:val="zh-CN"/>
        </w:rPr>
      </w:pPr>
      <w:bookmarkStart w:id="1023" w:name="_Toc3732"/>
      <w:bookmarkStart w:id="1024" w:name="_Toc14916"/>
      <w:r>
        <w:rPr>
          <w:rFonts w:hint="eastAsia" w:ascii="宋体" w:hAnsi="宋体" w:eastAsia="宋体" w:cs="宋体"/>
          <w:b/>
          <w:bCs/>
          <w:color w:val="auto"/>
          <w:szCs w:val="24"/>
          <w:highlight w:val="none"/>
          <w:lang w:val="zh-CN"/>
        </w:rPr>
        <w:t>11、评委打分办法</w:t>
      </w:r>
      <w:bookmarkEnd w:id="1023"/>
      <w:bookmarkEnd w:id="1024"/>
    </w:p>
    <w:p w14:paraId="33EC3526">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08628335">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14:paraId="2F655001">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3AA7EE48">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00B23A2D">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5D9501F4">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14:paraId="051C8CB2">
      <w:pPr>
        <w:tabs>
          <w:tab w:val="left" w:pos="600"/>
        </w:tabs>
        <w:autoSpaceDE w:val="0"/>
        <w:autoSpaceDN w:val="0"/>
        <w:adjustRightInd w:val="0"/>
        <w:spacing w:line="360" w:lineRule="auto"/>
        <w:outlineLvl w:val="9"/>
        <w:rPr>
          <w:rFonts w:ascii="宋体" w:hAnsi="宋体" w:eastAsia="宋体" w:cs="Times New Roman"/>
          <w:color w:val="auto"/>
          <w:szCs w:val="24"/>
          <w:highlight w:val="none"/>
          <w:lang w:val="zh-CN"/>
        </w:rPr>
      </w:pPr>
      <w:bookmarkStart w:id="1025" w:name="_Toc22603"/>
      <w:bookmarkStart w:id="1026" w:name="_Toc16024"/>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bookmarkEnd w:id="1025"/>
      <w:bookmarkEnd w:id="1026"/>
    </w:p>
    <w:p w14:paraId="420A5A99">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14:paraId="477426A4">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14:paraId="24CBB913">
      <w:pPr>
        <w:tabs>
          <w:tab w:val="left" w:pos="600"/>
        </w:tabs>
        <w:autoSpaceDE w:val="0"/>
        <w:autoSpaceDN w:val="0"/>
        <w:adjustRightInd w:val="0"/>
        <w:spacing w:line="360" w:lineRule="auto"/>
        <w:outlineLvl w:val="9"/>
        <w:rPr>
          <w:rFonts w:ascii="宋体" w:hAnsi="宋体" w:eastAsia="宋体" w:cs="Times New Roman"/>
          <w:color w:val="auto"/>
          <w:szCs w:val="24"/>
          <w:highlight w:val="none"/>
          <w:lang w:val="zh-CN"/>
        </w:rPr>
      </w:pPr>
      <w:bookmarkStart w:id="1027" w:name="_Toc22291"/>
      <w:bookmarkStart w:id="1028" w:name="_Toc1311"/>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bookmarkEnd w:id="1027"/>
      <w:bookmarkEnd w:id="1028"/>
    </w:p>
    <w:p w14:paraId="2959B2AF">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14:paraId="3A9FB3F9">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14:paraId="5F6A61B1">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14:paraId="63FD6207">
      <w:pPr>
        <w:autoSpaceDE w:val="0"/>
        <w:autoSpaceDN w:val="0"/>
        <w:adjustRightInd w:val="0"/>
        <w:spacing w:line="360" w:lineRule="auto"/>
        <w:rPr>
          <w:rFonts w:ascii="宋体" w:hAnsi="宋体" w:eastAsia="宋体" w:cs="宋体"/>
          <w:color w:val="auto"/>
          <w:szCs w:val="24"/>
          <w:highlight w:val="none"/>
          <w:lang w:val="zh-CN"/>
        </w:rPr>
      </w:pPr>
    </w:p>
    <w:p w14:paraId="7DB3D5FB">
      <w:pPr>
        <w:tabs>
          <w:tab w:val="left" w:pos="567"/>
          <w:tab w:val="left" w:pos="600"/>
        </w:tabs>
        <w:autoSpaceDE w:val="0"/>
        <w:autoSpaceDN w:val="0"/>
        <w:adjustRightInd w:val="0"/>
        <w:spacing w:line="360" w:lineRule="auto"/>
        <w:ind w:left="600" w:hanging="600"/>
        <w:outlineLvl w:val="9"/>
        <w:rPr>
          <w:rFonts w:hint="eastAsia" w:ascii="宋体" w:hAnsi="宋体" w:eastAsia="宋体" w:cs="宋体"/>
          <w:b/>
          <w:bCs/>
          <w:color w:val="auto"/>
          <w:szCs w:val="24"/>
          <w:highlight w:val="none"/>
          <w:lang w:val="zh-CN"/>
        </w:rPr>
      </w:pPr>
      <w:bookmarkStart w:id="1029" w:name="_Toc7854"/>
      <w:bookmarkStart w:id="1030" w:name="_Toc5992"/>
      <w:r>
        <w:rPr>
          <w:rFonts w:hint="eastAsia" w:ascii="宋体" w:hAnsi="宋体" w:eastAsia="宋体" w:cs="宋体"/>
          <w:b/>
          <w:bCs/>
          <w:color w:val="auto"/>
          <w:szCs w:val="24"/>
          <w:highlight w:val="none"/>
          <w:lang w:val="zh-CN"/>
        </w:rPr>
        <w:t>12、评分因素及分值</w:t>
      </w:r>
      <w:bookmarkEnd w:id="1029"/>
      <w:bookmarkEnd w:id="1030"/>
    </w:p>
    <w:tbl>
      <w:tblPr>
        <w:tblStyle w:val="3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6F4CDA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5BFA944F">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2634BD7F">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33DBD8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572E348B">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5B42C6C4">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p>
        </w:tc>
      </w:tr>
      <w:tr w14:paraId="4F5E08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3B6C9906">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5C429329">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p>
        </w:tc>
      </w:tr>
      <w:tr w14:paraId="16109C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3AB08FF0">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2494" w:type="pct"/>
            <w:tcBorders>
              <w:top w:val="single" w:color="auto" w:sz="4" w:space="0"/>
              <w:left w:val="single" w:color="auto" w:sz="4" w:space="0"/>
              <w:bottom w:val="single" w:color="auto" w:sz="4" w:space="0"/>
              <w:right w:val="single" w:color="auto" w:sz="4" w:space="0"/>
            </w:tcBorders>
            <w:vAlign w:val="center"/>
          </w:tcPr>
          <w:p w14:paraId="0BFD30A1">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60</w:t>
            </w:r>
            <w:r>
              <w:rPr>
                <w:rFonts w:hint="eastAsia" w:ascii="宋体" w:hAnsi="宋体" w:eastAsia="宋体" w:cs="宋体"/>
                <w:b/>
                <w:color w:val="auto"/>
                <w:szCs w:val="21"/>
                <w:highlight w:val="none"/>
                <w:lang w:val="zh-CN"/>
              </w:rPr>
              <w:t>分</w:t>
            </w:r>
          </w:p>
        </w:tc>
      </w:tr>
    </w:tbl>
    <w:p w14:paraId="6C399CE4">
      <w:pPr>
        <w:tabs>
          <w:tab w:val="left" w:pos="585"/>
        </w:tabs>
        <w:autoSpaceDE w:val="0"/>
        <w:autoSpaceDN w:val="0"/>
        <w:adjustRightInd w:val="0"/>
        <w:spacing w:line="360" w:lineRule="auto"/>
        <w:rPr>
          <w:rFonts w:ascii="宋体" w:hAnsi="宋体" w:eastAsia="宋体" w:cs="宋体"/>
          <w:b/>
          <w:color w:val="auto"/>
          <w:szCs w:val="21"/>
          <w:highlight w:val="none"/>
        </w:rPr>
      </w:pPr>
      <w:bookmarkStart w:id="1031" w:name="_Toc18349_WPSOffice_Level2"/>
    </w:p>
    <w:p w14:paraId="6C93E820">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bookmarkEnd w:id="1031"/>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1133"/>
        <w:gridCol w:w="7660"/>
        <w:gridCol w:w="907"/>
      </w:tblGrid>
      <w:tr w14:paraId="37118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6F7F131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5BE4F2D5">
            <w:pPr>
              <w:autoSpaceDE w:val="0"/>
              <w:autoSpaceDN w:val="0"/>
              <w:adjustRightInd w:val="0"/>
              <w:spacing w:line="240" w:lineRule="auto"/>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2" w:type="pct"/>
            <w:tcBorders>
              <w:top w:val="single" w:color="auto" w:sz="4" w:space="0"/>
              <w:left w:val="single" w:color="auto" w:sz="4" w:space="0"/>
              <w:bottom w:val="single" w:color="auto" w:sz="4" w:space="0"/>
              <w:right w:val="single" w:color="auto" w:sz="4" w:space="0"/>
            </w:tcBorders>
            <w:vAlign w:val="center"/>
          </w:tcPr>
          <w:p w14:paraId="3C6A18C7">
            <w:pPr>
              <w:autoSpaceDE w:val="0"/>
              <w:autoSpaceDN w:val="0"/>
              <w:adjustRightInd w:val="0"/>
              <w:spacing w:line="24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2D79A185">
            <w:pPr>
              <w:autoSpaceDE w:val="0"/>
              <w:autoSpaceDN w:val="0"/>
              <w:adjustRightInd w:val="0"/>
              <w:spacing w:line="24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3DEBA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29924F9F">
            <w:pPr>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1</w:t>
            </w:r>
          </w:p>
        </w:tc>
        <w:tc>
          <w:tcPr>
            <w:tcW w:w="546" w:type="pct"/>
            <w:tcBorders>
              <w:top w:val="single" w:color="auto" w:sz="4" w:space="0"/>
              <w:left w:val="single" w:color="auto" w:sz="4" w:space="0"/>
              <w:bottom w:val="single" w:color="auto" w:sz="4" w:space="0"/>
              <w:right w:val="single" w:color="auto" w:sz="4" w:space="0"/>
            </w:tcBorders>
            <w:vAlign w:val="center"/>
          </w:tcPr>
          <w:p w14:paraId="30E33FBA">
            <w:pPr>
              <w:snapToGrid w:val="0"/>
              <w:spacing w:line="360" w:lineRule="auto"/>
              <w:jc w:val="center"/>
              <w:rPr>
                <w:rFonts w:hint="eastAsia" w:ascii="宋体" w:hAnsi="宋体" w:eastAsia="宋体" w:cs="宋体"/>
                <w:bCs/>
                <w:color w:val="auto"/>
                <w:kern w:val="0"/>
                <w:sz w:val="24"/>
                <w:szCs w:val="21"/>
                <w:highlight w:val="none"/>
              </w:rPr>
            </w:pPr>
            <w:r>
              <w:rPr>
                <w:rFonts w:hint="eastAsia" w:ascii="宋体" w:hAnsi="宋体" w:eastAsia="宋体" w:cs="宋体"/>
                <w:color w:val="auto"/>
                <w:sz w:val="21"/>
                <w:szCs w:val="21"/>
                <w:highlight w:val="none"/>
                <w:lang w:val="zh-CN"/>
              </w:rPr>
              <w:t>财务状况</w:t>
            </w:r>
          </w:p>
        </w:tc>
        <w:tc>
          <w:tcPr>
            <w:tcW w:w="3692" w:type="pct"/>
            <w:tcBorders>
              <w:top w:val="single" w:color="auto" w:sz="4" w:space="0"/>
              <w:left w:val="single" w:color="auto" w:sz="4" w:space="0"/>
              <w:bottom w:val="single" w:color="auto" w:sz="4" w:space="0"/>
              <w:right w:val="single" w:color="auto" w:sz="4" w:space="0"/>
            </w:tcBorders>
            <w:vAlign w:val="center"/>
          </w:tcPr>
          <w:p w14:paraId="3A5F62FC">
            <w:pPr>
              <w:adjustRightInd/>
              <w:snapToGrid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2021</w:t>
            </w:r>
            <w:r>
              <w:rPr>
                <w:rFonts w:hint="eastAsia" w:ascii="宋体" w:hAnsi="宋体" w:eastAsia="宋体" w:cs="宋体"/>
                <w:color w:val="auto"/>
                <w:sz w:val="21"/>
                <w:szCs w:val="21"/>
                <w:highlight w:val="none"/>
              </w:rPr>
              <w:t>年-202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年三个年度，每具有1个年度</w:t>
            </w:r>
            <w:r>
              <w:rPr>
                <w:rFonts w:hint="eastAsia" w:ascii="宋体" w:hAnsi="宋体" w:eastAsia="宋体" w:cs="宋体"/>
                <w:color w:val="auto"/>
                <w:sz w:val="21"/>
                <w:szCs w:val="21"/>
                <w:highlight w:val="none"/>
                <w:lang w:val="en-US" w:eastAsia="zh-CN"/>
              </w:rPr>
              <w:t>盈利</w:t>
            </w:r>
            <w:r>
              <w:rPr>
                <w:rFonts w:hint="eastAsia" w:ascii="宋体" w:hAnsi="宋体" w:eastAsia="宋体" w:cs="宋体"/>
                <w:color w:val="auto"/>
                <w:sz w:val="21"/>
                <w:szCs w:val="21"/>
                <w:highlight w:val="none"/>
              </w:rPr>
              <w:t>的得1分，满分3分。</w:t>
            </w:r>
          </w:p>
          <w:p w14:paraId="37B6DF96">
            <w:pPr>
              <w:snapToGrid w:val="0"/>
              <w:spacing w:line="360" w:lineRule="auto"/>
              <w:jc w:val="both"/>
              <w:rPr>
                <w:rFonts w:hint="eastAsia" w:ascii="宋体" w:hAnsi="宋体" w:eastAsia="宋体" w:cs="宋体"/>
                <w:b/>
                <w:color w:val="auto"/>
                <w:kern w:val="0"/>
                <w:szCs w:val="21"/>
                <w:highlight w:val="none"/>
                <w:lang w:val="zh-CN"/>
              </w:rPr>
            </w:pPr>
            <w:r>
              <w:rPr>
                <w:rFonts w:hint="eastAsia" w:ascii="宋体" w:hAnsi="宋体" w:eastAsia="宋体" w:cs="宋体"/>
                <w:b/>
                <w:color w:val="auto"/>
                <w:sz w:val="21"/>
                <w:szCs w:val="21"/>
                <w:highlight w:val="none"/>
                <w:lang w:val="zh-CN"/>
              </w:rPr>
              <w:t>备注：盈利指净利润为正数（非零、非负数），投标人应提供202</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val="zh-CN"/>
              </w:rPr>
              <w:t>年、202</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lang w:val="zh-CN"/>
              </w:rPr>
              <w:t>年、202</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lang w:val="zh-CN"/>
              </w:rPr>
              <w:t>年三个年度的财务报表，净利润以对应年度经审计的财务报表为准，应提供经独立会计师事务所审计过的有效的财务报表复印件；未提供前述财务报表或财务报表未能反映净利润的，不得分</w:t>
            </w:r>
            <w:r>
              <w:rPr>
                <w:rFonts w:hint="eastAsia" w:ascii="宋体" w:hAnsi="宋体" w:eastAsia="宋体" w:cs="宋体"/>
                <w:color w:val="auto"/>
                <w:sz w:val="21"/>
                <w:szCs w:val="21"/>
                <w:highlight w:val="none"/>
                <w:lang w:val="zh-CN"/>
              </w:rPr>
              <w:t>。</w:t>
            </w:r>
          </w:p>
        </w:tc>
        <w:tc>
          <w:tcPr>
            <w:tcW w:w="437" w:type="pct"/>
            <w:tcBorders>
              <w:top w:val="single" w:color="auto" w:sz="4" w:space="0"/>
              <w:left w:val="single" w:color="auto" w:sz="4" w:space="0"/>
              <w:bottom w:val="single" w:color="auto" w:sz="4" w:space="0"/>
              <w:right w:val="single" w:color="auto" w:sz="4" w:space="0"/>
            </w:tcBorders>
            <w:vAlign w:val="center"/>
          </w:tcPr>
          <w:p w14:paraId="59BC2CF0">
            <w:pPr>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r>
      <w:tr w14:paraId="156C7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1BB5FC85">
            <w:pPr>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2</w:t>
            </w:r>
          </w:p>
        </w:tc>
        <w:tc>
          <w:tcPr>
            <w:tcW w:w="546" w:type="pct"/>
            <w:tcBorders>
              <w:top w:val="single" w:color="auto" w:sz="4" w:space="0"/>
              <w:left w:val="single" w:color="auto" w:sz="4" w:space="0"/>
              <w:bottom w:val="single" w:color="auto" w:sz="4" w:space="0"/>
              <w:right w:val="single" w:color="auto" w:sz="4" w:space="0"/>
            </w:tcBorders>
            <w:vAlign w:val="center"/>
          </w:tcPr>
          <w:p w14:paraId="62E4C358">
            <w:pPr>
              <w:autoSpaceDE/>
              <w:autoSpaceDN/>
              <w:adjustRightInd/>
              <w:snapToGrid w:val="0"/>
              <w:spacing w:line="360" w:lineRule="auto"/>
              <w:ind w:firstLine="0" w:firstLineChars="0"/>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sz w:val="21"/>
                <w:szCs w:val="21"/>
                <w:highlight w:val="none"/>
              </w:rPr>
              <w:t>业绩</w:t>
            </w:r>
          </w:p>
        </w:tc>
        <w:tc>
          <w:tcPr>
            <w:tcW w:w="3692" w:type="pct"/>
            <w:tcBorders>
              <w:top w:val="single" w:color="auto" w:sz="4" w:space="0"/>
              <w:left w:val="single" w:color="auto" w:sz="4" w:space="0"/>
              <w:bottom w:val="single" w:color="auto" w:sz="4" w:space="0"/>
              <w:right w:val="single" w:color="auto" w:sz="4" w:space="0"/>
            </w:tcBorders>
            <w:vAlign w:val="center"/>
          </w:tcPr>
          <w:p w14:paraId="38B7E70B">
            <w:pPr>
              <w:pStyle w:val="22"/>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投标人202</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rPr>
              <w:t>年1月1日以来具有的投标品牌液体</w:t>
            </w:r>
            <w:r>
              <w:rPr>
                <w:rFonts w:hint="eastAsia" w:hAnsi="宋体" w:cs="宋体"/>
                <w:color w:val="auto"/>
                <w:sz w:val="21"/>
                <w:szCs w:val="21"/>
                <w:highlight w:val="none"/>
                <w:lang w:val="en-US" w:eastAsia="zh-CN"/>
              </w:rPr>
              <w:t>乙酸钠</w:t>
            </w:r>
            <w:r>
              <w:rPr>
                <w:rFonts w:hint="eastAsia" w:ascii="宋体" w:hAnsi="宋体" w:eastAsia="宋体" w:cs="宋体"/>
                <w:color w:val="auto"/>
                <w:sz w:val="21"/>
                <w:szCs w:val="21"/>
                <w:highlight w:val="none"/>
              </w:rPr>
              <w:t>供货业绩（</w:t>
            </w:r>
            <w:r>
              <w:rPr>
                <w:rFonts w:hint="eastAsia" w:hAnsi="宋体" w:cs="宋体"/>
                <w:color w:val="auto"/>
                <w:szCs w:val="21"/>
                <w:highlight w:val="none"/>
              </w:rPr>
              <w:t>合同签订日期</w:t>
            </w:r>
            <w:r>
              <w:rPr>
                <w:rFonts w:hint="eastAsia" w:ascii="宋体" w:hAnsi="宋体" w:eastAsia="宋体" w:cs="宋体"/>
                <w:color w:val="auto"/>
                <w:sz w:val="21"/>
                <w:szCs w:val="21"/>
                <w:highlight w:val="none"/>
              </w:rPr>
              <w:t>为202</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rPr>
              <w:t>年1月1日或以后），按下列情况评分：</w:t>
            </w:r>
          </w:p>
          <w:p w14:paraId="6B85BD7C">
            <w:pPr>
              <w:pStyle w:val="22"/>
              <w:snapToGrid w:val="0"/>
              <w:spacing w:line="360" w:lineRule="auto"/>
              <w:ind w:left="420" w:hanging="42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1</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单项合同金额≥</w:t>
            </w:r>
            <w:r>
              <w:rPr>
                <w:rFonts w:hint="eastAsia" w:hAnsi="宋体" w:cs="宋体"/>
                <w:color w:val="auto"/>
                <w:sz w:val="21"/>
                <w:szCs w:val="21"/>
                <w:highlight w:val="none"/>
                <w:lang w:val="en-US" w:eastAsia="zh-CN"/>
              </w:rPr>
              <w:t>350</w:t>
            </w:r>
            <w:r>
              <w:rPr>
                <w:rFonts w:hint="eastAsia" w:ascii="宋体" w:hAnsi="宋体" w:eastAsia="宋体" w:cs="宋体"/>
                <w:color w:val="auto"/>
                <w:sz w:val="21"/>
                <w:szCs w:val="21"/>
                <w:highlight w:val="none"/>
              </w:rPr>
              <w:t>万元的前述业绩的，每项得3分</w:t>
            </w:r>
            <w:r>
              <w:rPr>
                <w:rFonts w:hint="eastAsia" w:hAnsi="宋体" w:cs="宋体"/>
                <w:color w:val="auto"/>
                <w:sz w:val="21"/>
                <w:szCs w:val="21"/>
                <w:highlight w:val="none"/>
                <w:lang w:val="en-US" w:eastAsia="zh-CN"/>
              </w:rPr>
              <w:t>；</w:t>
            </w:r>
          </w:p>
          <w:p w14:paraId="1ECA0821">
            <w:pPr>
              <w:pStyle w:val="22"/>
              <w:snapToGrid w:val="0"/>
              <w:spacing w:line="360" w:lineRule="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2</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150</w:t>
            </w:r>
            <w:r>
              <w:rPr>
                <w:rFonts w:hint="eastAsia" w:ascii="宋体" w:hAnsi="宋体" w:eastAsia="宋体" w:cs="宋体"/>
                <w:color w:val="auto"/>
                <w:sz w:val="21"/>
                <w:szCs w:val="21"/>
                <w:highlight w:val="none"/>
              </w:rPr>
              <w:t>万元≤单项合同金额＜</w:t>
            </w:r>
            <w:r>
              <w:rPr>
                <w:rFonts w:hint="eastAsia" w:hAnsi="宋体" w:cs="宋体"/>
                <w:color w:val="auto"/>
                <w:sz w:val="21"/>
                <w:szCs w:val="21"/>
                <w:highlight w:val="none"/>
                <w:lang w:val="en-US" w:eastAsia="zh-CN"/>
              </w:rPr>
              <w:t>350</w:t>
            </w:r>
            <w:r>
              <w:rPr>
                <w:rFonts w:hint="eastAsia" w:ascii="宋体" w:hAnsi="宋体" w:eastAsia="宋体" w:cs="宋体"/>
                <w:color w:val="auto"/>
                <w:sz w:val="21"/>
                <w:szCs w:val="21"/>
                <w:highlight w:val="none"/>
              </w:rPr>
              <w:t>万元的前述业绩的，每项得2分,本子项满分</w:t>
            </w: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hAnsi="宋体" w:cs="宋体"/>
                <w:color w:val="auto"/>
                <w:sz w:val="21"/>
                <w:szCs w:val="21"/>
                <w:highlight w:val="none"/>
                <w:lang w:val="en-US" w:eastAsia="zh-CN"/>
              </w:rPr>
              <w:t>；</w:t>
            </w:r>
          </w:p>
          <w:p w14:paraId="210715E5">
            <w:pPr>
              <w:pStyle w:val="22"/>
              <w:snapToGrid w:val="0"/>
              <w:spacing w:line="360" w:lineRule="auto"/>
              <w:ind w:left="0" w:firstLine="0" w:firstLineChars="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3</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50</w:t>
            </w:r>
            <w:r>
              <w:rPr>
                <w:rFonts w:hint="eastAsia" w:ascii="宋体" w:hAnsi="宋体" w:eastAsia="宋体" w:cs="宋体"/>
                <w:color w:val="auto"/>
                <w:sz w:val="21"/>
                <w:szCs w:val="21"/>
                <w:highlight w:val="none"/>
              </w:rPr>
              <w:t>万元≤单项合同金额＜</w:t>
            </w:r>
            <w:r>
              <w:rPr>
                <w:rFonts w:hint="eastAsia" w:hAnsi="宋体" w:cs="宋体"/>
                <w:color w:val="auto"/>
                <w:sz w:val="21"/>
                <w:szCs w:val="21"/>
                <w:highlight w:val="none"/>
                <w:lang w:val="en-US" w:eastAsia="zh-CN"/>
              </w:rPr>
              <w:t>150</w:t>
            </w:r>
            <w:r>
              <w:rPr>
                <w:rFonts w:hint="eastAsia" w:ascii="宋体" w:hAnsi="宋体" w:eastAsia="宋体" w:cs="宋体"/>
                <w:color w:val="auto"/>
                <w:sz w:val="21"/>
                <w:szCs w:val="21"/>
                <w:highlight w:val="none"/>
              </w:rPr>
              <w:t>万元的前述业绩的，每项得1分,本子项满分</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32C33190">
            <w:pPr>
              <w:pStyle w:val="22"/>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0B406C93">
            <w:pPr>
              <w:pStyle w:val="22"/>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业绩按以下条款作为考评依据：</w:t>
            </w:r>
          </w:p>
          <w:p w14:paraId="0D1B0D99">
            <w:pPr>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须附合同复印件</w:t>
            </w:r>
            <w:r>
              <w:rPr>
                <w:rFonts w:hint="eastAsia" w:ascii="宋体" w:hAnsi="宋体" w:eastAsia="宋体" w:cs="宋体"/>
                <w:b/>
                <w:bCs/>
                <w:color w:val="auto"/>
                <w:sz w:val="21"/>
                <w:szCs w:val="21"/>
                <w:highlight w:val="none"/>
                <w:lang w:val="en-US" w:eastAsia="zh-CN"/>
              </w:rPr>
              <w:t>，否则不得分</w:t>
            </w:r>
            <w:r>
              <w:rPr>
                <w:rFonts w:hint="eastAsia" w:ascii="宋体" w:hAnsi="宋体" w:eastAsia="宋体" w:cs="宋体"/>
                <w:b/>
                <w:bCs/>
                <w:color w:val="auto"/>
                <w:sz w:val="21"/>
                <w:szCs w:val="21"/>
                <w:highlight w:val="none"/>
              </w:rPr>
              <w:t>；</w:t>
            </w:r>
          </w:p>
          <w:p w14:paraId="7796DF1C">
            <w:pPr>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若业绩为框架式协议或资格入围</w:t>
            </w:r>
            <w:r>
              <w:rPr>
                <w:rFonts w:hint="eastAsia" w:ascii="宋体" w:hAnsi="宋体" w:eastAsia="宋体" w:cs="宋体"/>
                <w:b/>
                <w:bCs/>
                <w:color w:val="auto"/>
                <w:sz w:val="21"/>
                <w:szCs w:val="21"/>
                <w:highlight w:val="none"/>
                <w:lang w:val="en-US" w:eastAsia="zh-CN"/>
              </w:rPr>
              <w:t>等</w:t>
            </w:r>
            <w:r>
              <w:rPr>
                <w:rFonts w:hint="eastAsia" w:ascii="宋体" w:hAnsi="宋体" w:eastAsia="宋体" w:cs="宋体"/>
                <w:b/>
                <w:bCs/>
                <w:color w:val="auto"/>
                <w:sz w:val="21"/>
                <w:szCs w:val="21"/>
                <w:highlight w:val="none"/>
              </w:rPr>
              <w:t>无明确金额的合同，必须同时提供合同期限内已供货产品发票金额统计表和供货发票复印件，否则，视为无效业绩；</w:t>
            </w:r>
          </w:p>
          <w:p w14:paraId="68C6876E">
            <w:pPr>
              <w:snapToGrid w:val="0"/>
              <w:spacing w:line="360" w:lineRule="auto"/>
              <w:rPr>
                <w:rFonts w:hint="eastAsia"/>
                <w:b/>
                <w:bCs/>
                <w:color w:val="auto"/>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若合同无法反映评分条件</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卖方为投标人、合同签订日期为202</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年1月1日或以后、金额</w:t>
            </w:r>
            <w:r>
              <w:rPr>
                <w:rFonts w:hint="eastAsia" w:ascii="宋体" w:hAnsi="宋体" w:eastAsia="宋体" w:cs="宋体"/>
                <w:b/>
                <w:bCs/>
                <w:color w:val="auto"/>
                <w:sz w:val="21"/>
                <w:szCs w:val="21"/>
                <w:highlight w:val="none"/>
                <w:lang w:eastAsia="zh-CN"/>
              </w:rPr>
              <w:t>、合同标的必须包含投标品牌</w:t>
            </w:r>
            <w:r>
              <w:rPr>
                <w:rFonts w:hint="eastAsia" w:ascii="宋体" w:hAnsi="宋体" w:eastAsia="宋体" w:cs="宋体"/>
                <w:b/>
                <w:bCs/>
                <w:color w:val="auto"/>
                <w:sz w:val="21"/>
                <w:szCs w:val="21"/>
                <w:highlight w:val="none"/>
              </w:rPr>
              <w:t>液体</w:t>
            </w:r>
            <w:r>
              <w:rPr>
                <w:rFonts w:hint="eastAsia" w:ascii="宋体" w:hAnsi="宋体" w:eastAsia="宋体" w:cs="宋体"/>
                <w:b/>
                <w:bCs/>
                <w:color w:val="auto"/>
                <w:sz w:val="21"/>
                <w:szCs w:val="21"/>
                <w:highlight w:val="none"/>
                <w:lang w:val="en-US" w:eastAsia="zh-CN"/>
              </w:rPr>
              <w:t>乙酸钠）的</w:t>
            </w:r>
            <w:r>
              <w:rPr>
                <w:rFonts w:hint="eastAsia" w:ascii="宋体" w:hAnsi="宋体" w:eastAsia="宋体" w:cs="宋体"/>
                <w:b/>
                <w:bCs/>
                <w:color w:val="auto"/>
                <w:sz w:val="21"/>
                <w:szCs w:val="21"/>
                <w:highlight w:val="none"/>
              </w:rPr>
              <w:t>，</w:t>
            </w:r>
            <w:r>
              <w:rPr>
                <w:rFonts w:hint="eastAsia" w:ascii="宋体" w:hAnsi="宋体" w:eastAsia="宋体" w:cs="宋体"/>
                <w:b/>
                <w:color w:val="auto"/>
                <w:kern w:val="0"/>
                <w:szCs w:val="21"/>
              </w:rPr>
              <w:t>还需提供产品购买方出具的书面补充说明文件复印件作为辅助证明（补充说明文件复印件能显示购买方公章），否则不得分</w:t>
            </w:r>
            <w:r>
              <w:rPr>
                <w:rFonts w:hint="eastAsia" w:ascii="宋体" w:hAnsi="宋体" w:eastAsia="宋体" w:cs="宋体"/>
                <w:b/>
                <w:bCs/>
                <w:color w:val="auto"/>
                <w:sz w:val="21"/>
                <w:szCs w:val="21"/>
                <w:highlight w:val="none"/>
              </w:rPr>
              <w:t>；</w:t>
            </w:r>
          </w:p>
          <w:p w14:paraId="44013353">
            <w:pPr>
              <w:snapToGrid w:val="0"/>
              <w:spacing w:line="360" w:lineRule="auto"/>
              <w:rPr>
                <w:rFonts w:hint="eastAsia" w:ascii="宋体" w:hAnsi="宋体" w:eastAsia="宋体" w:cs="宋体"/>
                <w:b/>
                <w:color w:val="auto"/>
                <w:kern w:val="0"/>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未按上述要求提供证明材料的业绩，或所附材料无法证明填报项目符合本项评分要求的业绩，在评标时将不予考虑。</w:t>
            </w:r>
          </w:p>
        </w:tc>
        <w:tc>
          <w:tcPr>
            <w:tcW w:w="437" w:type="pct"/>
            <w:tcBorders>
              <w:top w:val="single" w:color="auto" w:sz="4" w:space="0"/>
              <w:left w:val="single" w:color="auto" w:sz="4" w:space="0"/>
              <w:bottom w:val="single" w:color="auto" w:sz="4" w:space="0"/>
              <w:right w:val="single" w:color="auto" w:sz="4" w:space="0"/>
            </w:tcBorders>
            <w:vAlign w:val="center"/>
          </w:tcPr>
          <w:p w14:paraId="16C17C24">
            <w:pPr>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分</w:t>
            </w:r>
          </w:p>
        </w:tc>
      </w:tr>
      <w:tr w14:paraId="7ABE8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6"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78B21DB4">
            <w:pPr>
              <w:snapToGrid w:val="0"/>
              <w:spacing w:line="360" w:lineRule="auto"/>
              <w:jc w:val="center"/>
              <w:rPr>
                <w:rFonts w:hint="eastAsia" w:ascii="宋体" w:hAnsi="宋体" w:eastAsia="宋体" w:cs="宋体"/>
                <w:color w:val="auto"/>
                <w:sz w:val="21"/>
                <w:szCs w:val="21"/>
                <w:highlight w:val="none"/>
                <w:lang w:val="en-US" w:eastAsia="zh-CN"/>
              </w:rPr>
            </w:pPr>
            <w:bookmarkStart w:id="1032" w:name="_Hlk104987354"/>
            <w:bookmarkStart w:id="1033" w:name="_Toc11639_WPSOffice_Level2"/>
            <w:r>
              <w:rPr>
                <w:rFonts w:hint="eastAsia" w:ascii="宋体" w:hAnsi="宋体" w:eastAsia="宋体" w:cs="宋体"/>
                <w:color w:val="auto"/>
                <w:sz w:val="21"/>
                <w:szCs w:val="21"/>
                <w:highlight w:val="none"/>
                <w:lang w:val="en-US" w:eastAsia="zh-CN"/>
              </w:rPr>
              <w:t>3</w:t>
            </w:r>
          </w:p>
        </w:tc>
        <w:tc>
          <w:tcPr>
            <w:tcW w:w="546" w:type="pct"/>
            <w:tcBorders>
              <w:top w:val="single" w:color="auto" w:sz="4" w:space="0"/>
              <w:left w:val="single" w:color="auto" w:sz="4" w:space="0"/>
              <w:bottom w:val="single" w:color="auto" w:sz="4" w:space="0"/>
              <w:right w:val="single" w:color="auto" w:sz="4" w:space="0"/>
            </w:tcBorders>
            <w:vAlign w:val="center"/>
          </w:tcPr>
          <w:p w14:paraId="706BF187">
            <w:pPr>
              <w:autoSpaceDE/>
              <w:autoSpaceDN/>
              <w:adjustRightInd/>
              <w:snapToGrid w:val="0"/>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车辆运输</w:t>
            </w:r>
          </w:p>
        </w:tc>
        <w:tc>
          <w:tcPr>
            <w:tcW w:w="3692" w:type="pct"/>
            <w:tcBorders>
              <w:top w:val="single" w:color="auto" w:sz="4" w:space="0"/>
              <w:left w:val="single" w:color="auto" w:sz="4" w:space="0"/>
              <w:bottom w:val="single" w:color="auto" w:sz="4" w:space="0"/>
              <w:right w:val="single" w:color="auto" w:sz="4" w:space="0"/>
            </w:tcBorders>
            <w:vAlign w:val="center"/>
          </w:tcPr>
          <w:p w14:paraId="2660481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拟为本项目投入的运输专用车（液体</w:t>
            </w:r>
            <w:r>
              <w:rPr>
                <w:rFonts w:hint="eastAsia" w:ascii="宋体" w:hAnsi="宋体" w:eastAsia="宋体" w:cs="宋体"/>
                <w:color w:val="auto"/>
                <w:sz w:val="21"/>
                <w:szCs w:val="21"/>
                <w:highlight w:val="none"/>
                <w:lang w:val="en-US" w:eastAsia="zh-CN"/>
              </w:rPr>
              <w:t>乙酸钠</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数量累计达到5台的，得1分</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在上述基础上，</w:t>
            </w:r>
            <w:r>
              <w:rPr>
                <w:rFonts w:hint="eastAsia" w:ascii="宋体" w:hAnsi="宋体" w:eastAsia="宋体" w:cs="宋体"/>
                <w:color w:val="auto"/>
                <w:sz w:val="21"/>
                <w:szCs w:val="21"/>
                <w:highlight w:val="none"/>
                <w:lang w:val="zh-CN"/>
              </w:rPr>
              <w:t>运输专用车每</w:t>
            </w:r>
            <w:r>
              <w:rPr>
                <w:rFonts w:hint="eastAsia" w:ascii="宋体" w:hAnsi="宋体" w:eastAsia="宋体" w:cs="宋体"/>
                <w:color w:val="auto"/>
                <w:sz w:val="21"/>
                <w:szCs w:val="21"/>
                <w:highlight w:val="none"/>
                <w:lang w:val="en-US" w:eastAsia="zh-CN"/>
              </w:rPr>
              <w:t>增加投入</w:t>
            </w:r>
            <w:r>
              <w:rPr>
                <w:rFonts w:hint="eastAsia" w:ascii="宋体" w:hAnsi="宋体" w:eastAsia="宋体" w:cs="宋体"/>
                <w:color w:val="auto"/>
                <w:sz w:val="21"/>
                <w:szCs w:val="21"/>
                <w:highlight w:val="none"/>
                <w:lang w:val="zh-CN"/>
              </w:rPr>
              <w:t>1台</w:t>
            </w:r>
            <w:r>
              <w:rPr>
                <w:rFonts w:hint="eastAsia" w:ascii="宋体" w:hAnsi="宋体" w:eastAsia="宋体" w:cs="宋体"/>
                <w:color w:val="auto"/>
                <w:sz w:val="21"/>
                <w:szCs w:val="21"/>
                <w:highlight w:val="none"/>
                <w:lang w:val="en-US" w:eastAsia="zh-CN"/>
              </w:rPr>
              <w:t>的加1</w:t>
            </w:r>
            <w:r>
              <w:rPr>
                <w:rFonts w:hint="eastAsia" w:ascii="宋体" w:hAnsi="宋体" w:eastAsia="宋体" w:cs="宋体"/>
                <w:color w:val="auto"/>
                <w:sz w:val="21"/>
                <w:szCs w:val="21"/>
                <w:highlight w:val="none"/>
                <w:lang w:val="zh-CN"/>
              </w:rPr>
              <w:t>分，</w:t>
            </w:r>
            <w:r>
              <w:rPr>
                <w:rFonts w:hint="eastAsia" w:ascii="宋体" w:hAnsi="宋体" w:eastAsia="宋体" w:cs="宋体"/>
                <w:color w:val="auto"/>
                <w:sz w:val="21"/>
                <w:szCs w:val="21"/>
                <w:highlight w:val="none"/>
                <w:lang w:val="en-US" w:eastAsia="zh-CN"/>
              </w:rPr>
              <w:t>本项</w:t>
            </w:r>
            <w:r>
              <w:rPr>
                <w:rFonts w:hint="eastAsia" w:ascii="宋体" w:hAnsi="宋体" w:eastAsia="宋体" w:cs="宋体"/>
                <w:color w:val="auto"/>
                <w:sz w:val="21"/>
                <w:szCs w:val="21"/>
                <w:highlight w:val="none"/>
                <w:lang w:val="zh-CN"/>
              </w:rPr>
              <w:t>满分</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分。</w:t>
            </w:r>
          </w:p>
          <w:p w14:paraId="56E9EAF1">
            <w:pPr>
              <w:spacing w:line="360" w:lineRule="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备注：</w:t>
            </w:r>
          </w:p>
          <w:p w14:paraId="3CAC9EC2">
            <w:pPr>
              <w:spacing w:line="360" w:lineRule="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zh-CN"/>
              </w:rPr>
              <w:t>自有的运输专用车的须提供：①行驶证复印件；</w:t>
            </w:r>
            <w:r>
              <w:rPr>
                <w:rFonts w:hint="eastAsia" w:ascii="宋体" w:hAnsi="宋体" w:eastAsia="宋体" w:cs="宋体"/>
                <w:b/>
                <w:bCs/>
                <w:color w:val="auto"/>
                <w:sz w:val="21"/>
                <w:szCs w:val="21"/>
                <w:highlight w:val="none"/>
              </w:rPr>
              <w:t>②车辆照片/图片打印件（照片/图片须清晰</w:t>
            </w:r>
            <w:r>
              <w:rPr>
                <w:rFonts w:hint="eastAsia" w:ascii="宋体" w:hAnsi="宋体" w:eastAsia="宋体" w:cs="宋体"/>
                <w:b/>
                <w:bCs/>
                <w:color w:val="auto"/>
                <w:sz w:val="21"/>
                <w:szCs w:val="21"/>
                <w:highlight w:val="none"/>
                <w:lang w:val="zh-CN"/>
              </w:rPr>
              <w:t>显示</w:t>
            </w:r>
            <w:r>
              <w:rPr>
                <w:rFonts w:hint="eastAsia" w:ascii="宋体" w:hAnsi="宋体" w:eastAsia="宋体" w:cs="宋体"/>
                <w:b/>
                <w:bCs/>
                <w:color w:val="auto"/>
                <w:sz w:val="21"/>
                <w:szCs w:val="21"/>
                <w:highlight w:val="none"/>
              </w:rPr>
              <w:t>拍摄时间为202</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rPr>
              <w:t>月1日或以后）</w:t>
            </w:r>
            <w:r>
              <w:rPr>
                <w:rFonts w:hint="eastAsia" w:ascii="宋体" w:hAnsi="宋体" w:eastAsia="宋体" w:cs="宋体"/>
                <w:b/>
                <w:bCs/>
                <w:color w:val="auto"/>
                <w:sz w:val="21"/>
                <w:szCs w:val="21"/>
                <w:highlight w:val="none"/>
                <w:lang w:val="zh-CN"/>
              </w:rPr>
              <w:t>。</w:t>
            </w:r>
          </w:p>
          <w:p w14:paraId="6AAF3E0E">
            <w:pPr>
              <w:spacing w:line="360" w:lineRule="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zh-CN"/>
              </w:rPr>
              <w:t>委托第三方运输的须提供：①运输合同复印件；</w:t>
            </w:r>
            <w:r>
              <w:rPr>
                <w:rFonts w:hint="eastAsia" w:ascii="宋体" w:hAnsi="宋体" w:eastAsia="宋体" w:cs="宋体"/>
                <w:b/>
                <w:bCs/>
                <w:color w:val="auto"/>
                <w:sz w:val="21"/>
                <w:szCs w:val="21"/>
                <w:highlight w:val="none"/>
              </w:rPr>
              <w:t>②受托方道路运输经营许可证</w:t>
            </w:r>
            <w:r>
              <w:rPr>
                <w:rFonts w:hint="eastAsia" w:ascii="宋体" w:hAnsi="宋体" w:eastAsia="宋体" w:cs="宋体"/>
                <w:b/>
                <w:bCs/>
                <w:color w:val="auto"/>
                <w:sz w:val="21"/>
                <w:szCs w:val="21"/>
                <w:highlight w:val="none"/>
                <w:lang w:val="zh-CN"/>
              </w:rPr>
              <w:t>复印件</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zh-CN"/>
              </w:rPr>
              <w:t>③车辆道路运输证复印件；④车辆行驶证复印件；⑤</w:t>
            </w:r>
            <w:r>
              <w:rPr>
                <w:rFonts w:hint="eastAsia" w:ascii="宋体" w:hAnsi="宋体" w:eastAsia="宋体" w:cs="宋体"/>
                <w:b/>
                <w:bCs/>
                <w:color w:val="auto"/>
                <w:sz w:val="21"/>
                <w:szCs w:val="21"/>
                <w:highlight w:val="none"/>
              </w:rPr>
              <w:t>车辆照片/图片打印件（照片/图片须清晰</w:t>
            </w:r>
            <w:r>
              <w:rPr>
                <w:rFonts w:hint="eastAsia" w:ascii="宋体" w:hAnsi="宋体" w:eastAsia="宋体" w:cs="宋体"/>
                <w:b/>
                <w:bCs/>
                <w:color w:val="auto"/>
                <w:sz w:val="21"/>
                <w:szCs w:val="21"/>
                <w:highlight w:val="none"/>
                <w:lang w:val="zh-CN"/>
              </w:rPr>
              <w:t>显示</w:t>
            </w:r>
            <w:r>
              <w:rPr>
                <w:rFonts w:hint="eastAsia" w:ascii="宋体" w:hAnsi="宋体" w:eastAsia="宋体" w:cs="宋体"/>
                <w:b/>
                <w:bCs/>
                <w:color w:val="auto"/>
                <w:sz w:val="21"/>
                <w:szCs w:val="21"/>
                <w:highlight w:val="none"/>
              </w:rPr>
              <w:t>拍摄时间为202</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rPr>
              <w:t>月1日或以后）</w:t>
            </w:r>
            <w:r>
              <w:rPr>
                <w:rFonts w:hint="eastAsia" w:ascii="宋体" w:hAnsi="宋体" w:eastAsia="宋体" w:cs="宋体"/>
                <w:b/>
                <w:bCs/>
                <w:color w:val="auto"/>
                <w:sz w:val="21"/>
                <w:szCs w:val="21"/>
                <w:highlight w:val="none"/>
                <w:lang w:val="zh-CN"/>
              </w:rPr>
              <w:t>。</w:t>
            </w:r>
          </w:p>
          <w:p w14:paraId="6652E4DB">
            <w:pPr>
              <w:spacing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zh-CN"/>
              </w:rPr>
              <w:t>未提供或者提供信息不全或证件无效的相应车辆不得分。</w:t>
            </w:r>
          </w:p>
        </w:tc>
        <w:tc>
          <w:tcPr>
            <w:tcW w:w="437" w:type="pct"/>
            <w:tcBorders>
              <w:top w:val="single" w:color="auto" w:sz="4" w:space="0"/>
              <w:left w:val="single" w:color="auto" w:sz="4" w:space="0"/>
              <w:bottom w:val="single" w:color="auto" w:sz="4" w:space="0"/>
              <w:right w:val="single" w:color="auto" w:sz="4" w:space="0"/>
            </w:tcBorders>
            <w:vAlign w:val="center"/>
          </w:tcPr>
          <w:p w14:paraId="396BE6D5">
            <w:pPr>
              <w:pStyle w:val="194"/>
              <w:keepNext w:val="0"/>
              <w:tabs>
                <w:tab w:val="left" w:pos="585"/>
                <w:tab w:val="left" w:pos="680"/>
              </w:tabs>
              <w:spacing w:after="0" w:line="360" w:lineRule="auto"/>
              <w:ind w:right="0" w:right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zh-CN"/>
              </w:rPr>
              <w:t>分</w:t>
            </w:r>
          </w:p>
        </w:tc>
      </w:tr>
      <w:tr w14:paraId="689D3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463" w:type="dxa"/>
            <w:gridSpan w:val="3"/>
            <w:tcBorders>
              <w:top w:val="single" w:color="auto" w:sz="4" w:space="0"/>
              <w:left w:val="single" w:color="auto" w:sz="4" w:space="0"/>
              <w:bottom w:val="single" w:color="auto" w:sz="4" w:space="0"/>
              <w:right w:val="single" w:color="auto" w:sz="4" w:space="0"/>
            </w:tcBorders>
            <w:vAlign w:val="center"/>
          </w:tcPr>
          <w:p w14:paraId="1E30FAA2">
            <w:pPr>
              <w:snapToGrid w:val="0"/>
              <w:spacing w:line="360" w:lineRule="auto"/>
              <w:jc w:val="center"/>
              <w:rPr>
                <w:rFonts w:hint="eastAsia" w:ascii="宋体" w:hAnsi="宋体" w:eastAsia="宋体" w:cs="宋体"/>
                <w:b/>
                <w:bCs/>
                <w:color w:val="auto"/>
                <w:sz w:val="21"/>
                <w:szCs w:val="21"/>
                <w:highlight w:val="none"/>
                <w:lang w:eastAsia="zh-CN"/>
              </w:rPr>
            </w:pPr>
            <w:r>
              <w:rPr>
                <w:rFonts w:hint="eastAsia" w:ascii="宋体" w:hAnsi="宋体" w:eastAsia="宋体" w:cs="宋体"/>
                <w:b/>
                <w:color w:val="auto"/>
                <w:szCs w:val="21"/>
                <w:lang w:val="zh-CN"/>
              </w:rPr>
              <w:t>商务总分</w:t>
            </w:r>
          </w:p>
        </w:tc>
        <w:tc>
          <w:tcPr>
            <w:tcW w:w="907" w:type="dxa"/>
            <w:tcBorders>
              <w:top w:val="single" w:color="auto" w:sz="4" w:space="0"/>
              <w:left w:val="single" w:color="auto" w:sz="4" w:space="0"/>
              <w:bottom w:val="single" w:color="auto" w:sz="4" w:space="0"/>
              <w:right w:val="single" w:color="auto" w:sz="4" w:space="0"/>
            </w:tcBorders>
            <w:vAlign w:val="center"/>
          </w:tcPr>
          <w:p w14:paraId="2FC6CFAD">
            <w:pPr>
              <w:snapToGrid w:val="0"/>
              <w:spacing w:line="360" w:lineRule="auto"/>
              <w:jc w:val="center"/>
              <w:rPr>
                <w:rFonts w:hint="default" w:ascii="宋体" w:hAnsi="宋体" w:cs="宋体"/>
                <w:color w:val="auto"/>
                <w:szCs w:val="21"/>
                <w:highlight w:val="none"/>
                <w:lang w:val="en-US" w:eastAsia="zh-CN"/>
              </w:rPr>
            </w:pPr>
            <w:r>
              <w:rPr>
                <w:rFonts w:hint="eastAsia" w:ascii="宋体" w:hAnsi="宋体" w:eastAsia="宋体" w:cs="宋体"/>
                <w:b/>
                <w:color w:val="auto"/>
                <w:szCs w:val="21"/>
                <w:lang w:val="en-US" w:eastAsia="zh-CN"/>
              </w:rPr>
              <w:t>20</w:t>
            </w:r>
            <w:r>
              <w:rPr>
                <w:rFonts w:hint="eastAsia" w:ascii="宋体" w:hAnsi="宋体" w:eastAsia="宋体" w:cs="宋体"/>
                <w:b/>
                <w:color w:val="auto"/>
                <w:szCs w:val="21"/>
              </w:rPr>
              <w:t>分</w:t>
            </w:r>
          </w:p>
        </w:tc>
      </w:tr>
      <w:bookmarkEnd w:id="1032"/>
    </w:tbl>
    <w:p w14:paraId="74D9BEAB">
      <w:pPr>
        <w:autoSpaceDE w:val="0"/>
        <w:autoSpaceDN w:val="0"/>
        <w:adjustRightInd w:val="0"/>
        <w:ind w:right="-26" w:firstLine="480"/>
        <w:jc w:val="center"/>
        <w:rPr>
          <w:rFonts w:ascii="宋体" w:hAnsi="宋体" w:eastAsia="宋体" w:cs="Times New Roman"/>
          <w:b/>
          <w:bCs/>
          <w:color w:val="auto"/>
          <w:kern w:val="0"/>
          <w:sz w:val="24"/>
          <w:szCs w:val="24"/>
          <w:highlight w:val="none"/>
        </w:rPr>
      </w:pPr>
    </w:p>
    <w:p w14:paraId="70C75925">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bookmarkEnd w:id="1033"/>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1133"/>
        <w:gridCol w:w="7679"/>
        <w:gridCol w:w="909"/>
      </w:tblGrid>
      <w:tr w14:paraId="628E7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jc w:val="center"/>
        </w:trPr>
        <w:tc>
          <w:tcPr>
            <w:tcW w:w="313" w:type="pct"/>
            <w:tcBorders>
              <w:top w:val="single" w:color="auto" w:sz="4" w:space="0"/>
              <w:left w:val="single" w:color="auto" w:sz="4" w:space="0"/>
              <w:bottom w:val="single" w:color="auto" w:sz="4" w:space="0"/>
              <w:right w:val="single" w:color="auto" w:sz="4" w:space="0"/>
            </w:tcBorders>
            <w:noWrap w:val="0"/>
            <w:vAlign w:val="center"/>
          </w:tcPr>
          <w:p w14:paraId="771EA09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546" w:type="pct"/>
            <w:tcBorders>
              <w:top w:val="single" w:color="auto" w:sz="4" w:space="0"/>
              <w:left w:val="single" w:color="auto" w:sz="4" w:space="0"/>
              <w:bottom w:val="single" w:color="auto" w:sz="4" w:space="0"/>
              <w:right w:val="single" w:color="auto" w:sz="4" w:space="0"/>
            </w:tcBorders>
            <w:noWrap w:val="0"/>
            <w:vAlign w:val="center"/>
          </w:tcPr>
          <w:p w14:paraId="2390D8A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zh-CN"/>
              </w:rPr>
              <w:t>评审内容</w:t>
            </w:r>
          </w:p>
        </w:tc>
        <w:tc>
          <w:tcPr>
            <w:tcW w:w="3701" w:type="pct"/>
            <w:tcBorders>
              <w:top w:val="single" w:color="auto" w:sz="4" w:space="0"/>
              <w:left w:val="single" w:color="auto" w:sz="4" w:space="0"/>
              <w:bottom w:val="single" w:color="auto" w:sz="4" w:space="0"/>
              <w:right w:val="single" w:color="auto" w:sz="4" w:space="0"/>
            </w:tcBorders>
            <w:noWrap w:val="0"/>
            <w:vAlign w:val="center"/>
          </w:tcPr>
          <w:p w14:paraId="24A41C3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评审细则</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234F0F4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满分值</w:t>
            </w:r>
          </w:p>
        </w:tc>
      </w:tr>
      <w:tr w14:paraId="16036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trPr>
        <w:tc>
          <w:tcPr>
            <w:tcW w:w="313" w:type="pct"/>
            <w:tcBorders>
              <w:top w:val="single" w:color="auto" w:sz="4" w:space="0"/>
              <w:left w:val="single" w:color="auto" w:sz="4" w:space="0"/>
              <w:right w:val="single" w:color="auto" w:sz="4" w:space="0"/>
            </w:tcBorders>
            <w:noWrap w:val="0"/>
            <w:vAlign w:val="center"/>
          </w:tcPr>
          <w:p w14:paraId="28A0E781">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46" w:type="pct"/>
            <w:tcBorders>
              <w:top w:val="single" w:color="auto" w:sz="4" w:space="0"/>
              <w:left w:val="single" w:color="auto" w:sz="4" w:space="0"/>
              <w:right w:val="single" w:color="auto" w:sz="4" w:space="0"/>
            </w:tcBorders>
            <w:noWrap w:val="0"/>
            <w:vAlign w:val="center"/>
          </w:tcPr>
          <w:p w14:paraId="4D415B2D">
            <w:pPr>
              <w:spacing w:line="400" w:lineRule="exac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zh-CN"/>
              </w:rPr>
              <w:t>用户需求的响应程度</w:t>
            </w:r>
          </w:p>
        </w:tc>
        <w:tc>
          <w:tcPr>
            <w:tcW w:w="3701" w:type="pct"/>
            <w:tcBorders>
              <w:top w:val="single" w:color="auto" w:sz="4" w:space="0"/>
              <w:left w:val="single" w:color="auto" w:sz="4" w:space="0"/>
              <w:bottom w:val="single" w:color="auto" w:sz="4" w:space="0"/>
              <w:right w:val="single" w:color="auto" w:sz="4" w:space="0"/>
            </w:tcBorders>
            <w:noWrap w:val="0"/>
            <w:vAlign w:val="center"/>
          </w:tcPr>
          <w:p w14:paraId="0163525D">
            <w:pPr>
              <w:spacing w:line="400" w:lineRule="exact"/>
              <w:jc w:val="both"/>
              <w:rPr>
                <w:rFonts w:hint="eastAsia" w:ascii="宋体" w:hAnsi="宋体" w:eastAsia="宋体" w:cs="宋体"/>
                <w:b/>
                <w:color w:val="auto"/>
                <w:szCs w:val="21"/>
                <w:highlight w:val="none"/>
              </w:rPr>
            </w:pPr>
            <w:r>
              <w:rPr>
                <w:rFonts w:hint="eastAsia" w:ascii="宋体" w:hAnsi="宋体" w:eastAsia="宋体" w:cs="宋体"/>
                <w:color w:val="auto"/>
                <w:sz w:val="21"/>
                <w:szCs w:val="21"/>
                <w:highlight w:val="none"/>
                <w:lang w:val="zh-CN"/>
              </w:rPr>
              <w:t>根据用户需求偏离表的偏离情况进行评审计分，完全满足用户需求的要求得满分，每一处负偏离，扣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分；同时参照其投标文件中产品技术性能说明等技术资料的内容进行对比，每发现一处投标人填写为无偏离或正偏离，但评标委员会评审认定其为负偏离的，每处扣</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分；本项最低分为0分。</w:t>
            </w:r>
          </w:p>
        </w:tc>
        <w:tc>
          <w:tcPr>
            <w:tcW w:w="438" w:type="pct"/>
            <w:tcBorders>
              <w:top w:val="single" w:color="auto" w:sz="4" w:space="0"/>
              <w:left w:val="single" w:color="auto" w:sz="4" w:space="0"/>
              <w:right w:val="single" w:color="auto" w:sz="4" w:space="0"/>
            </w:tcBorders>
            <w:noWrap w:val="0"/>
            <w:vAlign w:val="center"/>
          </w:tcPr>
          <w:p w14:paraId="40FD9CD9">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tc>
      </w:tr>
      <w:tr w14:paraId="20BB2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3" w:type="pct"/>
            <w:vMerge w:val="restart"/>
            <w:tcBorders>
              <w:top w:val="single" w:color="auto" w:sz="4" w:space="0"/>
              <w:left w:val="single" w:color="auto" w:sz="4" w:space="0"/>
              <w:right w:val="single" w:color="auto" w:sz="4" w:space="0"/>
            </w:tcBorders>
            <w:noWrap w:val="0"/>
            <w:vAlign w:val="center"/>
          </w:tcPr>
          <w:p w14:paraId="461755F6">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p>
        </w:tc>
        <w:tc>
          <w:tcPr>
            <w:tcW w:w="546" w:type="pct"/>
            <w:vMerge w:val="restart"/>
            <w:tcBorders>
              <w:top w:val="single" w:color="auto" w:sz="4" w:space="0"/>
              <w:left w:val="single" w:color="auto" w:sz="4" w:space="0"/>
              <w:right w:val="single" w:color="auto" w:sz="4" w:space="0"/>
            </w:tcBorders>
            <w:noWrap w:val="0"/>
            <w:vAlign w:val="center"/>
          </w:tcPr>
          <w:p w14:paraId="2BEB39B3">
            <w:pPr>
              <w:snapToGri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rPr>
              <w:t>生产工艺</w:t>
            </w:r>
          </w:p>
        </w:tc>
        <w:tc>
          <w:tcPr>
            <w:tcW w:w="3701" w:type="pct"/>
            <w:tcBorders>
              <w:top w:val="single" w:color="auto" w:sz="4" w:space="0"/>
              <w:left w:val="single" w:color="auto" w:sz="4" w:space="0"/>
              <w:bottom w:val="single" w:color="auto" w:sz="4" w:space="0"/>
              <w:right w:val="single" w:color="auto" w:sz="4" w:space="0"/>
            </w:tcBorders>
            <w:noWrap w:val="0"/>
            <w:vAlign w:val="center"/>
          </w:tcPr>
          <w:p w14:paraId="0512B243">
            <w:pPr>
              <w:keepNext w:val="0"/>
              <w:snapToGrid w:val="0"/>
              <w:spacing w:after="0"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根据投标人提供生产原理、生产工艺流程图及其合理性说明；对照生产工艺流程图，</w:t>
            </w:r>
            <w:r>
              <w:rPr>
                <w:rFonts w:hint="eastAsia" w:ascii="宋体" w:hAnsi="宋体" w:eastAsia="宋体" w:cs="宋体"/>
                <w:color w:val="auto"/>
                <w:szCs w:val="21"/>
                <w:highlight w:val="none"/>
                <w:lang w:val="en-US" w:eastAsia="zh-CN"/>
              </w:rPr>
              <w:t>及</w:t>
            </w:r>
            <w:r>
              <w:rPr>
                <w:rFonts w:hint="eastAsia" w:ascii="宋体" w:hAnsi="宋体" w:eastAsia="宋体" w:cs="宋体"/>
                <w:color w:val="auto"/>
                <w:szCs w:val="21"/>
                <w:highlight w:val="none"/>
              </w:rPr>
              <w:t>提供关键节点生产现场照片，包括但不限于生产、储存设施（设备）等进行评审：</w:t>
            </w:r>
          </w:p>
          <w:p w14:paraId="437E3B9D">
            <w:pPr>
              <w:keepNext w:val="0"/>
              <w:snapToGrid w:val="0"/>
              <w:spacing w:after="0"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 w:val="21"/>
                <w:szCs w:val="21"/>
                <w:lang w:val="en-US" w:eastAsia="zh-CN"/>
              </w:rPr>
              <w:t>优：</w:t>
            </w:r>
            <w:r>
              <w:rPr>
                <w:rFonts w:hint="eastAsia" w:ascii="宋体" w:hAnsi="宋体" w:eastAsia="宋体" w:cs="宋体"/>
                <w:color w:val="auto"/>
                <w:sz w:val="21"/>
                <w:szCs w:val="21"/>
              </w:rPr>
              <w:t>提供的生产原理、生产工艺流程图详细、全面、合理，关键节点的生产、储存设施（设备）等与项目实施的配合度高的</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w:t>
            </w:r>
          </w:p>
          <w:p w14:paraId="141CC60C">
            <w:pPr>
              <w:keepNext w:val="0"/>
              <w:snapToGrid w:val="0"/>
              <w:spacing w:after="0"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rPr>
              <w:t>有提供生产原理、生产工艺流程图</w:t>
            </w:r>
            <w:r>
              <w:rPr>
                <w:rFonts w:hint="eastAsia" w:ascii="宋体" w:hAnsi="宋体" w:eastAsia="宋体" w:cs="宋体"/>
                <w:color w:val="auto"/>
                <w:sz w:val="21"/>
                <w:szCs w:val="21"/>
                <w:lang w:val="en-US" w:eastAsia="zh-CN"/>
              </w:rPr>
              <w:t>一般</w:t>
            </w:r>
            <w:r>
              <w:rPr>
                <w:rFonts w:hint="eastAsia" w:ascii="宋体" w:hAnsi="宋体" w:eastAsia="宋体" w:cs="宋体"/>
                <w:color w:val="auto"/>
                <w:sz w:val="21"/>
                <w:szCs w:val="21"/>
              </w:rPr>
              <w:t>，关键节点的生产、储存设施（设备）等与项目实施的配合度</w:t>
            </w:r>
            <w:r>
              <w:rPr>
                <w:rFonts w:hint="eastAsia" w:ascii="宋体" w:hAnsi="宋体" w:eastAsia="宋体" w:cs="宋体"/>
                <w:color w:val="auto"/>
                <w:sz w:val="21"/>
                <w:szCs w:val="21"/>
                <w:lang w:val="en-US" w:eastAsia="zh-CN"/>
              </w:rPr>
              <w:t>一般</w:t>
            </w:r>
            <w:r>
              <w:rPr>
                <w:rFonts w:hint="eastAsia" w:ascii="宋体" w:hAnsi="宋体" w:eastAsia="宋体" w:cs="宋体"/>
                <w:color w:val="auto"/>
                <w:sz w:val="21"/>
                <w:szCs w:val="21"/>
              </w:rPr>
              <w:t>的</w:t>
            </w:r>
            <w:r>
              <w:rPr>
                <w:rFonts w:hint="eastAsia" w:ascii="宋体" w:hAnsi="宋体" w:eastAsia="宋体" w:cs="宋体"/>
                <w:color w:val="auto"/>
                <w:szCs w:val="21"/>
                <w:highlight w:val="none"/>
                <w:lang w:val="en-US" w:eastAsia="zh-CN"/>
              </w:rPr>
              <w:t>，得</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w:t>
            </w:r>
          </w:p>
          <w:p w14:paraId="6B5F722C">
            <w:pPr>
              <w:keepNext w:val="0"/>
              <w:snapToGrid w:val="0"/>
              <w:spacing w:after="0"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差</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rPr>
              <w:t>有提供生产原理、生产工艺流程图，但不详细、不全面，关键节点的生产、储存设施（设备）等与项目实施的配合度低的</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得（</w:t>
            </w: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rPr>
              <w:t>-0]分。</w:t>
            </w:r>
          </w:p>
        </w:tc>
        <w:tc>
          <w:tcPr>
            <w:tcW w:w="438" w:type="pct"/>
            <w:tcBorders>
              <w:top w:val="single" w:color="auto" w:sz="4" w:space="0"/>
              <w:left w:val="single" w:color="auto" w:sz="4" w:space="0"/>
              <w:right w:val="single" w:color="auto" w:sz="4" w:space="0"/>
            </w:tcBorders>
            <w:noWrap w:val="0"/>
            <w:vAlign w:val="center"/>
          </w:tcPr>
          <w:p w14:paraId="40F544B3">
            <w:pPr>
              <w:pStyle w:val="194"/>
              <w:keepNext w:val="0"/>
              <w:tabs>
                <w:tab w:val="left" w:pos="585"/>
                <w:tab w:val="left" w:pos="680"/>
              </w:tabs>
              <w:spacing w:after="0" w:line="360" w:lineRule="auto"/>
              <w:ind w:right="0" w:rightChars="0"/>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分</w:t>
            </w:r>
          </w:p>
        </w:tc>
      </w:tr>
      <w:tr w14:paraId="3DD3D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3" w:type="pct"/>
            <w:vMerge w:val="restart"/>
            <w:tcBorders>
              <w:top w:val="single" w:color="auto" w:sz="4" w:space="0"/>
              <w:left w:val="single" w:color="auto" w:sz="4" w:space="0"/>
              <w:right w:val="single" w:color="auto" w:sz="4" w:space="0"/>
            </w:tcBorders>
            <w:noWrap w:val="0"/>
            <w:vAlign w:val="center"/>
          </w:tcPr>
          <w:p w14:paraId="247AAB2D">
            <w:pPr>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546" w:type="pct"/>
            <w:vMerge w:val="restart"/>
            <w:tcBorders>
              <w:top w:val="single" w:color="auto" w:sz="4" w:space="0"/>
              <w:left w:val="single" w:color="auto" w:sz="4" w:space="0"/>
              <w:right w:val="single" w:color="auto" w:sz="4" w:space="0"/>
            </w:tcBorders>
            <w:noWrap w:val="0"/>
            <w:vAlign w:val="center"/>
          </w:tcPr>
          <w:p w14:paraId="17F10632">
            <w:pPr>
              <w:pStyle w:val="194"/>
              <w:keepNext w:val="0"/>
              <w:tabs>
                <w:tab w:val="left" w:pos="585"/>
                <w:tab w:val="left" w:pos="680"/>
              </w:tabs>
              <w:spacing w:after="0"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生产供货保障能力</w:t>
            </w:r>
          </w:p>
        </w:tc>
        <w:tc>
          <w:tcPr>
            <w:tcW w:w="3701" w:type="pct"/>
            <w:tcBorders>
              <w:top w:val="single" w:color="auto" w:sz="4" w:space="0"/>
              <w:left w:val="single" w:color="auto" w:sz="4" w:space="0"/>
              <w:bottom w:val="single" w:color="auto" w:sz="4" w:space="0"/>
              <w:right w:val="single" w:color="auto" w:sz="4" w:space="0"/>
            </w:tcBorders>
            <w:noWrap w:val="0"/>
            <w:vAlign w:val="center"/>
          </w:tcPr>
          <w:p w14:paraId="19CB9671">
            <w:pPr>
              <w:snapToGrid w:val="0"/>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横向比较制造商生产液体</w:t>
            </w:r>
            <w:r>
              <w:rPr>
                <w:rFonts w:hint="eastAsia" w:ascii="宋体" w:hAnsi="宋体" w:eastAsia="宋体" w:cs="宋体"/>
                <w:color w:val="auto"/>
                <w:sz w:val="21"/>
                <w:szCs w:val="21"/>
                <w:highlight w:val="none"/>
                <w:lang w:val="en-US" w:eastAsia="zh-CN"/>
              </w:rPr>
              <w:t>乙酸钠</w:t>
            </w:r>
            <w:r>
              <w:rPr>
                <w:rFonts w:hint="eastAsia" w:ascii="宋体" w:hAnsi="宋体" w:eastAsia="宋体" w:cs="宋体"/>
                <w:color w:val="auto"/>
                <w:sz w:val="21"/>
                <w:szCs w:val="21"/>
                <w:highlight w:val="none"/>
                <w:lang w:val="zh-CN"/>
              </w:rPr>
              <w:t>产品的场地规模、生产环境、设施设备资料、产能证明资料</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lang w:val="zh-CN"/>
              </w:rPr>
              <w:t>服务团队等</w:t>
            </w:r>
            <w:r>
              <w:rPr>
                <w:rFonts w:hint="eastAsia" w:ascii="宋体" w:hAnsi="宋体" w:eastAsia="宋体" w:cs="宋体"/>
                <w:color w:val="auto"/>
                <w:sz w:val="21"/>
                <w:szCs w:val="21"/>
                <w:highlight w:val="none"/>
                <w:lang w:val="en-US" w:eastAsia="zh-CN"/>
              </w:rPr>
              <w:t>进行评审</w:t>
            </w:r>
            <w:r>
              <w:rPr>
                <w:rFonts w:hint="eastAsia" w:ascii="宋体" w:hAnsi="宋体" w:eastAsia="宋体" w:cs="宋体"/>
                <w:color w:val="auto"/>
                <w:sz w:val="21"/>
                <w:szCs w:val="21"/>
                <w:highlight w:val="none"/>
                <w:lang w:val="zh-CN"/>
              </w:rPr>
              <w:t>：</w:t>
            </w:r>
          </w:p>
          <w:p w14:paraId="4047DB13">
            <w:pPr>
              <w:snapToGrid w:val="0"/>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优：场地规模</w:t>
            </w:r>
            <w:r>
              <w:rPr>
                <w:rFonts w:hint="eastAsia" w:ascii="宋体" w:hAnsi="宋体" w:eastAsia="宋体" w:cs="宋体"/>
                <w:color w:val="auto"/>
                <w:sz w:val="21"/>
                <w:szCs w:val="21"/>
                <w:highlight w:val="none"/>
                <w:lang w:val="en-US" w:eastAsia="zh-CN"/>
              </w:rPr>
              <w:t>大</w:t>
            </w:r>
            <w:r>
              <w:rPr>
                <w:rFonts w:hint="eastAsia" w:ascii="宋体" w:hAnsi="宋体" w:eastAsia="宋体" w:cs="宋体"/>
                <w:color w:val="auto"/>
                <w:sz w:val="21"/>
                <w:szCs w:val="21"/>
                <w:highlight w:val="none"/>
                <w:lang w:val="zh-CN"/>
              </w:rPr>
              <w:t>、生产环境</w:t>
            </w:r>
            <w:r>
              <w:rPr>
                <w:rFonts w:hint="eastAsia" w:ascii="宋体" w:hAnsi="宋体" w:eastAsia="宋体" w:cs="宋体"/>
                <w:color w:val="auto"/>
                <w:sz w:val="21"/>
                <w:szCs w:val="21"/>
                <w:highlight w:val="none"/>
                <w:lang w:val="en-US" w:eastAsia="zh-CN"/>
              </w:rPr>
              <w:t>好、设施设备先进、</w:t>
            </w:r>
            <w:r>
              <w:rPr>
                <w:rFonts w:hint="eastAsia" w:ascii="宋体" w:hAnsi="宋体" w:eastAsia="宋体" w:cs="宋体"/>
                <w:b w:val="0"/>
                <w:bCs w:val="0"/>
                <w:color w:val="auto"/>
                <w:kern w:val="2"/>
                <w:sz w:val="21"/>
                <w:szCs w:val="21"/>
                <w:highlight w:val="none"/>
                <w:lang w:val="zh-CN"/>
              </w:rPr>
              <w:t>产能证明资料充分且可靠、</w:t>
            </w:r>
            <w:r>
              <w:rPr>
                <w:rFonts w:hint="eastAsia" w:ascii="宋体" w:hAnsi="宋体" w:eastAsia="宋体" w:cs="宋体"/>
                <w:color w:val="auto"/>
                <w:sz w:val="21"/>
                <w:szCs w:val="21"/>
                <w:highlight w:val="none"/>
                <w:lang w:val="zh-CN"/>
              </w:rPr>
              <w:t>服务团队</w:t>
            </w:r>
            <w:r>
              <w:rPr>
                <w:rFonts w:hint="eastAsia" w:ascii="宋体" w:hAnsi="宋体" w:eastAsia="宋体" w:cs="宋体"/>
                <w:color w:val="auto"/>
                <w:sz w:val="21"/>
                <w:szCs w:val="21"/>
                <w:highlight w:val="none"/>
                <w:lang w:val="en-US" w:eastAsia="zh-CN"/>
              </w:rPr>
              <w:t>人员充足、</w:t>
            </w:r>
            <w:r>
              <w:rPr>
                <w:rFonts w:hint="eastAsia" w:ascii="宋体" w:hAnsi="宋体" w:eastAsia="宋体" w:cs="宋体"/>
                <w:color w:val="auto"/>
                <w:kern w:val="2"/>
                <w:sz w:val="21"/>
                <w:szCs w:val="21"/>
                <w:highlight w:val="none"/>
                <w:lang w:val="zh-CN"/>
              </w:rPr>
              <w:t>具备丰富的行业经验和专业</w:t>
            </w:r>
            <w:r>
              <w:rPr>
                <w:rFonts w:hint="eastAsia" w:ascii="宋体" w:hAnsi="宋体" w:eastAsia="宋体" w:cs="宋体"/>
                <w:color w:val="auto"/>
                <w:kern w:val="2"/>
                <w:sz w:val="21"/>
                <w:szCs w:val="21"/>
                <w:highlight w:val="none"/>
                <w:lang w:val="en-US" w:eastAsia="zh-CN"/>
              </w:rPr>
              <w:t>能力</w:t>
            </w:r>
            <w:r>
              <w:rPr>
                <w:rFonts w:hint="eastAsia" w:ascii="宋体" w:hAnsi="宋体" w:eastAsia="宋体" w:cs="宋体"/>
                <w:color w:val="auto"/>
                <w:sz w:val="21"/>
                <w:szCs w:val="21"/>
                <w:highlight w:val="none"/>
                <w:lang w:val="en-US" w:eastAsia="zh-CN"/>
              </w:rPr>
              <w:t>的，得</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]分；</w:t>
            </w:r>
          </w:p>
          <w:p w14:paraId="766AA2A6">
            <w:pPr>
              <w:snapToGrid w:val="0"/>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中：场地规模</w:t>
            </w:r>
            <w:r>
              <w:rPr>
                <w:rFonts w:hint="eastAsia" w:ascii="宋体" w:hAnsi="宋体" w:eastAsia="宋体" w:cs="宋体"/>
                <w:color w:val="auto"/>
                <w:sz w:val="21"/>
                <w:szCs w:val="21"/>
                <w:highlight w:val="none"/>
                <w:lang w:val="en-US" w:eastAsia="zh-CN"/>
              </w:rPr>
              <w:t>一般</w:t>
            </w:r>
            <w:r>
              <w:rPr>
                <w:rFonts w:hint="eastAsia" w:ascii="宋体" w:hAnsi="宋体" w:eastAsia="宋体" w:cs="宋体"/>
                <w:color w:val="auto"/>
                <w:sz w:val="21"/>
                <w:szCs w:val="21"/>
                <w:highlight w:val="none"/>
                <w:lang w:val="zh-CN"/>
              </w:rPr>
              <w:t>、生产环境</w:t>
            </w:r>
            <w:r>
              <w:rPr>
                <w:rFonts w:hint="eastAsia" w:ascii="宋体" w:hAnsi="宋体" w:eastAsia="宋体" w:cs="宋体"/>
                <w:color w:val="auto"/>
                <w:sz w:val="21"/>
                <w:szCs w:val="21"/>
                <w:highlight w:val="none"/>
                <w:lang w:val="en-US" w:eastAsia="zh-CN"/>
              </w:rPr>
              <w:t>一般</w:t>
            </w:r>
            <w:r>
              <w:rPr>
                <w:rFonts w:hint="eastAsia" w:ascii="宋体" w:hAnsi="宋体" w:eastAsia="宋体" w:cs="宋体"/>
                <w:color w:val="auto"/>
                <w:sz w:val="21"/>
                <w:szCs w:val="21"/>
                <w:highlight w:val="none"/>
                <w:lang w:val="zh-CN"/>
              </w:rPr>
              <w:t>、设施设备</w:t>
            </w:r>
            <w:r>
              <w:rPr>
                <w:rFonts w:hint="eastAsia" w:ascii="宋体" w:hAnsi="宋体" w:eastAsia="宋体" w:cs="宋体"/>
                <w:color w:val="auto"/>
                <w:sz w:val="21"/>
                <w:szCs w:val="21"/>
                <w:highlight w:val="none"/>
                <w:lang w:val="en-US" w:eastAsia="zh-CN"/>
              </w:rPr>
              <w:t>一般</w:t>
            </w:r>
            <w:r>
              <w:rPr>
                <w:rFonts w:hint="eastAsia" w:ascii="宋体" w:hAnsi="宋体" w:eastAsia="宋体" w:cs="宋体"/>
                <w:color w:val="auto"/>
                <w:sz w:val="21"/>
                <w:szCs w:val="21"/>
                <w:highlight w:val="none"/>
                <w:lang w:val="zh-CN"/>
              </w:rPr>
              <w:t>、</w:t>
            </w:r>
            <w:r>
              <w:rPr>
                <w:rFonts w:hint="eastAsia" w:ascii="宋体" w:hAnsi="宋体" w:eastAsia="宋体" w:cs="宋体"/>
                <w:b w:val="0"/>
                <w:bCs w:val="0"/>
                <w:snapToGrid/>
                <w:color w:val="auto"/>
                <w:kern w:val="2"/>
                <w:sz w:val="21"/>
                <w:szCs w:val="21"/>
                <w:highlight w:val="none"/>
                <w:lang w:val="zh-CN"/>
              </w:rPr>
              <w:t>产能证明资料基本能反映生产能力、</w:t>
            </w:r>
            <w:r>
              <w:rPr>
                <w:rFonts w:hint="eastAsia" w:ascii="宋体" w:hAnsi="宋体" w:eastAsia="宋体" w:cs="宋体"/>
                <w:color w:val="auto"/>
                <w:sz w:val="21"/>
                <w:szCs w:val="21"/>
                <w:highlight w:val="none"/>
                <w:lang w:val="zh-CN"/>
              </w:rPr>
              <w:t>服务团队</w:t>
            </w:r>
            <w:r>
              <w:rPr>
                <w:rFonts w:hint="eastAsia" w:ascii="宋体" w:hAnsi="宋体" w:eastAsia="宋体" w:cs="宋体"/>
                <w:color w:val="auto"/>
                <w:sz w:val="21"/>
                <w:szCs w:val="21"/>
                <w:highlight w:val="none"/>
                <w:lang w:val="en-US" w:eastAsia="zh-CN"/>
              </w:rPr>
              <w:t>人员较少、</w:t>
            </w:r>
            <w:r>
              <w:rPr>
                <w:rFonts w:hint="eastAsia" w:ascii="宋体" w:hAnsi="宋体" w:eastAsia="宋体" w:cs="宋体"/>
                <w:color w:val="auto"/>
                <w:kern w:val="2"/>
                <w:sz w:val="21"/>
                <w:szCs w:val="21"/>
                <w:highlight w:val="none"/>
                <w:lang w:val="zh-CN"/>
              </w:rPr>
              <w:t>行业经验和专业</w:t>
            </w:r>
            <w:r>
              <w:rPr>
                <w:rFonts w:hint="eastAsia" w:ascii="宋体" w:hAnsi="宋体" w:eastAsia="宋体" w:cs="宋体"/>
                <w:color w:val="auto"/>
                <w:kern w:val="2"/>
                <w:sz w:val="21"/>
                <w:szCs w:val="21"/>
                <w:highlight w:val="none"/>
                <w:lang w:val="en-US" w:eastAsia="zh-CN"/>
              </w:rPr>
              <w:t>能力一般</w:t>
            </w:r>
            <w:r>
              <w:rPr>
                <w:rFonts w:hint="eastAsia" w:ascii="宋体" w:hAnsi="宋体" w:eastAsia="宋体" w:cs="宋体"/>
                <w:color w:val="auto"/>
                <w:sz w:val="21"/>
                <w:szCs w:val="21"/>
                <w:highlight w:val="none"/>
                <w:lang w:val="en-US" w:eastAsia="zh-CN"/>
              </w:rPr>
              <w:t>的，得</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]分；</w:t>
            </w:r>
          </w:p>
          <w:p w14:paraId="037CAE33">
            <w:pPr>
              <w:snapToGrid w:val="0"/>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差：场地规模</w:t>
            </w:r>
            <w:r>
              <w:rPr>
                <w:rFonts w:hint="eastAsia" w:ascii="宋体" w:hAnsi="宋体" w:eastAsia="宋体" w:cs="宋体"/>
                <w:color w:val="auto"/>
                <w:sz w:val="21"/>
                <w:szCs w:val="21"/>
                <w:highlight w:val="none"/>
                <w:lang w:val="en-US" w:eastAsia="zh-CN"/>
              </w:rPr>
              <w:t>小</w:t>
            </w:r>
            <w:r>
              <w:rPr>
                <w:rFonts w:hint="eastAsia" w:ascii="宋体" w:hAnsi="宋体" w:eastAsia="宋体" w:cs="宋体"/>
                <w:color w:val="auto"/>
                <w:sz w:val="21"/>
                <w:szCs w:val="21"/>
                <w:highlight w:val="none"/>
                <w:lang w:val="zh-CN"/>
              </w:rPr>
              <w:t>、生产环境</w:t>
            </w:r>
            <w:r>
              <w:rPr>
                <w:rFonts w:hint="eastAsia" w:ascii="宋体" w:hAnsi="宋体" w:eastAsia="宋体" w:cs="宋体"/>
                <w:color w:val="auto"/>
                <w:sz w:val="21"/>
                <w:szCs w:val="21"/>
                <w:highlight w:val="none"/>
                <w:lang w:val="en-US" w:eastAsia="zh-CN"/>
              </w:rPr>
              <w:t>简陋</w:t>
            </w:r>
            <w:r>
              <w:rPr>
                <w:rFonts w:hint="eastAsia" w:ascii="宋体" w:hAnsi="宋体" w:eastAsia="宋体" w:cs="宋体"/>
                <w:color w:val="auto"/>
                <w:sz w:val="21"/>
                <w:szCs w:val="21"/>
                <w:highlight w:val="none"/>
                <w:lang w:val="zh-CN"/>
              </w:rPr>
              <w:t>、设施设备</w:t>
            </w:r>
            <w:r>
              <w:rPr>
                <w:rFonts w:hint="eastAsia" w:ascii="宋体" w:hAnsi="宋体" w:eastAsia="宋体" w:cs="宋体"/>
                <w:color w:val="auto"/>
                <w:sz w:val="21"/>
                <w:szCs w:val="21"/>
                <w:highlight w:val="none"/>
                <w:lang w:val="en-US" w:eastAsia="zh-CN"/>
              </w:rPr>
              <w:t>差、</w:t>
            </w:r>
            <w:r>
              <w:rPr>
                <w:rFonts w:hint="eastAsia" w:ascii="宋体" w:hAnsi="宋体" w:eastAsia="宋体" w:cs="宋体"/>
                <w:b w:val="0"/>
                <w:bCs w:val="0"/>
                <w:snapToGrid/>
                <w:color w:val="auto"/>
                <w:kern w:val="2"/>
                <w:sz w:val="21"/>
                <w:szCs w:val="21"/>
                <w:highlight w:val="none"/>
                <w:lang w:val="zh-CN"/>
              </w:rPr>
              <w:t>产能证明资料不足、</w:t>
            </w:r>
            <w:r>
              <w:rPr>
                <w:rFonts w:hint="eastAsia" w:ascii="宋体" w:hAnsi="宋体" w:eastAsia="宋体" w:cs="宋体"/>
                <w:color w:val="auto"/>
                <w:sz w:val="21"/>
                <w:szCs w:val="21"/>
                <w:highlight w:val="none"/>
                <w:lang w:val="zh-CN"/>
              </w:rPr>
              <w:t>服务团队</w:t>
            </w:r>
            <w:r>
              <w:rPr>
                <w:rFonts w:hint="eastAsia" w:ascii="宋体" w:hAnsi="宋体" w:eastAsia="宋体" w:cs="宋体"/>
                <w:color w:val="auto"/>
                <w:sz w:val="21"/>
                <w:szCs w:val="21"/>
                <w:highlight w:val="none"/>
                <w:lang w:val="en-US" w:eastAsia="zh-CN"/>
              </w:rPr>
              <w:t>人员少、</w:t>
            </w:r>
            <w:r>
              <w:rPr>
                <w:rFonts w:hint="eastAsia" w:ascii="宋体" w:hAnsi="宋体" w:eastAsia="宋体" w:cs="宋体"/>
                <w:color w:val="auto"/>
                <w:kern w:val="2"/>
                <w:sz w:val="21"/>
                <w:szCs w:val="21"/>
                <w:highlight w:val="none"/>
                <w:lang w:val="zh-CN"/>
              </w:rPr>
              <w:t>行业经验和专业</w:t>
            </w:r>
            <w:r>
              <w:rPr>
                <w:rFonts w:hint="eastAsia" w:ascii="宋体" w:hAnsi="宋体" w:eastAsia="宋体" w:cs="宋体"/>
                <w:color w:val="auto"/>
                <w:kern w:val="2"/>
                <w:sz w:val="21"/>
                <w:szCs w:val="21"/>
                <w:highlight w:val="none"/>
                <w:lang w:val="en-US" w:eastAsia="zh-CN"/>
              </w:rPr>
              <w:t>能力</w:t>
            </w:r>
            <w:r>
              <w:rPr>
                <w:rFonts w:hint="eastAsia" w:ascii="宋体" w:hAnsi="宋体" w:eastAsia="宋体" w:cs="宋体"/>
                <w:color w:val="auto"/>
                <w:kern w:val="2"/>
                <w:sz w:val="21"/>
                <w:szCs w:val="21"/>
                <w:highlight w:val="none"/>
                <w:lang w:val="zh-CN"/>
              </w:rPr>
              <w:t>不足</w:t>
            </w:r>
            <w:r>
              <w:rPr>
                <w:rFonts w:hint="eastAsia" w:ascii="宋体" w:hAnsi="宋体" w:eastAsia="宋体" w:cs="宋体"/>
                <w:color w:val="auto"/>
                <w:kern w:val="2"/>
                <w:sz w:val="21"/>
                <w:szCs w:val="21"/>
                <w:highlight w:val="none"/>
                <w:lang w:val="en-US" w:eastAsia="zh-CN"/>
              </w:rPr>
              <w:t>的</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-0]分。</w:t>
            </w:r>
          </w:p>
          <w:p w14:paraId="267B1E70">
            <w:pPr>
              <w:snapToGrid w:val="0"/>
              <w:spacing w:line="360" w:lineRule="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备注：</w:t>
            </w:r>
          </w:p>
          <w:p w14:paraId="0D244161">
            <w:pPr>
              <w:snapToGrid w:val="0"/>
              <w:spacing w:line="360" w:lineRule="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（1）提供制造商场地自有产权证明复印件（或非自有产权时提供承租人为制造商的租赁合同复印件），产权证明或租赁合同的有效期须至202</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lang w:val="zh-CN"/>
              </w:rPr>
              <w:t>年12月31日或以后；</w:t>
            </w:r>
          </w:p>
          <w:p w14:paraId="259147E6">
            <w:pPr>
              <w:snapToGrid w:val="0"/>
              <w:spacing w:line="360" w:lineRule="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（2）提供制造商现场经营、生产环境、生产设备设施的照片/图片打印件（照片/图片须清晰显示拍摄时间为202</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lang w:val="zh-CN"/>
              </w:rPr>
              <w:t>年</w:t>
            </w:r>
            <w:r>
              <w:rPr>
                <w:rFonts w:hint="eastAsia" w:ascii="宋体" w:hAnsi="宋体" w:eastAsia="宋体" w:cs="宋体"/>
                <w:b/>
                <w:color w:val="auto"/>
                <w:sz w:val="21"/>
                <w:szCs w:val="21"/>
                <w:highlight w:val="none"/>
                <w:lang w:val="en-US" w:eastAsia="zh-CN"/>
              </w:rPr>
              <w:t>11</w:t>
            </w:r>
            <w:r>
              <w:rPr>
                <w:rFonts w:hint="eastAsia" w:ascii="宋体" w:hAnsi="宋体" w:eastAsia="宋体" w:cs="宋体"/>
                <w:b/>
                <w:color w:val="auto"/>
                <w:sz w:val="21"/>
                <w:szCs w:val="21"/>
                <w:highlight w:val="none"/>
                <w:lang w:val="zh-CN"/>
              </w:rPr>
              <w:t>月1日或以后），生产设备设施清单和（付款单位/购买方为制造商的）购置发票复印件等，并提供能证明其生产能力的环评报告或其他生产能力证明资料；</w:t>
            </w:r>
          </w:p>
          <w:p w14:paraId="3A7170C7">
            <w:pPr>
              <w:snapToGrid w:val="0"/>
              <w:spacing w:line="360" w:lineRule="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（3）若投标人为制造商，提供制造商生产及管理人员清单及人力资源和社会保障部门（或税务部门）出具的2</w:t>
            </w:r>
            <w:r>
              <w:rPr>
                <w:rFonts w:hint="eastAsia" w:ascii="宋体" w:hAnsi="宋体" w:eastAsia="宋体" w:cs="宋体"/>
                <w:b/>
                <w:color w:val="auto"/>
                <w:sz w:val="21"/>
                <w:szCs w:val="21"/>
                <w:highlight w:val="none"/>
              </w:rPr>
              <w:t>02</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年</w:t>
            </w:r>
            <w:r>
              <w:rPr>
                <w:rFonts w:hint="eastAsia" w:ascii="宋体" w:hAnsi="宋体" w:eastAsia="宋体" w:cs="宋体"/>
                <w:b/>
                <w:color w:val="auto"/>
                <w:sz w:val="21"/>
                <w:szCs w:val="21"/>
                <w:highlight w:val="none"/>
                <w:lang w:val="en-US" w:eastAsia="zh-CN"/>
              </w:rPr>
              <w:t>12</w:t>
            </w:r>
            <w:r>
              <w:rPr>
                <w:rFonts w:hint="eastAsia" w:ascii="宋体" w:hAnsi="宋体" w:eastAsia="宋体" w:cs="宋体"/>
                <w:b/>
                <w:color w:val="auto"/>
                <w:sz w:val="21"/>
                <w:szCs w:val="21"/>
                <w:highlight w:val="none"/>
              </w:rPr>
              <w:t>月</w:t>
            </w:r>
            <w:r>
              <w:rPr>
                <w:rFonts w:hint="eastAsia" w:ascii="宋体" w:hAnsi="宋体" w:eastAsia="宋体" w:cs="宋体"/>
                <w:b/>
                <w:color w:val="auto"/>
                <w:sz w:val="21"/>
                <w:szCs w:val="21"/>
                <w:highlight w:val="none"/>
                <w:lang w:val="zh-CN"/>
              </w:rPr>
              <w:t>制造商为其缴纳的社保证明复印件；若投标人为经销商，需同时提供制造商及经销商生产及管理人员清单及人力资源和社会保障部门（或税务部门）出具的2</w:t>
            </w:r>
            <w:r>
              <w:rPr>
                <w:rFonts w:hint="eastAsia" w:ascii="宋体" w:hAnsi="宋体" w:eastAsia="宋体" w:cs="宋体"/>
                <w:b/>
                <w:color w:val="auto"/>
                <w:sz w:val="21"/>
                <w:szCs w:val="21"/>
                <w:highlight w:val="none"/>
              </w:rPr>
              <w:t>02</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年</w:t>
            </w:r>
            <w:r>
              <w:rPr>
                <w:rFonts w:hint="eastAsia" w:ascii="宋体" w:hAnsi="宋体" w:eastAsia="宋体" w:cs="宋体"/>
                <w:b/>
                <w:color w:val="auto"/>
                <w:sz w:val="21"/>
                <w:szCs w:val="21"/>
                <w:highlight w:val="none"/>
                <w:lang w:val="en-US" w:eastAsia="zh-CN"/>
              </w:rPr>
              <w:t>12</w:t>
            </w:r>
            <w:r>
              <w:rPr>
                <w:rFonts w:hint="eastAsia" w:ascii="宋体" w:hAnsi="宋体" w:eastAsia="宋体" w:cs="宋体"/>
                <w:b/>
                <w:color w:val="auto"/>
                <w:sz w:val="21"/>
                <w:szCs w:val="21"/>
                <w:highlight w:val="none"/>
              </w:rPr>
              <w:t>月</w:t>
            </w:r>
            <w:r>
              <w:rPr>
                <w:rFonts w:hint="eastAsia" w:ascii="宋体" w:hAnsi="宋体" w:eastAsia="宋体" w:cs="宋体"/>
                <w:b/>
                <w:color w:val="auto"/>
                <w:sz w:val="21"/>
                <w:szCs w:val="21"/>
                <w:highlight w:val="none"/>
                <w:lang w:val="zh-CN"/>
              </w:rPr>
              <w:t>制造商及经销商为其缴纳的社保证明复印件；</w:t>
            </w:r>
          </w:p>
          <w:p w14:paraId="4DAEF2A9">
            <w:pPr>
              <w:snapToGrid w:val="0"/>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lang w:val="zh-CN"/>
              </w:rPr>
              <w:t>）投标人除文字介绍外，</w:t>
            </w:r>
            <w:r>
              <w:rPr>
                <w:rFonts w:hint="default" w:ascii="宋体" w:hAnsi="宋体" w:eastAsia="宋体" w:cs="宋体"/>
                <w:b/>
                <w:color w:val="auto"/>
                <w:sz w:val="21"/>
                <w:szCs w:val="21"/>
                <w:highlight w:val="none"/>
                <w:lang w:val="en-US"/>
              </w:rPr>
              <w:t>须</w:t>
            </w:r>
            <w:r>
              <w:rPr>
                <w:rFonts w:hint="eastAsia" w:ascii="宋体" w:hAnsi="宋体" w:eastAsia="宋体" w:cs="宋体"/>
                <w:b/>
                <w:color w:val="auto"/>
                <w:sz w:val="21"/>
                <w:szCs w:val="21"/>
                <w:highlight w:val="none"/>
                <w:lang w:val="zh-CN"/>
              </w:rPr>
              <w:t>提供以上材料</w:t>
            </w:r>
            <w:r>
              <w:rPr>
                <w:rFonts w:hint="eastAsia" w:ascii="宋体" w:hAnsi="宋体" w:eastAsia="宋体" w:cs="宋体"/>
                <w:b/>
                <w:color w:val="auto"/>
                <w:sz w:val="21"/>
                <w:szCs w:val="21"/>
                <w:highlight w:val="none"/>
                <w:lang w:val="en-US" w:eastAsia="zh-CN"/>
              </w:rPr>
              <w:t>作为辅助证明；如投标人不能完整提供上述证明材料的，在评标时将不予考虑评为“优”</w:t>
            </w:r>
            <w:r>
              <w:rPr>
                <w:rFonts w:hint="eastAsia" w:ascii="宋体" w:hAnsi="宋体" w:eastAsia="宋体" w:cs="宋体"/>
                <w:b/>
                <w:color w:val="auto"/>
                <w:sz w:val="21"/>
                <w:szCs w:val="21"/>
                <w:highlight w:val="none"/>
                <w:lang w:val="zh-CN"/>
              </w:rPr>
              <w:t>。</w:t>
            </w:r>
          </w:p>
        </w:tc>
        <w:tc>
          <w:tcPr>
            <w:tcW w:w="438" w:type="pct"/>
            <w:tcBorders>
              <w:top w:val="single" w:color="auto" w:sz="4" w:space="0"/>
              <w:left w:val="single" w:color="auto" w:sz="4" w:space="0"/>
              <w:right w:val="single" w:color="auto" w:sz="4" w:space="0"/>
            </w:tcBorders>
            <w:noWrap w:val="0"/>
            <w:vAlign w:val="center"/>
          </w:tcPr>
          <w:p w14:paraId="6E31DBE2">
            <w:pPr>
              <w:pStyle w:val="194"/>
              <w:keepNext w:val="0"/>
              <w:tabs>
                <w:tab w:val="left" w:pos="585"/>
                <w:tab w:val="left" w:pos="680"/>
              </w:tabs>
              <w:spacing w:after="0" w:line="360"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分</w:t>
            </w:r>
          </w:p>
        </w:tc>
      </w:tr>
      <w:tr w14:paraId="0B55D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 w:type="pct"/>
            <w:vMerge w:val="restart"/>
            <w:tcBorders>
              <w:top w:val="single" w:color="auto" w:sz="4" w:space="0"/>
              <w:left w:val="single" w:color="auto" w:sz="4" w:space="0"/>
              <w:right w:val="single" w:color="auto" w:sz="4" w:space="0"/>
            </w:tcBorders>
            <w:noWrap w:val="0"/>
            <w:vAlign w:val="center"/>
          </w:tcPr>
          <w:p w14:paraId="78CFC49B">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546" w:type="pct"/>
            <w:vMerge w:val="restart"/>
            <w:tcBorders>
              <w:top w:val="single" w:color="auto" w:sz="4" w:space="0"/>
              <w:left w:val="single" w:color="auto" w:sz="4" w:space="0"/>
              <w:right w:val="single" w:color="auto" w:sz="4" w:space="0"/>
            </w:tcBorders>
            <w:noWrap w:val="0"/>
            <w:vAlign w:val="center"/>
          </w:tcPr>
          <w:p w14:paraId="67285069">
            <w:pPr>
              <w:pStyle w:val="194"/>
              <w:keepNext w:val="0"/>
              <w:tabs>
                <w:tab w:val="left" w:pos="585"/>
                <w:tab w:val="left" w:pos="680"/>
              </w:tabs>
              <w:spacing w:after="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质量保证体系和措施</w:t>
            </w:r>
          </w:p>
        </w:tc>
        <w:tc>
          <w:tcPr>
            <w:tcW w:w="3701" w:type="pct"/>
            <w:tcBorders>
              <w:top w:val="single" w:color="auto" w:sz="4" w:space="0"/>
              <w:left w:val="single" w:color="auto" w:sz="4" w:space="0"/>
              <w:bottom w:val="single" w:color="auto" w:sz="4" w:space="0"/>
              <w:right w:val="single" w:color="auto" w:sz="4" w:space="0"/>
            </w:tcBorders>
            <w:noWrap w:val="0"/>
            <w:vAlign w:val="center"/>
          </w:tcPr>
          <w:p w14:paraId="340B91E5">
            <w:pPr>
              <w:pStyle w:val="194"/>
              <w:keepNext w:val="0"/>
              <w:tabs>
                <w:tab w:val="left" w:pos="585"/>
                <w:tab w:val="left" w:pos="680"/>
              </w:tabs>
              <w:spacing w:after="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对比投标人针对投标产品的测试、验收、质量保证实施计划和对招标人的水质、设备状况及运营情况进行液体</w:t>
            </w:r>
            <w:r>
              <w:rPr>
                <w:rFonts w:hint="eastAsia" w:ascii="宋体" w:hAnsi="宋体" w:cs="宋体"/>
                <w:color w:val="auto"/>
                <w:szCs w:val="21"/>
                <w:highlight w:val="none"/>
                <w:lang w:val="en-US" w:eastAsia="zh-CN"/>
              </w:rPr>
              <w:t>乙酸钠</w:t>
            </w:r>
            <w:r>
              <w:rPr>
                <w:rFonts w:hint="eastAsia" w:ascii="宋体" w:hAnsi="宋体" w:eastAsia="宋体" w:cs="宋体"/>
                <w:color w:val="auto"/>
                <w:szCs w:val="21"/>
                <w:highlight w:val="none"/>
              </w:rPr>
              <w:t>小试具体方案情况进行评审。</w:t>
            </w:r>
          </w:p>
          <w:p w14:paraId="76AD2E79">
            <w:pPr>
              <w:pStyle w:val="194"/>
              <w:keepNext w:val="0"/>
              <w:tabs>
                <w:tab w:val="left" w:pos="585"/>
                <w:tab w:val="left" w:pos="680"/>
              </w:tabs>
              <w:spacing w:after="0"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优</w:t>
            </w:r>
            <w:r>
              <w:rPr>
                <w:rFonts w:hint="eastAsia" w:ascii="宋体" w:hAnsi="宋体" w:eastAsia="宋体" w:cs="宋体"/>
                <w:color w:val="auto"/>
                <w:szCs w:val="21"/>
                <w:highlight w:val="none"/>
                <w:lang w:eastAsia="zh-CN"/>
              </w:rPr>
              <w:t>：</w:t>
            </w:r>
            <w:r>
              <w:rPr>
                <w:rFonts w:hint="eastAsia" w:ascii="宋体" w:hAnsi="宋体" w:cs="宋体"/>
                <w:color w:val="auto"/>
                <w:kern w:val="2"/>
                <w:sz w:val="21"/>
                <w:szCs w:val="21"/>
                <w:highlight w:val="none"/>
                <w:lang w:eastAsia="zh-CN"/>
              </w:rPr>
              <w:t>提供的测试、验收实施计划详细</w:t>
            </w:r>
            <w:r>
              <w:rPr>
                <w:rFonts w:hint="eastAsia" w:ascii="宋体" w:hAnsi="宋体" w:cs="宋体"/>
                <w:color w:val="auto"/>
                <w:kern w:val="2"/>
                <w:sz w:val="21"/>
                <w:szCs w:val="21"/>
                <w:highlight w:val="none"/>
                <w:lang w:val="en-US" w:eastAsia="zh-CN"/>
              </w:rPr>
              <w:t>；</w:t>
            </w:r>
            <w:r>
              <w:rPr>
                <w:color w:val="auto"/>
                <w:highlight w:val="none"/>
              </w:rPr>
              <w:t>质量保证体系完善、科学</w:t>
            </w:r>
            <w:r>
              <w:rPr>
                <w:rFonts w:hint="eastAsia" w:ascii="宋体" w:hAnsi="宋体" w:cs="宋体"/>
                <w:color w:val="auto"/>
                <w:kern w:val="2"/>
                <w:sz w:val="21"/>
                <w:szCs w:val="21"/>
                <w:highlight w:val="none"/>
                <w:lang w:eastAsia="zh-CN"/>
              </w:rPr>
              <w:t>；小试方案充分考虑了招标人的水质、设备状况及运营情况，方案针对性和可操作性</w:t>
            </w:r>
            <w:r>
              <w:rPr>
                <w:rFonts w:hint="eastAsia" w:ascii="宋体" w:hAnsi="宋体" w:cs="宋体"/>
                <w:color w:val="auto"/>
                <w:kern w:val="2"/>
                <w:sz w:val="21"/>
                <w:szCs w:val="21"/>
                <w:highlight w:val="none"/>
                <w:lang w:val="en-US" w:eastAsia="zh-CN"/>
              </w:rPr>
              <w:t>强的</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Cs w:val="21"/>
                <w:highlight w:val="none"/>
                <w:lang w:val="en-US" w:eastAsia="zh-CN"/>
              </w:rPr>
              <w:t>得</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p>
          <w:p w14:paraId="33223C30">
            <w:pPr>
              <w:pStyle w:val="194"/>
              <w:keepNext w:val="0"/>
              <w:tabs>
                <w:tab w:val="left" w:pos="585"/>
                <w:tab w:val="left" w:pos="680"/>
              </w:tabs>
              <w:spacing w:after="0"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中</w:t>
            </w:r>
            <w:r>
              <w:rPr>
                <w:rFonts w:hint="eastAsia" w:ascii="宋体" w:hAnsi="宋体" w:eastAsia="宋体" w:cs="宋体"/>
                <w:color w:val="auto"/>
                <w:szCs w:val="21"/>
                <w:highlight w:val="none"/>
                <w:lang w:eastAsia="zh-CN"/>
              </w:rPr>
              <w:t>：</w:t>
            </w:r>
            <w:r>
              <w:rPr>
                <w:rFonts w:hint="eastAsia" w:ascii="宋体" w:hAnsi="宋体" w:cs="宋体"/>
                <w:color w:val="auto"/>
                <w:kern w:val="2"/>
                <w:sz w:val="21"/>
                <w:szCs w:val="21"/>
                <w:highlight w:val="none"/>
                <w:lang w:eastAsia="zh-CN"/>
              </w:rPr>
              <w:t>提供的测试、验收实施计划</w:t>
            </w:r>
            <w:r>
              <w:rPr>
                <w:rFonts w:hint="eastAsia" w:ascii="宋体" w:hAnsi="宋体" w:cs="宋体"/>
                <w:color w:val="auto"/>
                <w:kern w:val="2"/>
                <w:sz w:val="21"/>
                <w:szCs w:val="21"/>
                <w:highlight w:val="none"/>
                <w:lang w:val="en-US" w:eastAsia="zh-CN"/>
              </w:rPr>
              <w:t>一般；</w:t>
            </w:r>
            <w:r>
              <w:rPr>
                <w:color w:val="auto"/>
                <w:highlight w:val="none"/>
              </w:rPr>
              <w:t>质量保证体系</w:t>
            </w:r>
            <w:r>
              <w:rPr>
                <w:rFonts w:hint="eastAsia" w:ascii="宋体" w:hAnsi="宋体" w:cs="宋体"/>
                <w:color w:val="auto"/>
                <w:kern w:val="2"/>
                <w:sz w:val="21"/>
                <w:szCs w:val="21"/>
                <w:highlight w:val="none"/>
                <w:lang w:val="en-US" w:eastAsia="zh-CN"/>
              </w:rPr>
              <w:t>一般</w:t>
            </w:r>
            <w:r>
              <w:rPr>
                <w:rFonts w:hint="eastAsia" w:ascii="宋体" w:hAnsi="宋体" w:cs="宋体"/>
                <w:color w:val="auto"/>
                <w:kern w:val="2"/>
                <w:sz w:val="21"/>
                <w:szCs w:val="21"/>
                <w:highlight w:val="none"/>
                <w:lang w:eastAsia="zh-CN"/>
              </w:rPr>
              <w:t>；小试方案</w:t>
            </w:r>
            <w:r>
              <w:rPr>
                <w:rFonts w:hint="eastAsia" w:ascii="宋体" w:hAnsi="宋体" w:cs="宋体"/>
                <w:color w:val="auto"/>
                <w:kern w:val="2"/>
                <w:sz w:val="21"/>
                <w:szCs w:val="21"/>
                <w:highlight w:val="none"/>
                <w:lang w:val="en-US" w:eastAsia="zh-CN"/>
              </w:rPr>
              <w:t>基本</w:t>
            </w:r>
            <w:r>
              <w:rPr>
                <w:rFonts w:hint="eastAsia" w:ascii="宋体" w:hAnsi="宋体" w:cs="宋体"/>
                <w:color w:val="auto"/>
                <w:kern w:val="2"/>
                <w:sz w:val="21"/>
                <w:szCs w:val="21"/>
                <w:highlight w:val="none"/>
                <w:lang w:eastAsia="zh-CN"/>
              </w:rPr>
              <w:t>考虑了招标人的水质、设备状况及运营情况，方案针对性和可操作性</w:t>
            </w:r>
            <w:r>
              <w:rPr>
                <w:rFonts w:hint="eastAsia" w:ascii="宋体" w:hAnsi="宋体" w:cs="宋体"/>
                <w:color w:val="auto"/>
                <w:kern w:val="2"/>
                <w:sz w:val="21"/>
                <w:szCs w:val="21"/>
                <w:highlight w:val="none"/>
                <w:lang w:val="en-US" w:eastAsia="zh-CN"/>
              </w:rPr>
              <w:t>一般的</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Cs w:val="21"/>
                <w:highlight w:val="none"/>
                <w:lang w:val="en-US" w:eastAsia="zh-CN"/>
              </w:rPr>
              <w:t>得</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p>
          <w:p w14:paraId="7E30D976">
            <w:pPr>
              <w:pStyle w:val="194"/>
              <w:keepNext w:val="0"/>
              <w:tabs>
                <w:tab w:val="left" w:pos="585"/>
                <w:tab w:val="left" w:pos="680"/>
              </w:tabs>
              <w:spacing w:after="0"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差</w:t>
            </w:r>
            <w:r>
              <w:rPr>
                <w:rFonts w:hint="eastAsia" w:ascii="宋体" w:hAnsi="宋体" w:eastAsia="宋体" w:cs="宋体"/>
                <w:color w:val="auto"/>
                <w:szCs w:val="21"/>
                <w:highlight w:val="none"/>
                <w:lang w:eastAsia="zh-CN"/>
              </w:rPr>
              <w:t>：</w:t>
            </w:r>
            <w:r>
              <w:rPr>
                <w:rFonts w:hint="eastAsia" w:ascii="宋体" w:hAnsi="宋体" w:cs="宋体"/>
                <w:color w:val="auto"/>
                <w:kern w:val="2"/>
                <w:sz w:val="21"/>
                <w:szCs w:val="21"/>
                <w:highlight w:val="none"/>
                <w:lang w:eastAsia="zh-CN"/>
              </w:rPr>
              <w:t>提供的测试、验收实施计划</w:t>
            </w:r>
            <w:r>
              <w:rPr>
                <w:rFonts w:hint="eastAsia" w:ascii="宋体" w:hAnsi="宋体" w:eastAsia="宋体" w:cs="宋体"/>
                <w:b w:val="0"/>
                <w:bCs w:val="0"/>
                <w:snapToGrid/>
                <w:color w:val="auto"/>
                <w:kern w:val="2"/>
                <w:szCs w:val="21"/>
                <w:highlight w:val="none"/>
                <w:lang w:val="zh-CN"/>
              </w:rPr>
              <w:t>存在一定缺失或不够详细</w:t>
            </w:r>
            <w:r>
              <w:rPr>
                <w:rFonts w:hint="eastAsia" w:ascii="宋体" w:hAnsi="宋体" w:cs="宋体"/>
                <w:color w:val="auto"/>
                <w:kern w:val="2"/>
                <w:sz w:val="21"/>
                <w:szCs w:val="21"/>
                <w:highlight w:val="none"/>
                <w:lang w:val="en-US" w:eastAsia="zh-CN"/>
              </w:rPr>
              <w:t>；</w:t>
            </w:r>
            <w:r>
              <w:rPr>
                <w:color w:val="auto"/>
                <w:highlight w:val="none"/>
              </w:rPr>
              <w:t>质量保证体系</w:t>
            </w:r>
            <w:r>
              <w:rPr>
                <w:rFonts w:hint="eastAsia"/>
                <w:color w:val="auto"/>
                <w:highlight w:val="none"/>
                <w:lang w:val="en-US" w:eastAsia="zh-CN"/>
              </w:rPr>
              <w:t>不完整或未提供</w:t>
            </w:r>
            <w:r>
              <w:rPr>
                <w:rFonts w:hint="eastAsia" w:ascii="宋体" w:hAnsi="宋体" w:cs="宋体"/>
                <w:color w:val="auto"/>
                <w:kern w:val="2"/>
                <w:sz w:val="21"/>
                <w:szCs w:val="21"/>
                <w:highlight w:val="none"/>
                <w:lang w:eastAsia="zh-CN"/>
              </w:rPr>
              <w:t>；小试方案</w:t>
            </w:r>
            <w:r>
              <w:rPr>
                <w:rFonts w:hint="eastAsia" w:ascii="宋体" w:hAnsi="宋体" w:cs="宋体"/>
                <w:color w:val="auto"/>
                <w:kern w:val="2"/>
                <w:sz w:val="21"/>
                <w:szCs w:val="21"/>
                <w:highlight w:val="none"/>
                <w:lang w:val="en-US" w:eastAsia="zh-CN"/>
              </w:rPr>
              <w:t>未能</w:t>
            </w:r>
            <w:r>
              <w:rPr>
                <w:rFonts w:hint="eastAsia" w:ascii="宋体" w:hAnsi="宋体" w:cs="宋体"/>
                <w:color w:val="auto"/>
                <w:kern w:val="2"/>
                <w:sz w:val="21"/>
                <w:szCs w:val="21"/>
                <w:highlight w:val="none"/>
                <w:lang w:eastAsia="zh-CN"/>
              </w:rPr>
              <w:t>考虑招标人的水质、设备状况及运营情况，方案针对性和可操作性</w:t>
            </w:r>
            <w:r>
              <w:rPr>
                <w:rFonts w:hint="eastAsia" w:ascii="宋体" w:hAnsi="宋体" w:cs="宋体"/>
                <w:color w:val="auto"/>
                <w:kern w:val="2"/>
                <w:sz w:val="21"/>
                <w:szCs w:val="21"/>
                <w:highlight w:val="none"/>
                <w:lang w:val="en-US" w:eastAsia="zh-CN"/>
              </w:rPr>
              <w:t>差的</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Cs w:val="21"/>
                <w:highlight w:val="none"/>
                <w:lang w:val="en-US" w:eastAsia="zh-CN"/>
              </w:rPr>
              <w:t>得</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-0]分</w:t>
            </w:r>
            <w:r>
              <w:rPr>
                <w:rFonts w:hint="eastAsia" w:ascii="宋体" w:hAnsi="宋体" w:eastAsia="宋体" w:cs="宋体"/>
                <w:color w:val="auto"/>
                <w:szCs w:val="21"/>
                <w:highlight w:val="none"/>
                <w:lang w:eastAsia="zh-CN"/>
              </w:rPr>
              <w:t>。</w:t>
            </w:r>
          </w:p>
        </w:tc>
        <w:tc>
          <w:tcPr>
            <w:tcW w:w="438" w:type="pct"/>
            <w:tcBorders>
              <w:top w:val="single" w:color="auto" w:sz="4" w:space="0"/>
              <w:left w:val="single" w:color="auto" w:sz="4" w:space="0"/>
              <w:right w:val="single" w:color="auto" w:sz="4" w:space="0"/>
            </w:tcBorders>
            <w:noWrap w:val="0"/>
            <w:vAlign w:val="center"/>
          </w:tcPr>
          <w:p w14:paraId="07576499">
            <w:pPr>
              <w:pStyle w:val="194"/>
              <w:keepNext w:val="0"/>
              <w:tabs>
                <w:tab w:val="left" w:pos="585"/>
                <w:tab w:val="left" w:pos="680"/>
              </w:tabs>
              <w:snapToGrid w:val="0"/>
              <w:spacing w:after="0" w:line="360"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分</w:t>
            </w:r>
          </w:p>
        </w:tc>
      </w:tr>
      <w:tr w14:paraId="49A54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 w:type="pct"/>
            <w:vMerge w:val="continue"/>
            <w:tcBorders>
              <w:left w:val="single" w:color="auto" w:sz="4" w:space="0"/>
              <w:right w:val="single" w:color="auto" w:sz="4" w:space="0"/>
            </w:tcBorders>
            <w:noWrap w:val="0"/>
            <w:vAlign w:val="center"/>
          </w:tcPr>
          <w:p w14:paraId="747FD748">
            <w:pPr>
              <w:snapToGrid w:val="0"/>
              <w:spacing w:line="360" w:lineRule="auto"/>
              <w:jc w:val="center"/>
              <w:rPr>
                <w:rFonts w:hint="eastAsia" w:ascii="宋体" w:hAnsi="宋体" w:eastAsia="宋体" w:cs="宋体"/>
                <w:color w:val="auto"/>
                <w:sz w:val="21"/>
                <w:szCs w:val="21"/>
                <w:highlight w:val="none"/>
              </w:rPr>
            </w:pPr>
          </w:p>
        </w:tc>
        <w:tc>
          <w:tcPr>
            <w:tcW w:w="546" w:type="pct"/>
            <w:vMerge w:val="continue"/>
            <w:tcBorders>
              <w:left w:val="single" w:color="auto" w:sz="4" w:space="0"/>
              <w:right w:val="single" w:color="auto" w:sz="4" w:space="0"/>
            </w:tcBorders>
            <w:noWrap w:val="0"/>
            <w:vAlign w:val="center"/>
          </w:tcPr>
          <w:p w14:paraId="3D590347">
            <w:pPr>
              <w:pStyle w:val="194"/>
              <w:keepNext w:val="0"/>
              <w:tabs>
                <w:tab w:val="left" w:pos="585"/>
                <w:tab w:val="left" w:pos="680"/>
              </w:tabs>
              <w:spacing w:after="0" w:line="360" w:lineRule="auto"/>
              <w:jc w:val="center"/>
              <w:rPr>
                <w:rFonts w:hint="eastAsia" w:ascii="宋体" w:hAnsi="宋体" w:eastAsia="宋体" w:cs="宋体"/>
                <w:color w:val="auto"/>
                <w:szCs w:val="21"/>
                <w:highlight w:val="none"/>
              </w:rPr>
            </w:pPr>
          </w:p>
        </w:tc>
        <w:tc>
          <w:tcPr>
            <w:tcW w:w="3701" w:type="pct"/>
            <w:tcBorders>
              <w:top w:val="single" w:color="auto" w:sz="4" w:space="0"/>
              <w:left w:val="single" w:color="auto" w:sz="4" w:space="0"/>
              <w:bottom w:val="single" w:color="auto" w:sz="4" w:space="0"/>
              <w:right w:val="single" w:color="auto" w:sz="4" w:space="0"/>
            </w:tcBorders>
            <w:noWrap w:val="0"/>
            <w:vAlign w:val="center"/>
          </w:tcPr>
          <w:p w14:paraId="02B04D21">
            <w:pPr>
              <w:pStyle w:val="194"/>
              <w:keepNext w:val="0"/>
              <w:tabs>
                <w:tab w:val="left" w:pos="585"/>
                <w:tab w:val="left" w:pos="680"/>
              </w:tabs>
              <w:spacing w:after="0"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eastAsia="zh-CN"/>
              </w:rPr>
              <w:t>投标人或投标人投标产品制造商</w:t>
            </w:r>
            <w:r>
              <w:rPr>
                <w:rFonts w:hint="eastAsia" w:ascii="宋体" w:hAnsi="宋体" w:eastAsia="宋体" w:cs="宋体"/>
                <w:color w:val="auto"/>
                <w:szCs w:val="21"/>
                <w:highlight w:val="none"/>
                <w:lang w:val="en-US" w:eastAsia="zh-CN"/>
              </w:rPr>
              <w:t>的检测人员每</w:t>
            </w:r>
            <w:r>
              <w:rPr>
                <w:rFonts w:hint="eastAsia" w:ascii="宋体" w:hAnsi="宋体" w:eastAsia="宋体" w:cs="宋体"/>
                <w:color w:val="auto"/>
                <w:szCs w:val="21"/>
                <w:highlight w:val="none"/>
                <w:lang w:eastAsia="zh-CN"/>
              </w:rPr>
              <w:t>配</w:t>
            </w:r>
            <w:r>
              <w:rPr>
                <w:rFonts w:hint="eastAsia" w:ascii="宋体" w:hAnsi="宋体" w:eastAsia="宋体" w:cs="宋体"/>
                <w:color w:val="auto"/>
                <w:szCs w:val="21"/>
                <w:highlight w:val="none"/>
                <w:lang w:val="en-US" w:eastAsia="zh-CN"/>
              </w:rPr>
              <w:t>备</w:t>
            </w:r>
            <w:r>
              <w:rPr>
                <w:rFonts w:hint="eastAsia" w:ascii="宋体" w:hAnsi="宋体" w:eastAsia="宋体" w:cs="宋体"/>
                <w:color w:val="auto"/>
                <w:szCs w:val="21"/>
                <w:highlight w:val="none"/>
                <w:lang w:eastAsia="zh-CN"/>
              </w:rPr>
              <w:t>有</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名化学检测或相关的职称证或上岗合格证或培训证的专职检测人员的得1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分，本子项满分</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分。</w:t>
            </w:r>
          </w:p>
          <w:p w14:paraId="2CA23BAF">
            <w:pPr>
              <w:pStyle w:val="194"/>
              <w:keepNext w:val="0"/>
              <w:tabs>
                <w:tab w:val="left" w:pos="585"/>
                <w:tab w:val="left" w:pos="680"/>
              </w:tabs>
              <w:spacing w:after="0" w:line="360" w:lineRule="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备注：</w:t>
            </w:r>
          </w:p>
          <w:p w14:paraId="52A4443C">
            <w:pPr>
              <w:pStyle w:val="194"/>
              <w:keepNext w:val="0"/>
              <w:tabs>
                <w:tab w:val="left" w:pos="585"/>
                <w:tab w:val="left" w:pos="680"/>
              </w:tabs>
              <w:spacing w:after="0"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eastAsia="zh-CN"/>
              </w:rPr>
              <w:t>必须提供上述人员资格证书（或注册/执业/岗位证书/技术职称/培训证）以及提供</w:t>
            </w:r>
            <w:r>
              <w:rPr>
                <w:rFonts w:hint="eastAsia" w:ascii="宋体" w:hAnsi="宋体" w:eastAsia="宋体" w:cs="宋体"/>
                <w:b/>
                <w:bCs/>
                <w:color w:val="auto"/>
                <w:szCs w:val="21"/>
                <w:highlight w:val="none"/>
                <w:lang w:val="zh-CN" w:eastAsia="zh-CN"/>
              </w:rPr>
              <w:t>人力资源和社会保障部门（或税务部门）出具的2</w:t>
            </w:r>
            <w:r>
              <w:rPr>
                <w:rFonts w:hint="eastAsia" w:ascii="宋体" w:hAnsi="宋体" w:eastAsia="宋体" w:cs="宋体"/>
                <w:b/>
                <w:bCs/>
                <w:color w:val="auto"/>
                <w:szCs w:val="21"/>
                <w:highlight w:val="none"/>
                <w:lang w:eastAsia="zh-CN"/>
              </w:rPr>
              <w:t>02</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lang w:eastAsia="zh-CN"/>
              </w:rPr>
              <w:t>年</w:t>
            </w:r>
            <w:r>
              <w:rPr>
                <w:rFonts w:hint="eastAsia" w:ascii="宋体" w:hAnsi="宋体" w:cs="宋体"/>
                <w:b/>
                <w:bCs/>
                <w:color w:val="auto"/>
                <w:szCs w:val="21"/>
                <w:highlight w:val="none"/>
                <w:lang w:val="en-US" w:eastAsia="zh-CN"/>
              </w:rPr>
              <w:t>12</w:t>
            </w:r>
            <w:r>
              <w:rPr>
                <w:rFonts w:hint="eastAsia" w:ascii="宋体" w:hAnsi="宋体" w:eastAsia="宋体" w:cs="宋体"/>
                <w:b/>
                <w:bCs/>
                <w:color w:val="auto"/>
                <w:szCs w:val="21"/>
                <w:highlight w:val="none"/>
                <w:lang w:eastAsia="zh-CN"/>
              </w:rPr>
              <w:t>月投标人或投标人投标产品制造商</w:t>
            </w:r>
            <w:r>
              <w:rPr>
                <w:rFonts w:hint="eastAsia" w:ascii="宋体" w:hAnsi="宋体" w:eastAsia="宋体" w:cs="宋体"/>
                <w:b/>
                <w:bCs/>
                <w:color w:val="auto"/>
                <w:szCs w:val="21"/>
                <w:highlight w:val="none"/>
                <w:lang w:val="zh-CN" w:eastAsia="zh-CN"/>
              </w:rPr>
              <w:t>为其缴纳的社保证明复印件</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否则</w:t>
            </w:r>
            <w:r>
              <w:rPr>
                <w:rFonts w:hint="eastAsia" w:ascii="宋体" w:hAnsi="宋体" w:eastAsia="宋体" w:cs="宋体"/>
                <w:b/>
                <w:bCs/>
                <w:color w:val="auto"/>
                <w:szCs w:val="21"/>
                <w:highlight w:val="none"/>
                <w:lang w:eastAsia="zh-CN"/>
              </w:rPr>
              <w:t>不得分。</w:t>
            </w:r>
          </w:p>
        </w:tc>
        <w:tc>
          <w:tcPr>
            <w:tcW w:w="438" w:type="pct"/>
            <w:tcBorders>
              <w:left w:val="single" w:color="auto" w:sz="4" w:space="0"/>
              <w:right w:val="single" w:color="auto" w:sz="4" w:space="0"/>
            </w:tcBorders>
            <w:noWrap w:val="0"/>
            <w:vAlign w:val="center"/>
          </w:tcPr>
          <w:p w14:paraId="6C83849B">
            <w:pPr>
              <w:pStyle w:val="194"/>
              <w:keepNext w:val="0"/>
              <w:tabs>
                <w:tab w:val="left" w:pos="585"/>
                <w:tab w:val="left" w:pos="680"/>
              </w:tabs>
              <w:snapToGrid w:val="0"/>
              <w:spacing w:after="0" w:line="360"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分</w:t>
            </w:r>
          </w:p>
        </w:tc>
      </w:tr>
      <w:tr w14:paraId="628C6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561" w:type="pct"/>
            <w:gridSpan w:val="3"/>
            <w:tcBorders>
              <w:top w:val="single" w:color="auto" w:sz="4" w:space="0"/>
              <w:left w:val="single" w:color="auto" w:sz="4" w:space="0"/>
              <w:bottom w:val="single" w:color="auto" w:sz="4" w:space="0"/>
              <w:right w:val="single" w:color="auto" w:sz="4" w:space="0"/>
            </w:tcBorders>
            <w:noWrap w:val="0"/>
            <w:vAlign w:val="center"/>
          </w:tcPr>
          <w:p w14:paraId="4172F333">
            <w:pPr>
              <w:pStyle w:val="194"/>
              <w:keepNext w:val="0"/>
              <w:tabs>
                <w:tab w:val="left" w:pos="585"/>
                <w:tab w:val="left" w:pos="680"/>
              </w:tabs>
              <w:snapToGrid w:val="0"/>
              <w:spacing w:after="0" w:line="360" w:lineRule="auto"/>
              <w:jc w:val="center"/>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技术总分</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39332820">
            <w:pPr>
              <w:pStyle w:val="194"/>
              <w:keepNext w:val="0"/>
              <w:tabs>
                <w:tab w:val="left" w:pos="585"/>
                <w:tab w:val="left" w:pos="680"/>
              </w:tabs>
              <w:snapToGrid w:val="0"/>
              <w:spacing w:after="0" w:line="360" w:lineRule="auto"/>
              <w:jc w:val="center"/>
              <w:rPr>
                <w:rFonts w:hint="eastAsia" w:ascii="宋体" w:hAnsi="宋体" w:eastAsia="宋体" w:cs="宋体"/>
                <w:b/>
                <w:bCs/>
                <w:color w:val="auto"/>
                <w:szCs w:val="21"/>
                <w:highlight w:val="none"/>
                <w:lang w:val="zh-CN"/>
              </w:rPr>
            </w:pPr>
            <w:r>
              <w:rPr>
                <w:rFonts w:hint="eastAsia" w:ascii="宋体" w:hAnsi="宋体" w:cs="宋体"/>
                <w:b/>
                <w:bCs/>
                <w:color w:val="auto"/>
                <w:szCs w:val="21"/>
                <w:highlight w:val="none"/>
                <w:lang w:val="en-US" w:eastAsia="zh-CN"/>
              </w:rPr>
              <w:t>20</w:t>
            </w:r>
            <w:r>
              <w:rPr>
                <w:rFonts w:hint="eastAsia" w:ascii="宋体" w:hAnsi="宋体" w:eastAsia="宋体" w:cs="宋体"/>
                <w:b/>
                <w:bCs/>
                <w:color w:val="auto"/>
                <w:szCs w:val="21"/>
                <w:highlight w:val="none"/>
                <w:lang w:val="zh-CN"/>
              </w:rPr>
              <w:t>分</w:t>
            </w:r>
          </w:p>
        </w:tc>
      </w:tr>
    </w:tbl>
    <w:p w14:paraId="5097D5E0">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7BC60775">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14:paraId="3D4513E8">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14:paraId="6D232C14">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③上述“评分项目”中按“优、中、差”区间评审的，若低于该项满分分值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14:paraId="3DDD928E">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7BE7AA6B">
      <w:pPr>
        <w:tabs>
          <w:tab w:val="left" w:pos="1701"/>
        </w:tabs>
        <w:autoSpaceDE w:val="0"/>
        <w:autoSpaceDN w:val="0"/>
        <w:adjustRightInd w:val="0"/>
        <w:spacing w:line="360" w:lineRule="auto"/>
        <w:outlineLvl w:val="9"/>
        <w:rPr>
          <w:rFonts w:ascii="宋体" w:hAnsi="宋体" w:eastAsia="宋体" w:cs="宋体"/>
          <w:b/>
          <w:color w:val="auto"/>
          <w:szCs w:val="24"/>
          <w:highlight w:val="none"/>
          <w:lang w:val="zh-CN"/>
        </w:rPr>
      </w:pPr>
      <w:bookmarkStart w:id="1034" w:name="_Toc30732"/>
      <w:bookmarkStart w:id="1035" w:name="_Toc2698"/>
      <w:r>
        <w:rPr>
          <w:rFonts w:hint="eastAsia" w:ascii="宋体" w:hAnsi="宋体" w:eastAsia="宋体" w:cs="宋体"/>
          <w:b/>
          <w:color w:val="auto"/>
          <w:szCs w:val="24"/>
          <w:highlight w:val="none"/>
          <w:lang w:val="zh-CN"/>
        </w:rPr>
        <w:t>（3）价格评分方法</w:t>
      </w:r>
      <w:bookmarkEnd w:id="1034"/>
      <w:bookmarkEnd w:id="1035"/>
    </w:p>
    <w:p w14:paraId="53DB6ECA">
      <w:pPr>
        <w:spacing w:line="360" w:lineRule="auto"/>
        <w:ind w:left="480" w:firstLine="211" w:firstLineChars="100"/>
        <w:outlineLvl w:val="9"/>
        <w:rPr>
          <w:rFonts w:ascii="宋体" w:hAnsi="宋体" w:eastAsia="宋体" w:cs="宋体"/>
          <w:b/>
          <w:bCs/>
          <w:color w:val="auto"/>
          <w:kern w:val="0"/>
          <w:szCs w:val="21"/>
          <w:highlight w:val="none"/>
          <w:lang w:val="zh-CN"/>
        </w:rPr>
      </w:pPr>
      <w:bookmarkStart w:id="1036" w:name="_Toc24693"/>
      <w:bookmarkStart w:id="1037" w:name="_Toc10044"/>
      <w:r>
        <w:rPr>
          <w:rFonts w:hint="eastAsia" w:ascii="宋体" w:hAnsi="宋体" w:eastAsia="宋体" w:cs="宋体"/>
          <w:b/>
          <w:bCs/>
          <w:color w:val="auto"/>
          <w:kern w:val="0"/>
          <w:szCs w:val="28"/>
          <w:highlight w:val="none"/>
          <w:lang w:val="zh-CN"/>
        </w:rPr>
        <w:t>1）经济文件的符合性审查</w:t>
      </w:r>
      <w:bookmarkEnd w:id="1036"/>
      <w:bookmarkEnd w:id="1037"/>
      <w:r>
        <w:rPr>
          <w:rFonts w:hint="eastAsia" w:ascii="宋体" w:hAnsi="宋体" w:eastAsia="宋体" w:cs="宋体"/>
          <w:b/>
          <w:bCs/>
          <w:color w:val="auto"/>
          <w:kern w:val="0"/>
          <w:szCs w:val="28"/>
          <w:highlight w:val="none"/>
          <w:lang w:val="zh-CN"/>
        </w:rPr>
        <w:t xml:space="preserve"> </w:t>
      </w:r>
    </w:p>
    <w:p w14:paraId="1918D988">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2B983EE6">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2F033A55">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6677B0F6">
      <w:pPr>
        <w:spacing w:line="360" w:lineRule="auto"/>
        <w:ind w:left="420" w:leftChars="200" w:firstLine="420" w:firstLineChars="200"/>
        <w:rPr>
          <w:rFonts w:ascii="宋体" w:hAnsi="宋体" w:eastAsia="宋体" w:cs="宋体"/>
          <w:color w:val="auto"/>
          <w:kern w:val="0"/>
          <w:szCs w:val="21"/>
          <w:highlight w:val="none"/>
          <w:lang w:val="zh-CN"/>
        </w:rPr>
      </w:pPr>
    </w:p>
    <w:p w14:paraId="5336C553">
      <w:pPr>
        <w:spacing w:line="360" w:lineRule="auto"/>
        <w:ind w:left="480" w:firstLine="211" w:firstLineChars="100"/>
        <w:outlineLvl w:val="9"/>
        <w:rPr>
          <w:rFonts w:ascii="宋体" w:hAnsi="宋体" w:eastAsia="宋体" w:cs="宋体"/>
          <w:b/>
          <w:bCs/>
          <w:color w:val="auto"/>
          <w:kern w:val="0"/>
          <w:szCs w:val="21"/>
          <w:highlight w:val="none"/>
        </w:rPr>
      </w:pPr>
      <w:bookmarkStart w:id="1038" w:name="_Toc11692"/>
      <w:bookmarkStart w:id="1039" w:name="_Toc8062"/>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60</w:t>
      </w:r>
      <w:r>
        <w:rPr>
          <w:rFonts w:hint="eastAsia" w:ascii="宋体" w:hAnsi="宋体" w:eastAsia="宋体" w:cs="宋体"/>
          <w:b/>
          <w:bCs/>
          <w:color w:val="auto"/>
          <w:kern w:val="0"/>
          <w:szCs w:val="21"/>
          <w:highlight w:val="none"/>
          <w:lang w:val="zh-CN"/>
        </w:rPr>
        <w:t>分</w:t>
      </w:r>
      <w:bookmarkEnd w:id="1038"/>
      <w:bookmarkEnd w:id="1039"/>
    </w:p>
    <w:p w14:paraId="555B1B3D">
      <w:pPr>
        <w:autoSpaceDN w:val="0"/>
        <w:adjustRightInd w:val="0"/>
        <w:snapToGrid w:val="0"/>
        <w:spacing w:line="360" w:lineRule="auto"/>
        <w:ind w:left="420" w:leftChars="100" w:hanging="210" w:hangingChars="1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A、根据有效投标人的投标报价，最低价作为基准价（Y）。投标人报价（X）等于基准价的得满分</w:t>
      </w:r>
      <w:r>
        <w:rPr>
          <w:rFonts w:hint="eastAsia" w:ascii="宋体" w:hAnsi="宋体" w:eastAsia="宋体" w:cs="宋体"/>
          <w:color w:val="auto"/>
          <w:kern w:val="0"/>
          <w:szCs w:val="21"/>
          <w:highlight w:val="none"/>
          <w:lang w:val="en-US" w:eastAsia="zh-CN"/>
        </w:rPr>
        <w:t>60</w:t>
      </w:r>
      <w:r>
        <w:rPr>
          <w:rFonts w:hint="eastAsia" w:ascii="宋体" w:hAnsi="宋体" w:eastAsia="宋体" w:cs="宋体"/>
          <w:color w:val="auto"/>
          <w:kern w:val="0"/>
          <w:szCs w:val="21"/>
          <w:highlight w:val="none"/>
        </w:rPr>
        <w:t>分，其他投标人的价格得分统一按照下列公式计算：</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 xml:space="preserve">    价格得分=(基准价／投标报价)×</w:t>
      </w:r>
      <w:r>
        <w:rPr>
          <w:rFonts w:hint="eastAsia" w:ascii="宋体" w:hAnsi="宋体" w:eastAsia="宋体" w:cs="宋体"/>
          <w:color w:val="auto"/>
          <w:kern w:val="0"/>
          <w:szCs w:val="21"/>
          <w:highlight w:val="none"/>
          <w:lang w:val="en-US" w:eastAsia="zh-CN"/>
        </w:rPr>
        <w:t>60</w:t>
      </w:r>
    </w:p>
    <w:p w14:paraId="41ADA38A">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78084CC0">
      <w:pPr>
        <w:tabs>
          <w:tab w:val="left" w:pos="585"/>
        </w:tabs>
        <w:autoSpaceDE w:val="0"/>
        <w:autoSpaceDN w:val="0"/>
        <w:adjustRightInd w:val="0"/>
        <w:spacing w:line="400" w:lineRule="exact"/>
        <w:outlineLvl w:val="9"/>
        <w:rPr>
          <w:rFonts w:ascii="宋体" w:hAnsi="宋体" w:eastAsia="宋体" w:cs="宋体"/>
          <w:b/>
          <w:color w:val="auto"/>
          <w:szCs w:val="21"/>
          <w:highlight w:val="none"/>
          <w:lang w:val="zh-CN"/>
        </w:rPr>
      </w:pPr>
      <w:bookmarkStart w:id="1040" w:name="_Toc15924"/>
      <w:bookmarkStart w:id="1041" w:name="_Toc591"/>
      <w:r>
        <w:rPr>
          <w:rFonts w:hint="eastAsia" w:ascii="宋体" w:hAnsi="宋体" w:eastAsia="宋体" w:cs="宋体"/>
          <w:b/>
          <w:color w:val="auto"/>
          <w:szCs w:val="21"/>
          <w:highlight w:val="none"/>
          <w:lang w:val="zh-CN"/>
        </w:rPr>
        <w:t>（4）综合得分</w:t>
      </w:r>
      <w:bookmarkEnd w:id="1040"/>
      <w:bookmarkEnd w:id="1041"/>
    </w:p>
    <w:p w14:paraId="59E3D592">
      <w:pPr>
        <w:spacing w:line="400" w:lineRule="exact"/>
        <w:ind w:firstLine="848" w:firstLineChars="404"/>
        <w:rPr>
          <w:rFonts w:ascii="宋体" w:hAnsi="宋体" w:eastAsia="宋体" w:cs="宋体"/>
          <w:color w:val="auto"/>
          <w:kern w:val="0"/>
          <w:szCs w:val="28"/>
          <w:highlight w:val="none"/>
          <w:lang w:val="zh-CN"/>
        </w:rPr>
      </w:pPr>
      <w:bookmarkStart w:id="1042" w:name="_Toc31624_WPSOffice_Level2"/>
      <w:r>
        <w:rPr>
          <w:rFonts w:hint="eastAsia" w:ascii="宋体" w:hAnsi="宋体" w:eastAsia="宋体" w:cs="宋体"/>
          <w:color w:val="auto"/>
          <w:kern w:val="0"/>
          <w:szCs w:val="28"/>
          <w:highlight w:val="none"/>
          <w:lang w:val="zh-CN"/>
        </w:rPr>
        <w:t>评标总得分=F1＋F2＋……+Fn</w:t>
      </w:r>
      <w:bookmarkEnd w:id="1042"/>
    </w:p>
    <w:p w14:paraId="510BD3D8">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1043" w:name="_Toc13236_WPSOffice_Level2"/>
      <w:r>
        <w:rPr>
          <w:rFonts w:hint="eastAsia" w:ascii="宋体" w:hAnsi="宋体" w:eastAsia="宋体" w:cs="宋体"/>
          <w:color w:val="auto"/>
          <w:kern w:val="0"/>
          <w:szCs w:val="21"/>
          <w:highlight w:val="none"/>
        </w:rPr>
        <w:t>F1、F2、……Fn分别为各项评分因素的得分</w:t>
      </w:r>
      <w:bookmarkEnd w:id="1043"/>
      <w:r>
        <w:rPr>
          <w:rFonts w:hint="eastAsia" w:ascii="宋体" w:hAnsi="宋体" w:eastAsia="宋体" w:cs="宋体"/>
          <w:color w:val="auto"/>
          <w:kern w:val="0"/>
          <w:szCs w:val="21"/>
          <w:highlight w:val="none"/>
        </w:rPr>
        <w:t>。</w:t>
      </w:r>
    </w:p>
    <w:p w14:paraId="28D7FD20">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6C9E31A7">
      <w:pPr>
        <w:autoSpaceDE w:val="0"/>
        <w:autoSpaceDN w:val="0"/>
        <w:adjustRightInd w:val="0"/>
        <w:spacing w:line="360" w:lineRule="auto"/>
        <w:ind w:left="185" w:leftChars="88" w:firstLine="3443" w:firstLineChars="1225"/>
        <w:outlineLvl w:val="9"/>
        <w:rPr>
          <w:rFonts w:hint="eastAsia" w:ascii="宋体" w:hAnsi="宋体" w:eastAsia="宋体" w:cs="宋体"/>
          <w:b/>
          <w:bCs/>
          <w:color w:val="auto"/>
          <w:sz w:val="28"/>
          <w:szCs w:val="28"/>
          <w:highlight w:val="none"/>
          <w:lang w:val="zh-CN"/>
        </w:rPr>
      </w:pPr>
      <w:bookmarkStart w:id="1044" w:name="_Toc518_WPSOffice_Level1"/>
      <w:bookmarkStart w:id="1045" w:name="_Toc5122"/>
      <w:bookmarkStart w:id="1046" w:name="_Toc16590"/>
      <w:r>
        <w:rPr>
          <w:rFonts w:hint="eastAsia" w:ascii="宋体" w:hAnsi="宋体" w:eastAsia="宋体" w:cs="宋体"/>
          <w:b/>
          <w:bCs/>
          <w:color w:val="auto"/>
          <w:sz w:val="28"/>
          <w:szCs w:val="28"/>
          <w:highlight w:val="none"/>
          <w:lang w:val="zh-CN"/>
        </w:rPr>
        <w:t>五、推荐中标人</w:t>
      </w:r>
      <w:bookmarkEnd w:id="1044"/>
      <w:bookmarkEnd w:id="1045"/>
      <w:bookmarkEnd w:id="1046"/>
    </w:p>
    <w:p w14:paraId="5399B3BA">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2A684652">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5AF5D1B1">
      <w:pPr>
        <w:widowControl/>
        <w:spacing w:line="360" w:lineRule="auto"/>
        <w:jc w:val="left"/>
        <w:rPr>
          <w:rFonts w:ascii="宋体" w:hAnsi="宋体" w:eastAsia="宋体" w:cs="宋体"/>
          <w:color w:val="auto"/>
          <w:kern w:val="0"/>
          <w:szCs w:val="21"/>
          <w:highlight w:val="none"/>
        </w:rPr>
      </w:pPr>
    </w:p>
    <w:p w14:paraId="3CFB8759">
      <w:pPr>
        <w:autoSpaceDE w:val="0"/>
        <w:autoSpaceDN w:val="0"/>
        <w:adjustRightInd w:val="0"/>
        <w:spacing w:line="360" w:lineRule="auto"/>
        <w:ind w:left="185" w:leftChars="88" w:firstLine="3443" w:firstLineChars="1225"/>
        <w:outlineLvl w:val="9"/>
        <w:rPr>
          <w:rFonts w:ascii="宋体" w:hAnsi="宋体" w:eastAsia="宋体" w:cs="宋体"/>
          <w:b/>
          <w:bCs/>
          <w:color w:val="auto"/>
          <w:sz w:val="28"/>
          <w:szCs w:val="28"/>
          <w:highlight w:val="none"/>
          <w:lang w:val="zh-CN"/>
        </w:rPr>
      </w:pPr>
      <w:bookmarkStart w:id="1047" w:name="_Toc32056"/>
      <w:bookmarkStart w:id="1048" w:name="_Toc22724_WPSOffice_Level1"/>
      <w:bookmarkStart w:id="1049" w:name="_Toc8900"/>
      <w:r>
        <w:rPr>
          <w:rFonts w:hint="eastAsia" w:ascii="宋体" w:hAnsi="宋体" w:eastAsia="宋体" w:cs="宋体"/>
          <w:b/>
          <w:bCs/>
          <w:color w:val="auto"/>
          <w:sz w:val="28"/>
          <w:szCs w:val="28"/>
          <w:highlight w:val="none"/>
          <w:lang w:val="zh-CN"/>
        </w:rPr>
        <w:t>六、编写评标报告</w:t>
      </w:r>
      <w:bookmarkEnd w:id="1047"/>
      <w:bookmarkEnd w:id="1048"/>
      <w:bookmarkEnd w:id="1049"/>
    </w:p>
    <w:p w14:paraId="7995406E">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06213FA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7D904DA5">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3E39D22E">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1F186591">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658155C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33EFC8C3">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6D07A98D">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53000A55">
      <w:pPr>
        <w:autoSpaceDE w:val="0"/>
        <w:autoSpaceDN w:val="0"/>
        <w:adjustRightInd w:val="0"/>
        <w:spacing w:line="360" w:lineRule="auto"/>
        <w:jc w:val="center"/>
        <w:outlineLvl w:val="9"/>
        <w:rPr>
          <w:rFonts w:ascii="宋体" w:hAnsi="宋体" w:eastAsia="宋体" w:cs="宋体"/>
          <w:b/>
          <w:bCs/>
          <w:color w:val="auto"/>
          <w:sz w:val="30"/>
          <w:szCs w:val="30"/>
          <w:highlight w:val="none"/>
          <w:lang w:val="zh-CN"/>
        </w:rPr>
      </w:pPr>
      <w:bookmarkStart w:id="1050" w:name="_Toc4833"/>
      <w:bookmarkStart w:id="1051" w:name="_Toc23773_WPSOffice_Level1"/>
      <w:bookmarkStart w:id="1052" w:name="_Toc6659"/>
      <w:r>
        <w:rPr>
          <w:rFonts w:hint="eastAsia" w:ascii="宋体" w:hAnsi="宋体" w:eastAsia="宋体" w:cs="宋体"/>
          <w:b/>
          <w:bCs/>
          <w:color w:val="auto"/>
          <w:sz w:val="28"/>
          <w:szCs w:val="28"/>
          <w:highlight w:val="none"/>
          <w:lang w:val="zh-CN"/>
        </w:rPr>
        <w:t>七、注意事项</w:t>
      </w:r>
      <w:bookmarkEnd w:id="1050"/>
      <w:bookmarkEnd w:id="1051"/>
      <w:bookmarkEnd w:id="1052"/>
    </w:p>
    <w:p w14:paraId="4DBA7452">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45A4B313">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78166BA8">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bookmarkStart w:id="1053" w:name="_Toc30092"/>
      <w:bookmarkStart w:id="1054" w:name="_Toc12668"/>
      <w:r>
        <w:rPr>
          <w:rFonts w:hint="eastAsia" w:ascii="宋体" w:hAnsi="宋体" w:eastAsia="宋体" w:cs="宋体"/>
          <w:color w:val="auto"/>
          <w:szCs w:val="24"/>
          <w:highlight w:val="none"/>
          <w:lang w:val="zh-CN"/>
        </w:rPr>
        <w:t>（2）评审人员及工作人员不得在公共场合谈论有关评审内容；</w:t>
      </w:r>
      <w:bookmarkEnd w:id="1053"/>
      <w:bookmarkEnd w:id="1054"/>
    </w:p>
    <w:p w14:paraId="7A71B68E">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3C232A44">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4CC71037">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bookmarkStart w:id="1055" w:name="_Toc13755"/>
      <w:bookmarkStart w:id="1056" w:name="_Toc23538"/>
      <w:r>
        <w:rPr>
          <w:rFonts w:hint="eastAsia" w:ascii="宋体" w:hAnsi="宋体" w:eastAsia="宋体" w:cs="宋体"/>
          <w:color w:val="auto"/>
          <w:szCs w:val="24"/>
          <w:highlight w:val="none"/>
          <w:lang w:val="zh-CN"/>
        </w:rPr>
        <w:t>（5）任何评审人员和工作人员不得对外公布评审的一切内容。</w:t>
      </w:r>
      <w:bookmarkEnd w:id="1055"/>
      <w:bookmarkEnd w:id="1056"/>
    </w:p>
    <w:bookmarkEnd w:id="944"/>
    <w:bookmarkEnd w:id="968"/>
    <w:bookmarkEnd w:id="969"/>
    <w:bookmarkEnd w:id="970"/>
    <w:p w14:paraId="1D934B94">
      <w:pPr>
        <w:widowControl/>
        <w:jc w:val="left"/>
        <w:rPr>
          <w:rFonts w:ascii="宋体" w:hAnsi="宋体" w:eastAsia="宋体" w:cs="宋体"/>
          <w:color w:val="auto"/>
          <w:szCs w:val="24"/>
          <w:highlight w:val="none"/>
          <w:lang w:val="zh-CN"/>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47084">
    <w:pPr>
      <w:pStyle w:val="26"/>
      <w:jc w:val="center"/>
    </w:pPr>
    <w:r>
      <w:rPr>
        <w:rFonts w:hint="eastAsia"/>
      </w:rPr>
      <w:t>第</w:t>
    </w:r>
    <w:r>
      <w:fldChar w:fldCharType="begin"/>
    </w:r>
    <w:r>
      <w:rPr>
        <w:rStyle w:val="41"/>
      </w:rPr>
      <w:instrText xml:space="preserve"> PAGE </w:instrText>
    </w:r>
    <w:r>
      <w:fldChar w:fldCharType="separate"/>
    </w:r>
    <w:r>
      <w:rPr>
        <w:rStyle w:val="41"/>
      </w:rPr>
      <w:t>35</w:t>
    </w:r>
    <w:r>
      <w:fldChar w:fldCharType="end"/>
    </w:r>
    <w:r>
      <w:rPr>
        <w:rStyle w:val="41"/>
        <w:rFonts w:hint="eastAsia"/>
      </w:rPr>
      <w:t>页，共</w:t>
    </w:r>
    <w:r>
      <w:fldChar w:fldCharType="begin"/>
    </w:r>
    <w:r>
      <w:rPr>
        <w:rStyle w:val="41"/>
      </w:rPr>
      <w:instrText xml:space="preserve"> NUMPAGES </w:instrText>
    </w:r>
    <w:r>
      <w:fldChar w:fldCharType="separate"/>
    </w:r>
    <w:r>
      <w:rPr>
        <w:rStyle w:val="41"/>
      </w:rPr>
      <w:t>115</w:t>
    </w:r>
    <w:r>
      <w:fldChar w:fldCharType="end"/>
    </w:r>
    <w:r>
      <w:rPr>
        <w:rStyle w:val="41"/>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9F0FC">
    <w:pPr>
      <w:pStyle w:val="26"/>
      <w:jc w:val="center"/>
    </w:pPr>
    <w:r>
      <w:rPr>
        <w:rFonts w:hint="eastAsia"/>
      </w:rPr>
      <w:t>第</w:t>
    </w:r>
    <w:r>
      <w:fldChar w:fldCharType="begin"/>
    </w:r>
    <w:r>
      <w:rPr>
        <w:rStyle w:val="41"/>
      </w:rPr>
      <w:instrText xml:space="preserve"> PAGE </w:instrText>
    </w:r>
    <w:r>
      <w:fldChar w:fldCharType="separate"/>
    </w:r>
    <w:r>
      <w:rPr>
        <w:rStyle w:val="41"/>
      </w:rPr>
      <w:t>35</w:t>
    </w:r>
    <w:r>
      <w:fldChar w:fldCharType="end"/>
    </w:r>
    <w:r>
      <w:rPr>
        <w:rStyle w:val="41"/>
        <w:rFonts w:hint="eastAsia"/>
      </w:rPr>
      <w:t>页，共</w:t>
    </w:r>
    <w:r>
      <w:fldChar w:fldCharType="begin"/>
    </w:r>
    <w:r>
      <w:rPr>
        <w:rStyle w:val="41"/>
      </w:rPr>
      <w:instrText xml:space="preserve"> NUMPAGES </w:instrText>
    </w:r>
    <w:r>
      <w:fldChar w:fldCharType="separate"/>
    </w:r>
    <w:r>
      <w:rPr>
        <w:rStyle w:val="41"/>
      </w:rPr>
      <w:t>115</w:t>
    </w:r>
    <w:r>
      <w:fldChar w:fldCharType="end"/>
    </w:r>
    <w:r>
      <w:rPr>
        <w:rStyle w:val="41"/>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BD336">
    <w:pPr>
      <w:pStyle w:val="26"/>
      <w:jc w:val="center"/>
    </w:pPr>
    <w:r>
      <w:rPr>
        <w:rFonts w:hint="eastAsia"/>
      </w:rPr>
      <w:t>第</w:t>
    </w:r>
    <w:r>
      <w:fldChar w:fldCharType="begin"/>
    </w:r>
    <w:r>
      <w:rPr>
        <w:rStyle w:val="41"/>
      </w:rPr>
      <w:instrText xml:space="preserve"> PAGE </w:instrText>
    </w:r>
    <w:r>
      <w:fldChar w:fldCharType="separate"/>
    </w:r>
    <w:r>
      <w:rPr>
        <w:rStyle w:val="41"/>
      </w:rPr>
      <w:t>35</w:t>
    </w:r>
    <w:r>
      <w:fldChar w:fldCharType="end"/>
    </w:r>
    <w:r>
      <w:rPr>
        <w:rStyle w:val="41"/>
        <w:rFonts w:hint="eastAsia"/>
      </w:rPr>
      <w:t>页，共</w:t>
    </w:r>
    <w:r>
      <w:fldChar w:fldCharType="begin"/>
    </w:r>
    <w:r>
      <w:rPr>
        <w:rStyle w:val="41"/>
      </w:rPr>
      <w:instrText xml:space="preserve"> NUMPAGES </w:instrText>
    </w:r>
    <w:r>
      <w:fldChar w:fldCharType="separate"/>
    </w:r>
    <w:r>
      <w:rPr>
        <w:rStyle w:val="41"/>
      </w:rPr>
      <w:t>115</w:t>
    </w:r>
    <w:r>
      <w:fldChar w:fldCharType="end"/>
    </w:r>
    <w:r>
      <w:rPr>
        <w:rStyle w:val="41"/>
        <w:rFonts w:hint="eastAsia"/>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ECFBA">
    <w:pPr>
      <w:pStyle w:val="26"/>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FFC09">
    <w:pPr>
      <w:pStyle w:val="26"/>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4561D">
    <w:pPr>
      <w:pStyle w:val="26"/>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72E93E02">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4729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1">
    <w:nsid w:val="442A3BA7"/>
    <w:multiLevelType w:val="multilevel"/>
    <w:tmpl w:val="442A3BA7"/>
    <w:lvl w:ilvl="0" w:tentative="0">
      <w:start w:val="1"/>
      <w:numFmt w:val="decimal"/>
      <w:lvlText w:val="%1"/>
      <w:lvlJc w:val="left"/>
      <w:pPr>
        <w:ind w:left="360" w:hanging="360"/>
      </w:pPr>
      <w:rPr>
        <w:rFonts w:hint="default" w:ascii="宋体" w:hAnsi="宋体" w:eastAsia="宋体"/>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A4C114D"/>
    <w:multiLevelType w:val="multilevel"/>
    <w:tmpl w:val="4A4C114D"/>
    <w:lvl w:ilvl="0" w:tentative="0">
      <w:start w:val="1"/>
      <w:numFmt w:val="decimal"/>
      <w:suff w:val="nothing"/>
      <w:lvlText w:val="%1、"/>
      <w:lvlJc w:val="left"/>
      <w:pPr>
        <w:ind w:left="0" w:firstLine="0"/>
      </w:pPr>
      <w:rPr>
        <w:rFonts w:hint="default" w:ascii="宋体" w:hAnsi="宋体" w:eastAsia="宋体" w:cs="Times New Roman"/>
        <w:sz w:val="21"/>
        <w:szCs w:val="21"/>
      </w:rPr>
    </w:lvl>
    <w:lvl w:ilvl="1" w:tentative="0">
      <w:start w:val="1"/>
      <w:numFmt w:val="decimal"/>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4B274E8D"/>
    <w:multiLevelType w:val="multilevel"/>
    <w:tmpl w:val="4B274E8D"/>
    <w:lvl w:ilvl="0" w:tentative="0">
      <w:start w:val="1"/>
      <w:numFmt w:val="chineseCountingThousand"/>
      <w:suff w:val="nothing"/>
      <w:lvlText w:val="%1、"/>
      <w:lvlJc w:val="left"/>
      <w:pPr>
        <w:ind w:left="0" w:firstLine="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2N2U0ZjdjYWVlODFlNzliMDZlYjI1ODI0NTc4ZDQifQ=="/>
  </w:docVars>
  <w:rsids>
    <w:rsidRoot w:val="001E63B6"/>
    <w:rsid w:val="000011AE"/>
    <w:rsid w:val="00004430"/>
    <w:rsid w:val="00006AEC"/>
    <w:rsid w:val="00015A2E"/>
    <w:rsid w:val="000245A6"/>
    <w:rsid w:val="0002570D"/>
    <w:rsid w:val="00027708"/>
    <w:rsid w:val="00035595"/>
    <w:rsid w:val="00040BE6"/>
    <w:rsid w:val="00040F92"/>
    <w:rsid w:val="00046C4B"/>
    <w:rsid w:val="000503F6"/>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15B3"/>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3BE3"/>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8C5"/>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24E68F9"/>
    <w:rsid w:val="0250441F"/>
    <w:rsid w:val="02FE5AC7"/>
    <w:rsid w:val="035967CC"/>
    <w:rsid w:val="03EC63C9"/>
    <w:rsid w:val="041651F4"/>
    <w:rsid w:val="04637662"/>
    <w:rsid w:val="04CF627B"/>
    <w:rsid w:val="05461264"/>
    <w:rsid w:val="058F7720"/>
    <w:rsid w:val="06447858"/>
    <w:rsid w:val="068F3629"/>
    <w:rsid w:val="0696261C"/>
    <w:rsid w:val="06A75D00"/>
    <w:rsid w:val="06AB431A"/>
    <w:rsid w:val="07182CD3"/>
    <w:rsid w:val="076F17EB"/>
    <w:rsid w:val="07894344"/>
    <w:rsid w:val="079B6617"/>
    <w:rsid w:val="07A829A7"/>
    <w:rsid w:val="08623DEB"/>
    <w:rsid w:val="0865499C"/>
    <w:rsid w:val="08AF5C17"/>
    <w:rsid w:val="091776A5"/>
    <w:rsid w:val="091E7F58"/>
    <w:rsid w:val="09914565"/>
    <w:rsid w:val="09D21BBD"/>
    <w:rsid w:val="0AC534D0"/>
    <w:rsid w:val="0B2B5A29"/>
    <w:rsid w:val="0B381EF4"/>
    <w:rsid w:val="0BBC48D3"/>
    <w:rsid w:val="0BF127E9"/>
    <w:rsid w:val="0C7C092D"/>
    <w:rsid w:val="0CB40F86"/>
    <w:rsid w:val="0CD0550C"/>
    <w:rsid w:val="0CF103CF"/>
    <w:rsid w:val="0DC772CA"/>
    <w:rsid w:val="0DD3717C"/>
    <w:rsid w:val="0DD95C10"/>
    <w:rsid w:val="0E0A401C"/>
    <w:rsid w:val="0E9225A3"/>
    <w:rsid w:val="0EAC0DAA"/>
    <w:rsid w:val="0EAC63BD"/>
    <w:rsid w:val="0F241091"/>
    <w:rsid w:val="0F39623B"/>
    <w:rsid w:val="0F721927"/>
    <w:rsid w:val="0FC15468"/>
    <w:rsid w:val="102A0560"/>
    <w:rsid w:val="103D7174"/>
    <w:rsid w:val="106F0166"/>
    <w:rsid w:val="10B4201D"/>
    <w:rsid w:val="10D138C1"/>
    <w:rsid w:val="10FF7010"/>
    <w:rsid w:val="123A3264"/>
    <w:rsid w:val="12722D9F"/>
    <w:rsid w:val="129702EF"/>
    <w:rsid w:val="12D6271E"/>
    <w:rsid w:val="130F4A87"/>
    <w:rsid w:val="132C233E"/>
    <w:rsid w:val="138F2A4C"/>
    <w:rsid w:val="13B9206C"/>
    <w:rsid w:val="154E2462"/>
    <w:rsid w:val="164C6B10"/>
    <w:rsid w:val="167069E6"/>
    <w:rsid w:val="16A66F42"/>
    <w:rsid w:val="174A4754"/>
    <w:rsid w:val="18406C2A"/>
    <w:rsid w:val="18611701"/>
    <w:rsid w:val="18B562BD"/>
    <w:rsid w:val="18DE1F70"/>
    <w:rsid w:val="19017DC9"/>
    <w:rsid w:val="190873AA"/>
    <w:rsid w:val="19397AAF"/>
    <w:rsid w:val="193B694A"/>
    <w:rsid w:val="193F7E0B"/>
    <w:rsid w:val="19562772"/>
    <w:rsid w:val="19650456"/>
    <w:rsid w:val="19831126"/>
    <w:rsid w:val="1A967187"/>
    <w:rsid w:val="1A996FE7"/>
    <w:rsid w:val="1AAB7122"/>
    <w:rsid w:val="1AB865A1"/>
    <w:rsid w:val="1AE479A2"/>
    <w:rsid w:val="1B0940FF"/>
    <w:rsid w:val="1B1F6729"/>
    <w:rsid w:val="1B5A216D"/>
    <w:rsid w:val="1B973779"/>
    <w:rsid w:val="1C393D1E"/>
    <w:rsid w:val="1C512E16"/>
    <w:rsid w:val="1D6848BB"/>
    <w:rsid w:val="1D7B395F"/>
    <w:rsid w:val="1D8D43A1"/>
    <w:rsid w:val="1DAE4F95"/>
    <w:rsid w:val="1DBC42AC"/>
    <w:rsid w:val="1DD73E07"/>
    <w:rsid w:val="1DF7063D"/>
    <w:rsid w:val="1E2471AC"/>
    <w:rsid w:val="1E3B5B2B"/>
    <w:rsid w:val="1E967206"/>
    <w:rsid w:val="1EAA2CB1"/>
    <w:rsid w:val="1F096428"/>
    <w:rsid w:val="1F4E1F4E"/>
    <w:rsid w:val="1F532EDB"/>
    <w:rsid w:val="1F5856A9"/>
    <w:rsid w:val="1F7E7BC0"/>
    <w:rsid w:val="1FB21E1D"/>
    <w:rsid w:val="1FF1689E"/>
    <w:rsid w:val="203C5B8B"/>
    <w:rsid w:val="205C4E1A"/>
    <w:rsid w:val="207A1985"/>
    <w:rsid w:val="20B11AFB"/>
    <w:rsid w:val="20C279F7"/>
    <w:rsid w:val="20C31E08"/>
    <w:rsid w:val="211508B6"/>
    <w:rsid w:val="21375273"/>
    <w:rsid w:val="21B96FAA"/>
    <w:rsid w:val="21E14C3C"/>
    <w:rsid w:val="21E23C77"/>
    <w:rsid w:val="22850A36"/>
    <w:rsid w:val="239633BA"/>
    <w:rsid w:val="23BC326A"/>
    <w:rsid w:val="23C102FE"/>
    <w:rsid w:val="240370EB"/>
    <w:rsid w:val="245E4744"/>
    <w:rsid w:val="249A76B9"/>
    <w:rsid w:val="24C745BD"/>
    <w:rsid w:val="24F45147"/>
    <w:rsid w:val="2500362B"/>
    <w:rsid w:val="252C01BD"/>
    <w:rsid w:val="25BC1C48"/>
    <w:rsid w:val="26151E30"/>
    <w:rsid w:val="26A526DC"/>
    <w:rsid w:val="27076EF2"/>
    <w:rsid w:val="27154FD8"/>
    <w:rsid w:val="272950BB"/>
    <w:rsid w:val="276B0A21"/>
    <w:rsid w:val="276D7F6F"/>
    <w:rsid w:val="28177609"/>
    <w:rsid w:val="2843570A"/>
    <w:rsid w:val="28491774"/>
    <w:rsid w:val="286E02B3"/>
    <w:rsid w:val="28704DBD"/>
    <w:rsid w:val="28B11B80"/>
    <w:rsid w:val="28CD7B64"/>
    <w:rsid w:val="28DA73F5"/>
    <w:rsid w:val="2900444B"/>
    <w:rsid w:val="2936671F"/>
    <w:rsid w:val="2947094F"/>
    <w:rsid w:val="298C6D5A"/>
    <w:rsid w:val="29A452B1"/>
    <w:rsid w:val="29C55A1E"/>
    <w:rsid w:val="29C95FE8"/>
    <w:rsid w:val="2A355B25"/>
    <w:rsid w:val="2A6E1037"/>
    <w:rsid w:val="2BFA4CA8"/>
    <w:rsid w:val="2C271FB0"/>
    <w:rsid w:val="2C300C99"/>
    <w:rsid w:val="2C483A6C"/>
    <w:rsid w:val="2C4A1ED4"/>
    <w:rsid w:val="2C5E3D90"/>
    <w:rsid w:val="2C5F157F"/>
    <w:rsid w:val="2C6F395B"/>
    <w:rsid w:val="2C85114F"/>
    <w:rsid w:val="2C9E00E8"/>
    <w:rsid w:val="2CF202C8"/>
    <w:rsid w:val="2CFC2BFE"/>
    <w:rsid w:val="2D960361"/>
    <w:rsid w:val="2DB11966"/>
    <w:rsid w:val="2E0B257D"/>
    <w:rsid w:val="2E352597"/>
    <w:rsid w:val="2F4F7689"/>
    <w:rsid w:val="2F6A0915"/>
    <w:rsid w:val="305D242A"/>
    <w:rsid w:val="308E2433"/>
    <w:rsid w:val="31402082"/>
    <w:rsid w:val="314D028A"/>
    <w:rsid w:val="315A4088"/>
    <w:rsid w:val="3191399B"/>
    <w:rsid w:val="31B3278A"/>
    <w:rsid w:val="3226381F"/>
    <w:rsid w:val="32313075"/>
    <w:rsid w:val="33332E1D"/>
    <w:rsid w:val="33680E1D"/>
    <w:rsid w:val="338D69D1"/>
    <w:rsid w:val="33DB598F"/>
    <w:rsid w:val="343D57A7"/>
    <w:rsid w:val="3489363D"/>
    <w:rsid w:val="352073D1"/>
    <w:rsid w:val="355530AA"/>
    <w:rsid w:val="355534E3"/>
    <w:rsid w:val="362221D1"/>
    <w:rsid w:val="364631D7"/>
    <w:rsid w:val="36672A7B"/>
    <w:rsid w:val="36703B69"/>
    <w:rsid w:val="368928C2"/>
    <w:rsid w:val="36C344B8"/>
    <w:rsid w:val="377F4482"/>
    <w:rsid w:val="385178A7"/>
    <w:rsid w:val="3882786B"/>
    <w:rsid w:val="38E24A78"/>
    <w:rsid w:val="38E452E6"/>
    <w:rsid w:val="38EB56F8"/>
    <w:rsid w:val="393C6ED0"/>
    <w:rsid w:val="39475E40"/>
    <w:rsid w:val="397A6507"/>
    <w:rsid w:val="3A8F17FC"/>
    <w:rsid w:val="3AA800F8"/>
    <w:rsid w:val="3AF7708F"/>
    <w:rsid w:val="3B1F29B6"/>
    <w:rsid w:val="3B664D8A"/>
    <w:rsid w:val="3B6A4290"/>
    <w:rsid w:val="3B8B3748"/>
    <w:rsid w:val="3B8E088C"/>
    <w:rsid w:val="3B9971A7"/>
    <w:rsid w:val="3C337A30"/>
    <w:rsid w:val="3C9A3306"/>
    <w:rsid w:val="3CB74ABF"/>
    <w:rsid w:val="3CBA010B"/>
    <w:rsid w:val="3D1B504E"/>
    <w:rsid w:val="3DBA6422"/>
    <w:rsid w:val="3DE329CA"/>
    <w:rsid w:val="3E0E6961"/>
    <w:rsid w:val="3EA307B8"/>
    <w:rsid w:val="3F5B255F"/>
    <w:rsid w:val="3F944A09"/>
    <w:rsid w:val="3FA82A06"/>
    <w:rsid w:val="3FCE5CD0"/>
    <w:rsid w:val="3FCE6825"/>
    <w:rsid w:val="40337FBA"/>
    <w:rsid w:val="40BB32ED"/>
    <w:rsid w:val="410271DD"/>
    <w:rsid w:val="41055DF9"/>
    <w:rsid w:val="411C3A6B"/>
    <w:rsid w:val="413D1C34"/>
    <w:rsid w:val="413D3E30"/>
    <w:rsid w:val="416845DA"/>
    <w:rsid w:val="4199111F"/>
    <w:rsid w:val="41C51A2C"/>
    <w:rsid w:val="41FB1E9F"/>
    <w:rsid w:val="42443C11"/>
    <w:rsid w:val="42F53803"/>
    <w:rsid w:val="43533A05"/>
    <w:rsid w:val="436B29C6"/>
    <w:rsid w:val="43B50E83"/>
    <w:rsid w:val="43E81BAE"/>
    <w:rsid w:val="44027DCD"/>
    <w:rsid w:val="4416567B"/>
    <w:rsid w:val="44373EE2"/>
    <w:rsid w:val="44A02DC8"/>
    <w:rsid w:val="44BA2906"/>
    <w:rsid w:val="44E4041B"/>
    <w:rsid w:val="45181A63"/>
    <w:rsid w:val="452226EA"/>
    <w:rsid w:val="45350C77"/>
    <w:rsid w:val="45413006"/>
    <w:rsid w:val="45637592"/>
    <w:rsid w:val="45E30566"/>
    <w:rsid w:val="46827EEC"/>
    <w:rsid w:val="46E57892"/>
    <w:rsid w:val="46E6313D"/>
    <w:rsid w:val="47EB068E"/>
    <w:rsid w:val="4812253D"/>
    <w:rsid w:val="48296208"/>
    <w:rsid w:val="48A91760"/>
    <w:rsid w:val="48DF421C"/>
    <w:rsid w:val="48F30C2D"/>
    <w:rsid w:val="491D3EFC"/>
    <w:rsid w:val="49677566"/>
    <w:rsid w:val="49767244"/>
    <w:rsid w:val="49D071C0"/>
    <w:rsid w:val="4A4308D9"/>
    <w:rsid w:val="4BF70A34"/>
    <w:rsid w:val="4BF74ED8"/>
    <w:rsid w:val="4C107D48"/>
    <w:rsid w:val="4C912C37"/>
    <w:rsid w:val="4D01672A"/>
    <w:rsid w:val="4D07114B"/>
    <w:rsid w:val="4D5D0D6B"/>
    <w:rsid w:val="4E437F61"/>
    <w:rsid w:val="4E86306A"/>
    <w:rsid w:val="4F076310"/>
    <w:rsid w:val="4F0A4599"/>
    <w:rsid w:val="4F542CEF"/>
    <w:rsid w:val="4F722D41"/>
    <w:rsid w:val="4FA97F55"/>
    <w:rsid w:val="4FC83A29"/>
    <w:rsid w:val="4FCD1AFA"/>
    <w:rsid w:val="4FF129BB"/>
    <w:rsid w:val="505C7A00"/>
    <w:rsid w:val="506A76DE"/>
    <w:rsid w:val="508F34F0"/>
    <w:rsid w:val="51024103"/>
    <w:rsid w:val="516E106E"/>
    <w:rsid w:val="51714DE5"/>
    <w:rsid w:val="517257E8"/>
    <w:rsid w:val="51AE7211"/>
    <w:rsid w:val="5233158F"/>
    <w:rsid w:val="52522C1D"/>
    <w:rsid w:val="5257047F"/>
    <w:rsid w:val="526B3F2A"/>
    <w:rsid w:val="52B96A43"/>
    <w:rsid w:val="52F80915"/>
    <w:rsid w:val="53633425"/>
    <w:rsid w:val="53794425"/>
    <w:rsid w:val="53F210E7"/>
    <w:rsid w:val="54221D2C"/>
    <w:rsid w:val="54401085"/>
    <w:rsid w:val="54C33BA9"/>
    <w:rsid w:val="54C47921"/>
    <w:rsid w:val="552533B3"/>
    <w:rsid w:val="55290B71"/>
    <w:rsid w:val="556F1EDE"/>
    <w:rsid w:val="55C41D5B"/>
    <w:rsid w:val="567D5C59"/>
    <w:rsid w:val="568802DB"/>
    <w:rsid w:val="56B37004"/>
    <w:rsid w:val="56D6358C"/>
    <w:rsid w:val="56F945D5"/>
    <w:rsid w:val="57325016"/>
    <w:rsid w:val="57385F05"/>
    <w:rsid w:val="574E2F4F"/>
    <w:rsid w:val="582B2191"/>
    <w:rsid w:val="583059FA"/>
    <w:rsid w:val="585A57E2"/>
    <w:rsid w:val="58AE4C61"/>
    <w:rsid w:val="58C83E84"/>
    <w:rsid w:val="59536EAF"/>
    <w:rsid w:val="59633BAD"/>
    <w:rsid w:val="59653481"/>
    <w:rsid w:val="59741916"/>
    <w:rsid w:val="59CB5746"/>
    <w:rsid w:val="5A096502"/>
    <w:rsid w:val="5A1522A3"/>
    <w:rsid w:val="5A355549"/>
    <w:rsid w:val="5A985AD8"/>
    <w:rsid w:val="5AD703AE"/>
    <w:rsid w:val="5AE049A6"/>
    <w:rsid w:val="5B555EB2"/>
    <w:rsid w:val="5B5771CA"/>
    <w:rsid w:val="5BE12FA3"/>
    <w:rsid w:val="5BE74621"/>
    <w:rsid w:val="5C0F7D9A"/>
    <w:rsid w:val="5C2D326F"/>
    <w:rsid w:val="5C51380A"/>
    <w:rsid w:val="5CA02A8F"/>
    <w:rsid w:val="5CAA4336"/>
    <w:rsid w:val="5D123920"/>
    <w:rsid w:val="5D243653"/>
    <w:rsid w:val="5D3031BF"/>
    <w:rsid w:val="5D637A40"/>
    <w:rsid w:val="5D6E241A"/>
    <w:rsid w:val="5D8866EC"/>
    <w:rsid w:val="5E5138A3"/>
    <w:rsid w:val="5E9A42CD"/>
    <w:rsid w:val="5EBD49DD"/>
    <w:rsid w:val="5EBF421E"/>
    <w:rsid w:val="5F2071D7"/>
    <w:rsid w:val="5F3E6C4E"/>
    <w:rsid w:val="5F5279AD"/>
    <w:rsid w:val="5F59643E"/>
    <w:rsid w:val="5F5F6BC4"/>
    <w:rsid w:val="5F750ADC"/>
    <w:rsid w:val="5FA92094"/>
    <w:rsid w:val="5FF94923"/>
    <w:rsid w:val="60A305BA"/>
    <w:rsid w:val="60D20963"/>
    <w:rsid w:val="61354081"/>
    <w:rsid w:val="61B06EB5"/>
    <w:rsid w:val="621630FD"/>
    <w:rsid w:val="62A31E55"/>
    <w:rsid w:val="62B13874"/>
    <w:rsid w:val="63672753"/>
    <w:rsid w:val="63EF49BB"/>
    <w:rsid w:val="64446389"/>
    <w:rsid w:val="645608DD"/>
    <w:rsid w:val="645779AB"/>
    <w:rsid w:val="65130235"/>
    <w:rsid w:val="654B3E73"/>
    <w:rsid w:val="65932297"/>
    <w:rsid w:val="65E62E7A"/>
    <w:rsid w:val="65EC0A86"/>
    <w:rsid w:val="663F32AC"/>
    <w:rsid w:val="665C5C0C"/>
    <w:rsid w:val="665F74AA"/>
    <w:rsid w:val="6794739E"/>
    <w:rsid w:val="67BB5990"/>
    <w:rsid w:val="6803153A"/>
    <w:rsid w:val="68060525"/>
    <w:rsid w:val="6864524C"/>
    <w:rsid w:val="68AE19C8"/>
    <w:rsid w:val="68D67EF7"/>
    <w:rsid w:val="6A22716C"/>
    <w:rsid w:val="6A33039E"/>
    <w:rsid w:val="6A677D3D"/>
    <w:rsid w:val="6A6D488B"/>
    <w:rsid w:val="6A8219B9"/>
    <w:rsid w:val="6AA656A7"/>
    <w:rsid w:val="6AAD178D"/>
    <w:rsid w:val="6ACE4F0B"/>
    <w:rsid w:val="6AE606B8"/>
    <w:rsid w:val="6AE83F12"/>
    <w:rsid w:val="6BCB2E78"/>
    <w:rsid w:val="6C6C3261"/>
    <w:rsid w:val="6CC649E7"/>
    <w:rsid w:val="6CE40709"/>
    <w:rsid w:val="6CED3A62"/>
    <w:rsid w:val="6D371FD1"/>
    <w:rsid w:val="6D970DCA"/>
    <w:rsid w:val="6D9F604C"/>
    <w:rsid w:val="6DF3710C"/>
    <w:rsid w:val="6E672517"/>
    <w:rsid w:val="6E9A19C7"/>
    <w:rsid w:val="6EAB3BD4"/>
    <w:rsid w:val="6EE90259"/>
    <w:rsid w:val="6EEE5F57"/>
    <w:rsid w:val="6F086F45"/>
    <w:rsid w:val="6F1E0908"/>
    <w:rsid w:val="6F3B4F58"/>
    <w:rsid w:val="6F5F71DE"/>
    <w:rsid w:val="6F6F261D"/>
    <w:rsid w:val="6FE74798"/>
    <w:rsid w:val="70367203"/>
    <w:rsid w:val="719B7311"/>
    <w:rsid w:val="71DC3BCF"/>
    <w:rsid w:val="723205E7"/>
    <w:rsid w:val="72A03F09"/>
    <w:rsid w:val="72CE1C3F"/>
    <w:rsid w:val="738549F4"/>
    <w:rsid w:val="73D9089C"/>
    <w:rsid w:val="74111B80"/>
    <w:rsid w:val="743D7CF2"/>
    <w:rsid w:val="7503531D"/>
    <w:rsid w:val="755B02D8"/>
    <w:rsid w:val="75786D3D"/>
    <w:rsid w:val="76124539"/>
    <w:rsid w:val="76263B40"/>
    <w:rsid w:val="762F7565"/>
    <w:rsid w:val="765B79F0"/>
    <w:rsid w:val="76E97048"/>
    <w:rsid w:val="77422BFC"/>
    <w:rsid w:val="77662180"/>
    <w:rsid w:val="77803CE6"/>
    <w:rsid w:val="77894387"/>
    <w:rsid w:val="77A94B1B"/>
    <w:rsid w:val="77C22748"/>
    <w:rsid w:val="781C3A7C"/>
    <w:rsid w:val="7820118F"/>
    <w:rsid w:val="78A70F68"/>
    <w:rsid w:val="78BE2756"/>
    <w:rsid w:val="78EC2E1F"/>
    <w:rsid w:val="78EC6FBD"/>
    <w:rsid w:val="79D3247C"/>
    <w:rsid w:val="7A1173D2"/>
    <w:rsid w:val="7A7C27E3"/>
    <w:rsid w:val="7B707D38"/>
    <w:rsid w:val="7BA22C1C"/>
    <w:rsid w:val="7C6C2EB0"/>
    <w:rsid w:val="7CC2481A"/>
    <w:rsid w:val="7CF60E01"/>
    <w:rsid w:val="7D5C3AF1"/>
    <w:rsid w:val="7D6457E7"/>
    <w:rsid w:val="7DC73E5B"/>
    <w:rsid w:val="7DCC1471"/>
    <w:rsid w:val="7DE247F1"/>
    <w:rsid w:val="7E350DC4"/>
    <w:rsid w:val="7E480426"/>
    <w:rsid w:val="7E536050"/>
    <w:rsid w:val="7E6B6EDC"/>
    <w:rsid w:val="7EDA196C"/>
    <w:rsid w:val="7EDD72DB"/>
    <w:rsid w:val="7F4100F9"/>
    <w:rsid w:val="7FA313D0"/>
    <w:rsid w:val="7FFA2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0"/>
    <w:autoRedefine/>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8"/>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2">
    <w:name w:val="heading 3"/>
    <w:basedOn w:val="1"/>
    <w:next w:val="1"/>
    <w:link w:val="144"/>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50"/>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2"/>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2"/>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3"/>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54"/>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55"/>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customStyle="1" w:styleId="8">
    <w:name w:val="模板正文"/>
    <w:basedOn w:val="1"/>
    <w:link w:val="94"/>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Normal Indent"/>
    <w:basedOn w:val="1"/>
    <w:next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3">
    <w:name w:val="caption"/>
    <w:basedOn w:val="1"/>
    <w:next w:val="1"/>
    <w:link w:val="83"/>
    <w:autoRedefine/>
    <w:qFormat/>
    <w:uiPriority w:val="0"/>
    <w:pPr>
      <w:autoSpaceDE w:val="0"/>
      <w:autoSpaceDN w:val="0"/>
      <w:adjustRightInd w:val="0"/>
      <w:spacing w:before="152" w:after="160"/>
      <w:jc w:val="left"/>
    </w:pPr>
    <w:rPr>
      <w:rFonts w:ascii="Arial" w:hAnsi="Arial" w:eastAsia="黑体" w:cs="Arial"/>
    </w:rPr>
  </w:style>
  <w:style w:type="paragraph" w:styleId="14">
    <w:name w:val="Document Map"/>
    <w:basedOn w:val="1"/>
    <w:link w:val="116"/>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5">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6">
    <w:name w:val="annotation text"/>
    <w:basedOn w:val="1"/>
    <w:link w:val="163"/>
    <w:autoRedefine/>
    <w:unhideWhenUsed/>
    <w:qFormat/>
    <w:uiPriority w:val="99"/>
    <w:pPr>
      <w:jc w:val="left"/>
    </w:pPr>
  </w:style>
  <w:style w:type="paragraph" w:styleId="17">
    <w:name w:val="Body Text 3"/>
    <w:basedOn w:val="1"/>
    <w:link w:val="156"/>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next w:val="19"/>
    <w:link w:val="118"/>
    <w:autoRedefine/>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First Indent"/>
    <w:basedOn w:val="18"/>
    <w:link w:val="201"/>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20">
    <w:name w:val="Body Text Indent"/>
    <w:basedOn w:val="1"/>
    <w:link w:val="92"/>
    <w:autoRedefine/>
    <w:qFormat/>
    <w:uiPriority w:val="0"/>
    <w:pPr>
      <w:ind w:left="567" w:leftChars="270"/>
    </w:pPr>
    <w:rPr>
      <w:rFonts w:ascii="Times New Roman" w:hAnsi="Times New Roman" w:eastAsia="宋体" w:cs="Times New Roman"/>
      <w:szCs w:val="20"/>
    </w:rPr>
  </w:style>
  <w:style w:type="paragraph" w:styleId="21">
    <w:name w:val="toc 3"/>
    <w:basedOn w:val="1"/>
    <w:next w:val="1"/>
    <w:autoRedefine/>
    <w:unhideWhenUsed/>
    <w:qFormat/>
    <w:uiPriority w:val="39"/>
    <w:pPr>
      <w:tabs>
        <w:tab w:val="right" w:leader="dot" w:pos="10144"/>
      </w:tabs>
      <w:ind w:left="840" w:leftChars="400"/>
    </w:pPr>
  </w:style>
  <w:style w:type="paragraph" w:styleId="22">
    <w:name w:val="Plain Text"/>
    <w:basedOn w:val="1"/>
    <w:link w:val="100"/>
    <w:autoRedefine/>
    <w:qFormat/>
    <w:uiPriority w:val="0"/>
    <w:rPr>
      <w:rFonts w:ascii="宋体" w:hAnsi="Courier New" w:eastAsia="宋体"/>
    </w:rPr>
  </w:style>
  <w:style w:type="paragraph" w:styleId="23">
    <w:name w:val="Date"/>
    <w:basedOn w:val="1"/>
    <w:next w:val="1"/>
    <w:link w:val="108"/>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4">
    <w:name w:val="Body Text Indent 2"/>
    <w:basedOn w:val="1"/>
    <w:link w:val="101"/>
    <w:autoRedefine/>
    <w:qFormat/>
    <w:uiPriority w:val="0"/>
    <w:pPr>
      <w:tabs>
        <w:tab w:val="left" w:pos="8640"/>
      </w:tabs>
      <w:ind w:left="1260"/>
    </w:pPr>
    <w:rPr>
      <w:rFonts w:ascii="宋体" w:hAnsi="Times New Roman" w:eastAsia="宋体" w:cs="Times New Roman"/>
      <w:szCs w:val="20"/>
    </w:rPr>
  </w:style>
  <w:style w:type="paragraph" w:styleId="25">
    <w:name w:val="Balloon Text"/>
    <w:basedOn w:val="1"/>
    <w:link w:val="74"/>
    <w:autoRedefine/>
    <w:qFormat/>
    <w:uiPriority w:val="0"/>
    <w:rPr>
      <w:rFonts w:ascii="Times New Roman" w:hAnsi="Times New Roman" w:eastAsia="宋体" w:cs="Times New Roman"/>
      <w:sz w:val="18"/>
      <w:szCs w:val="18"/>
    </w:rPr>
  </w:style>
  <w:style w:type="paragraph" w:styleId="26">
    <w:name w:val="footer"/>
    <w:basedOn w:val="1"/>
    <w:link w:val="78"/>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7">
    <w:name w:val="header"/>
    <w:basedOn w:val="1"/>
    <w:link w:val="120"/>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8">
    <w:name w:val="toc 1"/>
    <w:basedOn w:val="1"/>
    <w:next w:val="1"/>
    <w:autoRedefine/>
    <w:unhideWhenUsed/>
    <w:qFormat/>
    <w:uiPriority w:val="39"/>
  </w:style>
  <w:style w:type="paragraph" w:styleId="29">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0">
    <w:name w:val="Body Text Indent 3"/>
    <w:basedOn w:val="1"/>
    <w:link w:val="154"/>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1">
    <w:name w:val="toc 2"/>
    <w:basedOn w:val="1"/>
    <w:next w:val="1"/>
    <w:semiHidden/>
    <w:unhideWhenUsed/>
    <w:qFormat/>
    <w:uiPriority w:val="39"/>
    <w:pPr>
      <w:ind w:left="420" w:leftChars="200"/>
    </w:pPr>
  </w:style>
  <w:style w:type="paragraph" w:styleId="32">
    <w:name w:val="Body Text 2"/>
    <w:basedOn w:val="1"/>
    <w:link w:val="143"/>
    <w:autoRedefine/>
    <w:qFormat/>
    <w:uiPriority w:val="0"/>
    <w:pPr>
      <w:tabs>
        <w:tab w:val="left" w:pos="0"/>
      </w:tabs>
      <w:spacing w:line="400" w:lineRule="atLeast"/>
    </w:pPr>
    <w:rPr>
      <w:rFonts w:ascii="Arial" w:hAnsi="Arial" w:eastAsia="宋体" w:cs="Times New Roman"/>
      <w:color w:val="000000"/>
      <w:szCs w:val="24"/>
    </w:rPr>
  </w:style>
  <w:style w:type="paragraph" w:styleId="33">
    <w:name w:val="HTML Preformatted"/>
    <w:basedOn w:val="1"/>
    <w:link w:val="8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4">
    <w:name w:val="Normal (Web)"/>
    <w:basedOn w:val="1"/>
    <w:link w:val="93"/>
    <w:autoRedefine/>
    <w:qFormat/>
    <w:uiPriority w:val="0"/>
    <w:pPr>
      <w:widowControl/>
      <w:spacing w:before="100" w:beforeAutospacing="1" w:after="100" w:afterAutospacing="1"/>
      <w:jc w:val="left"/>
    </w:pPr>
    <w:rPr>
      <w:rFonts w:ascii="宋体" w:hAnsi="宋体"/>
      <w:sz w:val="15"/>
      <w:szCs w:val="15"/>
    </w:rPr>
  </w:style>
  <w:style w:type="paragraph" w:styleId="35">
    <w:name w:val="Title"/>
    <w:basedOn w:val="1"/>
    <w:next w:val="1"/>
    <w:link w:val="58"/>
    <w:autoRedefine/>
    <w:qFormat/>
    <w:uiPriority w:val="10"/>
    <w:pPr>
      <w:spacing w:before="120" w:after="60" w:line="300" w:lineRule="auto"/>
      <w:jc w:val="left"/>
      <w:outlineLvl w:val="0"/>
    </w:pPr>
    <w:rPr>
      <w:rFonts w:ascii="等线 Light" w:hAnsi="等线 Light" w:eastAsia="仿宋"/>
      <w:b/>
      <w:bCs/>
      <w:sz w:val="28"/>
      <w:szCs w:val="32"/>
    </w:rPr>
  </w:style>
  <w:style w:type="paragraph" w:styleId="36">
    <w:name w:val="annotation subject"/>
    <w:basedOn w:val="16"/>
    <w:next w:val="16"/>
    <w:link w:val="110"/>
    <w:autoRedefine/>
    <w:qFormat/>
    <w:uiPriority w:val="99"/>
    <w:pPr>
      <w:autoSpaceDE w:val="0"/>
      <w:autoSpaceDN w:val="0"/>
      <w:adjustRightInd w:val="0"/>
    </w:pPr>
    <w:rPr>
      <w:rFonts w:ascii="宋体" w:hAnsi="Times New Roman" w:eastAsia="宋体" w:cs="Times New Roman"/>
      <w:b/>
      <w:bCs/>
      <w:kern w:val="0"/>
      <w:sz w:val="24"/>
      <w:szCs w:val="24"/>
    </w:rPr>
  </w:style>
  <w:style w:type="table" w:styleId="38">
    <w:name w:val="Table Grid"/>
    <w:basedOn w:val="37"/>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autoRedefine/>
    <w:qFormat/>
    <w:uiPriority w:val="0"/>
    <w:rPr>
      <w:b/>
      <w:bCs/>
    </w:rPr>
  </w:style>
  <w:style w:type="character" w:styleId="41">
    <w:name w:val="page number"/>
    <w:qFormat/>
    <w:uiPriority w:val="0"/>
  </w:style>
  <w:style w:type="character" w:styleId="42">
    <w:name w:val="FollowedHyperlink"/>
    <w:autoRedefine/>
    <w:unhideWhenUsed/>
    <w:qFormat/>
    <w:uiPriority w:val="99"/>
    <w:rPr>
      <w:color w:val="954F72"/>
      <w:u w:val="single"/>
    </w:rPr>
  </w:style>
  <w:style w:type="character" w:styleId="43">
    <w:name w:val="Emphasis"/>
    <w:autoRedefine/>
    <w:qFormat/>
    <w:uiPriority w:val="0"/>
    <w:rPr>
      <w:i/>
      <w:iCs/>
    </w:rPr>
  </w:style>
  <w:style w:type="character" w:styleId="44">
    <w:name w:val="Hyperlink"/>
    <w:autoRedefine/>
    <w:qFormat/>
    <w:uiPriority w:val="99"/>
    <w:rPr>
      <w:rFonts w:hint="default" w:ascii="Arial" w:hAnsi="Arial" w:cs="Arial"/>
      <w:color w:val="000000"/>
      <w:sz w:val="20"/>
      <w:szCs w:val="20"/>
      <w:u w:val="none"/>
    </w:rPr>
  </w:style>
  <w:style w:type="character" w:styleId="45">
    <w:name w:val="annotation reference"/>
    <w:autoRedefine/>
    <w:qFormat/>
    <w:uiPriority w:val="99"/>
    <w:rPr>
      <w:sz w:val="21"/>
      <w:szCs w:val="21"/>
    </w:rPr>
  </w:style>
  <w:style w:type="paragraph" w:customStyle="1" w:styleId="46">
    <w:name w:val="首行缩进"/>
    <w:basedOn w:val="1"/>
    <w:autoRedefine/>
    <w:qFormat/>
    <w:uiPriority w:val="0"/>
    <w:pPr>
      <w:ind w:firstLine="480" w:firstLineChars="200"/>
    </w:pPr>
    <w:rPr>
      <w:lang w:val="zh-CN"/>
    </w:rPr>
  </w:style>
  <w:style w:type="character" w:customStyle="1" w:styleId="47">
    <w:name w:val="标题 1 字符"/>
    <w:basedOn w:val="39"/>
    <w:autoRedefine/>
    <w:qFormat/>
    <w:uiPriority w:val="0"/>
    <w:rPr>
      <w:b/>
      <w:bCs/>
      <w:kern w:val="44"/>
      <w:sz w:val="44"/>
      <w:szCs w:val="44"/>
    </w:rPr>
  </w:style>
  <w:style w:type="character" w:customStyle="1" w:styleId="48">
    <w:name w:val="标题 2 Char"/>
    <w:basedOn w:val="39"/>
    <w:link w:val="4"/>
    <w:autoRedefine/>
    <w:qFormat/>
    <w:uiPriority w:val="0"/>
    <w:rPr>
      <w:rFonts w:ascii="宋体" w:hAnsi="Calibri" w:eastAsia="宋体" w:cs="Times New Roman"/>
      <w:kern w:val="0"/>
      <w:sz w:val="24"/>
      <w:szCs w:val="24"/>
    </w:rPr>
  </w:style>
  <w:style w:type="character" w:customStyle="1" w:styleId="49">
    <w:name w:val="标题 3 字符"/>
    <w:basedOn w:val="39"/>
    <w:autoRedefine/>
    <w:qFormat/>
    <w:uiPriority w:val="0"/>
    <w:rPr>
      <w:b/>
      <w:bCs/>
      <w:sz w:val="32"/>
      <w:szCs w:val="32"/>
    </w:rPr>
  </w:style>
  <w:style w:type="character" w:customStyle="1" w:styleId="50">
    <w:name w:val="标题 4 Char1"/>
    <w:basedOn w:val="39"/>
    <w:link w:val="5"/>
    <w:autoRedefine/>
    <w:qFormat/>
    <w:uiPriority w:val="9"/>
    <w:rPr>
      <w:rFonts w:ascii="Arial" w:hAnsi="Arial" w:eastAsia="黑体" w:cs="Times New Roman"/>
      <w:b/>
      <w:bCs/>
      <w:kern w:val="0"/>
      <w:sz w:val="28"/>
      <w:szCs w:val="28"/>
    </w:rPr>
  </w:style>
  <w:style w:type="character" w:customStyle="1" w:styleId="51">
    <w:name w:val="标题 5 字符"/>
    <w:basedOn w:val="39"/>
    <w:autoRedefine/>
    <w:qFormat/>
    <w:uiPriority w:val="9"/>
    <w:rPr>
      <w:b/>
      <w:bCs/>
      <w:sz w:val="28"/>
      <w:szCs w:val="28"/>
    </w:rPr>
  </w:style>
  <w:style w:type="character" w:customStyle="1" w:styleId="52">
    <w:name w:val="标题 6 字符"/>
    <w:basedOn w:val="39"/>
    <w:autoRedefine/>
    <w:qFormat/>
    <w:uiPriority w:val="0"/>
    <w:rPr>
      <w:rFonts w:asciiTheme="majorHAnsi" w:hAnsiTheme="majorHAnsi" w:eastAsiaTheme="majorEastAsia" w:cstheme="majorBidi"/>
      <w:b/>
      <w:bCs/>
      <w:sz w:val="24"/>
      <w:szCs w:val="24"/>
    </w:rPr>
  </w:style>
  <w:style w:type="character" w:customStyle="1" w:styleId="53">
    <w:name w:val="标题 7 Char"/>
    <w:basedOn w:val="39"/>
    <w:link w:val="9"/>
    <w:autoRedefine/>
    <w:qFormat/>
    <w:uiPriority w:val="9"/>
    <w:rPr>
      <w:rFonts w:ascii="Times New Roman" w:hAnsi="Calibri" w:eastAsia="黑体" w:cs="Times New Roman"/>
      <w:b/>
      <w:bCs/>
      <w:kern w:val="0"/>
      <w:sz w:val="28"/>
      <w:szCs w:val="24"/>
    </w:rPr>
  </w:style>
  <w:style w:type="character" w:customStyle="1" w:styleId="54">
    <w:name w:val="标题 8 Char"/>
    <w:basedOn w:val="39"/>
    <w:link w:val="10"/>
    <w:qFormat/>
    <w:uiPriority w:val="9"/>
    <w:rPr>
      <w:rFonts w:ascii="Times New Roman" w:hAnsi="Calibri" w:eastAsia="黑体" w:cs="Times New Roman"/>
      <w:b/>
      <w:kern w:val="0"/>
      <w:sz w:val="28"/>
      <w:szCs w:val="24"/>
    </w:rPr>
  </w:style>
  <w:style w:type="character" w:customStyle="1" w:styleId="55">
    <w:name w:val="标题 9 Char"/>
    <w:basedOn w:val="39"/>
    <w:link w:val="11"/>
    <w:autoRedefine/>
    <w:qFormat/>
    <w:uiPriority w:val="9"/>
    <w:rPr>
      <w:rFonts w:ascii="Times New Roman" w:hAnsi="Calibri" w:eastAsia="黑体" w:cs="Times New Roman"/>
      <w:b/>
      <w:kern w:val="0"/>
      <w:sz w:val="28"/>
      <w:szCs w:val="24"/>
    </w:rPr>
  </w:style>
  <w:style w:type="character" w:customStyle="1" w:styleId="56">
    <w:name w:val="正文文本缩进 字符"/>
    <w:autoRedefine/>
    <w:qFormat/>
    <w:uiPriority w:val="0"/>
    <w:rPr>
      <w:rFonts w:ascii="Times New Roman" w:hAnsi="Times New Roman" w:eastAsia="宋体" w:cs="Times New Roman"/>
      <w:szCs w:val="20"/>
    </w:rPr>
  </w:style>
  <w:style w:type="character" w:customStyle="1" w:styleId="57">
    <w:name w:val="普通(网站) Char"/>
    <w:autoRedefine/>
    <w:qFormat/>
    <w:locked/>
    <w:uiPriority w:val="0"/>
    <w:rPr>
      <w:rFonts w:ascii="宋体" w:hAnsi="宋体"/>
      <w:sz w:val="15"/>
      <w:szCs w:val="15"/>
    </w:rPr>
  </w:style>
  <w:style w:type="character" w:customStyle="1" w:styleId="58">
    <w:name w:val="标题 Char"/>
    <w:link w:val="35"/>
    <w:autoRedefine/>
    <w:qFormat/>
    <w:uiPriority w:val="10"/>
    <w:rPr>
      <w:rFonts w:ascii="等线 Light" w:hAnsi="等线 Light" w:eastAsia="仿宋"/>
      <w:b/>
      <w:bCs/>
      <w:sz w:val="28"/>
      <w:szCs w:val="32"/>
    </w:rPr>
  </w:style>
  <w:style w:type="character" w:customStyle="1" w:styleId="59">
    <w:name w:val="日期 Char"/>
    <w:autoRedefine/>
    <w:semiHidden/>
    <w:qFormat/>
    <w:uiPriority w:val="99"/>
    <w:rPr>
      <w:kern w:val="2"/>
      <w:sz w:val="21"/>
    </w:rPr>
  </w:style>
  <w:style w:type="character" w:customStyle="1" w:styleId="60">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61">
    <w:name w:val="批注文字 Char"/>
    <w:autoRedefine/>
    <w:semiHidden/>
    <w:qFormat/>
    <w:uiPriority w:val="99"/>
    <w:rPr>
      <w:kern w:val="2"/>
      <w:sz w:val="21"/>
    </w:rPr>
  </w:style>
  <w:style w:type="character" w:customStyle="1" w:styleId="62">
    <w:name w:val="正文缩进2格 Char"/>
    <w:link w:val="63"/>
    <w:autoRedefine/>
    <w:qFormat/>
    <w:uiPriority w:val="0"/>
    <w:rPr>
      <w:rFonts w:ascii="仿宋_GB2312" w:hAnsi="宋体" w:eastAsia="仿宋_GB2312"/>
      <w:sz w:val="31"/>
      <w:szCs w:val="28"/>
    </w:rPr>
  </w:style>
  <w:style w:type="paragraph" w:customStyle="1" w:styleId="63">
    <w:name w:val="正文缩进2格"/>
    <w:basedOn w:val="1"/>
    <w:link w:val="62"/>
    <w:autoRedefine/>
    <w:qFormat/>
    <w:uiPriority w:val="0"/>
    <w:pPr>
      <w:spacing w:line="600" w:lineRule="exact"/>
      <w:ind w:firstLine="639" w:firstLineChars="206"/>
    </w:pPr>
    <w:rPr>
      <w:rFonts w:ascii="仿宋_GB2312" w:hAnsi="宋体" w:eastAsia="仿宋_GB2312"/>
      <w:sz w:val="31"/>
      <w:szCs w:val="28"/>
    </w:rPr>
  </w:style>
  <w:style w:type="character" w:customStyle="1" w:styleId="64">
    <w:name w:val="批注文字 字符"/>
    <w:autoRedefine/>
    <w:semiHidden/>
    <w:qFormat/>
    <w:uiPriority w:val="99"/>
    <w:rPr>
      <w:rFonts w:ascii="Times New Roman" w:hAnsi="Times New Roman"/>
      <w:kern w:val="2"/>
      <w:sz w:val="24"/>
      <w:szCs w:val="24"/>
    </w:rPr>
  </w:style>
  <w:style w:type="character" w:customStyle="1" w:styleId="65">
    <w:name w:val="正文文本缩进 Char"/>
    <w:qFormat/>
    <w:uiPriority w:val="0"/>
    <w:rPr>
      <w:rFonts w:ascii="Times New Roman" w:hAnsi="Times New Roman" w:eastAsia="宋体" w:cs="Times New Roman"/>
      <w:szCs w:val="20"/>
      <w:lang w:val="en-US" w:eastAsia="zh-CN"/>
    </w:rPr>
  </w:style>
  <w:style w:type="character" w:customStyle="1" w:styleId="66">
    <w:name w:val="批注框文本 字符1"/>
    <w:autoRedefine/>
    <w:semiHidden/>
    <w:qFormat/>
    <w:uiPriority w:val="99"/>
    <w:rPr>
      <w:rFonts w:ascii="宋体" w:hAnsi="Calibri" w:eastAsia="宋体" w:cs="Times New Roman"/>
      <w:kern w:val="0"/>
      <w:sz w:val="18"/>
      <w:szCs w:val="18"/>
    </w:rPr>
  </w:style>
  <w:style w:type="character" w:customStyle="1" w:styleId="67">
    <w:name w:val="List Paragraph Char"/>
    <w:link w:val="68"/>
    <w:autoRedefine/>
    <w:qFormat/>
    <w:uiPriority w:val="34"/>
    <w:rPr>
      <w:rFonts w:ascii="Calibri" w:hAnsi="Calibri"/>
    </w:rPr>
  </w:style>
  <w:style w:type="paragraph" w:customStyle="1" w:styleId="68">
    <w:name w:val="列出段落1"/>
    <w:basedOn w:val="1"/>
    <w:link w:val="67"/>
    <w:autoRedefine/>
    <w:qFormat/>
    <w:uiPriority w:val="34"/>
    <w:pPr>
      <w:ind w:firstLine="420" w:firstLineChars="200"/>
    </w:pPr>
    <w:rPr>
      <w:rFonts w:ascii="Calibri" w:hAnsi="Calibri"/>
    </w:rPr>
  </w:style>
  <w:style w:type="character" w:customStyle="1" w:styleId="69">
    <w:name w:val="标书正文 字符"/>
    <w:link w:val="70"/>
    <w:autoRedefine/>
    <w:qFormat/>
    <w:uiPriority w:val="0"/>
    <w:rPr>
      <w:rFonts w:ascii="Calibri" w:hAnsi="Calibri" w:eastAsia="仿宋"/>
      <w:sz w:val="24"/>
      <w:szCs w:val="21"/>
    </w:rPr>
  </w:style>
  <w:style w:type="paragraph" w:customStyle="1" w:styleId="70">
    <w:name w:val="标书正文"/>
    <w:basedOn w:val="1"/>
    <w:link w:val="69"/>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1">
    <w:name w:val="正文文本 字符"/>
    <w:autoRedefine/>
    <w:semiHidden/>
    <w:qFormat/>
    <w:uiPriority w:val="99"/>
    <w:rPr>
      <w:rFonts w:ascii="Times New Roman" w:hAnsi="Times New Roman"/>
      <w:kern w:val="2"/>
      <w:sz w:val="24"/>
      <w:szCs w:val="24"/>
    </w:rPr>
  </w:style>
  <w:style w:type="character" w:customStyle="1" w:styleId="72">
    <w:name w:val="页脚 Char"/>
    <w:autoRedefine/>
    <w:qFormat/>
    <w:uiPriority w:val="0"/>
    <w:rPr>
      <w:kern w:val="2"/>
      <w:sz w:val="18"/>
      <w:szCs w:val="18"/>
    </w:rPr>
  </w:style>
  <w:style w:type="character" w:customStyle="1" w:styleId="73">
    <w:name w:val="neir1"/>
    <w:autoRedefine/>
    <w:qFormat/>
    <w:uiPriority w:val="0"/>
    <w:rPr>
      <w:rFonts w:hint="default" w:ascii="ˎ̥" w:hAnsi="ˎ̥"/>
      <w:color w:val="333333"/>
      <w:sz w:val="21"/>
      <w:szCs w:val="21"/>
      <w:u w:val="none"/>
    </w:rPr>
  </w:style>
  <w:style w:type="character" w:customStyle="1" w:styleId="74">
    <w:name w:val="批注框文本 Char1"/>
    <w:link w:val="25"/>
    <w:autoRedefine/>
    <w:qFormat/>
    <w:uiPriority w:val="0"/>
    <w:rPr>
      <w:rFonts w:ascii="Times New Roman" w:hAnsi="Times New Roman" w:eastAsia="宋体" w:cs="Times New Roman"/>
      <w:sz w:val="18"/>
      <w:szCs w:val="18"/>
    </w:rPr>
  </w:style>
  <w:style w:type="character" w:customStyle="1" w:styleId="75">
    <w:name w:val="正文文本 3 字符1"/>
    <w:autoRedefine/>
    <w:semiHidden/>
    <w:qFormat/>
    <w:uiPriority w:val="99"/>
    <w:rPr>
      <w:rFonts w:ascii="宋体" w:hAnsi="Calibri" w:eastAsia="宋体" w:cs="Times New Roman"/>
      <w:kern w:val="0"/>
      <w:sz w:val="16"/>
      <w:szCs w:val="16"/>
    </w:rPr>
  </w:style>
  <w:style w:type="character" w:customStyle="1" w:styleId="76">
    <w:name w:val="正文文本 字符3"/>
    <w:autoRedefine/>
    <w:semiHidden/>
    <w:qFormat/>
    <w:uiPriority w:val="99"/>
    <w:rPr>
      <w:rFonts w:ascii="宋体" w:hAnsi="Calibri" w:eastAsia="宋体" w:cs="Times New Roman"/>
      <w:kern w:val="0"/>
      <w:sz w:val="24"/>
      <w:szCs w:val="24"/>
    </w:rPr>
  </w:style>
  <w:style w:type="character" w:customStyle="1" w:styleId="77">
    <w:name w:val="日期 字符1"/>
    <w:autoRedefine/>
    <w:semiHidden/>
    <w:qFormat/>
    <w:uiPriority w:val="99"/>
    <w:rPr>
      <w:rFonts w:ascii="宋体" w:hAnsi="Calibri" w:eastAsia="宋体" w:cs="Times New Roman"/>
      <w:kern w:val="0"/>
      <w:sz w:val="24"/>
      <w:szCs w:val="24"/>
    </w:rPr>
  </w:style>
  <w:style w:type="character" w:customStyle="1" w:styleId="78">
    <w:name w:val="页脚 Char2"/>
    <w:link w:val="26"/>
    <w:autoRedefine/>
    <w:qFormat/>
    <w:uiPriority w:val="99"/>
    <w:rPr>
      <w:rFonts w:ascii="宋体" w:eastAsia="宋体"/>
      <w:sz w:val="18"/>
      <w:szCs w:val="18"/>
    </w:rPr>
  </w:style>
  <w:style w:type="character" w:customStyle="1" w:styleId="79">
    <w:name w:val="吉奥正文 Char"/>
    <w:link w:val="80"/>
    <w:autoRedefine/>
    <w:qFormat/>
    <w:locked/>
    <w:uiPriority w:val="0"/>
    <w:rPr>
      <w:rFonts w:eastAsia="仿宋_GB2312"/>
      <w:sz w:val="28"/>
    </w:rPr>
  </w:style>
  <w:style w:type="paragraph" w:customStyle="1" w:styleId="80">
    <w:name w:val="吉奥正文"/>
    <w:basedOn w:val="1"/>
    <w:link w:val="79"/>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1">
    <w:name w:val="页脚 Char1"/>
    <w:autoRedefine/>
    <w:qFormat/>
    <w:uiPriority w:val="99"/>
    <w:rPr>
      <w:rFonts w:ascii="宋体" w:hAnsi="Times New Roman" w:eastAsia="宋体" w:cs="Times New Roman"/>
      <w:kern w:val="0"/>
      <w:sz w:val="18"/>
      <w:szCs w:val="18"/>
    </w:rPr>
  </w:style>
  <w:style w:type="character" w:customStyle="1" w:styleId="82">
    <w:name w:val="标题 字符"/>
    <w:autoRedefine/>
    <w:qFormat/>
    <w:uiPriority w:val="10"/>
    <w:rPr>
      <w:rFonts w:ascii="Cambria" w:hAnsi="Cambria" w:eastAsia="宋体" w:cs="Times New Roman"/>
      <w:b/>
      <w:bCs/>
      <w:kern w:val="0"/>
      <w:sz w:val="32"/>
      <w:szCs w:val="32"/>
      <w:lang w:val="en-US" w:eastAsia="zh-CN"/>
    </w:rPr>
  </w:style>
  <w:style w:type="character" w:customStyle="1" w:styleId="83">
    <w:name w:val="题注 Char"/>
    <w:link w:val="13"/>
    <w:autoRedefine/>
    <w:qFormat/>
    <w:uiPriority w:val="0"/>
    <w:rPr>
      <w:rFonts w:ascii="Arial" w:hAnsi="Arial" w:eastAsia="黑体" w:cs="Arial"/>
    </w:rPr>
  </w:style>
  <w:style w:type="character" w:customStyle="1" w:styleId="84">
    <w:name w:val="批注文字 字符2"/>
    <w:autoRedefine/>
    <w:qFormat/>
    <w:uiPriority w:val="99"/>
    <w:rPr>
      <w:rFonts w:ascii="宋体" w:hAnsi="Times New Roman" w:eastAsia="宋体" w:cs="Times New Roman"/>
      <w:kern w:val="0"/>
      <w:sz w:val="24"/>
      <w:szCs w:val="24"/>
    </w:rPr>
  </w:style>
  <w:style w:type="character" w:customStyle="1" w:styleId="85">
    <w:name w:val="批注主题 字符1"/>
    <w:autoRedefine/>
    <w:semiHidden/>
    <w:qFormat/>
    <w:uiPriority w:val="99"/>
    <w:rPr>
      <w:rFonts w:ascii="宋体" w:hAnsi="Calibri" w:eastAsia="宋体" w:cs="Times New Roman"/>
      <w:b/>
      <w:bCs/>
      <w:kern w:val="0"/>
      <w:sz w:val="24"/>
      <w:szCs w:val="24"/>
    </w:rPr>
  </w:style>
  <w:style w:type="character" w:customStyle="1" w:styleId="86">
    <w:name w:val="HTML 预设格式 Char"/>
    <w:link w:val="33"/>
    <w:autoRedefine/>
    <w:qFormat/>
    <w:uiPriority w:val="99"/>
    <w:rPr>
      <w:rFonts w:ascii="Arial" w:hAnsi="Arial" w:eastAsia="宋体" w:cs="Arial"/>
      <w:szCs w:val="21"/>
    </w:rPr>
  </w:style>
  <w:style w:type="character" w:customStyle="1" w:styleId="87">
    <w:name w:val="标题 3.1 Char"/>
    <w:link w:val="88"/>
    <w:qFormat/>
    <w:uiPriority w:val="0"/>
    <w:rPr>
      <w:rFonts w:ascii="宋体" w:hAnsi="宋体"/>
      <w:b/>
      <w:bCs/>
      <w:sz w:val="32"/>
      <w:szCs w:val="32"/>
    </w:rPr>
  </w:style>
  <w:style w:type="paragraph" w:customStyle="1" w:styleId="88">
    <w:name w:val="标题 3.1"/>
    <w:basedOn w:val="2"/>
    <w:link w:val="87"/>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9">
    <w:name w:val="HTML 预设格式 Char1"/>
    <w:autoRedefine/>
    <w:semiHidden/>
    <w:qFormat/>
    <w:uiPriority w:val="99"/>
    <w:rPr>
      <w:rFonts w:ascii="Courier New" w:hAnsi="Courier New" w:eastAsia="宋体" w:cs="Courier New"/>
      <w:kern w:val="0"/>
      <w:sz w:val="20"/>
      <w:szCs w:val="20"/>
    </w:rPr>
  </w:style>
  <w:style w:type="character" w:customStyle="1" w:styleId="90">
    <w:name w:val="批注文字 字符1"/>
    <w:autoRedefine/>
    <w:qFormat/>
    <w:uiPriority w:val="0"/>
    <w:rPr>
      <w:rFonts w:eastAsia="宋体"/>
      <w:kern w:val="2"/>
      <w:sz w:val="24"/>
      <w:szCs w:val="24"/>
      <w:lang w:val="en-US" w:eastAsia="zh-CN" w:bidi="ar-SA"/>
    </w:rPr>
  </w:style>
  <w:style w:type="character" w:customStyle="1" w:styleId="91">
    <w:name w:val="正文文本缩进 字符2"/>
    <w:autoRedefine/>
    <w:semiHidden/>
    <w:qFormat/>
    <w:uiPriority w:val="99"/>
    <w:rPr>
      <w:rFonts w:ascii="宋体" w:hAnsi="Calibri" w:eastAsia="宋体" w:cs="Times New Roman"/>
      <w:kern w:val="0"/>
      <w:sz w:val="24"/>
      <w:szCs w:val="24"/>
    </w:rPr>
  </w:style>
  <w:style w:type="character" w:customStyle="1" w:styleId="92">
    <w:name w:val="正文文本缩进 Char1"/>
    <w:link w:val="20"/>
    <w:autoRedefine/>
    <w:qFormat/>
    <w:uiPriority w:val="0"/>
    <w:rPr>
      <w:rFonts w:ascii="Times New Roman" w:hAnsi="Times New Roman" w:eastAsia="宋体" w:cs="Times New Roman"/>
      <w:szCs w:val="20"/>
    </w:rPr>
  </w:style>
  <w:style w:type="character" w:customStyle="1" w:styleId="93">
    <w:name w:val="普通(网站) Char1"/>
    <w:link w:val="34"/>
    <w:autoRedefine/>
    <w:qFormat/>
    <w:locked/>
    <w:uiPriority w:val="0"/>
    <w:rPr>
      <w:rFonts w:ascii="宋体" w:hAnsi="宋体"/>
      <w:sz w:val="15"/>
      <w:szCs w:val="15"/>
    </w:rPr>
  </w:style>
  <w:style w:type="character" w:customStyle="1" w:styleId="94">
    <w:name w:val="模板正文 Char"/>
    <w:link w:val="8"/>
    <w:autoRedefine/>
    <w:qFormat/>
    <w:uiPriority w:val="0"/>
    <w:rPr>
      <w:rFonts w:ascii="宋体" w:eastAsia="仿宋"/>
      <w:sz w:val="24"/>
      <w:szCs w:val="21"/>
    </w:rPr>
  </w:style>
  <w:style w:type="character" w:customStyle="1" w:styleId="95">
    <w:name w:val="批注主题 Char"/>
    <w:autoRedefine/>
    <w:semiHidden/>
    <w:qFormat/>
    <w:uiPriority w:val="99"/>
    <w:rPr>
      <w:b/>
      <w:bCs/>
      <w:kern w:val="2"/>
      <w:sz w:val="21"/>
    </w:rPr>
  </w:style>
  <w:style w:type="character" w:customStyle="1" w:styleId="96">
    <w:name w:val="正文文本 Char1"/>
    <w:autoRedefine/>
    <w:qFormat/>
    <w:uiPriority w:val="0"/>
    <w:rPr>
      <w:rFonts w:ascii="宋体" w:hAnsi="Times New Roman" w:eastAsia="宋体" w:cs="Times New Roman"/>
      <w:kern w:val="0"/>
      <w:sz w:val="24"/>
      <w:szCs w:val="24"/>
    </w:rPr>
  </w:style>
  <w:style w:type="character" w:customStyle="1" w:styleId="97">
    <w:name w:val="正文文本 字符1"/>
    <w:autoRedefine/>
    <w:qFormat/>
    <w:uiPriority w:val="99"/>
    <w:rPr>
      <w:rFonts w:ascii="宋体" w:eastAsia="宋体"/>
      <w:b/>
      <w:bCs/>
      <w:sz w:val="84"/>
      <w:szCs w:val="84"/>
      <w:lang w:val="zh-CN"/>
    </w:rPr>
  </w:style>
  <w:style w:type="character" w:customStyle="1" w:styleId="98">
    <w:name w:val="标题 1 Char"/>
    <w:autoRedefine/>
    <w:qFormat/>
    <w:uiPriority w:val="9"/>
    <w:rPr>
      <w:rFonts w:ascii="宋体" w:hAnsi="Times New Roman" w:eastAsia="宋体" w:cs="Times New Roman"/>
      <w:kern w:val="0"/>
      <w:sz w:val="24"/>
      <w:szCs w:val="24"/>
    </w:rPr>
  </w:style>
  <w:style w:type="character" w:customStyle="1" w:styleId="99">
    <w:name w:val="正文文本 Char2"/>
    <w:autoRedefine/>
    <w:qFormat/>
    <w:uiPriority w:val="99"/>
    <w:rPr>
      <w:rFonts w:ascii="宋体" w:eastAsia="宋体"/>
      <w:b/>
      <w:bCs/>
      <w:sz w:val="84"/>
      <w:szCs w:val="84"/>
      <w:lang w:val="zh-CN"/>
    </w:rPr>
  </w:style>
  <w:style w:type="character" w:customStyle="1" w:styleId="100">
    <w:name w:val="纯文本 Char2"/>
    <w:link w:val="22"/>
    <w:autoRedefine/>
    <w:qFormat/>
    <w:uiPriority w:val="0"/>
    <w:rPr>
      <w:rFonts w:ascii="宋体" w:hAnsi="Courier New" w:eastAsia="宋体"/>
    </w:rPr>
  </w:style>
  <w:style w:type="character" w:customStyle="1" w:styleId="101">
    <w:name w:val="正文文本缩进 2 Char"/>
    <w:link w:val="24"/>
    <w:autoRedefine/>
    <w:qFormat/>
    <w:uiPriority w:val="0"/>
    <w:rPr>
      <w:rFonts w:ascii="宋体" w:hAnsi="Times New Roman" w:eastAsia="宋体" w:cs="Times New Roman"/>
      <w:szCs w:val="20"/>
    </w:rPr>
  </w:style>
  <w:style w:type="character" w:customStyle="1" w:styleId="102">
    <w:name w:val="HTML Markup"/>
    <w:autoRedefine/>
    <w:qFormat/>
    <w:uiPriority w:val="0"/>
    <w:rPr>
      <w:vanish/>
      <w:color w:val="FF0000"/>
    </w:rPr>
  </w:style>
  <w:style w:type="character" w:customStyle="1" w:styleId="103">
    <w:name w:val="页眉 Char1"/>
    <w:autoRedefine/>
    <w:qFormat/>
    <w:uiPriority w:val="0"/>
    <w:rPr>
      <w:rFonts w:ascii="宋体" w:hAnsi="Times New Roman" w:eastAsia="宋体" w:cs="Times New Roman"/>
      <w:kern w:val="0"/>
      <w:sz w:val="18"/>
      <w:szCs w:val="18"/>
    </w:rPr>
  </w:style>
  <w:style w:type="character" w:customStyle="1" w:styleId="104">
    <w:name w:val="font11"/>
    <w:autoRedefine/>
    <w:qFormat/>
    <w:uiPriority w:val="0"/>
    <w:rPr>
      <w:rFonts w:hint="eastAsia" w:ascii="宋体" w:hAnsi="宋体" w:eastAsia="宋体" w:cs="宋体"/>
      <w:color w:val="FF0000"/>
      <w:sz w:val="22"/>
      <w:szCs w:val="22"/>
      <w:u w:val="none"/>
    </w:rPr>
  </w:style>
  <w:style w:type="character" w:customStyle="1" w:styleId="105">
    <w:name w:val="style61"/>
    <w:autoRedefine/>
    <w:qFormat/>
    <w:uiPriority w:val="0"/>
    <w:rPr>
      <w:b/>
      <w:bCs/>
    </w:rPr>
  </w:style>
  <w:style w:type="character" w:customStyle="1" w:styleId="106">
    <w:name w:val="表头文字 Char"/>
    <w:link w:val="107"/>
    <w:autoRedefine/>
    <w:qFormat/>
    <w:uiPriority w:val="0"/>
    <w:rPr>
      <w:rFonts w:eastAsia="仿宋_GB2312"/>
      <w:b/>
      <w:sz w:val="28"/>
      <w:szCs w:val="21"/>
    </w:rPr>
  </w:style>
  <w:style w:type="paragraph" w:customStyle="1" w:styleId="107">
    <w:name w:val="表头文字"/>
    <w:basedOn w:val="1"/>
    <w:link w:val="106"/>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8">
    <w:name w:val="日期 Char1"/>
    <w:link w:val="23"/>
    <w:autoRedefine/>
    <w:qFormat/>
    <w:uiPriority w:val="99"/>
    <w:rPr>
      <w:rFonts w:ascii="宋体" w:hAnsi="Times New Roman" w:eastAsia="宋体" w:cs="Times New Roman"/>
      <w:b/>
      <w:bCs/>
      <w:szCs w:val="21"/>
      <w:lang w:val="zh-CN"/>
    </w:rPr>
  </w:style>
  <w:style w:type="character" w:customStyle="1" w:styleId="109">
    <w:name w:val="纯文本 Char1"/>
    <w:autoRedefine/>
    <w:qFormat/>
    <w:uiPriority w:val="0"/>
    <w:rPr>
      <w:rFonts w:ascii="宋体" w:hAnsi="Courier New" w:eastAsia="宋体" w:cs="Courier New"/>
      <w:kern w:val="0"/>
      <w:szCs w:val="21"/>
    </w:rPr>
  </w:style>
  <w:style w:type="character" w:customStyle="1" w:styleId="110">
    <w:name w:val="批注主题 Char1"/>
    <w:link w:val="36"/>
    <w:autoRedefine/>
    <w:qFormat/>
    <w:uiPriority w:val="99"/>
    <w:rPr>
      <w:rFonts w:ascii="宋体" w:hAnsi="Times New Roman" w:eastAsia="宋体" w:cs="Times New Roman"/>
      <w:b/>
      <w:bCs/>
      <w:kern w:val="0"/>
      <w:sz w:val="24"/>
      <w:szCs w:val="24"/>
    </w:rPr>
  </w:style>
  <w:style w:type="character" w:customStyle="1" w:styleId="111">
    <w:name w:val="纯文本 字符"/>
    <w:autoRedefine/>
    <w:qFormat/>
    <w:uiPriority w:val="99"/>
    <w:rPr>
      <w:rFonts w:ascii="宋体" w:hAnsi="Courier New" w:eastAsia="宋体" w:cs="Times New Roman"/>
      <w:szCs w:val="20"/>
      <w:lang w:val="en-US" w:eastAsia="zh-CN"/>
    </w:rPr>
  </w:style>
  <w:style w:type="character" w:customStyle="1" w:styleId="112">
    <w:name w:val="font71"/>
    <w:autoRedefine/>
    <w:qFormat/>
    <w:uiPriority w:val="0"/>
    <w:rPr>
      <w:rFonts w:hint="eastAsia" w:ascii="宋体" w:hAnsi="宋体" w:eastAsia="宋体" w:cs="宋体"/>
      <w:color w:val="FF0000"/>
      <w:sz w:val="18"/>
      <w:szCs w:val="18"/>
      <w:u w:val="none"/>
    </w:rPr>
  </w:style>
  <w:style w:type="character" w:customStyle="1" w:styleId="113">
    <w:name w:val="font21"/>
    <w:autoRedefine/>
    <w:qFormat/>
    <w:uiPriority w:val="0"/>
    <w:rPr>
      <w:rFonts w:hint="eastAsia" w:ascii="宋体" w:hAnsi="宋体" w:eastAsia="宋体" w:cs="宋体"/>
      <w:b/>
      <w:color w:val="000000"/>
      <w:sz w:val="21"/>
      <w:szCs w:val="21"/>
      <w:u w:val="none"/>
    </w:rPr>
  </w:style>
  <w:style w:type="character" w:customStyle="1" w:styleId="114">
    <w:name w:val="纯文本 字符3"/>
    <w:autoRedefine/>
    <w:semiHidden/>
    <w:qFormat/>
    <w:uiPriority w:val="99"/>
    <w:rPr>
      <w:rFonts w:ascii="等线" w:hAnsi="Courier New" w:cs="Courier New"/>
      <w:kern w:val="0"/>
      <w:sz w:val="24"/>
      <w:szCs w:val="24"/>
    </w:rPr>
  </w:style>
  <w:style w:type="character" w:customStyle="1" w:styleId="115">
    <w:name w:val="font31"/>
    <w:qFormat/>
    <w:uiPriority w:val="0"/>
    <w:rPr>
      <w:rFonts w:hint="eastAsia" w:ascii="宋体" w:hAnsi="宋体" w:eastAsia="宋体" w:cs="宋体"/>
      <w:color w:val="000000"/>
      <w:sz w:val="18"/>
      <w:szCs w:val="18"/>
      <w:u w:val="none"/>
    </w:rPr>
  </w:style>
  <w:style w:type="character" w:customStyle="1" w:styleId="116">
    <w:name w:val="文档结构图 Char"/>
    <w:link w:val="14"/>
    <w:autoRedefine/>
    <w:semiHidden/>
    <w:qFormat/>
    <w:uiPriority w:val="99"/>
    <w:rPr>
      <w:rFonts w:ascii="宋体" w:hAnsi="Times New Roman" w:eastAsia="宋体" w:cs="Times New Roman"/>
      <w:kern w:val="0"/>
      <w:sz w:val="24"/>
      <w:szCs w:val="24"/>
      <w:shd w:val="clear" w:color="auto" w:fill="000080"/>
    </w:rPr>
  </w:style>
  <w:style w:type="character" w:customStyle="1" w:styleId="117">
    <w:name w:val="普通(网站) 字符1"/>
    <w:qFormat/>
    <w:locked/>
    <w:uiPriority w:val="0"/>
    <w:rPr>
      <w:rFonts w:ascii="宋体" w:hAnsi="宋体"/>
      <w:sz w:val="15"/>
      <w:szCs w:val="15"/>
    </w:rPr>
  </w:style>
  <w:style w:type="character" w:customStyle="1" w:styleId="118">
    <w:name w:val="正文文本 Char3"/>
    <w:link w:val="18"/>
    <w:qFormat/>
    <w:uiPriority w:val="99"/>
    <w:rPr>
      <w:rFonts w:ascii="宋体" w:eastAsia="宋体"/>
      <w:b/>
      <w:bCs/>
      <w:sz w:val="84"/>
      <w:szCs w:val="84"/>
      <w:lang w:val="zh-CN"/>
    </w:rPr>
  </w:style>
  <w:style w:type="character" w:customStyle="1" w:styleId="119">
    <w:name w:val="标题 5 Char"/>
    <w:autoRedefine/>
    <w:semiHidden/>
    <w:qFormat/>
    <w:uiPriority w:val="9"/>
    <w:rPr>
      <w:b/>
      <w:bCs/>
      <w:kern w:val="2"/>
      <w:sz w:val="28"/>
      <w:szCs w:val="28"/>
    </w:rPr>
  </w:style>
  <w:style w:type="character" w:customStyle="1" w:styleId="120">
    <w:name w:val="页眉 Char2"/>
    <w:link w:val="27"/>
    <w:qFormat/>
    <w:uiPriority w:val="99"/>
    <w:rPr>
      <w:rFonts w:ascii="宋体" w:eastAsia="宋体"/>
      <w:sz w:val="18"/>
      <w:szCs w:val="18"/>
    </w:rPr>
  </w:style>
  <w:style w:type="character" w:customStyle="1" w:styleId="121">
    <w:name w:val="表格文字 Char"/>
    <w:link w:val="122"/>
    <w:autoRedefine/>
    <w:qFormat/>
    <w:uiPriority w:val="0"/>
    <w:rPr>
      <w:rFonts w:eastAsia="仿宋_GB2312"/>
      <w:sz w:val="28"/>
      <w:szCs w:val="24"/>
    </w:rPr>
  </w:style>
  <w:style w:type="paragraph" w:customStyle="1" w:styleId="122">
    <w:name w:val="表格文字"/>
    <w:basedOn w:val="1"/>
    <w:link w:val="121"/>
    <w:autoRedefine/>
    <w:qFormat/>
    <w:uiPriority w:val="0"/>
    <w:rPr>
      <w:rFonts w:eastAsia="仿宋_GB2312"/>
      <w:sz w:val="28"/>
      <w:szCs w:val="24"/>
    </w:rPr>
  </w:style>
  <w:style w:type="character" w:customStyle="1" w:styleId="123">
    <w:name w:val="标题 字符2"/>
    <w:autoRedefine/>
    <w:qFormat/>
    <w:uiPriority w:val="10"/>
    <w:rPr>
      <w:rFonts w:ascii="等线 Light" w:hAnsi="等线 Light" w:eastAsia="等线 Light" w:cs="Times New Roman"/>
      <w:b/>
      <w:bCs/>
      <w:kern w:val="0"/>
      <w:sz w:val="32"/>
      <w:szCs w:val="32"/>
    </w:rPr>
  </w:style>
  <w:style w:type="character" w:customStyle="1" w:styleId="124">
    <w:name w:val="正文缩进2格 Char Char"/>
    <w:qFormat/>
    <w:uiPriority w:val="0"/>
    <w:rPr>
      <w:rFonts w:ascii="仿宋_GB2312" w:hAnsi="宋体" w:eastAsia="仿宋_GB2312"/>
      <w:kern w:val="2"/>
      <w:sz w:val="31"/>
      <w:szCs w:val="28"/>
      <w:lang w:val="en-US" w:eastAsia="zh-CN" w:bidi="ar-SA"/>
    </w:rPr>
  </w:style>
  <w:style w:type="character" w:customStyle="1" w:styleId="125">
    <w:name w:val="小 Char"/>
    <w:qFormat/>
    <w:uiPriority w:val="0"/>
    <w:rPr>
      <w:rFonts w:ascii="宋体" w:hAnsi="Courier New" w:eastAsia="宋体"/>
      <w:kern w:val="2"/>
      <w:sz w:val="21"/>
      <w:lang w:val="en-US" w:eastAsia="zh-CN" w:bidi="ar-SA"/>
    </w:rPr>
  </w:style>
  <w:style w:type="character" w:customStyle="1" w:styleId="126">
    <w:name w:val="themebody1"/>
    <w:autoRedefine/>
    <w:qFormat/>
    <w:uiPriority w:val="0"/>
    <w:rPr>
      <w:color w:val="FFFFFF"/>
    </w:rPr>
  </w:style>
  <w:style w:type="character" w:customStyle="1" w:styleId="127">
    <w:name w:val="页脚 字符1"/>
    <w:semiHidden/>
    <w:qFormat/>
    <w:uiPriority w:val="99"/>
    <w:rPr>
      <w:rFonts w:ascii="宋体" w:hAnsi="Calibri" w:eastAsia="宋体" w:cs="Times New Roman"/>
      <w:kern w:val="0"/>
      <w:sz w:val="18"/>
      <w:szCs w:val="18"/>
    </w:rPr>
  </w:style>
  <w:style w:type="character" w:customStyle="1" w:styleId="128">
    <w:name w:val="列出段落 Char"/>
    <w:link w:val="129"/>
    <w:autoRedefine/>
    <w:qFormat/>
    <w:uiPriority w:val="34"/>
    <w:rPr>
      <w:kern w:val="2"/>
      <w:sz w:val="21"/>
      <w:szCs w:val="22"/>
    </w:rPr>
  </w:style>
  <w:style w:type="paragraph" w:styleId="129">
    <w:name w:val="List Paragraph"/>
    <w:basedOn w:val="1"/>
    <w:link w:val="128"/>
    <w:qFormat/>
    <w:uiPriority w:val="34"/>
    <w:pPr>
      <w:ind w:firstLine="420" w:firstLineChars="200"/>
    </w:pPr>
  </w:style>
  <w:style w:type="character" w:customStyle="1" w:styleId="130">
    <w:name w:val="正文文本 Char"/>
    <w:qFormat/>
    <w:uiPriority w:val="99"/>
    <w:rPr>
      <w:rFonts w:ascii="宋体" w:eastAsia="宋体"/>
      <w:b/>
      <w:bCs/>
      <w:sz w:val="84"/>
      <w:szCs w:val="84"/>
      <w:lang w:val="zh-CN"/>
    </w:rPr>
  </w:style>
  <w:style w:type="character" w:customStyle="1" w:styleId="131">
    <w:name w:val="页眉 字符1"/>
    <w:autoRedefine/>
    <w:semiHidden/>
    <w:qFormat/>
    <w:uiPriority w:val="99"/>
    <w:rPr>
      <w:rFonts w:ascii="宋体" w:hAnsi="Calibri" w:eastAsia="宋体" w:cs="Times New Roman"/>
      <w:kern w:val="0"/>
      <w:sz w:val="18"/>
      <w:szCs w:val="18"/>
    </w:rPr>
  </w:style>
  <w:style w:type="character" w:customStyle="1" w:styleId="132">
    <w:name w:val="标题 5 Char1"/>
    <w:link w:val="6"/>
    <w:autoRedefine/>
    <w:qFormat/>
    <w:uiPriority w:val="9"/>
    <w:rPr>
      <w:rFonts w:ascii="宋体" w:hAnsi="Calibri" w:eastAsia="宋体" w:cs="Times New Roman"/>
      <w:b/>
      <w:bCs/>
      <w:kern w:val="0"/>
      <w:sz w:val="28"/>
      <w:szCs w:val="28"/>
    </w:rPr>
  </w:style>
  <w:style w:type="character" w:customStyle="1" w:styleId="133">
    <w:name w:val="keyfeatures1"/>
    <w:autoRedefine/>
    <w:qFormat/>
    <w:uiPriority w:val="0"/>
    <w:rPr>
      <w:rFonts w:hint="default" w:ascii="Arial" w:hAnsi="Arial" w:cs="Arial"/>
      <w:color w:val="003366"/>
      <w:sz w:val="17"/>
      <w:szCs w:val="17"/>
      <w:u w:val="none"/>
    </w:rPr>
  </w:style>
  <w:style w:type="character" w:customStyle="1" w:styleId="134">
    <w:name w:val="题注 字符"/>
    <w:qFormat/>
    <w:uiPriority w:val="0"/>
    <w:rPr>
      <w:rFonts w:ascii="宋体" w:hAnsi="宋体" w:eastAsia="黑体" w:cs="Times New Roman"/>
      <w:b/>
      <w:szCs w:val="21"/>
    </w:rPr>
  </w:style>
  <w:style w:type="character" w:customStyle="1" w:styleId="135">
    <w:name w:val="标题 4 Char"/>
    <w:autoRedefine/>
    <w:qFormat/>
    <w:uiPriority w:val="0"/>
    <w:rPr>
      <w:rFonts w:ascii="宋体" w:hAnsi="宋体" w:eastAsia="宋体"/>
      <w:b/>
      <w:kern w:val="2"/>
      <w:sz w:val="21"/>
      <w:szCs w:val="24"/>
      <w:lang w:val="en-US" w:eastAsia="zh-CN" w:bidi="ar-SA"/>
    </w:rPr>
  </w:style>
  <w:style w:type="character" w:customStyle="1" w:styleId="136">
    <w:name w:val="批注文字 字符3"/>
    <w:autoRedefine/>
    <w:semiHidden/>
    <w:qFormat/>
    <w:uiPriority w:val="99"/>
    <w:rPr>
      <w:rFonts w:ascii="宋体" w:hAnsi="Calibri" w:eastAsia="宋体" w:cs="Times New Roman"/>
      <w:kern w:val="0"/>
      <w:sz w:val="24"/>
      <w:szCs w:val="24"/>
    </w:rPr>
  </w:style>
  <w:style w:type="character" w:customStyle="1" w:styleId="137">
    <w:name w:val="纯文本 字符1"/>
    <w:qFormat/>
    <w:uiPriority w:val="0"/>
    <w:rPr>
      <w:rFonts w:ascii="宋体" w:hAnsi="Courier New" w:eastAsia="宋体"/>
      <w:kern w:val="2"/>
      <w:sz w:val="21"/>
      <w:szCs w:val="24"/>
      <w:lang w:val="en-US" w:eastAsia="zh-CN" w:bidi="ar-SA"/>
    </w:rPr>
  </w:style>
  <w:style w:type="character" w:customStyle="1" w:styleId="138">
    <w:name w:val="列出段落 Char1"/>
    <w:qFormat/>
    <w:uiPriority w:val="34"/>
    <w:rPr>
      <w:rFonts w:ascii="宋体"/>
      <w:sz w:val="24"/>
      <w:szCs w:val="24"/>
    </w:rPr>
  </w:style>
  <w:style w:type="character" w:customStyle="1" w:styleId="139">
    <w:name w:val="彩色列表 - 着色 1 字符"/>
    <w:link w:val="140"/>
    <w:qFormat/>
    <w:uiPriority w:val="0"/>
    <w:rPr>
      <w:rFonts w:ascii="Calibri" w:hAnsi="Calibri"/>
    </w:rPr>
  </w:style>
  <w:style w:type="paragraph" w:customStyle="1" w:styleId="140">
    <w:name w:val="彩色列表 - 着色 11"/>
    <w:basedOn w:val="1"/>
    <w:link w:val="139"/>
    <w:qFormat/>
    <w:uiPriority w:val="0"/>
    <w:pPr>
      <w:ind w:firstLine="420" w:firstLineChars="200"/>
    </w:pPr>
    <w:rPr>
      <w:rFonts w:ascii="Calibri" w:hAnsi="Calibri"/>
    </w:rPr>
  </w:style>
  <w:style w:type="character" w:customStyle="1" w:styleId="141">
    <w:name w:val="纯文本 Char"/>
    <w:autoRedefine/>
    <w:qFormat/>
    <w:uiPriority w:val="0"/>
    <w:rPr>
      <w:rFonts w:ascii="宋体" w:hAnsi="Courier New" w:eastAsia="宋体" w:cs="Times New Roman"/>
      <w:szCs w:val="20"/>
    </w:rPr>
  </w:style>
  <w:style w:type="character" w:customStyle="1" w:styleId="142">
    <w:name w:val="标题 6 Char"/>
    <w:link w:val="7"/>
    <w:autoRedefine/>
    <w:qFormat/>
    <w:uiPriority w:val="9"/>
    <w:rPr>
      <w:rFonts w:ascii="Times New Roman" w:hAnsi="Calibri" w:eastAsia="黑体" w:cs="Times New Roman"/>
      <w:b/>
      <w:bCs/>
      <w:kern w:val="0"/>
      <w:sz w:val="28"/>
      <w:szCs w:val="24"/>
    </w:rPr>
  </w:style>
  <w:style w:type="character" w:customStyle="1" w:styleId="143">
    <w:name w:val="正文文本 2 Char"/>
    <w:link w:val="32"/>
    <w:autoRedefine/>
    <w:qFormat/>
    <w:uiPriority w:val="0"/>
    <w:rPr>
      <w:rFonts w:ascii="Arial" w:hAnsi="Arial" w:eastAsia="宋体" w:cs="Times New Roman"/>
      <w:color w:val="000000"/>
      <w:szCs w:val="24"/>
    </w:rPr>
  </w:style>
  <w:style w:type="character" w:customStyle="1" w:styleId="144">
    <w:name w:val="标题 3 Char"/>
    <w:link w:val="2"/>
    <w:autoRedefine/>
    <w:qFormat/>
    <w:uiPriority w:val="0"/>
    <w:rPr>
      <w:rFonts w:ascii="宋体" w:hAnsi="Calibri" w:eastAsia="宋体" w:cs="Times New Roman"/>
      <w:kern w:val="0"/>
      <w:sz w:val="24"/>
      <w:szCs w:val="24"/>
    </w:rPr>
  </w:style>
  <w:style w:type="character" w:customStyle="1" w:styleId="145">
    <w:name w:val="正文文本缩进 2 字符1"/>
    <w:autoRedefine/>
    <w:semiHidden/>
    <w:qFormat/>
    <w:uiPriority w:val="99"/>
    <w:rPr>
      <w:rFonts w:ascii="宋体" w:hAnsi="Calibri" w:eastAsia="宋体" w:cs="Times New Roman"/>
      <w:kern w:val="0"/>
      <w:sz w:val="24"/>
      <w:szCs w:val="24"/>
    </w:rPr>
  </w:style>
  <w:style w:type="character" w:customStyle="1" w:styleId="146">
    <w:name w:val="正文文本缩进 3 字符1"/>
    <w:autoRedefine/>
    <w:semiHidden/>
    <w:qFormat/>
    <w:uiPriority w:val="99"/>
    <w:rPr>
      <w:rFonts w:ascii="宋体" w:hAnsi="Calibri" w:eastAsia="宋体" w:cs="Times New Roman"/>
      <w:kern w:val="0"/>
      <w:sz w:val="16"/>
      <w:szCs w:val="16"/>
    </w:rPr>
  </w:style>
  <w:style w:type="character" w:customStyle="1" w:styleId="147">
    <w:name w:val="正文文本 2 字符1"/>
    <w:autoRedefine/>
    <w:semiHidden/>
    <w:qFormat/>
    <w:uiPriority w:val="99"/>
    <w:rPr>
      <w:rFonts w:ascii="宋体" w:hAnsi="Calibri" w:eastAsia="宋体" w:cs="Times New Roman"/>
      <w:kern w:val="0"/>
      <w:sz w:val="24"/>
      <w:szCs w:val="24"/>
    </w:rPr>
  </w:style>
  <w:style w:type="character" w:customStyle="1" w:styleId="148">
    <w:name w:val="eschoolnr"/>
    <w:autoRedefine/>
    <w:qFormat/>
    <w:uiPriority w:val="0"/>
    <w:rPr>
      <w:sz w:val="23"/>
      <w:szCs w:val="23"/>
    </w:rPr>
  </w:style>
  <w:style w:type="character" w:customStyle="1" w:styleId="149">
    <w:name w:val="访问过的超链接1"/>
    <w:autoRedefine/>
    <w:qFormat/>
    <w:uiPriority w:val="0"/>
    <w:rPr>
      <w:rFonts w:ascii="Arial" w:hAnsi="Arial" w:cs="Arial"/>
      <w:color w:val="000000"/>
      <w:sz w:val="20"/>
      <w:szCs w:val="20"/>
      <w:u w:val="none"/>
    </w:rPr>
  </w:style>
  <w:style w:type="character" w:customStyle="1" w:styleId="150">
    <w:name w:val="标题 1 Char1"/>
    <w:link w:val="3"/>
    <w:autoRedefine/>
    <w:qFormat/>
    <w:uiPriority w:val="0"/>
    <w:rPr>
      <w:rFonts w:ascii="宋体" w:hAnsi="Calibri" w:eastAsia="宋体" w:cs="Times New Roman"/>
      <w:kern w:val="0"/>
      <w:sz w:val="24"/>
      <w:szCs w:val="24"/>
    </w:rPr>
  </w:style>
  <w:style w:type="character" w:customStyle="1" w:styleId="151">
    <w:name w:val="批注文字 Char1"/>
    <w:qFormat/>
    <w:uiPriority w:val="0"/>
    <w:rPr>
      <w:kern w:val="2"/>
      <w:sz w:val="21"/>
      <w:szCs w:val="24"/>
    </w:rPr>
  </w:style>
  <w:style w:type="character" w:customStyle="1" w:styleId="152">
    <w:name w:val="批注框文本 Char"/>
    <w:autoRedefine/>
    <w:semiHidden/>
    <w:qFormat/>
    <w:uiPriority w:val="99"/>
    <w:rPr>
      <w:kern w:val="2"/>
      <w:sz w:val="18"/>
      <w:szCs w:val="18"/>
    </w:rPr>
  </w:style>
  <w:style w:type="character" w:customStyle="1" w:styleId="153">
    <w:name w:val="DAS正文 Char"/>
    <w:autoRedefine/>
    <w:qFormat/>
    <w:uiPriority w:val="0"/>
    <w:rPr>
      <w:rFonts w:ascii="Verdana" w:hAnsi="Verdana" w:eastAsia="宋体"/>
      <w:kern w:val="2"/>
      <w:sz w:val="21"/>
      <w:szCs w:val="21"/>
      <w:lang w:val="en-US" w:eastAsia="zh-CN" w:bidi="ar-SA"/>
    </w:rPr>
  </w:style>
  <w:style w:type="character" w:customStyle="1" w:styleId="154">
    <w:name w:val="正文文本缩进 3 Char"/>
    <w:link w:val="30"/>
    <w:qFormat/>
    <w:uiPriority w:val="0"/>
    <w:rPr>
      <w:rFonts w:ascii="宋体" w:hAnsi="Times New Roman" w:eastAsia="宋体" w:cs="Times New Roman"/>
      <w:kern w:val="0"/>
      <w:sz w:val="24"/>
      <w:szCs w:val="24"/>
    </w:rPr>
  </w:style>
  <w:style w:type="character" w:customStyle="1" w:styleId="155">
    <w:name w:val="页眉 Char"/>
    <w:autoRedefine/>
    <w:qFormat/>
    <w:uiPriority w:val="99"/>
    <w:rPr>
      <w:kern w:val="2"/>
      <w:sz w:val="18"/>
      <w:szCs w:val="18"/>
    </w:rPr>
  </w:style>
  <w:style w:type="character" w:customStyle="1" w:styleId="156">
    <w:name w:val="正文文本 3 Char"/>
    <w:link w:val="17"/>
    <w:autoRedefine/>
    <w:qFormat/>
    <w:uiPriority w:val="0"/>
    <w:rPr>
      <w:rFonts w:ascii="宋体" w:hAnsi="Times New Roman" w:eastAsia="宋体" w:cs="Times New Roman"/>
      <w:b/>
      <w:bCs/>
      <w:color w:val="3366FF"/>
      <w:sz w:val="52"/>
      <w:szCs w:val="52"/>
      <w:lang w:val="zh-CN"/>
    </w:rPr>
  </w:style>
  <w:style w:type="character" w:customStyle="1" w:styleId="157">
    <w:name w:val="HTML 预设格式 字符1"/>
    <w:semiHidden/>
    <w:qFormat/>
    <w:uiPriority w:val="99"/>
    <w:rPr>
      <w:rFonts w:ascii="Courier New" w:hAnsi="Courier New" w:eastAsia="宋体" w:cs="Courier New"/>
      <w:kern w:val="0"/>
      <w:sz w:val="20"/>
      <w:szCs w:val="20"/>
    </w:rPr>
  </w:style>
  <w:style w:type="character" w:customStyle="1" w:styleId="158">
    <w:name w:val="彩色列表 - 强调文字颜色 1 Char"/>
    <w:link w:val="159"/>
    <w:autoRedefine/>
    <w:qFormat/>
    <w:uiPriority w:val="0"/>
    <w:rPr>
      <w:rFonts w:ascii="宋体"/>
      <w:sz w:val="24"/>
      <w:szCs w:val="24"/>
    </w:rPr>
  </w:style>
  <w:style w:type="paragraph" w:customStyle="1" w:styleId="159">
    <w:name w:val="彩色列表 - 强调文字颜色 11"/>
    <w:basedOn w:val="1"/>
    <w:link w:val="158"/>
    <w:autoRedefine/>
    <w:qFormat/>
    <w:uiPriority w:val="0"/>
    <w:pPr>
      <w:autoSpaceDE w:val="0"/>
      <w:autoSpaceDN w:val="0"/>
      <w:adjustRightInd w:val="0"/>
      <w:ind w:firstLine="420" w:firstLineChars="200"/>
      <w:jc w:val="left"/>
    </w:pPr>
    <w:rPr>
      <w:rFonts w:ascii="宋体"/>
      <w:sz w:val="24"/>
      <w:szCs w:val="24"/>
    </w:rPr>
  </w:style>
  <w:style w:type="character" w:customStyle="1" w:styleId="160">
    <w:name w:val="普通(网站) 字符"/>
    <w:qFormat/>
    <w:locked/>
    <w:uiPriority w:val="99"/>
    <w:rPr>
      <w:rFonts w:ascii="宋体" w:hAnsi="宋体" w:eastAsia="宋体" w:cs="Times New Roman"/>
      <w:kern w:val="0"/>
      <w:sz w:val="15"/>
      <w:szCs w:val="15"/>
      <w:lang w:val="en-US" w:eastAsia="zh-CN"/>
    </w:rPr>
  </w:style>
  <w:style w:type="paragraph" w:customStyle="1" w:styleId="161">
    <w:name w:val="_Style 123"/>
    <w:basedOn w:val="1"/>
    <w:next w:val="129"/>
    <w:qFormat/>
    <w:uiPriority w:val="34"/>
    <w:pPr>
      <w:spacing w:line="360" w:lineRule="auto"/>
      <w:ind w:firstLine="420" w:firstLineChars="200"/>
    </w:pPr>
    <w:rPr>
      <w:rFonts w:ascii="Calibri" w:hAnsi="Calibri" w:eastAsia="宋体" w:cs="Times New Roman"/>
    </w:rPr>
  </w:style>
  <w:style w:type="character" w:customStyle="1" w:styleId="162">
    <w:name w:val="纯文本 字符4"/>
    <w:basedOn w:val="39"/>
    <w:semiHidden/>
    <w:qFormat/>
    <w:uiPriority w:val="99"/>
    <w:rPr>
      <w:rFonts w:hAnsi="Courier New" w:cs="Courier New" w:asciiTheme="minorEastAsia"/>
    </w:rPr>
  </w:style>
  <w:style w:type="character" w:customStyle="1" w:styleId="163">
    <w:name w:val="批注文字 Char2"/>
    <w:basedOn w:val="39"/>
    <w:link w:val="16"/>
    <w:semiHidden/>
    <w:qFormat/>
    <w:uiPriority w:val="99"/>
  </w:style>
  <w:style w:type="character" w:customStyle="1" w:styleId="164">
    <w:name w:val="批注主题 字符2"/>
    <w:basedOn w:val="163"/>
    <w:semiHidden/>
    <w:qFormat/>
    <w:uiPriority w:val="99"/>
    <w:rPr>
      <w:b/>
      <w:bCs/>
    </w:rPr>
  </w:style>
  <w:style w:type="character" w:customStyle="1" w:styleId="165">
    <w:name w:val="标题 字符3"/>
    <w:basedOn w:val="39"/>
    <w:qFormat/>
    <w:uiPriority w:val="10"/>
    <w:rPr>
      <w:rFonts w:asciiTheme="majorHAnsi" w:hAnsiTheme="majorHAnsi" w:eastAsiaTheme="majorEastAsia" w:cstheme="majorBidi"/>
      <w:b/>
      <w:bCs/>
      <w:sz w:val="32"/>
      <w:szCs w:val="32"/>
    </w:rPr>
  </w:style>
  <w:style w:type="character" w:customStyle="1" w:styleId="166">
    <w:name w:val="正文文本缩进 字符3"/>
    <w:basedOn w:val="39"/>
    <w:semiHidden/>
    <w:qFormat/>
    <w:uiPriority w:val="99"/>
  </w:style>
  <w:style w:type="character" w:customStyle="1" w:styleId="167">
    <w:name w:val="正文文本 字符4"/>
    <w:basedOn w:val="39"/>
    <w:semiHidden/>
    <w:qFormat/>
    <w:uiPriority w:val="99"/>
  </w:style>
  <w:style w:type="character" w:customStyle="1" w:styleId="168">
    <w:name w:val="正文文本缩进 3 字符2"/>
    <w:basedOn w:val="39"/>
    <w:autoRedefine/>
    <w:semiHidden/>
    <w:qFormat/>
    <w:uiPriority w:val="99"/>
    <w:rPr>
      <w:sz w:val="16"/>
      <w:szCs w:val="16"/>
    </w:rPr>
  </w:style>
  <w:style w:type="character" w:customStyle="1" w:styleId="169">
    <w:name w:val="页眉 字符2"/>
    <w:basedOn w:val="39"/>
    <w:semiHidden/>
    <w:qFormat/>
    <w:uiPriority w:val="99"/>
    <w:rPr>
      <w:sz w:val="18"/>
      <w:szCs w:val="18"/>
    </w:rPr>
  </w:style>
  <w:style w:type="character" w:customStyle="1" w:styleId="170">
    <w:name w:val="批注框文本 字符2"/>
    <w:basedOn w:val="39"/>
    <w:semiHidden/>
    <w:qFormat/>
    <w:uiPriority w:val="99"/>
    <w:rPr>
      <w:sz w:val="18"/>
      <w:szCs w:val="18"/>
    </w:rPr>
  </w:style>
  <w:style w:type="character" w:customStyle="1" w:styleId="171">
    <w:name w:val="HTML 预设格式 字符2"/>
    <w:basedOn w:val="39"/>
    <w:semiHidden/>
    <w:qFormat/>
    <w:uiPriority w:val="99"/>
    <w:rPr>
      <w:rFonts w:ascii="Courier New" w:hAnsi="Courier New" w:cs="Courier New"/>
      <w:sz w:val="20"/>
      <w:szCs w:val="20"/>
    </w:rPr>
  </w:style>
  <w:style w:type="character" w:customStyle="1" w:styleId="172">
    <w:name w:val="页脚 字符2"/>
    <w:basedOn w:val="39"/>
    <w:semiHidden/>
    <w:qFormat/>
    <w:uiPriority w:val="99"/>
    <w:rPr>
      <w:sz w:val="18"/>
      <w:szCs w:val="18"/>
    </w:rPr>
  </w:style>
  <w:style w:type="character" w:customStyle="1" w:styleId="173">
    <w:name w:val="正文文本缩进 2 字符2"/>
    <w:basedOn w:val="39"/>
    <w:semiHidden/>
    <w:qFormat/>
    <w:uiPriority w:val="99"/>
  </w:style>
  <w:style w:type="character" w:customStyle="1" w:styleId="174">
    <w:name w:val="正文文本 3 字符2"/>
    <w:basedOn w:val="39"/>
    <w:semiHidden/>
    <w:qFormat/>
    <w:uiPriority w:val="99"/>
    <w:rPr>
      <w:sz w:val="16"/>
      <w:szCs w:val="16"/>
    </w:rPr>
  </w:style>
  <w:style w:type="character" w:customStyle="1" w:styleId="175">
    <w:name w:val="正文文本 2 字符2"/>
    <w:basedOn w:val="39"/>
    <w:semiHidden/>
    <w:qFormat/>
    <w:uiPriority w:val="99"/>
  </w:style>
  <w:style w:type="paragraph" w:customStyle="1" w:styleId="176">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77">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178">
    <w:name w:val="文档结构图 字符2"/>
    <w:basedOn w:val="39"/>
    <w:autoRedefine/>
    <w:semiHidden/>
    <w:qFormat/>
    <w:uiPriority w:val="99"/>
    <w:rPr>
      <w:rFonts w:ascii="Microsoft YaHei UI" w:eastAsia="Microsoft YaHei UI"/>
      <w:sz w:val="18"/>
      <w:szCs w:val="18"/>
    </w:rPr>
  </w:style>
  <w:style w:type="character" w:customStyle="1" w:styleId="179">
    <w:name w:val="日期 字符2"/>
    <w:basedOn w:val="39"/>
    <w:semiHidden/>
    <w:qFormat/>
    <w:uiPriority w:val="99"/>
  </w:style>
  <w:style w:type="paragraph" w:customStyle="1" w:styleId="180">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1">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2">
    <w:name w:val="修订1"/>
    <w:autoRedefine/>
    <w:semiHidden/>
    <w:qFormat/>
    <w:uiPriority w:val="99"/>
    <w:rPr>
      <w:rFonts w:ascii="宋体" w:hAnsi="Calibri" w:eastAsia="宋体" w:cs="Times New Roman"/>
      <w:sz w:val="24"/>
      <w:szCs w:val="24"/>
      <w:lang w:val="en-US" w:eastAsia="zh-CN" w:bidi="ar-SA"/>
    </w:rPr>
  </w:style>
  <w:style w:type="paragraph" w:customStyle="1" w:styleId="183">
    <w:name w:val="图/图注"/>
    <w:basedOn w:val="8"/>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4">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5">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6">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7">
    <w:name w:val="p0"/>
    <w:basedOn w:val="1"/>
    <w:qFormat/>
    <w:uiPriority w:val="0"/>
    <w:pPr>
      <w:widowControl/>
    </w:pPr>
    <w:rPr>
      <w:rFonts w:ascii="Times New Roman" w:hAnsi="Calibri" w:eastAsia="宋体" w:cs="Times New Roman"/>
      <w:kern w:val="0"/>
      <w:szCs w:val="20"/>
    </w:rPr>
  </w:style>
  <w:style w:type="paragraph" w:customStyle="1" w:styleId="188">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190">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1">
    <w:name w:val="WPSOffice手动目录 1"/>
    <w:qFormat/>
    <w:uiPriority w:val="0"/>
    <w:rPr>
      <w:rFonts w:ascii="Calibri" w:hAnsi="Calibri" w:eastAsia="宋体" w:cs="Times New Roman"/>
      <w:lang w:val="en-US" w:eastAsia="zh-CN" w:bidi="ar-SA"/>
    </w:rPr>
  </w:style>
  <w:style w:type="paragraph" w:customStyle="1" w:styleId="192">
    <w:name w:val="_Style 69"/>
    <w:basedOn w:val="1"/>
    <w:next w:val="129"/>
    <w:qFormat/>
    <w:uiPriority w:val="34"/>
    <w:pPr>
      <w:spacing w:line="360" w:lineRule="auto"/>
      <w:ind w:firstLine="420" w:firstLineChars="200"/>
    </w:pPr>
    <w:rPr>
      <w:rFonts w:ascii="Calibri" w:hAnsi="Calibri" w:eastAsia="宋体" w:cs="Times New Roman"/>
    </w:rPr>
  </w:style>
  <w:style w:type="paragraph" w:customStyle="1" w:styleId="193">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4">
    <w:name w:val="保留正文"/>
    <w:basedOn w:val="18"/>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5">
    <w:name w:val="彩色底纹 - 着色 11"/>
    <w:semiHidden/>
    <w:qFormat/>
    <w:uiPriority w:val="99"/>
    <w:rPr>
      <w:rFonts w:ascii="宋体" w:hAnsi="Calibri" w:eastAsia="宋体" w:cs="Times New Roman"/>
      <w:sz w:val="24"/>
      <w:szCs w:val="24"/>
      <w:lang w:val="en-US" w:eastAsia="zh-CN" w:bidi="ar-SA"/>
    </w:rPr>
  </w:style>
  <w:style w:type="paragraph" w:customStyle="1" w:styleId="196">
    <w:name w:val="WPSOffice手动目录 2"/>
    <w:qFormat/>
    <w:uiPriority w:val="0"/>
    <w:pPr>
      <w:ind w:left="200" w:leftChars="200"/>
    </w:pPr>
    <w:rPr>
      <w:rFonts w:ascii="Calibri" w:hAnsi="Calibri" w:eastAsia="宋体" w:cs="Times New Roman"/>
      <w:lang w:val="en-US" w:eastAsia="zh-CN" w:bidi="ar-SA"/>
    </w:rPr>
  </w:style>
  <w:style w:type="paragraph" w:customStyle="1" w:styleId="197">
    <w:name w:val="网格表 31"/>
    <w:basedOn w:val="3"/>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8">
    <w:name w:val="表格文字居中"/>
    <w:basedOn w:val="122"/>
    <w:autoRedefine/>
    <w:qFormat/>
    <w:uiPriority w:val="0"/>
    <w:pPr>
      <w:jc w:val="center"/>
    </w:pPr>
    <w:rPr>
      <w:rFonts w:cs="宋体"/>
      <w:szCs w:val="20"/>
    </w:rPr>
  </w:style>
  <w:style w:type="paragraph" w:customStyle="1" w:styleId="199">
    <w:name w:val="正文缩进4格"/>
    <w:basedOn w:val="63"/>
    <w:qFormat/>
    <w:uiPriority w:val="0"/>
    <w:pPr>
      <w:spacing w:line="360" w:lineRule="auto"/>
      <w:ind w:left="964" w:leftChars="314" w:hanging="210" w:hangingChars="100"/>
    </w:pPr>
    <w:rPr>
      <w:rFonts w:ascii="宋体" w:eastAsia="宋体"/>
      <w:sz w:val="21"/>
      <w:szCs w:val="21"/>
      <w:lang w:val="zh-CN"/>
    </w:rPr>
  </w:style>
  <w:style w:type="paragraph" w:customStyle="1" w:styleId="200">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1">
    <w:name w:val="正文首行缩进 Char"/>
    <w:basedOn w:val="118"/>
    <w:link w:val="19"/>
    <w:semiHidden/>
    <w:qFormat/>
    <w:uiPriority w:val="99"/>
    <w:rPr>
      <w:rFonts w:ascii="宋体" w:eastAsia="宋体"/>
      <w:b w:val="0"/>
      <w:bCs w:val="0"/>
      <w:sz w:val="84"/>
      <w:szCs w:val="84"/>
      <w:lang w:val="zh-CN"/>
    </w:rPr>
  </w:style>
  <w:style w:type="paragraph" w:customStyle="1" w:styleId="202">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3">
    <w:name w:val="Char1 Char Char Char1 Char Char Char"/>
    <w:basedOn w:val="1"/>
    <w:qFormat/>
    <w:uiPriority w:val="0"/>
    <w:pPr>
      <w:autoSpaceDE/>
      <w:autoSpaceDN/>
      <w:adjustRightInd/>
      <w:spacing w:line="360" w:lineRule="auto"/>
    </w:pPr>
    <w:rPr>
      <w:rFonts w:ascii="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111</Pages>
  <Words>25314</Words>
  <Characters>26413</Characters>
  <Lines>314</Lines>
  <Paragraphs>88</Paragraphs>
  <TotalTime>64</TotalTime>
  <ScaleCrop>false</ScaleCrop>
  <LinksUpToDate>false</LinksUpToDate>
  <CharactersWithSpaces>26832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123</cp:lastModifiedBy>
  <cp:lastPrinted>2025-02-07T07:07:00Z</cp:lastPrinted>
  <dcterms:modified xsi:type="dcterms:W3CDTF">2025-02-21T08:17:32Z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E29938F7B2AC44BC99E382DA30983214_13</vt:lpwstr>
  </property>
  <property fmtid="{D5CDD505-2E9C-101B-9397-08002B2CF9AE}" pid="4" name="KSOTemplateDocerSaveRecord">
    <vt:lpwstr>eyJoZGlkIjoiMzhlNDRmOTNkZWRhM2UxYjQ4MjE4OTRiMGYwZDk4ZDgiLCJ1c2VySWQiOiI1MTI1NTUxMzQifQ==</vt:lpwstr>
  </property>
</Properties>
</file>