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pPr>
        <w:autoSpaceDE w:val="0"/>
        <w:autoSpaceDN w:val="0"/>
        <w:adjustRightInd w:val="0"/>
        <w:spacing w:line="276" w:lineRule="auto"/>
        <w:ind w:left="357" w:leftChars="170" w:right="-23" w:rightChars="-11"/>
        <w:jc w:val="center"/>
        <w:outlineLvl w:val="0"/>
        <w:rPr>
          <w:rFonts w:hint="eastAsia"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东莞市石鼓净水有限公司石碣二期</w:t>
      </w:r>
    </w:p>
    <w:p>
      <w:pPr>
        <w:autoSpaceDE w:val="0"/>
        <w:autoSpaceDN w:val="0"/>
        <w:adjustRightInd w:val="0"/>
        <w:spacing w:line="276" w:lineRule="auto"/>
        <w:ind w:left="357" w:leftChars="170" w:right="-23" w:rightChars="-11"/>
        <w:jc w:val="center"/>
        <w:outlineLvl w:val="0"/>
        <w:rPr>
          <w:rFonts w:hint="eastAsia"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生化池曝气系统重置采购项目</w:t>
      </w:r>
    </w:p>
    <w:p>
      <w:pPr>
        <w:autoSpaceDE w:val="0"/>
        <w:autoSpaceDN w:val="0"/>
        <w:adjustRightInd w:val="0"/>
        <w:spacing w:line="276" w:lineRule="auto"/>
        <w:ind w:left="357" w:leftChars="170" w:right="-23" w:rightChars="-11"/>
        <w:jc w:val="center"/>
        <w:outlineLvl w:val="0"/>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（重新招标）</w:t>
      </w:r>
    </w:p>
    <w:p>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pPr>
        <w:autoSpaceDE w:val="0"/>
        <w:autoSpaceDN w:val="0"/>
        <w:adjustRightInd w:val="0"/>
        <w:ind w:right="-23" w:rightChars="-11"/>
        <w:jc w:val="center"/>
        <w:rPr>
          <w:rFonts w:hint="eastAsia" w:ascii="宋体" w:hAnsi="宋体" w:eastAsia="宋体" w:cs="Times New Roman"/>
          <w:b/>
          <w:bCs/>
          <w:color w:val="000000" w:themeColor="text1"/>
          <w:sz w:val="72"/>
          <w:szCs w:val="72"/>
          <w:highlight w:val="none"/>
          <w:lang w:val="en-US" w:eastAsia="zh-CN"/>
          <w14:textFill>
            <w14:solidFill>
              <w14:schemeClr w14:val="tx1"/>
            </w14:solidFill>
          </w14:textFill>
        </w:rPr>
      </w:pPr>
    </w:p>
    <w:p>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0" w:name="_Toc14874"/>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w:t>
      </w:r>
      <w:bookmarkEnd w:id="0"/>
      <w:r>
        <w:rPr>
          <w:rFonts w:hint="eastAsia" w:ascii="宋体" w:hAnsi="宋体" w:eastAsia="宋体" w:cs="Times New Roman"/>
          <w:b/>
          <w:bCs/>
          <w:color w:val="000000" w:themeColor="text1"/>
          <w:sz w:val="32"/>
          <w:szCs w:val="32"/>
          <w:highlight w:val="none"/>
          <w:lang w:val="zh-CN"/>
          <w14:textFill>
            <w14:solidFill>
              <w14:schemeClr w14:val="tx1"/>
            </w14:solidFill>
          </w14:textFill>
        </w:rPr>
        <w:t>0832-SFCX24DG138A-1</w:t>
      </w:r>
    </w:p>
    <w:p>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1" w:name="_Toc20252"/>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人：东莞市石鼓净水有限公司</w:t>
      </w:r>
      <w:bookmarkEnd w:id="1"/>
    </w:p>
    <w:p>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2" w:name="_Toc14176"/>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招标代理机构：三方诚信招标有限公司</w:t>
      </w:r>
      <w:bookmarkEnd w:id="2"/>
    </w:p>
    <w:p>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18</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pPr>
        <w:rPr>
          <w:rFonts w:hint="eastAsia"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br w:type="page"/>
      </w:r>
    </w:p>
    <w:sdt>
      <w:sdtPr>
        <w:rPr>
          <w:rFonts w:ascii="宋体" w:hAnsi="宋体" w:eastAsia="宋体" w:cstheme="minorBidi"/>
          <w:b/>
          <w:bCs/>
          <w:color w:val="000000" w:themeColor="text1"/>
          <w:kern w:val="2"/>
          <w:sz w:val="28"/>
          <w:szCs w:val="32"/>
          <w:highlight w:val="none"/>
          <w:lang w:val="en-US" w:eastAsia="zh-CN" w:bidi="ar-SA"/>
          <w14:textFill>
            <w14:solidFill>
              <w14:schemeClr w14:val="tx1"/>
            </w14:solidFill>
          </w14:textFill>
        </w:rPr>
        <w:id w:val="147462116"/>
        <w15:color w:val="DBDBDB"/>
        <w:docPartObj>
          <w:docPartGallery w:val="Table of Contents"/>
          <w:docPartUnique/>
        </w:docPartObj>
      </w:sdtPr>
      <w:sdtEndPr>
        <w:rPr>
          <w:rFonts w:ascii="宋体" w:hAnsi="宋体" w:eastAsia="宋体" w:cstheme="minorBidi"/>
          <w:b/>
          <w:bCs/>
          <w:color w:val="000000" w:themeColor="text1"/>
          <w:kern w:val="2"/>
          <w:sz w:val="28"/>
          <w:szCs w:val="32"/>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b/>
              <w:bCs/>
              <w:color w:val="000000" w:themeColor="text1"/>
              <w:sz w:val="28"/>
              <w:szCs w:val="32"/>
              <w:highlight w:val="none"/>
              <w14:textFill>
                <w14:solidFill>
                  <w14:schemeClr w14:val="tx1"/>
                </w14:solidFill>
              </w14:textFill>
            </w:rPr>
          </w:pPr>
          <w:bookmarkStart w:id="3" w:name="_Toc142508310"/>
          <w:bookmarkStart w:id="4" w:name="_Toc486167660"/>
          <w:bookmarkStart w:id="5" w:name="_Toc11638"/>
          <w:bookmarkStart w:id="6" w:name="_Toc2723_WPSOffice_Level1"/>
          <w:bookmarkStart w:id="7" w:name="_Toc450662846"/>
          <w:r>
            <w:rPr>
              <w:rFonts w:ascii="宋体" w:hAnsi="宋体" w:eastAsia="宋体"/>
              <w:b/>
              <w:bCs/>
              <w:color w:val="000000" w:themeColor="text1"/>
              <w:sz w:val="28"/>
              <w:szCs w:val="32"/>
              <w:highlight w:val="none"/>
              <w14:textFill>
                <w14:solidFill>
                  <w14:schemeClr w14:val="tx1"/>
                </w14:solidFill>
              </w14:textFill>
            </w:rPr>
            <w:t>目录</w:t>
          </w:r>
        </w:p>
        <w:p>
          <w:pPr>
            <w:pStyle w:val="189"/>
            <w:tabs>
              <w:tab w:val="right" w:leader="dot" w:pos="10154"/>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_Toc15144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第一篇 招标公告</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_Toc15144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_Toc22716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第二篇</w:t>
          </w:r>
          <w:r>
            <w:rPr>
              <w:rFonts w:hint="eastAsia" w:ascii="宋体" w:hAnsi="宋体" w:eastAsia="宋体" w:cs="宋体"/>
              <w:bCs/>
              <w:color w:val="000000" w:themeColor="text1"/>
              <w:kern w:val="44"/>
              <w:sz w:val="21"/>
              <w:szCs w:val="21"/>
              <w:highlight w:val="none"/>
              <w14:textFill>
                <w14:solidFill>
                  <w14:schemeClr w14:val="tx1"/>
                </w14:solidFill>
              </w14:textFill>
            </w:rPr>
            <w:t xml:space="preserve"> </w:t>
          </w:r>
          <w:r>
            <w:rPr>
              <w:rFonts w:hint="eastAsia" w:ascii="宋体" w:hAnsi="宋体" w:eastAsia="宋体" w:cs="宋体"/>
              <w:bCs/>
              <w:color w:val="000000" w:themeColor="text1"/>
              <w:kern w:val="44"/>
              <w:sz w:val="21"/>
              <w:szCs w:val="21"/>
              <w:highlight w:val="none"/>
              <w:lang w:val="zh-CN"/>
              <w14:textFill>
                <w14:solidFill>
                  <w14:schemeClr w14:val="tx1"/>
                </w14:solidFill>
              </w14:textFill>
            </w:rPr>
            <w:t>投标人须知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_Toc22716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_Toc16461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一、总则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_Toc16461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_Toc24331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_Toc24331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_Toc10995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 合格的投标人</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_Toc10995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_Toc5509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3 合格的货物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_Toc5509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_Toc22241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4 其它说明</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_Toc22241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_Toc3016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二、招标文件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_Toc3016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_Toc19855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5 招标文件的构成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_Toc19855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_Toc17526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6 招标文件的异议</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_Toc17526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_Toc20988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_Toc20988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_Toc7662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三、投标文件的编制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_Toc7662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_Toc15097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_Toc15097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_Toc1507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9 投标文件的组成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_Toc1507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_Toc4338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10 投标函</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_Toc4338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_Toc30352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11 投标报价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_Toc30352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_Toc4809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12 投标报价货币</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_Toc4809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_Toc29332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_Toc29332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_Toc8897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14 证明货物的合格性并符合招标文件规定的声明文件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_Toc8897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_Toc7364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15 投标保证金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_Toc7364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_Toc25483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16 投标有效期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_Toc25483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_Toc13171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_Toc13171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_Toc20211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四、投标文件的递交</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_Toc20211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_Toc13049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_Toc13049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_Toc6850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_Toc6850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_Toc16776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20 迟交的投标文件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_Toc16776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_Toc9670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_Toc9670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_Toc22155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五、开标与评标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_Toc22155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_Toc13869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22 开标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_Toc13869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_Toc25127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23 评标</w:t>
          </w:r>
          <w:r>
            <w:rPr>
              <w:rFonts w:hint="eastAsia" w:ascii="宋体" w:hAnsi="宋体" w:eastAsia="宋体" w:cs="宋体"/>
              <w:color w:val="000000" w:themeColor="text1"/>
              <w:kern w:val="0"/>
              <w:sz w:val="21"/>
              <w:szCs w:val="21"/>
              <w:highlight w:val="none"/>
              <w14:textFill>
                <w14:solidFill>
                  <w14:schemeClr w14:val="tx1"/>
                </w14:solidFill>
              </w14:textFill>
            </w:rPr>
            <w:t>过程的保密性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_Toc25127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_Toc23435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24 评标委员会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_Toc23435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_Toc7573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25 投标文件的初审</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_Toc7573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_Toc6728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26 投标文件的澄清</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_Toc6728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_Toc13160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_Toc13160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_Toc29516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28 评标原则及方法</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_Toc29516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_Toc9991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9 </w:t>
          </w:r>
          <w:r>
            <w:rPr>
              <w:rFonts w:hint="eastAsia" w:ascii="宋体" w:hAnsi="宋体" w:eastAsia="宋体" w:cs="宋体"/>
              <w:color w:val="000000" w:themeColor="text1"/>
              <w:sz w:val="2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_Toc9991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_Toc12822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_Toc12822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_Toc23768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_Toc23768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_Toc31921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六、授予合同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_Toc31921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_Toc28920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_Toc28920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zh-CN"/>
              <w14:textFill>
                <w14:solidFill>
                  <w14:schemeClr w14:val="tx1"/>
                </w14:solidFill>
              </w14:textFill>
            </w:rPr>
            <w:instrText xml:space="preserve"> HYPERLINK \l _Toc15390 </w:instrText>
          </w:r>
          <w:r>
            <w:rPr>
              <w:rFonts w:hint="eastAsia" w:ascii="宋体" w:hAnsi="宋体" w:eastAsia="宋体" w:cs="宋体"/>
              <w:color w:val="000000" w:themeColor="text1"/>
              <w:sz w:val="21"/>
              <w:szCs w:val="21"/>
              <w:highlight w:val="none"/>
              <w:lang w:val="zh-CN"/>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zh-CN"/>
              <w14:textFill>
                <w14:solidFill>
                  <w14:schemeClr w14:val="tx1"/>
                </w14:solidFill>
              </w14:textFill>
            </w:rPr>
            <w:t>33 中标通知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_Toc15390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_Toc14446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_Toc14446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_Toc26916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 xml:space="preserve">35 </w:t>
          </w:r>
          <w:r>
            <w:rPr>
              <w:rFonts w:hint="eastAsia" w:ascii="宋体" w:hAnsi="宋体" w:eastAsia="宋体" w:cs="宋体"/>
              <w:color w:val="000000" w:themeColor="text1"/>
              <w:sz w:val="21"/>
              <w:szCs w:val="21"/>
              <w:highlight w:val="none"/>
              <w:lang w:val="zh-CN"/>
              <w14:textFill>
                <w14:solidFill>
                  <w14:schemeClr w14:val="tx1"/>
                </w14:solidFill>
              </w14:textFill>
            </w:rPr>
            <w:t>履约担保</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_Toc26916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_Toc26803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_Toc26803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_Toc1985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37</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_Toc1985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_Toc15412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lang w:val="zh-CN"/>
              <w14:textFill>
                <w14:solidFill>
                  <w14:schemeClr w14:val="tx1"/>
                </w14:solidFill>
              </w14:textFill>
            </w:rPr>
            <w:t xml:space="preserve"> 发票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_Toc15412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_Toc27706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 xml:space="preserve">39 </w:t>
          </w:r>
          <w:r>
            <w:rPr>
              <w:rFonts w:hint="eastAsia" w:ascii="宋体" w:hAnsi="宋体" w:eastAsia="宋体" w:cs="宋体"/>
              <w:color w:val="000000" w:themeColor="text1"/>
              <w:sz w:val="21"/>
              <w:szCs w:val="21"/>
              <w:highlight w:val="none"/>
              <w:lang w:val="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相关补充约定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_Toc27706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_Toc11641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 xml:space="preserve">40 </w:t>
          </w:r>
          <w:r>
            <w:rPr>
              <w:rFonts w:hint="eastAsia" w:ascii="宋体" w:hAnsi="宋体" w:eastAsia="宋体" w:cs="宋体"/>
              <w:color w:val="000000" w:themeColor="text1"/>
              <w:sz w:val="21"/>
              <w:szCs w:val="21"/>
              <w:highlight w:val="none"/>
              <w:lang w:val="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招标活动的最终解释权归招标代理机构及招标人所有。</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_Toc11641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_Toc2423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第三篇 用户需求书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_Toc2423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_Toc6967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第四篇 合同条款格式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_Toc6967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_Toc29606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sz w:val="21"/>
              <w:szCs w:val="21"/>
              <w:highlight w:val="none"/>
              <w:lang w:val="zh-CN"/>
              <w14:textFill>
                <w14:solidFill>
                  <w14:schemeClr w14:val="tx1"/>
                </w14:solidFill>
              </w14:textFill>
            </w:rPr>
            <w:t>第五篇 相关保函格式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_Toc29606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_Toc17491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第六篇 投标文件格式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_Toc17491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189"/>
            <w:keepNext w:val="0"/>
            <w:keepLines w:val="0"/>
            <w:pageBreakBefore w:val="0"/>
            <w:widowControl/>
            <w:tabs>
              <w:tab w:val="right" w:leader="dot" w:pos="10154"/>
            </w:tabs>
            <w:kinsoku/>
            <w:wordWrap/>
            <w:overflowPunct/>
            <w:topLinePunct w:val="0"/>
            <w:autoSpaceDE/>
            <w:autoSpaceDN/>
            <w:bidi w:val="0"/>
            <w:adjustRightInd/>
            <w:snapToGrid/>
            <w:spacing w:line="312" w:lineRule="auto"/>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_Toc26677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 w:val="21"/>
              <w:szCs w:val="21"/>
              <w:highlight w:val="none"/>
              <w:lang w:val="zh-CN"/>
              <w14:textFill>
                <w14:solidFill>
                  <w14:schemeClr w14:val="tx1"/>
                </w14:solidFill>
              </w14:textFill>
            </w:rPr>
            <w:t>附件一：评标工作大纲</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_Toc26677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102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sdtContent>
    </w:sdt>
    <w:p>
      <w:pPr>
        <w:rPr>
          <w:color w:val="000000" w:themeColor="text1"/>
          <w:highlight w:val="none"/>
          <w14:textFill>
            <w14:solidFill>
              <w14:schemeClr w14:val="tx1"/>
            </w14:solidFill>
          </w14:textFill>
        </w:rPr>
      </w:pPr>
    </w:p>
    <w:p>
      <w:pPr>
        <w:rPr>
          <w:rFonts w:ascii="宋体" w:hAnsi="宋体" w:eastAsia="宋体" w:cs="Times New Roman"/>
          <w:b/>
          <w:bCs/>
          <w:color w:val="000000" w:themeColor="text1"/>
          <w:kern w:val="44"/>
          <w:sz w:val="32"/>
          <w:szCs w:val="32"/>
          <w:highlight w:val="none"/>
          <w:lang w:val="zh-CN"/>
          <w14:textFill>
            <w14:solidFill>
              <w14:schemeClr w14:val="tx1"/>
            </w14:solidFill>
          </w14:textFill>
        </w:rPr>
      </w:pPr>
      <w:r>
        <w:rPr>
          <w:rFonts w:ascii="宋体" w:hAnsi="宋体" w:eastAsia="宋体" w:cs="Times New Roman"/>
          <w:b/>
          <w:bCs/>
          <w:color w:val="000000" w:themeColor="text1"/>
          <w:kern w:val="44"/>
          <w:sz w:val="32"/>
          <w:szCs w:val="32"/>
          <w:highlight w:val="none"/>
          <w:lang w:val="zh-CN"/>
          <w14:textFill>
            <w14:solidFill>
              <w14:schemeClr w14:val="tx1"/>
            </w14:solidFill>
          </w14:textFill>
        </w:rPr>
        <w:br w:type="page"/>
      </w:r>
    </w:p>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8" w:name="_Toc15144"/>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3"/>
      <w:bookmarkEnd w:id="4"/>
      <w:bookmarkEnd w:id="5"/>
      <w:bookmarkEnd w:id="6"/>
      <w:bookmarkEnd w:id="7"/>
      <w:bookmarkEnd w:id="8"/>
    </w:p>
    <w:p>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三方诚信招标有限公司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9"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东莞市石鼓净水有限公司石碣二期生化池曝气系统重置采购项目（重新招标）</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0832-SFCX24DG138A-1</w:t>
      </w:r>
      <w:r>
        <w:rPr>
          <w:rFonts w:ascii="宋体" w:hAnsi="宋体" w:eastAsia="宋体" w:cs="Times New Roman"/>
          <w:color w:val="000000" w:themeColor="text1"/>
          <w:szCs w:val="21"/>
          <w:highlight w:val="none"/>
          <w:lang w:val="zh-CN"/>
          <w14:textFill>
            <w14:solidFill>
              <w14:schemeClr w14:val="tx1"/>
            </w14:solidFill>
          </w14:textFill>
        </w:rPr>
        <w:t>)</w:t>
      </w:r>
      <w:bookmarkEnd w:id="9"/>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r>
        <w:rPr>
          <w:rFonts w:hint="eastAsia" w:ascii="宋体" w:hAnsi="宋体" w:eastAsia="宋体" w:cs="Times New Roman"/>
          <w:color w:val="000000" w:themeColor="text1"/>
          <w:szCs w:val="21"/>
          <w:highlight w:val="none"/>
          <w:lang w:val="en-US" w:eastAsia="zh-CN"/>
          <w14:textFill>
            <w14:solidFill>
              <w14:schemeClr w14:val="tx1"/>
            </w14:solidFill>
          </w14:textFill>
        </w:rPr>
        <w:t>为保证</w:t>
      </w:r>
      <w:r>
        <w:rPr>
          <w:rFonts w:hint="eastAsia" w:ascii="宋体" w:hAnsi="宋体" w:eastAsia="宋体" w:cs="宋体"/>
          <w:color w:val="000000" w:themeColor="text1"/>
          <w:szCs w:val="21"/>
          <w:highlight w:val="none"/>
          <w:u w:val="single"/>
          <w14:textFill>
            <w14:solidFill>
              <w14:schemeClr w14:val="tx1"/>
            </w14:solidFill>
          </w14:textFill>
        </w:rPr>
        <w:t>石碣二期出水稳定达标、提高处理能力及降低鼓风机能耗，石碣二期</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开展</w:t>
      </w:r>
      <w:r>
        <w:rPr>
          <w:rFonts w:hint="eastAsia" w:ascii="宋体" w:hAnsi="宋体" w:eastAsia="宋体" w:cs="宋体"/>
          <w:color w:val="000000" w:themeColor="text1"/>
          <w:szCs w:val="21"/>
          <w:highlight w:val="none"/>
          <w:u w:val="single"/>
          <w14:textFill>
            <w14:solidFill>
              <w14:schemeClr w14:val="tx1"/>
            </w14:solidFill>
          </w14:textFill>
        </w:rPr>
        <w:t>曝气系统重置</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工作</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（具体内容详见：第三篇用户需求书）。</w:t>
      </w:r>
    </w:p>
    <w:p>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pPr>
        <w:numPr>
          <w:ilvl w:val="0"/>
          <w:numId w:val="1"/>
        </w:numPr>
        <w:autoSpaceDE w:val="0"/>
        <w:autoSpaceDN w:val="0"/>
        <w:adjustRightInd w:val="0"/>
        <w:snapToGrid w:val="0"/>
        <w:spacing w:line="360" w:lineRule="auto"/>
        <w:ind w:right="-34"/>
        <w:jc w:val="left"/>
        <w:outlineLvl w:val="0"/>
        <w:rPr>
          <w:rFonts w:ascii="宋体" w:hAnsi="宋体" w:eastAsia="宋体" w:cs="Times New Roman"/>
          <w:b/>
          <w:color w:val="000000" w:themeColor="text1"/>
          <w:szCs w:val="21"/>
          <w:highlight w:val="none"/>
          <w:lang w:val="zh-CN"/>
          <w14:textFill>
            <w14:solidFill>
              <w14:schemeClr w14:val="tx1"/>
            </w14:solidFill>
          </w14:textFill>
        </w:rPr>
      </w:pPr>
      <w:bookmarkStart w:id="10" w:name="_Toc8903"/>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bookmarkEnd w:id="10"/>
    </w:p>
    <w:p>
      <w:pPr>
        <w:pStyle w:val="157"/>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pPr>
        <w:pStyle w:val="157"/>
        <w:spacing w:line="360" w:lineRule="auto"/>
        <w:ind w:right="-29" w:rightChars="-14" w:firstLine="0" w:firstLineChars="0"/>
        <w:jc w:val="both"/>
        <w:rPr>
          <w:rFonts w:hint="default" w:hAnsi="宋体" w:eastAsia="宋体"/>
          <w:b/>
          <w:color w:val="000000" w:themeColor="text1"/>
          <w:sz w:val="21"/>
          <w:szCs w:val="21"/>
          <w:highlight w:val="none"/>
          <w:lang w:val="en-US" w:eastAsia="zh-CN"/>
          <w14:textFill>
            <w14:solidFill>
              <w14:schemeClr w14:val="tx1"/>
            </w14:solidFill>
          </w14:textFill>
        </w:rPr>
      </w:pPr>
      <w:bookmarkStart w:id="11" w:name="_Toc25819"/>
      <w:r>
        <w:rPr>
          <w:rFonts w:hint="eastAsia" w:hAnsi="宋体" w:eastAsia="宋体"/>
          <w:b/>
          <w:color w:val="000000" w:themeColor="text1"/>
          <w:sz w:val="21"/>
          <w:szCs w:val="21"/>
          <w:highlight w:val="none"/>
          <w:lang w:val="en-US" w:eastAsia="zh-CN"/>
          <w14:textFill>
            <w14:solidFill>
              <w14:schemeClr w14:val="tx1"/>
            </w14:solidFill>
          </w14:textFill>
        </w:rPr>
        <w:t>2.2 投标人须为所投管式微孔曝气器产品的制造商，或为所投管式微孔曝气器产品的制造商就本次投标独家授权的经销商；</w:t>
      </w:r>
    </w:p>
    <w:p>
      <w:pPr>
        <w:pStyle w:val="157"/>
        <w:spacing w:line="360" w:lineRule="auto"/>
        <w:ind w:right="-29" w:rightChars="-14" w:firstLine="0" w:firstLineChars="0"/>
        <w:jc w:val="both"/>
        <w:rPr>
          <w:rFonts w:hint="eastAsia" w:hAnsi="宋体" w:eastAsia="宋体"/>
          <w:b/>
          <w:color w:val="000000" w:themeColor="text1"/>
          <w:sz w:val="21"/>
          <w:szCs w:val="21"/>
          <w:highlight w:val="none"/>
          <w:lang w:val="en-US" w:eastAsia="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int="eastAsia" w:hAnsi="宋体" w:eastAsia="宋体"/>
          <w:b/>
          <w:color w:val="000000" w:themeColor="text1"/>
          <w:sz w:val="21"/>
          <w:szCs w:val="21"/>
          <w:highlight w:val="none"/>
          <w:lang w:val="en-US" w:eastAsia="zh-CN"/>
          <w14:textFill>
            <w14:solidFill>
              <w14:schemeClr w14:val="tx1"/>
            </w14:solidFill>
          </w14:textFill>
        </w:rPr>
        <w:t>3</w:t>
      </w:r>
      <w:r>
        <w:rPr>
          <w:rFonts w:hint="eastAsia" w:hAnsi="宋体" w:eastAsia="宋体"/>
          <w:b/>
          <w:color w:val="000000" w:themeColor="text1"/>
          <w:sz w:val="21"/>
          <w:szCs w:val="21"/>
          <w:highlight w:val="none"/>
          <w:lang w:val="zh-CN"/>
          <w14:textFill>
            <w14:solidFill>
              <w14:schemeClr w14:val="tx1"/>
            </w14:solidFill>
          </w14:textFill>
        </w:rPr>
        <w:t xml:space="preserve"> 投标人202</w:t>
      </w:r>
      <w:r>
        <w:rPr>
          <w:rFonts w:hint="eastAsia" w:hAnsi="宋体" w:eastAsia="宋体"/>
          <w:b/>
          <w:color w:val="000000" w:themeColor="text1"/>
          <w:sz w:val="21"/>
          <w:szCs w:val="21"/>
          <w:highlight w:val="none"/>
          <w:lang w:val="en-US" w:eastAsia="zh-CN"/>
          <w14:textFill>
            <w14:solidFill>
              <w14:schemeClr w14:val="tx1"/>
            </w14:solidFill>
          </w14:textFill>
        </w:rPr>
        <w:t>2</w:t>
      </w:r>
      <w:r>
        <w:rPr>
          <w:rFonts w:hint="eastAsia" w:hAnsi="宋体" w:eastAsia="宋体"/>
          <w:b/>
          <w:color w:val="000000" w:themeColor="text1"/>
          <w:sz w:val="21"/>
          <w:szCs w:val="21"/>
          <w:highlight w:val="none"/>
          <w:lang w:val="zh-CN"/>
          <w14:textFill>
            <w14:solidFill>
              <w14:schemeClr w14:val="tx1"/>
            </w14:solidFill>
          </w14:textFill>
        </w:rPr>
        <w:t>年1月1日以来在国内具有一个投标品牌管式微孔曝气器设备供货业绩（合同签订日期为202</w:t>
      </w:r>
      <w:r>
        <w:rPr>
          <w:rFonts w:hint="eastAsia" w:hAnsi="宋体" w:eastAsia="宋体"/>
          <w:b/>
          <w:color w:val="000000" w:themeColor="text1"/>
          <w:sz w:val="21"/>
          <w:szCs w:val="21"/>
          <w:highlight w:val="none"/>
          <w:lang w:val="en-US" w:eastAsia="zh-CN"/>
          <w14:textFill>
            <w14:solidFill>
              <w14:schemeClr w14:val="tx1"/>
            </w14:solidFill>
          </w14:textFill>
        </w:rPr>
        <w:t>2</w:t>
      </w:r>
      <w:r>
        <w:rPr>
          <w:rFonts w:hint="eastAsia" w:hAnsi="宋体" w:eastAsia="宋体"/>
          <w:b/>
          <w:color w:val="000000" w:themeColor="text1"/>
          <w:sz w:val="21"/>
          <w:szCs w:val="21"/>
          <w:highlight w:val="none"/>
          <w:lang w:val="zh-CN"/>
          <w14:textFill>
            <w14:solidFill>
              <w14:schemeClr w14:val="tx1"/>
            </w14:solidFill>
          </w14:textFill>
        </w:rPr>
        <w:t>年1月1日或以后）；</w:t>
      </w:r>
    </w:p>
    <w:p>
      <w:pPr>
        <w:pStyle w:val="157"/>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en-US" w:eastAsia="zh-CN"/>
          <w14:textFill>
            <w14:solidFill>
              <w14:schemeClr w14:val="tx1"/>
            </w14:solidFill>
          </w14:textFill>
        </w:rPr>
        <w:t xml:space="preserve">2.4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11"/>
    </w:p>
    <w:p>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w:t>
      </w:r>
      <w:r>
        <w:rPr>
          <w:rFonts w:hint="eastAsia" w:ascii="宋体" w:hAnsi="宋体" w:eastAsia="宋体" w:cs="Times New Roman"/>
          <w:color w:val="000000" w:themeColor="text1"/>
          <w:szCs w:val="21"/>
          <w:highlight w:val="none"/>
          <w:lang w:val="zh-CN"/>
          <w14:textFill>
            <w14:solidFill>
              <w14:schemeClr w14:val="tx1"/>
            </w14:solidFill>
          </w14:textFill>
        </w:rPr>
        <w:t>有意向的投标人可于本项目投标截止时间前，在本项目招标信息发布媒介</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详见本招标公告第7点（除中国招标投标公共服务平台外）</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下载招标文件。</w:t>
      </w:r>
    </w:p>
    <w:p>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000000" w:themeColor="text1"/>
          <w:szCs w:val="21"/>
          <w:highlight w:val="none"/>
          <w:lang w:val="zh-CN"/>
          <w14:textFill>
            <w14:solidFill>
              <w14:schemeClr w14:val="tx1"/>
            </w14:solidFill>
          </w14:textFill>
        </w:rPr>
      </w:pPr>
      <w:bookmarkStart w:id="12" w:name="_Toc22768"/>
      <w:r>
        <w:rPr>
          <w:rFonts w:ascii="宋体" w:hAnsi="宋体" w:eastAsia="宋体" w:cs="Times New Roman"/>
          <w:color w:val="000000" w:themeColor="text1"/>
          <w:szCs w:val="21"/>
          <w:highlight w:val="none"/>
          <w:lang w:val="zh-CN"/>
          <w14:textFill>
            <w14:solidFill>
              <w14:schemeClr w14:val="tx1"/>
            </w14:solidFill>
          </w14:textFill>
        </w:rPr>
        <w:t>投标、开标时间及地点：</w:t>
      </w:r>
      <w:bookmarkEnd w:id="12"/>
    </w:p>
    <w:p>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3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11</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w:t>
      </w:r>
    </w:p>
    <w:p>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11</w:t>
      </w:r>
      <w:bookmarkStart w:id="671" w:name="_GoBack"/>
      <w:bookmarkEnd w:id="671"/>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w:t>
      </w:r>
    </w:p>
    <w:p>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东莞市南城街道鸿福西路81号国际商会大厦</w:t>
      </w:r>
      <w:r>
        <w:rPr>
          <w:rFonts w:hint="eastAsia" w:ascii="宋体" w:hAnsi="宋体" w:eastAsia="宋体" w:cs="Times New Roman"/>
          <w:color w:val="000000" w:themeColor="text1"/>
          <w:kern w:val="0"/>
          <w:szCs w:val="21"/>
          <w:highlight w:val="none"/>
          <w:u w:val="single"/>
          <w:lang w:val="en-US" w:eastAsia="zh-CN"/>
          <w14:textFill>
            <w14:solidFill>
              <w14:schemeClr w14:val="tx1"/>
            </w14:solidFill>
          </w14:textFill>
        </w:rPr>
        <w:t>601</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室 </w:t>
      </w:r>
      <w:r>
        <w:rPr>
          <w:rFonts w:hint="eastAsia" w:ascii="宋体" w:hAnsi="宋体" w:eastAsia="宋体" w:cs="Times New Roman"/>
          <w:color w:val="000000" w:themeColor="text1"/>
          <w:kern w:val="0"/>
          <w:szCs w:val="21"/>
          <w:highlight w:val="none"/>
          <w14:textFill>
            <w14:solidFill>
              <w14:schemeClr w14:val="tx1"/>
            </w14:solidFill>
          </w14:textFill>
        </w:rPr>
        <w:t>。</w:t>
      </w:r>
    </w:p>
    <w:p>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本项目相关公告在以下媒介发布：中国招标投标公共服务平台（www.cebpubservice.com）、东莞市水务集团有限公司网（www.dgswjt.cn）、招标</w:t>
      </w:r>
      <w:r>
        <w:rPr>
          <w:rFonts w:hint="eastAsia" w:ascii="宋体" w:hAnsi="宋体" w:eastAsia="宋体" w:cs="Times New Roman"/>
          <w:color w:val="000000" w:themeColor="text1"/>
          <w:szCs w:val="21"/>
          <w:highlight w:val="none"/>
          <w:lang w:val="zh-CN"/>
          <w14:textFill>
            <w14:solidFill>
              <w14:schemeClr w14:val="tx1"/>
            </w14:solidFill>
          </w14:textFill>
        </w:rPr>
        <w:t>代理</w:t>
      </w:r>
      <w:r>
        <w:rPr>
          <w:rFonts w:hint="eastAsia" w:ascii="宋体" w:hAnsi="宋体" w:eastAsia="宋体" w:cs="Times New Roman"/>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color w:val="000000" w:themeColor="text1"/>
          <w:szCs w:val="21"/>
          <w:highlight w:val="none"/>
          <w:lang w:val="zh-CN"/>
          <w14:textFill>
            <w14:solidFill>
              <w14:schemeClr w14:val="tx1"/>
            </w14:solidFill>
          </w14:textFill>
        </w:rPr>
        <w:t>网站（www.sfcx.cn</w:t>
      </w:r>
      <w:r>
        <w:rPr>
          <w:rFonts w:ascii="宋体" w:hAnsi="宋体" w:eastAsia="宋体" w:cs="Times New Roman"/>
          <w:color w:val="000000" w:themeColor="text1"/>
          <w:szCs w:val="21"/>
          <w:highlight w:val="none"/>
          <w:lang w:val="zh-CN"/>
          <w14:textFill>
            <w14:solidFill>
              <w14:schemeClr w14:val="tx1"/>
            </w14:solidFill>
          </w14:textFill>
        </w:rPr>
        <w:t>）。</w:t>
      </w:r>
    </w:p>
    <w:p>
      <w:pPr>
        <w:autoSpaceDE w:val="0"/>
        <w:autoSpaceDN w:val="0"/>
        <w:adjustRightInd w:val="0"/>
        <w:spacing w:line="360" w:lineRule="auto"/>
        <w:ind w:right="-29" w:rightChars="-14" w:firstLine="420"/>
        <w:rPr>
          <w:rFonts w:ascii="宋体" w:hAnsi="宋体" w:eastAsia="宋体" w:cs="Times New Roman"/>
          <w:bCs/>
          <w:color w:val="000000" w:themeColor="text1"/>
          <w:szCs w:val="21"/>
          <w:highlight w:val="none"/>
          <w14:textFill>
            <w14:solidFill>
              <w14:schemeClr w14:val="tx1"/>
            </w14:solidFill>
          </w14:textFill>
        </w:rPr>
      </w:pPr>
    </w:p>
    <w:p>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000000" w:themeColor="text1"/>
          <w:szCs w:val="21"/>
          <w:highlight w:val="none"/>
          <w14:textFill>
            <w14:solidFill>
              <w14:schemeClr w14:val="tx1"/>
            </w14:solidFill>
          </w14:textFill>
        </w:rPr>
      </w:pPr>
      <w:bookmarkStart w:id="13" w:name="_Toc23957"/>
      <w:r>
        <w:rPr>
          <w:rFonts w:ascii="宋体" w:hAnsi="宋体" w:eastAsia="宋体" w:cs="Times New Roman"/>
          <w:bCs/>
          <w:color w:val="000000" w:themeColor="text1"/>
          <w:szCs w:val="21"/>
          <w:highlight w:val="none"/>
          <w:lang w:val="zh-CN"/>
          <w14:textFill>
            <w14:solidFill>
              <w14:schemeClr w14:val="tx1"/>
            </w14:solidFill>
          </w14:textFill>
        </w:rPr>
        <w:t>招标人联系方式</w:t>
      </w:r>
      <w:bookmarkEnd w:id="13"/>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广东省东莞市南城街道滨河路100号一期1号楼101室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eastAsia="zh-CN"/>
          <w14:textFill>
            <w14:solidFill>
              <w14:schemeClr w14:val="tx1"/>
            </w14:solidFill>
          </w14:textFill>
        </w:rPr>
        <w:t>李建聪</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000000" w:themeColor="text1"/>
          <w:kern w:val="0"/>
          <w:szCs w:val="21"/>
          <w:highlight w:val="none"/>
          <w:lang w:val="en-US"/>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default" w:ascii="宋体" w:hAnsi="宋体" w:eastAsia="宋体" w:cs="Times New Roman"/>
          <w:color w:val="000000" w:themeColor="text1"/>
          <w:kern w:val="0"/>
          <w:szCs w:val="21"/>
          <w:highlight w:val="none"/>
          <w:lang w:val="en-US" w:eastAsia="zh-CN"/>
          <w14:textFill>
            <w14:solidFill>
              <w14:schemeClr w14:val="tx1"/>
            </w14:solidFill>
          </w14:textFill>
        </w:rPr>
        <w:t>0769-</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21663952</w:t>
      </w:r>
    </w:p>
    <w:p>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000000" w:themeColor="text1"/>
          <w:szCs w:val="21"/>
          <w:highlight w:val="none"/>
          <w14:textFill>
            <w14:solidFill>
              <w14:schemeClr w14:val="tx1"/>
            </w14:solidFill>
          </w14:textFill>
        </w:rPr>
      </w:pPr>
      <w:bookmarkStart w:id="14" w:name="_Toc20411"/>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bookmarkEnd w:id="14"/>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15" w:name="_Toc486167661"/>
      <w:bookmarkStart w:id="16" w:name="_Toc31764_WPSOffice_Level1"/>
      <w:bookmarkStart w:id="17" w:name="_Toc450662847"/>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三方诚信招标有限公司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东莞市南城街道鸿福西路81号国际商会大厦</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706</w:t>
      </w:r>
      <w:r>
        <w:rPr>
          <w:rFonts w:hint="eastAsia" w:ascii="宋体" w:hAnsi="宋体" w:eastAsia="宋体" w:cs="Times New Roman"/>
          <w:color w:val="000000" w:themeColor="text1"/>
          <w:kern w:val="0"/>
          <w:szCs w:val="21"/>
          <w:highlight w:val="none"/>
          <w14:textFill>
            <w14:solidFill>
              <w14:schemeClr w14:val="tx1"/>
            </w14:solidFill>
          </w14:textFill>
        </w:rPr>
        <w:t>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王佳涛</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0769-21682660</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8" w:name="_Toc12475"/>
      <w:bookmarkStart w:id="19" w:name="_Toc22716"/>
      <w:bookmarkStart w:id="20" w:name="_Toc14250831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5"/>
      <w:bookmarkEnd w:id="16"/>
      <w:bookmarkEnd w:id="17"/>
      <w:bookmarkEnd w:id="18"/>
      <w:bookmarkEnd w:id="19"/>
      <w:bookmarkEnd w:id="20"/>
    </w:p>
    <w:p>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1" w:name="_Toc140596871"/>
      <w:bookmarkStart w:id="22" w:name="_Toc16098"/>
      <w:bookmarkStart w:id="23" w:name="_Toc142508312"/>
      <w:bookmarkStart w:id="24" w:name="_Toc16461"/>
      <w:bookmarkStart w:id="25" w:name="_Toc15366_WPSOffice_Level2"/>
      <w:bookmarkStart w:id="26" w:name="_Toc450662848"/>
      <w:bookmarkStart w:id="27" w:name="_Toc486167662"/>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21"/>
      <w:bookmarkEnd w:id="22"/>
      <w:bookmarkEnd w:id="23"/>
      <w:bookmarkEnd w:id="24"/>
      <w:bookmarkEnd w:id="25"/>
      <w:bookmarkEnd w:id="26"/>
      <w:bookmarkEnd w:id="27"/>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8" w:name="_Toc450662849"/>
      <w:bookmarkStart w:id="29" w:name="_Toc21710_WPSOffice_Level3"/>
      <w:bookmarkStart w:id="30" w:name="_Toc142508313"/>
      <w:bookmarkStart w:id="31" w:name="_Toc16700"/>
      <w:bookmarkStart w:id="32" w:name="_Toc24331"/>
      <w:bookmarkStart w:id="33" w:name="_Toc486167663"/>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28"/>
      <w:bookmarkEnd w:id="29"/>
      <w:bookmarkEnd w:id="30"/>
      <w:bookmarkEnd w:id="31"/>
      <w:bookmarkEnd w:id="32"/>
      <w:bookmarkEnd w:id="33"/>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000000" w:themeColor="text1"/>
          <w:szCs w:val="21"/>
          <w:highlight w:val="none"/>
          <w:lang w:val="zh-CN"/>
          <w14:textFill>
            <w14:solidFill>
              <w14:schemeClr w14:val="tx1"/>
            </w14:solidFill>
          </w14:textFill>
        </w:rPr>
      </w:pPr>
      <w:bookmarkStart w:id="34" w:name="_Toc80_WPSOffice_Level3"/>
      <w:bookmarkStart w:id="35" w:name="_Toc5550"/>
      <w:bookmarkStart w:id="36" w:name="_Toc142508314"/>
      <w:bookmarkStart w:id="37" w:name="_Toc486167664"/>
      <w:bookmarkStart w:id="38" w:name="_Toc10995"/>
      <w:bookmarkStart w:id="39" w:name="_Toc450662850"/>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34"/>
      <w:bookmarkEnd w:id="35"/>
      <w:bookmarkEnd w:id="36"/>
      <w:bookmarkEnd w:id="37"/>
      <w:bookmarkEnd w:id="38"/>
      <w:bookmarkEnd w:id="39"/>
    </w:p>
    <w:p>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条的“合格投标人资格要求”及本条以下2.2款至2.</w:t>
      </w: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000000" w:themeColor="text1"/>
          <w:szCs w:val="21"/>
          <w:highlight w:val="none"/>
          <w:lang w:val="zh-CN"/>
          <w14:textFill>
            <w14:solidFill>
              <w14:schemeClr w14:val="tx1"/>
            </w14:solidFill>
          </w14:textFill>
        </w:rPr>
      </w:pPr>
      <w:bookmarkStart w:id="40" w:name="_Toc8199"/>
      <w:bookmarkStart w:id="41" w:name="_Toc23847_WPSOffice_Level3"/>
      <w:bookmarkStart w:id="42" w:name="_Toc142508315"/>
      <w:bookmarkStart w:id="43" w:name="_Toc5509"/>
      <w:bookmarkStart w:id="44" w:name="_Toc486167665"/>
      <w:bookmarkStart w:id="45" w:name="_Toc450662851"/>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合格的货物</w:t>
      </w:r>
      <w:bookmarkEnd w:id="40"/>
      <w:bookmarkEnd w:id="41"/>
      <w:bookmarkEnd w:id="42"/>
      <w:bookmarkEnd w:id="43"/>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6" w:name="_Toc533708063"/>
      <w:bookmarkStart w:id="47" w:name="_Toc1977663"/>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bookmarkEnd w:id="46"/>
    <w:bookmarkEnd w:id="47"/>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8" w:name="_Toc533708064"/>
      <w:bookmarkStart w:id="49" w:name="_Toc1977664"/>
      <w:r>
        <w:rPr>
          <w:rFonts w:hint="eastAsia" w:ascii="宋体" w:hAnsi="宋体" w:eastAsia="宋体" w:cs="宋体"/>
          <w:color w:val="000000" w:themeColor="text1"/>
          <w:szCs w:val="21"/>
          <w:highlight w:val="none"/>
          <w:lang w:val="zh-CN"/>
          <w14:textFill>
            <w14:solidFill>
              <w14:schemeClr w14:val="tx1"/>
            </w14:solidFill>
          </w14:textFill>
        </w:rPr>
        <w:t xml:space="preserve">3.3  </w:t>
      </w:r>
      <w:bookmarkEnd w:id="48"/>
      <w:bookmarkEnd w:id="49"/>
      <w:bookmarkStart w:id="50" w:name="_Toc1977665"/>
      <w:bookmarkStart w:id="51" w:name="_Toc5337080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50"/>
      <w:bookmarkEnd w:id="51"/>
    </w:p>
    <w:p>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bookmarkStart w:id="52" w:name="_Toc533708066"/>
      <w:bookmarkStart w:id="53"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2"/>
    <w:bookmarkEnd w:id="53"/>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4" w:name="_Toc533708067"/>
      <w:bookmarkStart w:id="55" w:name="_Toc19776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4"/>
      <w:bookmarkEnd w:id="55"/>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6" w:name="_Toc533708068"/>
      <w:bookmarkStart w:id="57"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6"/>
      <w:bookmarkEnd w:id="57"/>
    </w:p>
    <w:p>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pPr>
        <w:tabs>
          <w:tab w:val="left" w:pos="570"/>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58" w:name="_Toc9658_WPSOffice_Level3"/>
      <w:bookmarkStart w:id="59" w:name="_Toc142508316"/>
      <w:bookmarkStart w:id="60" w:name="_Toc23394"/>
      <w:bookmarkStart w:id="61" w:name="_Toc22241"/>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58"/>
      <w:bookmarkEnd w:id="59"/>
      <w:bookmarkEnd w:id="60"/>
      <w:bookmarkEnd w:id="61"/>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2" w:name="_Toc533708070"/>
      <w:bookmarkStart w:id="63" w:name="_Toc19776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62"/>
      <w:bookmarkEnd w:id="63"/>
    </w:p>
    <w:p>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64" w:name="_Toc533708072"/>
      <w:bookmarkStart w:id="65" w:name="_Toc19776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64"/>
      <w:bookmarkEnd w:id="65"/>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6" w:name="_Toc533708073"/>
      <w:bookmarkStart w:id="67" w:name="_Toc19776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66"/>
      <w:bookmarkEnd w:id="67"/>
    </w:p>
    <w:p>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68" w:name="_Toc1977676"/>
      <w:bookmarkStart w:id="69" w:name="_Toc5337080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44"/>
      <w:bookmarkEnd w:id="45"/>
      <w:bookmarkEnd w:id="68"/>
      <w:bookmarkEnd w:id="69"/>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70" w:name="_Toc142508317"/>
      <w:bookmarkStart w:id="71" w:name="_Toc3016"/>
      <w:bookmarkStart w:id="72" w:name="_Toc486167667"/>
      <w:bookmarkStart w:id="73" w:name="_Toc140596876"/>
      <w:bookmarkStart w:id="74" w:name="_Toc1482"/>
      <w:bookmarkStart w:id="75" w:name="_Toc30507_WPSOffice_Level2"/>
      <w:bookmarkStart w:id="76" w:name="_Toc450662853"/>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70"/>
      <w:bookmarkEnd w:id="71"/>
      <w:bookmarkEnd w:id="72"/>
      <w:bookmarkEnd w:id="73"/>
      <w:bookmarkEnd w:id="74"/>
      <w:bookmarkEnd w:id="75"/>
      <w:bookmarkEnd w:id="76"/>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77" w:name="_Toc26635_WPSOffice_Level3"/>
      <w:bookmarkStart w:id="78" w:name="_Toc450662854"/>
      <w:bookmarkStart w:id="79" w:name="_Toc142508318"/>
      <w:bookmarkStart w:id="80" w:name="_Toc486167668"/>
      <w:bookmarkStart w:id="81" w:name="_Toc19855"/>
      <w:bookmarkStart w:id="82" w:name="_Toc28179"/>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77"/>
      <w:bookmarkEnd w:id="78"/>
      <w:bookmarkEnd w:id="79"/>
      <w:bookmarkEnd w:id="80"/>
      <w:bookmarkEnd w:id="81"/>
      <w:bookmarkEnd w:id="82"/>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pPr>
        <w:tabs>
          <w:tab w:val="left" w:pos="1890"/>
        </w:tabs>
        <w:autoSpaceDE w:val="0"/>
        <w:autoSpaceDN w:val="0"/>
        <w:adjustRightInd w:val="0"/>
        <w:spacing w:line="360" w:lineRule="auto"/>
        <w:ind w:firstLine="424" w:firstLineChars="202"/>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pPr>
        <w:tabs>
          <w:tab w:val="left" w:pos="1890"/>
        </w:tabs>
        <w:autoSpaceDE w:val="0"/>
        <w:autoSpaceDN w:val="0"/>
        <w:adjustRightInd w:val="0"/>
        <w:spacing w:line="360" w:lineRule="auto"/>
        <w:ind w:firstLine="424" w:firstLineChars="202"/>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附件二：图纸目录</w:t>
      </w:r>
    </w:p>
    <w:p>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三方诚信招标有限公司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东莞市石鼓净水有限公司石碣二期生化池曝气系统重置采购项目（重新招标）</w:t>
      </w:r>
      <w:r>
        <w:rPr>
          <w:rFonts w:hint="eastAsia" w:ascii="宋体" w:hAnsi="宋体" w:eastAsia="宋体" w:cs="Times New Roman"/>
          <w:color w:val="000000" w:themeColor="text1"/>
          <w:kern w:val="0"/>
          <w:szCs w:val="21"/>
          <w:highlight w:val="none"/>
          <w14:textFill>
            <w14:solidFill>
              <w14:schemeClr w14:val="tx1"/>
            </w14:solidFill>
          </w14:textFill>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）“招标文件”指包括招标公告和招标文件及其补充、变更和澄清等一系列文件；</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83" w:name="_Toc29125_WPSOffice_Level3"/>
      <w:bookmarkStart w:id="84" w:name="_Toc18407"/>
      <w:bookmarkStart w:id="85" w:name="_Toc142508319"/>
      <w:bookmarkStart w:id="86" w:name="_Toc450662855"/>
      <w:bookmarkStart w:id="87" w:name="_Toc486167669"/>
      <w:bookmarkStart w:id="88" w:name="_Toc17526"/>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83"/>
      <w:bookmarkEnd w:id="84"/>
      <w:bookmarkEnd w:id="85"/>
      <w:bookmarkEnd w:id="86"/>
      <w:bookmarkEnd w:id="87"/>
      <w:bookmarkEnd w:id="88"/>
    </w:p>
    <w:p>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89" w:name="_Toc20988"/>
      <w:bookmarkStart w:id="90" w:name="_Toc142508320"/>
      <w:bookmarkStart w:id="91" w:name="_Toc450662856"/>
      <w:bookmarkStart w:id="92" w:name="_Toc26320"/>
      <w:bookmarkStart w:id="93" w:name="_Toc486167670"/>
      <w:bookmarkStart w:id="94" w:name="_Toc23483_WPSOffice_Level3"/>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89"/>
      <w:bookmarkEnd w:id="90"/>
      <w:bookmarkEnd w:id="91"/>
      <w:bookmarkEnd w:id="92"/>
      <w:bookmarkEnd w:id="93"/>
      <w:bookmarkEnd w:id="94"/>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东莞市水务集团有限公司网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2"/>
          <w:rFonts w:ascii="宋体" w:hAnsi="宋体" w:eastAsia="宋体" w:cs="Times New Roman"/>
          <w:color w:val="000000" w:themeColor="text1"/>
          <w:sz w:val="21"/>
          <w:szCs w:val="21"/>
          <w:highlight w:val="none"/>
          <w14:textFill>
            <w14:solidFill>
              <w14:schemeClr w14:val="tx1"/>
            </w14:solidFill>
          </w14:textFill>
        </w:rPr>
        <w:t>www.dgswjt.cn）</w:t>
      </w:r>
      <w:r>
        <w:rPr>
          <w:rStyle w:val="42"/>
          <w:rFonts w:ascii="宋体" w:hAnsi="宋体" w:eastAsia="宋体" w:cs="Times New Roman"/>
          <w:color w:val="000000" w:themeColor="text1"/>
          <w:sz w:val="21"/>
          <w:szCs w:val="21"/>
          <w:highlight w:val="none"/>
          <w:lang w:val="zh-CN"/>
          <w14:textFill>
            <w14:solidFill>
              <w14:schemeClr w14:val="tx1"/>
            </w14:solidFill>
          </w14:textFill>
        </w:rPr>
        <w:t>、</w:t>
      </w:r>
      <w:r>
        <w:rPr>
          <w:rStyle w:val="42"/>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2"/>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2"/>
          <w:rFonts w:hint="eastAsia" w:ascii="宋体" w:hAnsi="宋体" w:eastAsia="宋体" w:cs="Times New Roman"/>
          <w:bCs/>
          <w:color w:val="000000" w:themeColor="text1"/>
          <w:kern w:val="0"/>
          <w:sz w:val="21"/>
          <w:szCs w:val="21"/>
          <w:highlight w:val="none"/>
          <w14:textFill>
            <w14:solidFill>
              <w14:schemeClr w14:val="tx1"/>
            </w14:solidFill>
          </w14:textFill>
        </w:rPr>
        <w:t>网站（</w:t>
      </w:r>
      <w:r>
        <w:rPr>
          <w:rStyle w:val="42"/>
          <w:rFonts w:hint="eastAsia" w:ascii="宋体" w:hAnsi="宋体" w:eastAsia="宋体" w:cs="Times New Roman"/>
          <w:color w:val="000000" w:themeColor="text1"/>
          <w:sz w:val="21"/>
          <w:szCs w:val="21"/>
          <w:highlight w:val="none"/>
          <w:lang w:val="zh-CN"/>
          <w14:textFill>
            <w14:solidFill>
              <w14:schemeClr w14:val="tx1"/>
            </w14:solidFill>
          </w14:textFill>
        </w:rPr>
        <w:t>www.sfcx.cn</w:t>
      </w:r>
      <w:r>
        <w:rPr>
          <w:rStyle w:val="42"/>
          <w:rFonts w:ascii="宋体" w:hAnsi="宋体" w:eastAsia="宋体" w:cs="Times New Roman"/>
          <w:bCs/>
          <w:color w:val="000000" w:themeColor="text1"/>
          <w:kern w:val="0"/>
          <w:sz w:val="21"/>
          <w:szCs w:val="21"/>
          <w:highlight w:val="none"/>
          <w14:textFill>
            <w14:solidFill>
              <w14:schemeClr w14:val="tx1"/>
            </w14:solidFill>
          </w14:textFill>
        </w:rPr>
        <w:t>）</w:t>
      </w:r>
      <w:r>
        <w:rPr>
          <w:rStyle w:val="42"/>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95" w:name="_Toc6039"/>
      <w:bookmarkStart w:id="96" w:name="_Toc29659_WPSOffice_Level2"/>
      <w:bookmarkStart w:id="97" w:name="_Toc486167671"/>
      <w:bookmarkStart w:id="98" w:name="_Toc142508321"/>
      <w:bookmarkStart w:id="99" w:name="_Toc7662"/>
      <w:bookmarkStart w:id="100" w:name="_Toc450662857"/>
      <w:bookmarkStart w:id="101" w:name="_Toc140596880"/>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95"/>
      <w:bookmarkEnd w:id="96"/>
      <w:bookmarkEnd w:id="97"/>
      <w:bookmarkEnd w:id="98"/>
      <w:bookmarkEnd w:id="99"/>
      <w:bookmarkEnd w:id="100"/>
      <w:bookmarkEnd w:id="101"/>
    </w:p>
    <w:p>
      <w:pPr>
        <w:tabs>
          <w:tab w:val="left" w:pos="675"/>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02" w:name="_Toc15097"/>
      <w:bookmarkStart w:id="103" w:name="_Toc450662858"/>
      <w:bookmarkStart w:id="104" w:name="_Toc10015_WPSOffice_Level3"/>
      <w:bookmarkStart w:id="105" w:name="_Toc142508322"/>
      <w:bookmarkStart w:id="106" w:name="_Toc486167672"/>
      <w:bookmarkStart w:id="107" w:name="_Toc25773"/>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02"/>
      <w:bookmarkEnd w:id="103"/>
      <w:bookmarkEnd w:id="104"/>
      <w:bookmarkEnd w:id="105"/>
      <w:bookmarkEnd w:id="106"/>
      <w:bookmarkEnd w:id="107"/>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pPr>
        <w:tabs>
          <w:tab w:val="left" w:pos="540"/>
        </w:tabs>
        <w:autoSpaceDE w:val="0"/>
        <w:autoSpaceDN w:val="0"/>
        <w:adjustRightInd w:val="0"/>
        <w:spacing w:line="360" w:lineRule="auto"/>
        <w:ind w:left="357" w:leftChars="-100" w:hanging="567"/>
        <w:jc w:val="left"/>
        <w:outlineLvl w:val="0"/>
        <w:rPr>
          <w:rFonts w:ascii="宋体" w:hAnsi="宋体" w:eastAsia="宋体" w:cs="宋体"/>
          <w:color w:val="000000" w:themeColor="text1"/>
          <w:sz w:val="24"/>
          <w:szCs w:val="24"/>
          <w:highlight w:val="none"/>
          <w:lang w:val="zh-CN"/>
          <w14:textFill>
            <w14:solidFill>
              <w14:schemeClr w14:val="tx1"/>
            </w14:solidFill>
          </w14:textFill>
        </w:rPr>
      </w:pPr>
      <w:bookmarkStart w:id="108" w:name="_Toc1507"/>
      <w:bookmarkStart w:id="109" w:name="_Toc450662859"/>
      <w:bookmarkStart w:id="110" w:name="_Toc24916_WPSOffice_Level3"/>
      <w:bookmarkStart w:id="111" w:name="_Toc1879"/>
      <w:bookmarkStart w:id="112" w:name="_Toc486167673"/>
      <w:bookmarkStart w:id="113" w:name="_Toc142508323"/>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08"/>
      <w:bookmarkEnd w:id="109"/>
      <w:bookmarkEnd w:id="110"/>
      <w:bookmarkEnd w:id="111"/>
      <w:bookmarkEnd w:id="112"/>
      <w:bookmarkEnd w:id="113"/>
    </w:p>
    <w:p>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）现场转换采购方式同意书；</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（5）投标报价表(含投标报价表</w:t>
      </w:r>
      <w:r>
        <w:rPr>
          <w:rFonts w:ascii="宋体" w:hAnsi="宋体" w:eastAsia="宋体" w:cs="宋体"/>
          <w:color w:val="000000" w:themeColor="text1"/>
          <w:szCs w:val="21"/>
          <w:highlight w:val="none"/>
          <w:lang w:val="zh-CN"/>
          <w14:textFill>
            <w14:solidFill>
              <w14:schemeClr w14:val="tx1"/>
            </w14:solidFill>
          </w14:textFill>
        </w:rPr>
        <w:t>和分项</w:t>
      </w:r>
      <w:r>
        <w:rPr>
          <w:rFonts w:hint="eastAsia" w:ascii="宋体" w:hAnsi="宋体" w:eastAsia="宋体" w:cs="宋体"/>
          <w:color w:val="000000" w:themeColor="text1"/>
          <w:szCs w:val="21"/>
          <w:highlight w:val="none"/>
          <w:lang w:val="zh-CN"/>
          <w14:textFill>
            <w14:solidFill>
              <w14:schemeClr w14:val="tx1"/>
            </w14:solidFill>
          </w14:textFill>
        </w:rPr>
        <w:t>报价</w:t>
      </w:r>
      <w:r>
        <w:rPr>
          <w:rFonts w:ascii="宋体" w:hAnsi="宋体" w:eastAsia="宋体" w:cs="宋体"/>
          <w:color w:val="000000" w:themeColor="text1"/>
          <w:szCs w:val="21"/>
          <w:highlight w:val="none"/>
          <w:lang w:val="zh-CN"/>
          <w14:textFill>
            <w14:solidFill>
              <w14:schemeClr w14:val="tx1"/>
            </w14:solidFill>
          </w14:textFill>
        </w:rPr>
        <w:t>表</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pPr>
        <w:tabs>
          <w:tab w:val="left" w:pos="1276"/>
        </w:tabs>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4）制造商资格声明和制造商售后服务承诺函及独家授权书：</w:t>
      </w:r>
    </w:p>
    <w:p>
      <w:pPr>
        <w:tabs>
          <w:tab w:val="left" w:pos="1276"/>
        </w:tabs>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a、投标人为在境内依法登记注册、能独立承担民事责任能力，具有生产制造所投</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管式微孔曝气器</w:t>
      </w:r>
      <w:r>
        <w:rPr>
          <w:rFonts w:hint="eastAsia" w:ascii="宋体" w:hAnsi="宋体" w:eastAsia="宋体" w:cs="Times New Roman"/>
          <w:color w:val="000000" w:themeColor="text1"/>
          <w:szCs w:val="21"/>
          <w:highlight w:val="none"/>
          <w:lang w:val="en-US" w:eastAsia="zh-CN"/>
          <w14:textFill>
            <w14:solidFill>
              <w14:schemeClr w14:val="tx1"/>
            </w14:solidFill>
          </w14:textFill>
        </w:rPr>
        <w:t>能力的制造商时，提供</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制造商资格声明原件和制造商售后服务承诺函原件</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p>
    <w:p>
      <w:pPr>
        <w:tabs>
          <w:tab w:val="left" w:pos="1276"/>
        </w:tabs>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b、投标人为所投管式微孔曝气器制造商直接就本次投标独家授权在境内依法登记注册成立、能独立承担民事责任能力的经销商时，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提供所投管式微孔曝气器制造商独家授权书原件和制造商资格声明原件</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p>
    <w:p>
      <w:pPr>
        <w:tabs>
          <w:tab w:val="left" w:pos="1276"/>
        </w:tabs>
        <w:spacing w:line="360" w:lineRule="auto"/>
        <w:ind w:left="283" w:hanging="283" w:hangingChars="135"/>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c、当前述制造商资格声明和制造商独家授权书是由境外品牌境外生产的所投管式微孔曝气器制造商通过境内的办事机构出具时，同时还须提供证明该机构作为境外品牌境外生产的所投管式微孔曝气器制造商在境内的办事机构的证明文件复印件[该证明文件可为显示其作为境外所投管式微孔曝气器制造商分公司的营业执照、或反映其作为境外所投管式微孔曝气器制造商子公司的章程（或出资证明、或反映出资人为境外所投管式微孔曝气器制造商的营业执照）或境外所投所投管式微孔曝气器制造商的书面证明或官网显示其关系的打印件]；</w:t>
      </w:r>
    </w:p>
    <w:p>
      <w:pPr>
        <w:tabs>
          <w:tab w:val="left" w:pos="1276"/>
        </w:tabs>
        <w:spacing w:line="360" w:lineRule="auto"/>
        <w:ind w:left="283" w:hanging="283" w:hangingChars="13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）资格业绩【投标人202</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年1月1日以来在国内具有一个投标品牌的管式微孔曝气器设备供货业绩（合同签订日期为202</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年1月1日或以后），资格业绩证明材料提交要求详见招标文件第六篇投标文件格式</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.5】；</w:t>
      </w:r>
    </w:p>
    <w:p>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w:t>
      </w:r>
      <w:r>
        <w:rPr>
          <w:rFonts w:hint="eastAsia" w:ascii="宋体" w:hAnsi="宋体" w:eastAsia="宋体" w:cs="宋体"/>
          <w:color w:val="000000" w:themeColor="text1"/>
          <w:szCs w:val="21"/>
          <w:highlight w:val="none"/>
          <w:lang w:val="zh-CN"/>
          <w14:textFill>
            <w14:solidFill>
              <w14:schemeClr w14:val="tx1"/>
            </w14:solidFill>
          </w14:textFill>
        </w:rPr>
        <w:t>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（1）用户需求响应程度（即用户需求偏离表格式）；</w:t>
      </w:r>
    </w:p>
    <w:p>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lang w:val="zh-CN"/>
          <w14:textFill>
            <w14:solidFill>
              <w14:schemeClr w14:val="tx1"/>
            </w14:solidFill>
          </w14:textFill>
        </w:rPr>
        <w:t>供货货物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及服务</w:t>
      </w:r>
      <w:r>
        <w:rPr>
          <w:rFonts w:hint="eastAsia" w:ascii="宋体" w:hAnsi="宋体" w:eastAsia="宋体" w:cs="Times New Roman"/>
          <w:color w:val="000000" w:themeColor="text1"/>
          <w:kern w:val="0"/>
          <w:szCs w:val="21"/>
          <w:highlight w:val="none"/>
          <w:lang w:val="zh-CN"/>
          <w14:textFill>
            <w14:solidFill>
              <w14:schemeClr w14:val="tx1"/>
            </w14:solidFill>
          </w14:textFill>
        </w:rPr>
        <w:t>清单表（货物明细中的货物名称、品牌、产地、规格、型号、数量及服务明细中的内容和服务标准等，必须与分项报价明细表完全一致）；</w:t>
      </w:r>
    </w:p>
    <w:p>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（3）设备安装必需的配件供货清单</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（4）投标产品技术性能说明（投标人自行提供书面说明和资料，其中应包含投标产品性能说明书或其他能体现投标产品性能的证明材料）</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pPr>
        <w:spacing w:line="360" w:lineRule="auto"/>
        <w:ind w:left="105" w:leftChars="-100" w:hanging="315" w:hangingChars="1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lang w:eastAsia="zh-CN"/>
          <w14:textFill>
            <w14:solidFill>
              <w14:schemeClr w14:val="tx1"/>
            </w14:solidFill>
          </w14:textFill>
        </w:rPr>
        <w:t>）供货、安装计划及进度保证措施；</w:t>
      </w:r>
    </w:p>
    <w:p>
      <w:pPr>
        <w:spacing w:line="360" w:lineRule="auto"/>
        <w:ind w:left="105" w:leftChars="-100" w:hanging="315" w:hangingChars="1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lang w:eastAsia="zh-CN"/>
          <w14:textFill>
            <w14:solidFill>
              <w14:schemeClr w14:val="tx1"/>
            </w14:solidFill>
          </w14:textFill>
        </w:rPr>
        <w:t>）安装时间、维修响应时间承诺表；</w:t>
      </w:r>
    </w:p>
    <w:p>
      <w:pPr>
        <w:spacing w:line="360" w:lineRule="auto"/>
        <w:ind w:left="105" w:leftChars="-100" w:hanging="315" w:hangingChars="1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eastAsia="zh-CN"/>
          <w14:textFill>
            <w14:solidFill>
              <w14:schemeClr w14:val="tx1"/>
            </w14:solidFill>
          </w14:textFill>
        </w:rPr>
        <w:t>）用户需求要求提交的其他技术资料；</w:t>
      </w:r>
    </w:p>
    <w:p>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14" w:name="_Toc450662860"/>
      <w:bookmarkStart w:id="115" w:name="_Toc142508324"/>
      <w:bookmarkStart w:id="116" w:name="_Toc486167674"/>
      <w:bookmarkStart w:id="117" w:name="_Toc4338"/>
      <w:bookmarkStart w:id="118" w:name="_Toc8675_WPSOffice_Level3"/>
      <w:bookmarkStart w:id="119" w:name="_Toc18697"/>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14"/>
      <w:bookmarkEnd w:id="115"/>
      <w:bookmarkEnd w:id="116"/>
      <w:bookmarkEnd w:id="117"/>
      <w:bookmarkEnd w:id="118"/>
      <w:bookmarkEnd w:id="119"/>
    </w:p>
    <w:p>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20" w:name="_Toc30352"/>
      <w:bookmarkStart w:id="121" w:name="_Toc450662861"/>
      <w:bookmarkStart w:id="122" w:name="_Toc4385_WPSOffice_Level3"/>
      <w:bookmarkStart w:id="123" w:name="_Toc142508325"/>
      <w:bookmarkStart w:id="124" w:name="_Toc28822"/>
      <w:bookmarkStart w:id="125" w:name="_Toc486167675"/>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20"/>
      <w:bookmarkEnd w:id="121"/>
      <w:bookmarkEnd w:id="122"/>
      <w:bookmarkEnd w:id="123"/>
      <w:bookmarkEnd w:id="124"/>
      <w:bookmarkEnd w:id="125"/>
    </w:p>
    <w:p>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Times New Roman"/>
          <w:b/>
          <w:color w:val="000000" w:themeColor="text1"/>
          <w:szCs w:val="21"/>
          <w:highlight w:val="none"/>
          <w:lang w:val="zh-CN"/>
          <w14:textFill>
            <w14:solidFill>
              <w14:schemeClr w14:val="tx1"/>
            </w14:solidFill>
          </w14:textFill>
        </w:rPr>
        <w:t>只允许有一个报价价格，任何有选择的或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lang w:val="en-US" w:eastAsia="zh-CN"/>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本采购项目投标报价已含投标人履行本招标内容全部义务的一切费用，包括但不限于：</w:t>
      </w:r>
    </w:p>
    <w:p>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本项目本合同项下所供货物及其配备的附件的采购、制造、检测检验、试验、送货、装卸（含二次搬运至招标人方指定交货或仓储地点）、人工费、材料费、安装费、调试费、运费、除投标人销项税额以外的税费、保险、质保期免费上门提供售后服务、培训、专用工具及备品备件、验收以及生化池清淤、现有曝气系统拆卸等相关服务的全部费用。未经招标人书面确认，投标人无权另行收取其它任何费用；</w:t>
      </w:r>
    </w:p>
    <w:p>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（2）货物及其工艺所有制造方、使用方应支付的对专有技术、专利权和版权、设计或其他知识产权而需要向其他方支付的版税；</w:t>
      </w:r>
    </w:p>
    <w:p>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（3）验收时为达到相关标准而可能增加的、不合格货物更换、零配件更换等费用；</w:t>
      </w:r>
    </w:p>
    <w:p>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（4）招标人所在地及项目现场培训全过程费用（含会务、资料、培训方及非中文培训师的翻译、投标人、招标人涉及的所有费用）；</w:t>
      </w:r>
    </w:p>
    <w:p>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（5）设备备品备件（含零配件）、设备拆装维修所需特殊专用工具购置费；</w:t>
      </w:r>
    </w:p>
    <w:p>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（6）日常技术指导，免费的质保期保修服务，包括但不限于对设备的运行指导，免费维修、保修或更换配件，在设备出现严重故障、影响正常运行、修复有困难的情况下，对设备进行免费更换的费用；</w:t>
      </w:r>
    </w:p>
    <w:p>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（7）分项报价表虽未列出，但为满足设计功能所必需的设备材料购置费；</w:t>
      </w:r>
    </w:p>
    <w:p>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（8）合理利润、投标人销项税额以外的税费等；</w:t>
      </w:r>
    </w:p>
    <w:p>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投标人需按照招标文件或合同中招标人要求的供货范围供货。若招标人未在招标文件、合同等文件中列明，但为了满足所供设备的正常使用及达到验收标准而需增加货物的，由投标人为招标人提供完善方案。完善方案经招标人同意后，由投标人按照完善方案履行义务，其中涉及的增加的费用已包含在投标报价中，招标人不另行向投标人支付费用；</w:t>
      </w:r>
    </w:p>
    <w:p>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10）在合同履行期间，若发现投标人投标文件更改、删除或遗漏了招标文件用户需求书招标设备清单内的项目或数量等情况时，并不能免除投标人按照图纸、标准与规范实施合同的任何责任，并将视为该项费用已包括在投标报价内，招标人不另行向投标人支付费用；</w:t>
      </w:r>
    </w:p>
    <w:p>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合同项下，招标人需要的货物及</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kern w:val="0"/>
          <w:szCs w:val="24"/>
          <w:highlight w:val="none"/>
          <w:u w:val="single"/>
          <w14:textFill>
            <w14:solidFill>
              <w14:schemeClr w14:val="tx1"/>
            </w14:solidFill>
          </w14:textFill>
        </w:rPr>
        <w:t>的投标报价高于</w:t>
      </w:r>
      <w:r>
        <w:rPr>
          <w:rFonts w:hint="eastAsia" w:ascii="宋体" w:hAnsi="宋体" w:eastAsia="宋体" w:cs="宋体"/>
          <w:b/>
          <w:bCs/>
          <w:color w:val="000000" w:themeColor="text1"/>
          <w:sz w:val="21"/>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kern w:val="0"/>
          <w:szCs w:val="24"/>
          <w:highlight w:val="none"/>
          <w:u w:val="single"/>
          <w14:textFill>
            <w14:solidFill>
              <w14:schemeClr w14:val="tx1"/>
            </w14:solidFill>
          </w14:textFill>
        </w:rPr>
        <w:t>最高投标限价的，该投标人的投标文件将被视为无效投标</w:t>
      </w:r>
      <w:r>
        <w:rPr>
          <w:rFonts w:hint="eastAsia" w:ascii="宋体" w:hAnsi="宋体" w:eastAsia="宋体" w:cs="宋体"/>
          <w:b/>
          <w:color w:val="000000" w:themeColor="text1"/>
          <w:szCs w:val="21"/>
          <w:highlight w:val="none"/>
          <w:u w:val="single"/>
          <w:lang w:val="zh-CN"/>
          <w14:textFill>
            <w14:solidFill>
              <w14:schemeClr w14:val="tx1"/>
            </w14:solidFill>
          </w14:textFill>
        </w:rPr>
        <w:t>。本项目的不含税最高投标限价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766,120.72</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 xml:space="preserve"> 元（大写</w:t>
      </w:r>
      <w:r>
        <w:rPr>
          <w:rFonts w:hint="eastAsia" w:ascii="宋体" w:hAnsi="宋体" w:eastAsia="宋体" w:cs="宋体"/>
          <w:b/>
          <w:color w:val="000000" w:themeColor="text1"/>
          <w:szCs w:val="21"/>
          <w:highlight w:val="none"/>
          <w:u w:val="single"/>
          <w:lang w:val="zh-CN"/>
          <w14:textFill>
            <w14:solidFill>
              <w14:schemeClr w14:val="tx1"/>
            </w14:solidFill>
          </w14:textFill>
        </w:rPr>
        <w:t>：人民币</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柒拾陆万陆仟壹佰贰拾元柒角贰分</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pPr>
        <w:autoSpaceDE w:val="0"/>
        <w:autoSpaceDN w:val="0"/>
        <w:adjustRightInd w:val="0"/>
        <w:spacing w:line="360" w:lineRule="auto"/>
        <w:ind w:left="357" w:leftChars="-100" w:hanging="567"/>
        <w:jc w:val="left"/>
        <w:outlineLvl w:val="0"/>
        <w:rPr>
          <w:rFonts w:ascii="宋体" w:hAnsi="宋体" w:eastAsia="宋体" w:cs="宋体"/>
          <w:b/>
          <w:color w:val="000000" w:themeColor="text1"/>
          <w:szCs w:val="21"/>
          <w:highlight w:val="none"/>
          <w:lang w:val="zh-CN"/>
          <w14:textFill>
            <w14:solidFill>
              <w14:schemeClr w14:val="tx1"/>
            </w14:solidFill>
          </w14:textFill>
        </w:rPr>
      </w:pPr>
      <w:bookmarkStart w:id="126" w:name="_Toc142508326"/>
      <w:bookmarkStart w:id="127" w:name="_Toc14068"/>
      <w:bookmarkStart w:id="128" w:name="_Toc450662862"/>
      <w:bookmarkStart w:id="129" w:name="_Toc486167676"/>
      <w:bookmarkStart w:id="130" w:name="_Toc30042_WPSOffice_Level3"/>
      <w:bookmarkStart w:id="131" w:name="_Toc4809"/>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26"/>
      <w:bookmarkEnd w:id="127"/>
      <w:bookmarkEnd w:id="128"/>
      <w:bookmarkEnd w:id="129"/>
      <w:bookmarkEnd w:id="130"/>
      <w:bookmarkEnd w:id="131"/>
    </w:p>
    <w:p>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pPr>
        <w:tabs>
          <w:tab w:val="left" w:pos="570"/>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32" w:name="_Toc25596"/>
      <w:bookmarkStart w:id="133" w:name="_Toc29332"/>
      <w:bookmarkStart w:id="134" w:name="_Toc9411_WPSOffice_Level3"/>
      <w:bookmarkStart w:id="135" w:name="_Toc450662863"/>
      <w:bookmarkStart w:id="136" w:name="_Toc142508327"/>
      <w:bookmarkStart w:id="137" w:name="_Toc486167677"/>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32"/>
      <w:bookmarkEnd w:id="133"/>
      <w:bookmarkEnd w:id="134"/>
      <w:bookmarkEnd w:id="135"/>
      <w:bookmarkEnd w:id="136"/>
      <w:bookmarkEnd w:id="137"/>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38" w:name="_Toc30441"/>
      <w:bookmarkStart w:id="139" w:name="_Toc142508328"/>
      <w:bookmarkStart w:id="140" w:name="_Toc8897"/>
      <w:bookmarkStart w:id="141" w:name="_Toc27771_WPSOffice_Level3"/>
      <w:bookmarkStart w:id="142" w:name="_Toc450662864"/>
      <w:bookmarkStart w:id="143" w:name="_Toc486167678"/>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38"/>
      <w:bookmarkEnd w:id="139"/>
      <w:bookmarkEnd w:id="140"/>
      <w:bookmarkEnd w:id="141"/>
      <w:bookmarkEnd w:id="142"/>
      <w:bookmarkEnd w:id="143"/>
    </w:p>
    <w:p>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w:t>
      </w:r>
      <w:r>
        <w:rPr>
          <w:rFonts w:hint="eastAsia" w:ascii="宋体" w:hAnsi="宋体" w:eastAsia="宋体" w:cs="Times New Roman"/>
          <w:b/>
          <w:color w:val="000000" w:themeColor="text1"/>
          <w:szCs w:val="21"/>
          <w:highlight w:val="none"/>
          <w:lang w:val="zh-CN"/>
          <w14:textFill>
            <w14:solidFill>
              <w14:schemeClr w14:val="tx1"/>
            </w14:solidFill>
          </w14:textFill>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000000" w:themeColor="text1"/>
          <w:szCs w:val="21"/>
          <w:highlight w:val="none"/>
          <w:lang w:val="zh-CN"/>
          <w14:textFill>
            <w14:solidFill>
              <w14:schemeClr w14:val="tx1"/>
            </w14:solidFill>
          </w14:textFill>
        </w:rPr>
        <w:t>凡标有“</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szCs w:val="21"/>
          <w:highlight w:val="none"/>
          <w:lang w:val="zh-CN"/>
          <w14:textFill>
            <w14:solidFill>
              <w14:schemeClr w14:val="tx1"/>
            </w14:solidFill>
          </w14:textFill>
        </w:rPr>
        <w:t>人</w:t>
      </w:r>
      <w:r>
        <w:rPr>
          <w:rFonts w:ascii="宋体" w:hAnsi="宋体" w:eastAsia="宋体" w:cs="Times New Roman"/>
          <w:b/>
          <w:color w:val="000000" w:themeColor="text1"/>
          <w:szCs w:val="21"/>
          <w:highlight w:val="none"/>
          <w:lang w:val="zh-CN"/>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否则若有一项带“</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”的指标未响应或不满足，将按</w:t>
      </w:r>
      <w:r>
        <w:rPr>
          <w:rFonts w:hint="eastAsia" w:ascii="宋体" w:hAnsi="宋体" w:eastAsia="宋体" w:cs="Times New Roman"/>
          <w:b/>
          <w:color w:val="000000" w:themeColor="text1"/>
          <w:szCs w:val="21"/>
          <w:highlight w:val="none"/>
          <w:lang w:val="zh-CN"/>
          <w14:textFill>
            <w14:solidFill>
              <w14:schemeClr w14:val="tx1"/>
            </w14:solidFill>
          </w14:textFill>
        </w:rPr>
        <w:t>无效投标</w:t>
      </w:r>
      <w:r>
        <w:rPr>
          <w:rFonts w:ascii="宋体" w:hAnsi="宋体" w:eastAsia="宋体" w:cs="Times New Roman"/>
          <w:b/>
          <w:color w:val="000000" w:themeColor="text1"/>
          <w:szCs w:val="21"/>
          <w:highlight w:val="none"/>
          <w:lang w:val="zh-CN"/>
          <w14:textFill>
            <w14:solidFill>
              <w14:schemeClr w14:val="tx1"/>
            </w14:solidFill>
          </w14:textFill>
        </w:rPr>
        <w:t>处理</w:t>
      </w:r>
      <w:r>
        <w:rPr>
          <w:rFonts w:hint="eastAsia" w:ascii="宋体" w:hAnsi="宋体" w:eastAsia="宋体" w:cs="宋体"/>
          <w:b/>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92" w:leftChars="-100" w:hanging="602" w:hangingChars="251"/>
        <w:rPr>
          <w:rFonts w:ascii="宋体" w:hAnsi="宋体" w:eastAsia="宋体" w:cs="Times New Roman"/>
          <w:color w:val="000000" w:themeColor="text1"/>
          <w:kern w:val="0"/>
          <w:sz w:val="24"/>
          <w:szCs w:val="24"/>
          <w:highlight w:val="none"/>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44" w:name="_Toc142508329"/>
      <w:bookmarkStart w:id="145" w:name="_Toc5356_WPSOffice_Level3"/>
      <w:bookmarkStart w:id="146" w:name="_Toc486167679"/>
      <w:bookmarkStart w:id="147" w:name="_Toc24774"/>
      <w:bookmarkStart w:id="148" w:name="_Toc7364"/>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44"/>
      <w:bookmarkEnd w:id="145"/>
      <w:bookmarkEnd w:id="146"/>
      <w:bookmarkEnd w:id="147"/>
      <w:bookmarkEnd w:id="148"/>
    </w:p>
    <w:p>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15,000.00</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 xml:space="preserve"> </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eastAsia="zh-CN"/>
          <w14:textFill>
            <w14:solidFill>
              <w14:schemeClr w14:val="tx1"/>
            </w14:solidFill>
          </w14:textFill>
        </w:rPr>
        <w:t>壹万伍仟元整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000000" w:themeColor="text1"/>
          <w:kern w:val="0"/>
          <w:szCs w:val="21"/>
          <w:highlight w:val="none"/>
          <w:lang w:val="zh-CN" w:eastAsia="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开户名称：东莞市石鼓净水有限公司</w:t>
      </w:r>
    </w:p>
    <w:p>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开户银行：</w:t>
      </w:r>
      <w:r>
        <w:rPr>
          <w:rFonts w:hint="eastAsia" w:ascii="宋体" w:hAnsi="宋体" w:eastAsia="宋体" w:cs="Times New Roman"/>
          <w:b w:val="0"/>
          <w:bCs w:val="0"/>
          <w:color w:val="000000" w:themeColor="text1"/>
          <w:kern w:val="0"/>
          <w:szCs w:val="21"/>
          <w:highlight w:val="none"/>
          <w:lang w:val="zh-CN"/>
          <w14:textFill>
            <w14:solidFill>
              <w14:schemeClr w14:val="tx1"/>
            </w14:solidFill>
          </w14:textFill>
        </w:rPr>
        <w:t>东莞银行东莞分行</w:t>
      </w:r>
    </w:p>
    <w:p>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银行账号：510008801002738</w:t>
      </w:r>
    </w:p>
    <w:p>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pPr>
        <w:autoSpaceDE/>
        <w:autoSpaceDN/>
        <w:adjustRightInd w:val="0"/>
        <w:spacing w:line="360" w:lineRule="auto"/>
        <w:ind w:left="315" w:leftChars="150" w:firstLine="0" w:firstLineChars="0"/>
        <w:jc w:val="left"/>
        <w:rPr>
          <w:rFonts w:hint="eastAsia" w:ascii="宋体" w:hAnsi="宋体" w:eastAsia="宋体" w:cs="宋体"/>
          <w:b w:val="0"/>
          <w:color w:val="000000" w:themeColor="text1"/>
          <w:kern w:val="2"/>
          <w:szCs w:val="21"/>
          <w:highlight w:val="none"/>
          <w:lang w:val="zh-CN"/>
          <w14:textFill>
            <w14:solidFill>
              <w14:schemeClr w14:val="tx1"/>
            </w14:solidFill>
          </w14:textFill>
        </w:rPr>
      </w:pPr>
      <w:r>
        <w:rPr>
          <w:rFonts w:hint="eastAsia" w:ascii="宋体" w:hAnsi="宋体" w:eastAsia="宋体" w:cs="宋体"/>
          <w:b w:val="0"/>
          <w:color w:val="000000" w:themeColor="text1"/>
          <w:kern w:val="2"/>
          <w:szCs w:val="21"/>
          <w:highlight w:val="none"/>
          <w:lang w:val="zh-CN"/>
          <w14:textFill>
            <w14:solidFill>
              <w14:schemeClr w14:val="tx1"/>
            </w14:solidFill>
          </w14:textFill>
        </w:rPr>
        <w:t>为更快捷将投标保证金关联到本项目，</w:t>
      </w:r>
      <w:r>
        <w:rPr>
          <w:rFonts w:hint="eastAsia" w:ascii="宋体" w:hAnsi="宋体" w:eastAsia="宋体" w:cs="宋体"/>
          <w:b/>
          <w:bCs/>
          <w:color w:val="000000" w:themeColor="text1"/>
          <w:kern w:val="2"/>
          <w:szCs w:val="21"/>
          <w:highlight w:val="none"/>
          <w:lang w:val="zh-CN"/>
          <w14:textFill>
            <w14:solidFill>
              <w14:schemeClr w14:val="tx1"/>
            </w14:solidFill>
          </w14:textFill>
        </w:rPr>
        <w:t>投标人应在转账时注明招标编号</w:t>
      </w:r>
      <w:r>
        <w:rPr>
          <w:rFonts w:hint="eastAsia" w:ascii="宋体" w:hAnsi="宋体" w:eastAsia="宋体" w:cs="宋体"/>
          <w:b w:val="0"/>
          <w:color w:val="000000" w:themeColor="text1"/>
          <w:kern w:val="2"/>
          <w:szCs w:val="21"/>
          <w:highlight w:val="none"/>
          <w:lang w:val="zh-CN"/>
          <w14:textFill>
            <w14:solidFill>
              <w14:schemeClr w14:val="tx1"/>
            </w14:solidFill>
          </w14:textFill>
        </w:rPr>
        <w:t>，否则因此导致的无法识别投标保证金对应项目等不利后果将由投标人承担。</w:t>
      </w:r>
    </w:p>
    <w:p>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中标人的投标保证金，满足下列要求，并最迟应在本项目的书面合同签订后5日内退还。</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49" w:name="_Toc450662865"/>
      <w:bookmarkStart w:id="150" w:name="_Toc10550"/>
      <w:bookmarkStart w:id="151" w:name="_Toc486167680"/>
      <w:bookmarkStart w:id="152" w:name="_Toc25483"/>
      <w:bookmarkStart w:id="153" w:name="_Toc22649_WPSOffice_Level3"/>
      <w:bookmarkStart w:id="154" w:name="_Toc142508330"/>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49"/>
      <w:bookmarkEnd w:id="150"/>
      <w:bookmarkEnd w:id="151"/>
      <w:bookmarkEnd w:id="152"/>
      <w:bookmarkEnd w:id="153"/>
      <w:bookmarkEnd w:id="154"/>
    </w:p>
    <w:p>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55" w:name="_Toc13311"/>
      <w:bookmarkStart w:id="156" w:name="_Toc486167681"/>
      <w:bookmarkStart w:id="157" w:name="_Toc142508331"/>
      <w:bookmarkStart w:id="158" w:name="_Toc450662866"/>
      <w:bookmarkStart w:id="159" w:name="_Toc25637_WPSOffice_Level3"/>
      <w:bookmarkStart w:id="160" w:name="_Toc13171"/>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155"/>
      <w:bookmarkEnd w:id="156"/>
      <w:bookmarkEnd w:id="157"/>
      <w:bookmarkEnd w:id="158"/>
      <w:bookmarkEnd w:id="159"/>
      <w:bookmarkEnd w:id="160"/>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161"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162" w:name="_Toc140596891"/>
      <w:bookmarkStart w:id="163" w:name="_Toc142508332"/>
      <w:bookmarkStart w:id="164" w:name="_Toc486167682"/>
      <w:bookmarkStart w:id="165" w:name="_Toc17608"/>
      <w:bookmarkStart w:id="166" w:name="_Toc22356_WPSOffice_Level2"/>
      <w:bookmarkStart w:id="167" w:name="_Toc20211"/>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161"/>
      <w:bookmarkEnd w:id="162"/>
      <w:bookmarkEnd w:id="163"/>
      <w:bookmarkEnd w:id="164"/>
      <w:bookmarkEnd w:id="165"/>
      <w:bookmarkEnd w:id="166"/>
      <w:bookmarkEnd w:id="167"/>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68" w:name="_Toc450662868"/>
      <w:bookmarkStart w:id="169" w:name="_Toc486167683"/>
      <w:bookmarkStart w:id="170" w:name="_Toc12192_WPSOffice_Level3"/>
      <w:bookmarkStart w:id="171" w:name="_Toc13049"/>
      <w:bookmarkStart w:id="172" w:name="_Toc142508333"/>
      <w:bookmarkStart w:id="173" w:name="_Toc9900"/>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168"/>
      <w:bookmarkEnd w:id="169"/>
      <w:bookmarkEnd w:id="170"/>
      <w:bookmarkEnd w:id="171"/>
      <w:bookmarkEnd w:id="172"/>
      <w:bookmarkEnd w:id="173"/>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74" w:name="_Toc3384"/>
      <w:bookmarkStart w:id="175" w:name="_Toc6850"/>
      <w:bookmarkStart w:id="176" w:name="_Toc29665_WPSOffice_Level3"/>
      <w:bookmarkStart w:id="177" w:name="_Toc142508334"/>
      <w:bookmarkStart w:id="178" w:name="_Toc486167684"/>
      <w:bookmarkStart w:id="179" w:name="_Toc450662869"/>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174"/>
      <w:bookmarkEnd w:id="175"/>
      <w:bookmarkEnd w:id="176"/>
      <w:bookmarkEnd w:id="177"/>
      <w:bookmarkEnd w:id="178"/>
      <w:bookmarkEnd w:id="179"/>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180" w:name="_Toc486167685"/>
      <w:bookmarkStart w:id="181" w:name="_Toc6684"/>
      <w:bookmarkStart w:id="182" w:name="_Toc16776"/>
      <w:bookmarkStart w:id="183" w:name="_Toc450662870"/>
      <w:bookmarkStart w:id="184" w:name="_Toc142508335"/>
      <w:bookmarkStart w:id="185" w:name="_Toc22431_WPSOffice_Level3"/>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180"/>
      <w:bookmarkEnd w:id="181"/>
      <w:bookmarkEnd w:id="182"/>
      <w:bookmarkEnd w:id="183"/>
      <w:bookmarkEnd w:id="184"/>
      <w:bookmarkEnd w:id="185"/>
    </w:p>
    <w:p>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86" w:name="_Toc486167686"/>
      <w:bookmarkStart w:id="187" w:name="_Toc450662871"/>
      <w:bookmarkStart w:id="188" w:name="_Toc4883_WPSOffice_Level3"/>
      <w:bookmarkStart w:id="189" w:name="_Toc9670"/>
      <w:bookmarkStart w:id="190" w:name="_Toc16964"/>
      <w:bookmarkStart w:id="191" w:name="_Toc142508336"/>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186"/>
      <w:bookmarkEnd w:id="187"/>
      <w:bookmarkEnd w:id="188"/>
      <w:bookmarkEnd w:id="189"/>
      <w:bookmarkEnd w:id="190"/>
      <w:bookmarkEnd w:id="191"/>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92" w:name="_Toc1049_WPSOffice_Level2"/>
      <w:bookmarkStart w:id="193" w:name="_Toc142508337"/>
      <w:bookmarkStart w:id="194" w:name="_Toc22155"/>
      <w:bookmarkStart w:id="195" w:name="_Toc486167687"/>
      <w:bookmarkStart w:id="196" w:name="_Toc140596896"/>
      <w:bookmarkStart w:id="197" w:name="_Toc27648"/>
      <w:bookmarkStart w:id="198" w:name="_Toc450662872"/>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192"/>
      <w:bookmarkEnd w:id="193"/>
      <w:bookmarkEnd w:id="194"/>
      <w:bookmarkEnd w:id="195"/>
      <w:bookmarkEnd w:id="196"/>
      <w:bookmarkEnd w:id="197"/>
      <w:bookmarkEnd w:id="198"/>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199" w:name="_Toc13869"/>
      <w:bookmarkStart w:id="200" w:name="_Toc142508338"/>
      <w:bookmarkStart w:id="201" w:name="_Toc144_WPSOffice_Level3"/>
      <w:bookmarkStart w:id="202" w:name="_Toc450662873"/>
      <w:bookmarkStart w:id="203" w:name="_Toc7200"/>
      <w:bookmarkStart w:id="204" w:name="_Toc486167688"/>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199"/>
      <w:bookmarkEnd w:id="200"/>
      <w:bookmarkEnd w:id="201"/>
      <w:bookmarkEnd w:id="202"/>
      <w:bookmarkEnd w:id="203"/>
      <w:bookmarkEnd w:id="204"/>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投标文件的投标报价大写金额和小写金额不一致的，以大写金额为准。对不同文字文本投标文件的解释发生异议的，以中文文本为准。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05" w:name="_Toc12165_WPSOffice_Level3"/>
      <w:bookmarkStart w:id="206" w:name="_Toc142508339"/>
      <w:bookmarkStart w:id="207" w:name="_Toc486167689"/>
      <w:bookmarkStart w:id="208" w:name="_Toc2038"/>
      <w:bookmarkStart w:id="209" w:name="_Toc25127"/>
      <w:bookmarkStart w:id="210" w:name="_Toc450662874"/>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05"/>
      <w:bookmarkEnd w:id="206"/>
      <w:bookmarkEnd w:id="207"/>
      <w:bookmarkEnd w:id="208"/>
      <w:bookmarkEnd w:id="209"/>
      <w:bookmarkEnd w:id="210"/>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11" w:name="_Toc142508340"/>
      <w:bookmarkStart w:id="212" w:name="_Toc23435"/>
      <w:bookmarkStart w:id="213" w:name="_Toc15565_WPSOffice_Level3"/>
      <w:bookmarkStart w:id="214" w:name="_Toc450662875"/>
      <w:bookmarkStart w:id="215" w:name="_Toc833"/>
      <w:bookmarkStart w:id="216" w:name="_Toc486167690"/>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11"/>
      <w:bookmarkEnd w:id="212"/>
      <w:bookmarkEnd w:id="213"/>
      <w:bookmarkEnd w:id="214"/>
      <w:bookmarkEnd w:id="215"/>
      <w:bookmarkEnd w:id="216"/>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000000" w:themeColor="text1"/>
          <w:szCs w:val="21"/>
          <w:highlight w:val="none"/>
          <w:lang w:val="zh-CN"/>
          <w14:textFill>
            <w14:solidFill>
              <w14:schemeClr w14:val="tx1"/>
            </w14:solidFill>
          </w14:textFill>
        </w:rPr>
      </w:pPr>
      <w:bookmarkStart w:id="217" w:name="_Toc450662876"/>
      <w:bookmarkStart w:id="218" w:name="_Toc31399"/>
      <w:bookmarkStart w:id="219" w:name="_Toc142508341"/>
      <w:bookmarkStart w:id="220" w:name="_Toc28910_WPSOffice_Level3"/>
      <w:bookmarkStart w:id="221" w:name="_Toc7573"/>
      <w:bookmarkStart w:id="222" w:name="_Toc486167691"/>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217"/>
      <w:bookmarkEnd w:id="218"/>
      <w:bookmarkEnd w:id="219"/>
      <w:bookmarkEnd w:id="220"/>
      <w:bookmarkEnd w:id="221"/>
      <w:bookmarkEnd w:id="222"/>
    </w:p>
    <w:p>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pPr>
        <w:tabs>
          <w:tab w:val="left" w:pos="525"/>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23" w:name="_Toc450662877"/>
      <w:bookmarkStart w:id="224" w:name="_Toc486167692"/>
      <w:bookmarkStart w:id="225" w:name="_Toc338_WPSOffice_Level3"/>
      <w:bookmarkStart w:id="226" w:name="_Toc10130"/>
      <w:bookmarkStart w:id="227" w:name="_Toc142508342"/>
      <w:bookmarkStart w:id="228" w:name="_Toc6728"/>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23"/>
      <w:bookmarkEnd w:id="224"/>
      <w:bookmarkEnd w:id="225"/>
      <w:bookmarkEnd w:id="226"/>
      <w:bookmarkEnd w:id="227"/>
      <w:bookmarkEnd w:id="228"/>
    </w:p>
    <w:p>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29"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9"/>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lang w:val="zh-CN"/>
          <w14:textFill>
            <w14:solidFill>
              <w14:schemeClr w14:val="tx1"/>
            </w14:solidFill>
          </w14:textFill>
        </w:rPr>
      </w:pPr>
      <w:bookmarkStart w:id="230" w:name="_Toc18368_WPSOffice_Level3"/>
      <w:bookmarkStart w:id="231" w:name="_Toc142508343"/>
      <w:bookmarkStart w:id="232" w:name="_Toc522047355"/>
      <w:bookmarkStart w:id="233" w:name="_Toc521918096"/>
    </w:p>
    <w:p>
      <w:pPr>
        <w:tabs>
          <w:tab w:val="left" w:pos="525"/>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34" w:name="_Toc13160"/>
      <w:bookmarkStart w:id="235" w:name="_Toc15022"/>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30"/>
      <w:bookmarkEnd w:id="231"/>
      <w:bookmarkEnd w:id="232"/>
      <w:bookmarkEnd w:id="233"/>
      <w:bookmarkEnd w:id="234"/>
      <w:bookmarkEnd w:id="235"/>
    </w:p>
    <w:p>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36" w:name="_Toc522047356"/>
      <w:bookmarkStart w:id="237" w:name="_Toc521918097"/>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38" w:name="_Toc142508344"/>
      <w:bookmarkStart w:id="239" w:name="_Toc31279"/>
      <w:bookmarkStart w:id="240" w:name="_Toc21460_WPSOffice_Level3"/>
      <w:bookmarkStart w:id="241" w:name="_Toc29516"/>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236"/>
      <w:bookmarkEnd w:id="237"/>
      <w:bookmarkEnd w:id="238"/>
      <w:bookmarkEnd w:id="239"/>
      <w:bookmarkEnd w:id="240"/>
      <w:bookmarkEnd w:id="241"/>
    </w:p>
    <w:p>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r>
        <w:rPr>
          <w:rFonts w:hint="eastAsia" w:ascii="宋体" w:hAnsi="宋体" w:eastAsia="宋体" w:cs="宋体"/>
          <w:b w:val="0"/>
          <w:bCs w:val="0"/>
          <w:color w:val="000000" w:themeColor="text1"/>
          <w:szCs w:val="21"/>
          <w:highlight w:val="none"/>
          <w14:textFill>
            <w14:solidFill>
              <w14:schemeClr w14:val="tx1"/>
            </w14:solidFill>
          </w14:textFill>
        </w:rPr>
        <w:t>本项目根据以下情况可以现场转换采购方式继续采购：</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（1）若有效投标人只有2个时，经评标委员会论证，采购文件没有不合理条款、采购程序符合规定的，经招标人代表和作出实质性响应的投标人代表同意后，现场更改为竞争性谈判的方式继续采购。</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（2）若有效投标人只有1个时，经评标委员会论证，采购文件没有不合理条款、采购程序符合规定的，经招标人代表和作出实质性响应的投标人代表同意后，现场更改为单一来源的方式继续采购。</w:t>
      </w:r>
    </w:p>
    <w:p>
      <w:pPr>
        <w:tabs>
          <w:tab w:val="left" w:pos="567"/>
        </w:tabs>
        <w:autoSpaceDE w:val="0"/>
        <w:autoSpaceDN w:val="0"/>
        <w:adjustRightInd w:val="0"/>
        <w:spacing w:line="360" w:lineRule="auto"/>
        <w:ind w:left="105" w:leftChars="-100" w:hanging="315" w:hangingChars="15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（3）若上述两种情况下不同意转换采购方式，退出投标的投标人，投标保证金按本须知15.5款的规定退还。</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pPr>
        <w:tabs>
          <w:tab w:val="left" w:pos="525"/>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42" w:name="_Toc486167694"/>
      <w:bookmarkStart w:id="243" w:name="_Toc9991"/>
      <w:bookmarkStart w:id="244" w:name="_Toc15841"/>
      <w:bookmarkStart w:id="245" w:name="_Toc142508345"/>
      <w:bookmarkStart w:id="246" w:name="_Toc32498_WPSOffice_Level3"/>
      <w:bookmarkStart w:id="247" w:name="_Toc466882017"/>
      <w:bookmarkStart w:id="248" w:name="_Toc465358969"/>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242"/>
      <w:bookmarkEnd w:id="243"/>
      <w:bookmarkEnd w:id="244"/>
      <w:bookmarkEnd w:id="245"/>
      <w:bookmarkEnd w:id="246"/>
      <w:bookmarkEnd w:id="247"/>
      <w:bookmarkEnd w:id="248"/>
    </w:p>
    <w:p>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招标代理机构在招标公告发布媒介公示中标候选人，公示期为3日。投标人或者其他利害关系人对评标结果有异议的，应当在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书面要求的时间(一般不少于三个工作日</w:t>
      </w:r>
      <w:r>
        <w:rPr>
          <w:rFonts w:hint="eastAsia" w:ascii="宋体" w:hAnsi="宋体" w:eastAsia="宋体" w:cs="Times New Roman"/>
          <w:b/>
          <w:color w:val="000000" w:themeColor="text1"/>
          <w:kern w:val="0"/>
          <w:szCs w:val="21"/>
          <w:highlight w:val="none"/>
          <w14:textFill>
            <w14:solidFill>
              <w14:schemeClr w14:val="tx1"/>
            </w14:solidFill>
          </w14:textFill>
        </w:rPr>
        <w:t>）</w:t>
      </w:r>
      <w:r>
        <w:rPr>
          <w:rFonts w:ascii="宋体" w:hAnsi="宋体" w:eastAsia="宋体" w:cs="Times New Roman"/>
          <w:b/>
          <w:color w:val="000000" w:themeColor="text1"/>
          <w:kern w:val="0"/>
          <w:szCs w:val="21"/>
          <w:highlight w:val="none"/>
          <w14:textFill>
            <w14:solidFill>
              <w14:schemeClr w14:val="tx1"/>
            </w14:solidFill>
          </w14:textFill>
        </w:rPr>
        <w:t>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000000" w:themeColor="text1"/>
          <w:szCs w:val="21"/>
          <w:highlight w:val="none"/>
          <w:lang w:val="zh-CN"/>
          <w14:textFill>
            <w14:solidFill>
              <w14:schemeClr w14:val="tx1"/>
            </w14:solidFill>
          </w14:textFill>
        </w:rPr>
      </w:pPr>
      <w:bookmarkStart w:id="249" w:name="_Toc12822"/>
      <w:bookmarkStart w:id="250" w:name="_Toc466882018"/>
      <w:bookmarkStart w:id="251" w:name="_Toc465358970"/>
      <w:bookmarkStart w:id="252" w:name="_Toc26138"/>
      <w:bookmarkStart w:id="253" w:name="_Toc1848_WPSOffice_Level3"/>
      <w:bookmarkStart w:id="254" w:name="_Toc486167695"/>
      <w:bookmarkStart w:id="255" w:name="_Toc142508346"/>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249"/>
      <w:bookmarkEnd w:id="250"/>
      <w:bookmarkEnd w:id="251"/>
      <w:bookmarkEnd w:id="252"/>
      <w:bookmarkEnd w:id="253"/>
      <w:bookmarkEnd w:id="254"/>
      <w:bookmarkEnd w:id="255"/>
    </w:p>
    <w:p>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256" w:name="_Toc465358971"/>
      <w:bookmarkStart w:id="257" w:name="_Toc466882019"/>
    </w:p>
    <w:p>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000000" w:themeColor="text1"/>
          <w:szCs w:val="21"/>
          <w:highlight w:val="none"/>
          <w:lang w:val="zh-CN"/>
          <w14:textFill>
            <w14:solidFill>
              <w14:schemeClr w14:val="tx1"/>
            </w14:solidFill>
          </w14:textFill>
        </w:rPr>
      </w:pPr>
      <w:bookmarkStart w:id="258" w:name="_Toc142508347"/>
      <w:bookmarkStart w:id="259" w:name="_Toc10867_WPSOffice_Level3"/>
      <w:bookmarkStart w:id="260" w:name="_Toc26035"/>
      <w:bookmarkStart w:id="261" w:name="_Toc486167696"/>
      <w:bookmarkStart w:id="262" w:name="_Toc23768"/>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256"/>
      <w:bookmarkEnd w:id="257"/>
      <w:bookmarkEnd w:id="258"/>
      <w:bookmarkEnd w:id="259"/>
      <w:bookmarkEnd w:id="260"/>
      <w:bookmarkEnd w:id="261"/>
      <w:bookmarkEnd w:id="262"/>
    </w:p>
    <w:p>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263" w:name="_Toc450662880"/>
    </w:p>
    <w:p>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64" w:name="_Toc31921"/>
      <w:bookmarkStart w:id="265" w:name="_Toc18316"/>
      <w:bookmarkStart w:id="266" w:name="_Toc140596907"/>
      <w:bookmarkStart w:id="267" w:name="_Toc16848_WPSOffice_Level2"/>
      <w:bookmarkStart w:id="268" w:name="_Toc142508348"/>
      <w:bookmarkStart w:id="269" w:name="_Toc486167697"/>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263"/>
      <w:bookmarkEnd w:id="264"/>
      <w:bookmarkEnd w:id="265"/>
      <w:bookmarkEnd w:id="266"/>
      <w:bookmarkEnd w:id="267"/>
      <w:bookmarkEnd w:id="268"/>
      <w:bookmarkEnd w:id="269"/>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70" w:name="_Toc6401_WPSOffice_Level3"/>
      <w:bookmarkStart w:id="271" w:name="_Toc25540"/>
      <w:bookmarkStart w:id="272" w:name="_Toc486167698"/>
      <w:bookmarkStart w:id="273" w:name="_Toc28920"/>
      <w:bookmarkStart w:id="274" w:name="_Toc142508349"/>
      <w:bookmarkStart w:id="275" w:name="_Toc450662881"/>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270"/>
      <w:bookmarkEnd w:id="271"/>
      <w:bookmarkEnd w:id="272"/>
      <w:bookmarkEnd w:id="273"/>
      <w:bookmarkEnd w:id="274"/>
      <w:bookmarkEnd w:id="275"/>
    </w:p>
    <w:p>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276" w:name="_Toc450662885"/>
    </w:p>
    <w:p>
      <w:pPr>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77" w:name="_Toc6726_WPSOffice_Level3"/>
      <w:bookmarkStart w:id="278" w:name="_Toc15390"/>
      <w:bookmarkStart w:id="279" w:name="_Toc486167699"/>
      <w:bookmarkStart w:id="280" w:name="_Toc142508350"/>
      <w:bookmarkStart w:id="281" w:name="_Toc24266"/>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276"/>
      <w:bookmarkEnd w:id="277"/>
      <w:bookmarkEnd w:id="278"/>
      <w:bookmarkEnd w:id="279"/>
      <w:bookmarkEnd w:id="280"/>
      <w:bookmarkEnd w:id="281"/>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282"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83" w:name="_Toc486167700"/>
      <w:bookmarkStart w:id="284" w:name="_Toc32732"/>
      <w:bookmarkStart w:id="285" w:name="_Toc9694_WPSOffice_Level3"/>
      <w:bookmarkStart w:id="286" w:name="_Toc14446"/>
      <w:bookmarkStart w:id="287" w:name="_Toc142508351"/>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282"/>
      <w:bookmarkEnd w:id="283"/>
      <w:bookmarkEnd w:id="284"/>
      <w:bookmarkEnd w:id="285"/>
      <w:bookmarkEnd w:id="286"/>
      <w:bookmarkEnd w:id="287"/>
    </w:p>
    <w:p>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在签署合同前，招标人可对中标人投标报价明细及附表内的算术性错误进行修正，修正原则为：</w:t>
      </w:r>
    </w:p>
    <w:p>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14:textFill>
            <w14:solidFill>
              <w14:schemeClr w14:val="tx1"/>
            </w14:solidFill>
          </w14:textFill>
        </w:rPr>
      </w:pPr>
      <w:bookmarkStart w:id="288" w:name="_Toc10513_WPSOffice_Level3"/>
      <w:bookmarkStart w:id="289" w:name="_Toc486167701"/>
      <w:bookmarkStart w:id="290" w:name="_Toc450662887"/>
      <w:bookmarkStart w:id="291" w:name="_Toc142508352"/>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92" w:name="_Toc8873"/>
      <w:bookmarkStart w:id="293" w:name="_Toc26916"/>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288"/>
      <w:bookmarkEnd w:id="289"/>
      <w:bookmarkEnd w:id="290"/>
      <w:bookmarkEnd w:id="291"/>
      <w:bookmarkEnd w:id="292"/>
      <w:bookmarkEnd w:id="293"/>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294" w:name="_Toc466882025"/>
      <w:bookmarkStart w:id="295"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其中，采用履约保证金（银行转账形式）的金额为合同价的5%，采用不可撤销银行履约保函形式的金额为合同价的8%，采用</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形式的金额为合同价的8%，采用担保公司履约担保书形式的金额为合同价的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u w:val="singl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u w:val="single"/>
          <w14:textFill>
            <w14:solidFill>
              <w14:schemeClr w14:val="tx1"/>
            </w14:solidFill>
          </w14:textFill>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可撤销银行履约保函（或履约保证保险或担保公司履约担保书）应从合同签订之日起（或签订合同前）至合同期限届满并全部货物经最终验收合格、招标人向中标人支付全部款项（除质保金）后二十八（28）日内</w:t>
      </w:r>
      <w:r>
        <w:rPr>
          <w:rFonts w:ascii="宋体" w:hAnsi="宋体" w:eastAsia="宋体" w:cs="Times New Roman"/>
          <w:color w:val="000000" w:themeColor="text1"/>
          <w:kern w:val="0"/>
          <w:szCs w:val="21"/>
          <w:highlight w:val="none"/>
          <w14:textFill>
            <w14:solidFill>
              <w14:schemeClr w14:val="tx1"/>
            </w14:solidFill>
          </w14:textFill>
        </w:rPr>
        <w:t>保持有效</w:t>
      </w:r>
      <w:r>
        <w:rPr>
          <w:rFonts w:hint="eastAsia" w:ascii="宋体" w:hAnsi="宋体" w:eastAsia="宋体" w:cs="宋体"/>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firstLine="632" w:firstLineChars="300"/>
        <w:jc w:val="left"/>
        <w:outlineLvl w:val="0"/>
        <w:rPr>
          <w:rFonts w:ascii="宋体" w:hAnsi="宋体" w:eastAsia="宋体" w:cs="宋体"/>
          <w:b/>
          <w:color w:val="000000" w:themeColor="text1"/>
          <w:kern w:val="0"/>
          <w:szCs w:val="21"/>
          <w:highlight w:val="none"/>
          <w14:textFill>
            <w14:solidFill>
              <w14:schemeClr w14:val="tx1"/>
            </w14:solidFill>
          </w14:textFill>
        </w:rPr>
      </w:pPr>
      <w:bookmarkStart w:id="296" w:name="_Toc26941"/>
      <w:r>
        <w:rPr>
          <w:rFonts w:hint="eastAsia" w:ascii="宋体" w:hAnsi="宋体" w:eastAsia="宋体" w:cs="宋体"/>
          <w:b/>
          <w:color w:val="000000" w:themeColor="text1"/>
          <w:kern w:val="0"/>
          <w:szCs w:val="21"/>
          <w:highlight w:val="none"/>
          <w14:textFill>
            <w14:solidFill>
              <w14:schemeClr w14:val="tx1"/>
            </w14:solidFill>
          </w14:textFill>
        </w:rPr>
        <w:t>东莞市石鼓净水有限公司履约保证金账户：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bookmarkEnd w:id="296"/>
    </w:p>
    <w:p>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开户名称：东莞市石鼓净水有限公司</w:t>
      </w:r>
    </w:p>
    <w:p>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银行账号：944004010000157127</w:t>
      </w:r>
    </w:p>
    <w:p>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w:t>
      </w:r>
      <w:r>
        <w:rPr>
          <w:rFonts w:hint="eastAsia" w:ascii="宋体" w:hAnsi="宋体" w:eastAsia="宋体" w:cs="宋体"/>
          <w:b/>
          <w:bCs/>
          <w:color w:val="000000" w:themeColor="text1"/>
          <w:highlight w:val="none"/>
          <w14:textFill>
            <w14:solidFill>
              <w14:schemeClr w14:val="tx1"/>
            </w14:solidFill>
          </w14:textFill>
        </w:rPr>
        <w:t>邮政储蓄东莞分行</w:t>
      </w:r>
    </w:p>
    <w:p>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交给招标人，由招标人在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中标人以履约保证金（银行转账形式）提供履约担保的，在合同期限届满并全部货物经最终验收合格，招标人向中标人支付全部货款（除质保金）二十八（28）日</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账户</w:t>
      </w:r>
      <w:r>
        <w:rPr>
          <w:rFonts w:hint="eastAsia" w:ascii="宋体" w:hAnsi="宋体" w:eastAsia="宋体" w:cs="宋体"/>
          <w:color w:val="000000" w:themeColor="text1"/>
          <w:kern w:val="0"/>
          <w:szCs w:val="21"/>
          <w:highlight w:val="none"/>
          <w14:textFill>
            <w14:solidFill>
              <w14:schemeClr w14:val="tx1"/>
            </w14:solidFill>
          </w14:textFill>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297" w:name="_Toc142508353"/>
      <w:bookmarkStart w:id="298" w:name="_Toc26803"/>
      <w:bookmarkStart w:id="299" w:name="_Toc486167702"/>
      <w:bookmarkStart w:id="300" w:name="_Toc13033"/>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294"/>
      <w:bookmarkEnd w:id="295"/>
      <w:bookmarkEnd w:id="297"/>
      <w:bookmarkEnd w:id="298"/>
      <w:bookmarkEnd w:id="299"/>
      <w:bookmarkEnd w:id="300"/>
    </w:p>
    <w:p>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01" w:name="_Toc450662888"/>
    </w:p>
    <w:p>
      <w:pPr>
        <w:tabs>
          <w:tab w:val="left" w:pos="465"/>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302" w:name="_Toc14372"/>
      <w:bookmarkStart w:id="303" w:name="_Toc142508354"/>
      <w:bookmarkStart w:id="304" w:name="_Toc486167703"/>
      <w:bookmarkStart w:id="305" w:name="_Toc1985"/>
      <w:bookmarkStart w:id="306" w:name="_Toc28921_WPSOffice_Level3"/>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01"/>
      <w:bookmarkEnd w:id="302"/>
      <w:bookmarkEnd w:id="303"/>
      <w:bookmarkEnd w:id="304"/>
      <w:bookmarkEnd w:id="305"/>
      <w:bookmarkEnd w:id="306"/>
    </w:p>
    <w:p>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07" w:name="_Toc450662889"/>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lang w:val="zh-CN"/>
          <w14:textFill>
            <w14:solidFill>
              <w14:schemeClr w14:val="tx1"/>
            </w14:solidFill>
          </w14:textFill>
        </w:rPr>
      </w:pPr>
      <w:bookmarkStart w:id="308" w:name="_Toc486167704"/>
      <w:bookmarkStart w:id="309" w:name="_Toc6764_WPSOffice_Level3"/>
      <w:bookmarkStart w:id="310" w:name="_Toc15412"/>
      <w:bookmarkStart w:id="311" w:name="_Toc142508355"/>
      <w:bookmarkStart w:id="312" w:name="_Toc26292"/>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07"/>
      <w:bookmarkEnd w:id="308"/>
      <w:bookmarkEnd w:id="309"/>
      <w:bookmarkEnd w:id="310"/>
      <w:bookmarkEnd w:id="311"/>
      <w:bookmarkEnd w:id="312"/>
    </w:p>
    <w:p>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该项目获得中标的中标人在执行合同过程中，向招标人（或招标人的权属</w:t>
      </w:r>
      <w:r>
        <w:rPr>
          <w:rFonts w:hint="eastAsia" w:ascii="宋体" w:hAnsi="宋体" w:eastAsia="宋体" w:cs="Times New Roman"/>
          <w:color w:val="000000" w:themeColor="text1"/>
          <w:szCs w:val="21"/>
          <w:highlight w:val="none"/>
          <w:lang w:val="en-US" w:eastAsia="zh-CN"/>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公司）出具的发票必须是由中标人开具，不得以其他单位或个人名义出具，本项目中标人向招标人（或招标人的权属</w:t>
      </w:r>
      <w:r>
        <w:rPr>
          <w:rFonts w:hint="eastAsia" w:ascii="宋体" w:hAnsi="宋体" w:eastAsia="宋体" w:cs="Times New Roman"/>
          <w:color w:val="000000" w:themeColor="text1"/>
          <w:szCs w:val="21"/>
          <w:highlight w:val="none"/>
          <w:lang w:val="en-US" w:eastAsia="zh-CN"/>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公司）出具的发票类型为增值税专用发票。</w:t>
      </w:r>
      <w:bookmarkStart w:id="313" w:name="_Toc486167705"/>
      <w:bookmarkStart w:id="314" w:name="_Toc31106_WPSOffice_Level3"/>
    </w:p>
    <w:p>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000000" w:themeColor="text1"/>
          <w:szCs w:val="21"/>
          <w:highlight w:val="none"/>
          <w14:textFill>
            <w14:solidFill>
              <w14:schemeClr w14:val="tx1"/>
            </w14:solidFill>
          </w14:textFill>
        </w:rPr>
      </w:pPr>
      <w:bookmarkStart w:id="315" w:name="_Toc16304"/>
      <w:bookmarkStart w:id="316" w:name="_Toc27706"/>
      <w:bookmarkStart w:id="317" w:name="_Toc142508356"/>
      <w:r>
        <w:rPr>
          <w:rFonts w:ascii="宋体" w:hAnsi="宋体" w:eastAsia="宋体" w:cs="宋体"/>
          <w:b/>
          <w:color w:val="000000" w:themeColor="text1"/>
          <w:szCs w:val="21"/>
          <w:highlight w:val="none"/>
          <w14:textFill>
            <w14:solidFill>
              <w14:schemeClr w14:val="tx1"/>
            </w14:solidFill>
          </w14:textFill>
        </w:rPr>
        <w:t>39 招标相关补充约定</w:t>
      </w:r>
      <w:bookmarkEnd w:id="315"/>
      <w:bookmarkEnd w:id="316"/>
      <w:bookmarkEnd w:id="317"/>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000000" w:themeColor="text1"/>
          <w:szCs w:val="21"/>
          <w:highlight w:val="none"/>
          <w14:textFill>
            <w14:solidFill>
              <w14:schemeClr w14:val="tx1"/>
            </w14:solidFill>
          </w14:textFill>
        </w:rPr>
      </w:pPr>
      <w:bookmarkStart w:id="318" w:name="_Toc11641"/>
      <w:bookmarkStart w:id="319" w:name="_Toc142508357"/>
      <w:bookmarkStart w:id="320" w:name="_Toc26725"/>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313"/>
      <w:bookmarkEnd w:id="314"/>
      <w:bookmarkEnd w:id="318"/>
      <w:bookmarkEnd w:id="319"/>
      <w:bookmarkEnd w:id="320"/>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21" w:name="_Toc27939_WPSOffice_Level1"/>
      <w:bookmarkStart w:id="322" w:name="_Toc142508358"/>
      <w:bookmarkStart w:id="323" w:name="_Toc450662891"/>
      <w:bookmarkStart w:id="324" w:name="_Toc486167706"/>
      <w:bookmarkStart w:id="325" w:name="_Toc28218"/>
      <w:bookmarkStart w:id="326" w:name="_Toc2423"/>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321"/>
      <w:bookmarkEnd w:id="322"/>
      <w:bookmarkEnd w:id="323"/>
      <w:bookmarkEnd w:id="324"/>
      <w:bookmarkEnd w:id="325"/>
      <w:bookmarkEnd w:id="326"/>
    </w:p>
    <w:p>
      <w:pPr>
        <w:autoSpaceDE w:val="0"/>
        <w:autoSpaceDN w:val="0"/>
        <w:adjustRightInd w:val="0"/>
        <w:spacing w:before="120" w:beforeLines="50" w:after="120" w:afterLines="50" w:line="360" w:lineRule="auto"/>
        <w:jc w:val="left"/>
        <w:rPr>
          <w:rFonts w:ascii="宋体" w:hAnsi="宋体" w:eastAsia="宋体" w:cs="Times New Roman"/>
          <w:b/>
          <w:color w:val="000000" w:themeColor="text1"/>
          <w:kern w:val="0"/>
          <w:sz w:val="24"/>
          <w:szCs w:val="24"/>
          <w:highlight w:val="none"/>
          <w:lang w:val="zh-CN"/>
          <w14:textFill>
            <w14:solidFill>
              <w14:schemeClr w14:val="tx1"/>
            </w14:solidFill>
          </w14:textFill>
        </w:rPr>
      </w:pPr>
      <w:r>
        <w:rPr>
          <w:rFonts w:hint="eastAsia" w:ascii="宋体" w:hAnsi="宋体" w:eastAsia="宋体" w:cs="Times New Roman"/>
          <w:b/>
          <w:color w:val="000000" w:themeColor="text1"/>
          <w:kern w:val="0"/>
          <w:sz w:val="24"/>
          <w:szCs w:val="24"/>
          <w:highlight w:val="none"/>
          <w:lang w:val="zh-CN"/>
          <w14:textFill>
            <w14:solidFill>
              <w14:schemeClr w14:val="tx1"/>
            </w14:solidFill>
          </w14:textFill>
        </w:rPr>
        <w:t>一</w:t>
      </w:r>
      <w:r>
        <w:rPr>
          <w:rFonts w:ascii="宋体" w:hAnsi="宋体" w:eastAsia="宋体" w:cs="Times New Roman"/>
          <w:b/>
          <w:color w:val="000000" w:themeColor="text1"/>
          <w:kern w:val="0"/>
          <w:sz w:val="24"/>
          <w:szCs w:val="24"/>
          <w:highlight w:val="none"/>
          <w:lang w:val="zh-CN"/>
          <w14:textFill>
            <w14:solidFill>
              <w14:schemeClr w14:val="tx1"/>
            </w14:solidFill>
          </w14:textFill>
        </w:rPr>
        <w:t>.项目信息</w:t>
      </w:r>
    </w:p>
    <w:p>
      <w:pPr>
        <w:autoSpaceDE w:val="0"/>
        <w:autoSpaceDN w:val="0"/>
        <w:adjustRightInd w:val="0"/>
        <w:spacing w:line="360" w:lineRule="auto"/>
        <w:ind w:firstLine="420" w:firstLineChars="200"/>
        <w:jc w:val="left"/>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招标人：东莞市石鼓净水有限公司</w:t>
      </w:r>
    </w:p>
    <w:p>
      <w:pPr>
        <w:autoSpaceDE w:val="0"/>
        <w:autoSpaceDN w:val="0"/>
        <w:adjustRightInd w:val="0"/>
        <w:spacing w:line="360" w:lineRule="auto"/>
        <w:ind w:firstLine="420" w:firstLineChars="200"/>
        <w:jc w:val="left"/>
        <w:rPr>
          <w:rFonts w:hint="eastAsia" w:ascii="宋体" w:hAnsi="宋体" w:eastAsia="宋体" w:cs="Times New Roman"/>
          <w:color w:val="000000" w:themeColor="text1"/>
          <w:kern w:val="0"/>
          <w:sz w:val="21"/>
          <w:szCs w:val="21"/>
          <w:highlight w:val="none"/>
          <w:lang w:eastAsia="zh-CN"/>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项目名称：</w:t>
      </w:r>
      <w:r>
        <w:rPr>
          <w:rFonts w:hint="eastAsia" w:ascii="宋体" w:hAnsi="宋体" w:eastAsia="宋体" w:cs="Times New Roman"/>
          <w:color w:val="000000" w:themeColor="text1"/>
          <w:kern w:val="0"/>
          <w:sz w:val="21"/>
          <w:szCs w:val="21"/>
          <w:highlight w:val="none"/>
          <w:lang w:eastAsia="zh-CN"/>
          <w14:textFill>
            <w14:solidFill>
              <w14:schemeClr w14:val="tx1"/>
            </w14:solidFill>
          </w14:textFill>
        </w:rPr>
        <w:t>东莞市石鼓净水有限公司石碣二期生化池曝气系统重置采购项目（重新招标）</w:t>
      </w:r>
    </w:p>
    <w:p>
      <w:pPr>
        <w:autoSpaceDE w:val="0"/>
        <w:autoSpaceDN w:val="0"/>
        <w:adjustRightInd w:val="0"/>
        <w:spacing w:line="360" w:lineRule="auto"/>
        <w:ind w:firstLine="420" w:firstLineChars="200"/>
        <w:jc w:val="left"/>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采购数量：详见“3.1设备采购清单”</w:t>
      </w:r>
    </w:p>
    <w:p>
      <w:pPr>
        <w:autoSpaceDE w:val="0"/>
        <w:autoSpaceDN w:val="0"/>
        <w:adjustRightInd w:val="0"/>
        <w:spacing w:before="120" w:beforeLines="50" w:after="120" w:afterLines="50" w:line="360" w:lineRule="auto"/>
        <w:jc w:val="left"/>
        <w:rPr>
          <w:rFonts w:hint="eastAsia" w:ascii="宋体" w:hAnsi="宋体" w:eastAsia="宋体" w:cs="Times New Roman"/>
          <w:b/>
          <w:color w:val="000000" w:themeColor="text1"/>
          <w:kern w:val="0"/>
          <w:sz w:val="24"/>
          <w:szCs w:val="24"/>
          <w:highlight w:val="none"/>
          <w:lang w:val="zh-CN"/>
          <w14:textFill>
            <w14:solidFill>
              <w14:schemeClr w14:val="tx1"/>
            </w14:solidFill>
          </w14:textFill>
        </w:rPr>
      </w:pPr>
      <w:r>
        <w:rPr>
          <w:rFonts w:hint="eastAsia" w:ascii="宋体" w:hAnsi="宋体" w:eastAsia="宋体" w:cs="Times New Roman"/>
          <w:b/>
          <w:color w:val="000000" w:themeColor="text1"/>
          <w:kern w:val="0"/>
          <w:sz w:val="24"/>
          <w:szCs w:val="24"/>
          <w:highlight w:val="none"/>
          <w:lang w:val="zh-CN"/>
          <w14:textFill>
            <w14:solidFill>
              <w14:schemeClr w14:val="tx1"/>
            </w14:solidFill>
          </w14:textFill>
        </w:rPr>
        <w:t>二.项目概况</w:t>
      </w:r>
    </w:p>
    <w:p>
      <w:pPr>
        <w:autoSpaceDE w:val="0"/>
        <w:autoSpaceDN w:val="0"/>
        <w:adjustRightInd w:val="0"/>
        <w:spacing w:line="360" w:lineRule="auto"/>
        <w:ind w:firstLine="420" w:firstLineChars="200"/>
        <w:jc w:val="left"/>
        <w:rPr>
          <w:rFonts w:hint="eastAsia" w:ascii="宋体" w:hAnsi="Times New Roman" w:eastAsia="宋体" w:cs="Times New Roman"/>
          <w:color w:val="000000" w:themeColor="text1"/>
          <w:kern w:val="0"/>
          <w:sz w:val="21"/>
          <w:szCs w:val="21"/>
          <w:highlight w:val="none"/>
          <w14:textFill>
            <w14:solidFill>
              <w14:schemeClr w14:val="tx1"/>
            </w14:solidFill>
          </w14:textFill>
        </w:rPr>
      </w:pPr>
      <w:r>
        <w:rPr>
          <w:rFonts w:hint="eastAsia" w:ascii="宋体" w:hAnsi="Times New Roman" w:eastAsia="宋体" w:cs="Times New Roman"/>
          <w:color w:val="000000" w:themeColor="text1"/>
          <w:kern w:val="0"/>
          <w:sz w:val="21"/>
          <w:szCs w:val="21"/>
          <w:highlight w:val="none"/>
          <w14:textFill>
            <w14:solidFill>
              <w14:schemeClr w14:val="tx1"/>
            </w14:solidFill>
          </w14:textFill>
        </w:rPr>
        <w:t>石碣二期工程于2015年12月投产，污水处理采用MSBR工艺，污水处理规模10万吨/天，总变化系数1.0。石碣二期MSBR池分为两组，每组设计处理水量5万吨/天，目前生化池安装了4120根可事托公司生产的DN65管式微孔曝气管，膜片材质为EPDM，于2015年12月至今已使用超过8年，曝气管膜片老化严重，曝气不均匀，氧的转移效率大幅下降，生化池气水比高，二期鼓风机长时间高频率运行，对鼓风机设备及生化池处理能力造成严重影响。因此，从保障石碣二期出水稳定达标、提高处理能力及降低鼓风机能耗等方面考虑，现计划对石碣二期曝气系统进行重置。</w:t>
      </w:r>
    </w:p>
    <w:p>
      <w:pPr>
        <w:autoSpaceDE w:val="0"/>
        <w:autoSpaceDN w:val="0"/>
        <w:adjustRightInd w:val="0"/>
        <w:spacing w:line="360" w:lineRule="auto"/>
        <w:ind w:firstLine="420"/>
        <w:rPr>
          <w:rFonts w:hint="eastAsia" w:ascii="宋体" w:hAnsi="宋体" w:eastAsia="宋体" w:cs="Times New Roman"/>
          <w:b/>
          <w:color w:val="000000" w:themeColor="text1"/>
          <w:sz w:val="21"/>
          <w:szCs w:val="21"/>
          <w:highlight w:val="none"/>
          <w:lang w:val="zh-CN" w:eastAsia="zh-CN" w:bidi="ar-SA"/>
          <w14:textFill>
            <w14:solidFill>
              <w14:schemeClr w14:val="tx1"/>
            </w14:solidFill>
          </w14:textFill>
        </w:rPr>
      </w:pPr>
      <w:r>
        <w:rPr>
          <w:rFonts w:hint="eastAsia" w:ascii="宋体" w:hAnsi="Times New Roman" w:eastAsia="宋体" w:cs="Times New Roman"/>
          <w:color w:val="000000" w:themeColor="text1"/>
          <w:kern w:val="0"/>
          <w:sz w:val="21"/>
          <w:szCs w:val="21"/>
          <w:highlight w:val="none"/>
          <w14:textFill>
            <w14:solidFill>
              <w14:schemeClr w14:val="tx1"/>
            </w14:solidFill>
          </w14:textFill>
        </w:rPr>
        <w:t>本项目需</w:t>
      </w:r>
      <w:r>
        <w:rPr>
          <w:rFonts w:hint="eastAsia" w:ascii="宋体" w:hAnsi="Times New Roman" w:eastAsia="宋体" w:cs="Times New Roman"/>
          <w:color w:val="000000" w:themeColor="text1"/>
          <w:kern w:val="0"/>
          <w:sz w:val="21"/>
          <w:szCs w:val="21"/>
          <w:highlight w:val="none"/>
          <w:lang w:val="zh-CN"/>
          <w14:textFill>
            <w14:solidFill>
              <w14:schemeClr w14:val="tx1"/>
            </w14:solidFill>
          </w14:textFill>
        </w:rPr>
        <w:t>对</w:t>
      </w:r>
      <w:r>
        <w:rPr>
          <w:rFonts w:hint="eastAsia" w:ascii="宋体" w:hAnsi="Times New Roman" w:eastAsia="宋体" w:cs="Times New Roman"/>
          <w:color w:val="000000" w:themeColor="text1"/>
          <w:kern w:val="0"/>
          <w:sz w:val="21"/>
          <w:szCs w:val="21"/>
          <w:highlight w:val="none"/>
          <w14:textFill>
            <w14:solidFill>
              <w14:schemeClr w14:val="tx1"/>
            </w14:solidFill>
          </w14:textFill>
        </w:rPr>
        <w:t>石碣二期生化池现有曝气管进行重置</w:t>
      </w:r>
      <w:r>
        <w:rPr>
          <w:rFonts w:hint="eastAsia" w:ascii="宋体" w:hAnsi="Times New Roman" w:eastAsia="宋体" w:cs="Times New Roman"/>
          <w:color w:val="000000" w:themeColor="text1"/>
          <w:kern w:val="0"/>
          <w:sz w:val="21"/>
          <w:szCs w:val="21"/>
          <w:highlight w:val="none"/>
          <w:lang w:val="zh-CN"/>
          <w14:textFill>
            <w14:solidFill>
              <w14:schemeClr w14:val="tx1"/>
            </w14:solidFill>
          </w14:textFill>
        </w:rPr>
        <w:t>，</w:t>
      </w:r>
      <w:r>
        <w:rPr>
          <w:rFonts w:hint="eastAsia" w:ascii="宋体" w:hAnsi="Times New Roman" w:eastAsia="宋体" w:cs="Times New Roman"/>
          <w:color w:val="000000" w:themeColor="text1"/>
          <w:kern w:val="0"/>
          <w:sz w:val="21"/>
          <w:szCs w:val="21"/>
          <w:highlight w:val="none"/>
          <w14:textFill>
            <w14:solidFill>
              <w14:schemeClr w14:val="tx1"/>
            </w14:solidFill>
          </w14:textFill>
        </w:rPr>
        <w:t>投标人须具备曝气器系统设计、安装及调试能力。同时，投标人须负责对原曝气系统进行拆除、对生化池进行清淤，后安装新曝气管。此外，曝气器系统重置所涉及的生化池清淤工作及重置系统安装前所需保证的场地条件亦由投标人负责。投标人应保证投标产品及安装质量满足相关规范及本采购需求书涉及的相关要求。</w:t>
      </w:r>
    </w:p>
    <w:p>
      <w:pPr>
        <w:autoSpaceDE w:val="0"/>
        <w:autoSpaceDN w:val="0"/>
        <w:adjustRightInd w:val="0"/>
        <w:spacing w:before="120" w:beforeLines="50" w:after="120" w:afterLines="50" w:line="360" w:lineRule="auto"/>
        <w:jc w:val="left"/>
        <w:rPr>
          <w:rFonts w:hint="eastAsia" w:ascii="宋体" w:hAnsi="宋体" w:eastAsia="宋体" w:cs="Times New Roman"/>
          <w:b/>
          <w:color w:val="000000" w:themeColor="text1"/>
          <w:kern w:val="0"/>
          <w:sz w:val="24"/>
          <w:szCs w:val="24"/>
          <w:highlight w:val="none"/>
          <w:lang w:val="zh-CN"/>
          <w14:textFill>
            <w14:solidFill>
              <w14:schemeClr w14:val="tx1"/>
            </w14:solidFill>
          </w14:textFill>
        </w:rPr>
      </w:pPr>
      <w:r>
        <w:rPr>
          <w:rFonts w:hint="eastAsia" w:ascii="宋体" w:hAnsi="宋体" w:eastAsia="宋体" w:cs="Times New Roman"/>
          <w:b/>
          <w:color w:val="000000" w:themeColor="text1"/>
          <w:kern w:val="0"/>
          <w:sz w:val="24"/>
          <w:szCs w:val="24"/>
          <w:highlight w:val="none"/>
          <w:lang w:val="zh-CN"/>
          <w14:textFill>
            <w14:solidFill>
              <w14:schemeClr w14:val="tx1"/>
            </w14:solidFill>
          </w14:textFill>
        </w:rPr>
        <w:t>三. 采购设备清单及供货安装界限</w:t>
      </w:r>
    </w:p>
    <w:p>
      <w:pPr>
        <w:autoSpaceDE w:val="0"/>
        <w:autoSpaceDN w:val="0"/>
        <w:adjustRightInd w:val="0"/>
        <w:spacing w:line="360" w:lineRule="auto"/>
        <w:jc w:val="left"/>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3.1设备及服务采购清单</w:t>
      </w:r>
    </w:p>
    <w:tbl>
      <w:tblPr>
        <w:tblStyle w:val="36"/>
        <w:tblW w:w="1037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111"/>
        <w:gridCol w:w="5680"/>
        <w:gridCol w:w="850"/>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right"/>
        </w:trPr>
        <w:tc>
          <w:tcPr>
            <w:tcW w:w="591"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2111"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名  称</w:t>
            </w:r>
          </w:p>
        </w:tc>
        <w:tc>
          <w:tcPr>
            <w:tcW w:w="5680"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规格参数</w:t>
            </w:r>
          </w:p>
        </w:tc>
        <w:tc>
          <w:tcPr>
            <w:tcW w:w="850"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数量</w:t>
            </w:r>
          </w:p>
        </w:tc>
        <w:tc>
          <w:tcPr>
            <w:tcW w:w="1138"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right"/>
        </w:trPr>
        <w:tc>
          <w:tcPr>
            <w:tcW w:w="591"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111"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EPDM管式微孔曝气器</w:t>
            </w:r>
          </w:p>
        </w:tc>
        <w:tc>
          <w:tcPr>
            <w:tcW w:w="5680" w:type="dxa"/>
            <w:noWrap w:val="0"/>
            <w:vAlign w:val="center"/>
          </w:tcPr>
          <w:p>
            <w:pPr>
              <w:autoSpaceDE w:val="0"/>
              <w:autoSpaceDN w:val="0"/>
              <w:adjustRightInd w:val="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总设计曝气量≥28840m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/h；单管最大曝气量≥12 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/h，</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长度1m，</w:t>
            </w:r>
            <w:r>
              <w:rPr>
                <w:rFonts w:hint="eastAsia" w:ascii="宋体" w:hAnsi="宋体" w:eastAsia="宋体" w:cs="宋体"/>
                <w:color w:val="000000" w:themeColor="text1"/>
                <w:kern w:val="0"/>
                <w:sz w:val="21"/>
                <w:szCs w:val="21"/>
                <w:highlight w:val="none"/>
                <w14:textFill>
                  <w14:solidFill>
                    <w14:schemeClr w14:val="tx1"/>
                  </w14:solidFill>
                </w14:textFill>
              </w:rPr>
              <w:t>标准通气量：7m³/h；膜片直径65mm，材质：EPDM。</w:t>
            </w:r>
          </w:p>
        </w:tc>
        <w:tc>
          <w:tcPr>
            <w:tcW w:w="850"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4120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根</w:t>
            </w:r>
          </w:p>
        </w:tc>
        <w:tc>
          <w:tcPr>
            <w:tcW w:w="1138"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含可提升式安装1600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right"/>
        </w:trPr>
        <w:tc>
          <w:tcPr>
            <w:tcW w:w="591"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111"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EPDM管式微孔曝气器（备品）</w:t>
            </w:r>
          </w:p>
        </w:tc>
        <w:tc>
          <w:tcPr>
            <w:tcW w:w="5680" w:type="dxa"/>
            <w:noWrap w:val="0"/>
            <w:vAlign w:val="center"/>
          </w:tcPr>
          <w:p>
            <w:pPr>
              <w:autoSpaceDE w:val="0"/>
              <w:autoSpaceDN w:val="0"/>
              <w:adjustRightInd w:val="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总设计曝气量≥28840m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/h；单管最大曝气量≥12 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/h，</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长度1m，</w:t>
            </w:r>
            <w:r>
              <w:rPr>
                <w:rFonts w:hint="eastAsia" w:ascii="宋体" w:hAnsi="宋体" w:eastAsia="宋体" w:cs="宋体"/>
                <w:color w:val="000000" w:themeColor="text1"/>
                <w:kern w:val="0"/>
                <w:sz w:val="21"/>
                <w:szCs w:val="21"/>
                <w:highlight w:val="none"/>
                <w14:textFill>
                  <w14:solidFill>
                    <w14:schemeClr w14:val="tx1"/>
                  </w14:solidFill>
                </w14:textFill>
              </w:rPr>
              <w:t>标准通气量：7m³/h；膜片直径65mm，材质：EPDM。</w:t>
            </w:r>
          </w:p>
        </w:tc>
        <w:tc>
          <w:tcPr>
            <w:tcW w:w="850"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根</w:t>
            </w:r>
          </w:p>
        </w:tc>
        <w:tc>
          <w:tcPr>
            <w:tcW w:w="1138"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91"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111"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MSBR池清淤</w:t>
            </w:r>
          </w:p>
        </w:tc>
        <w:tc>
          <w:tcPr>
            <w:tcW w:w="5680" w:type="dxa"/>
            <w:noWrap w:val="0"/>
            <w:vAlign w:val="center"/>
          </w:tcPr>
          <w:p>
            <w:pPr>
              <w:autoSpaceDE w:val="0"/>
              <w:autoSpaceDN w:val="0"/>
              <w:adjustRightInd w:val="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清理生化池池底淤泥，清淤范围为两个MSBR池，总共4个序批池、2个好氧池，总面积约为9000m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淤泥平均深度0.4m估算，清淤量约为3600m</w:t>
            </w:r>
            <w:r>
              <w:rPr>
                <w:rFonts w:hint="eastAsia" w:ascii="宋体" w:hAnsi="宋体" w:eastAsia="宋体" w:cs="宋体"/>
                <w:color w:val="000000" w:themeColor="text1"/>
                <w:kern w:val="0"/>
                <w:szCs w:val="21"/>
                <w:highlight w:val="none"/>
                <w:vertAlign w:val="superscript"/>
                <w14:textFill>
                  <w14:solidFill>
                    <w14:schemeClr w14:val="tx1"/>
                  </w14:solidFill>
                </w14:textFill>
              </w:rPr>
              <w:t>3</w:t>
            </w:r>
            <w:r>
              <w:rPr>
                <w:rFonts w:hint="eastAsia" w:ascii="宋体" w:hAnsi="Times New Roman" w:eastAsia="宋体" w:cs="Times New Roman"/>
                <w:color w:val="000000" w:themeColor="text1"/>
                <w:kern w:val="0"/>
                <w:sz w:val="21"/>
                <w:szCs w:val="21"/>
                <w:highlight w:val="none"/>
                <w:vertAlign w:val="baseli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整个生化池池底淤泥清淤工作由投标人负责。清淤所需的工具、设备材料等由投标人自行安排。投标人需清理生化池内所有积沙和部分淤泥，并按招标人的要求处理积沙和淤泥（不含外运处理处置) 。清淤后，投标人需及时对生化池及相应的场地、道路、绿化等进行冲洗、清洁，生化池曝气区域清淤效果需满足现有曝气系统拆除工作及新购置曝气系统安装工作的正常开展。</w:t>
            </w:r>
          </w:p>
        </w:tc>
        <w:tc>
          <w:tcPr>
            <w:tcW w:w="850"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c>
          <w:tcPr>
            <w:tcW w:w="1138" w:type="dxa"/>
            <w:noWrap w:val="0"/>
            <w:vAlign w:val="center"/>
          </w:tcPr>
          <w:p>
            <w:pPr>
              <w:autoSpaceDE w:val="0"/>
              <w:autoSpaceDN w:val="0"/>
              <w:adjustRightInd w:val="0"/>
              <w:jc w:val="both"/>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591"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2111" w:type="dxa"/>
            <w:noWrap w:val="0"/>
            <w:vAlign w:val="center"/>
          </w:tcPr>
          <w:p>
            <w:pPr>
              <w:autoSpaceDE w:val="0"/>
              <w:autoSpaceDN w:val="0"/>
              <w:adjustRightInd w:val="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维护生产措施费</w:t>
            </w:r>
          </w:p>
        </w:tc>
        <w:tc>
          <w:tcPr>
            <w:tcW w:w="5680" w:type="dxa"/>
            <w:noWrap w:val="0"/>
            <w:vAlign w:val="center"/>
          </w:tcPr>
          <w:p>
            <w:pPr>
              <w:autoSpaceDE w:val="0"/>
              <w:autoSpaceDN w:val="0"/>
              <w:adjustRightInd w:val="0"/>
              <w:jc w:val="both"/>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施工期间对厂区卫生进行维持。</w:t>
            </w:r>
          </w:p>
        </w:tc>
        <w:tc>
          <w:tcPr>
            <w:tcW w:w="850"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c>
          <w:tcPr>
            <w:tcW w:w="1138" w:type="dxa"/>
            <w:noWrap w:val="0"/>
            <w:vAlign w:val="center"/>
          </w:tcPr>
          <w:p>
            <w:pPr>
              <w:autoSpaceDE w:val="0"/>
              <w:autoSpaceDN w:val="0"/>
              <w:adjustRightInd w:val="0"/>
              <w:jc w:val="both"/>
              <w:rPr>
                <w:rFonts w:hint="eastAsia" w:ascii="宋体" w:hAnsi="宋体" w:eastAsia="宋体" w:cs="宋体"/>
                <w:color w:val="000000" w:themeColor="text1"/>
                <w:kern w:val="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right"/>
        </w:trPr>
        <w:tc>
          <w:tcPr>
            <w:tcW w:w="591"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2111"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现状曝气系统拆除</w:t>
            </w:r>
          </w:p>
        </w:tc>
        <w:tc>
          <w:tcPr>
            <w:tcW w:w="5680" w:type="dxa"/>
            <w:noWrap w:val="0"/>
            <w:vAlign w:val="center"/>
          </w:tcPr>
          <w:p>
            <w:pPr>
              <w:autoSpaceDE w:val="0"/>
              <w:autoSpaceDN w:val="0"/>
              <w:adjustRightInd w:val="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拆除现有曝气系统，主要包含输气管道、曝气器、管道支撑、曝气器支架、地脚螺栓等的拆除、表面清洗及转运。本项目涉及的拆装管式曝气器数量4120根。</w:t>
            </w:r>
          </w:p>
        </w:tc>
        <w:tc>
          <w:tcPr>
            <w:tcW w:w="850" w:type="dxa"/>
            <w:noWrap w:val="0"/>
            <w:vAlign w:val="center"/>
          </w:tcPr>
          <w:p>
            <w:pPr>
              <w:autoSpaceDE w:val="0"/>
              <w:autoSpaceDN w:val="0"/>
              <w:adjustRightIn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c>
          <w:tcPr>
            <w:tcW w:w="1138" w:type="dxa"/>
            <w:noWrap w:val="0"/>
            <w:vAlign w:val="center"/>
          </w:tcPr>
          <w:p>
            <w:pPr>
              <w:autoSpaceDE w:val="0"/>
              <w:autoSpaceDN w:val="0"/>
              <w:adjustRightInd w:val="0"/>
              <w:jc w:val="both"/>
              <w:rPr>
                <w:rFonts w:hint="eastAsia" w:ascii="宋体" w:hAnsi="宋体" w:eastAsia="宋体" w:cs="宋体"/>
                <w:color w:val="000000" w:themeColor="text1"/>
                <w:kern w:val="0"/>
                <w:sz w:val="21"/>
                <w:szCs w:val="21"/>
                <w:highlight w:val="none"/>
                <w14:textFill>
                  <w14:solidFill>
                    <w14:schemeClr w14:val="tx1"/>
                  </w14:solidFill>
                </w14:textFill>
              </w:rPr>
            </w:pPr>
          </w:p>
        </w:tc>
      </w:tr>
    </w:tbl>
    <w:p>
      <w:pPr>
        <w:autoSpaceDE w:val="0"/>
        <w:autoSpaceDN w:val="0"/>
        <w:adjustRightInd w:val="0"/>
        <w:spacing w:line="360" w:lineRule="auto"/>
        <w:ind w:firstLine="422" w:firstLineChars="200"/>
        <w:jc w:val="left"/>
        <w:rPr>
          <w:rFonts w:ascii="Times New Roman" w:hAnsi="Times New Roman" w:eastAsia="宋体" w:cs="Times New Roman"/>
          <w:b/>
          <w:color w:val="000000" w:themeColor="text1"/>
          <w:kern w:val="0"/>
          <w:sz w:val="21"/>
          <w:szCs w:val="21"/>
          <w:highlight w:val="none"/>
          <w14:textFill>
            <w14:solidFill>
              <w14:schemeClr w14:val="tx1"/>
            </w14:solidFill>
          </w14:textFill>
        </w:rPr>
      </w:pPr>
      <w:r>
        <w:rPr>
          <w:rFonts w:hint="eastAsia" w:ascii="宋体" w:hAnsi="Times New Roman" w:eastAsia="宋体" w:cs="Times New Roman"/>
          <w:b/>
          <w:bCs/>
          <w:color w:val="000000" w:themeColor="text1"/>
          <w:kern w:val="0"/>
          <w:sz w:val="21"/>
          <w:szCs w:val="21"/>
          <w:highlight w:val="none"/>
          <w14:textFill>
            <w14:solidFill>
              <w14:schemeClr w14:val="tx1"/>
            </w14:solidFill>
          </w14:textFill>
        </w:rPr>
        <w:t>注：任何元件、设备或装置，如设备清单、用户需求中未提及，但对于完整的性能优良的曝气系统是必不可少的，此类元件、设备或装置均属于供货范围，其费用包含在投标价中。</w:t>
      </w:r>
    </w:p>
    <w:p>
      <w:pPr>
        <w:autoSpaceDE w:val="0"/>
        <w:autoSpaceDN w:val="0"/>
        <w:adjustRightInd w:val="0"/>
        <w:spacing w:line="360" w:lineRule="auto"/>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3.2供货及安装界限</w:t>
      </w:r>
    </w:p>
    <w:p>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投标人负责管</w:t>
      </w:r>
      <w:r>
        <w:rPr>
          <w:rFonts w:hint="eastAsia" w:ascii="宋体" w:hAnsi="宋体" w:eastAsia="宋体" w:cs="宋体"/>
          <w:color w:val="000000" w:themeColor="text1"/>
          <w:kern w:val="0"/>
          <w:sz w:val="21"/>
          <w:szCs w:val="21"/>
          <w:highlight w:val="none"/>
          <w:lang w:val="zh-CN"/>
          <w14:textFill>
            <w14:solidFill>
              <w14:schemeClr w14:val="tx1"/>
            </w14:solidFill>
          </w14:textFill>
        </w:rPr>
        <w:t>式微孔曝气器成套曝气系统</w:t>
      </w:r>
      <w:r>
        <w:rPr>
          <w:rFonts w:hint="eastAsia" w:ascii="宋体" w:hAnsi="宋体" w:eastAsia="宋体" w:cs="宋体"/>
          <w:color w:val="000000" w:themeColor="text1"/>
          <w:kern w:val="0"/>
          <w:sz w:val="21"/>
          <w:szCs w:val="21"/>
          <w:highlight w:val="none"/>
          <w14:textFill>
            <w14:solidFill>
              <w14:schemeClr w14:val="tx1"/>
            </w14:solidFill>
          </w14:textFill>
        </w:rPr>
        <w:t>供货</w:t>
      </w:r>
      <w:r>
        <w:rPr>
          <w:rFonts w:hint="eastAsia" w:ascii="宋体" w:hAnsi="宋体" w:eastAsia="宋体" w:cs="宋体"/>
          <w:color w:val="000000" w:themeColor="text1"/>
          <w:kern w:val="0"/>
          <w:sz w:val="21"/>
          <w:szCs w:val="21"/>
          <w:highlight w:val="none"/>
          <w:lang w:val="zh-CN"/>
          <w14:textFill>
            <w14:solidFill>
              <w14:schemeClr w14:val="tx1"/>
            </w14:solidFill>
          </w14:textFill>
        </w:rPr>
        <w:t>及其安装工作，并</w:t>
      </w:r>
      <w:r>
        <w:rPr>
          <w:rFonts w:hint="eastAsia" w:ascii="宋体" w:hAnsi="宋体" w:eastAsia="宋体" w:cs="宋体"/>
          <w:color w:val="000000" w:themeColor="text1"/>
          <w:kern w:val="0"/>
          <w:sz w:val="21"/>
          <w:szCs w:val="21"/>
          <w:highlight w:val="none"/>
          <w14:textFill>
            <w14:solidFill>
              <w14:schemeClr w14:val="tx1"/>
            </w14:solidFill>
          </w14:textFill>
        </w:rPr>
        <w:t>提供</w:t>
      </w:r>
      <w:r>
        <w:rPr>
          <w:rFonts w:hint="eastAsia" w:ascii="宋体" w:hAnsi="宋体" w:eastAsia="宋体" w:cs="宋体"/>
          <w:color w:val="000000" w:themeColor="text1"/>
          <w:kern w:val="0"/>
          <w:sz w:val="21"/>
          <w:szCs w:val="21"/>
          <w:highlight w:val="none"/>
          <w:lang w:val="zh-CN"/>
          <w14:textFill>
            <w14:solidFill>
              <w14:schemeClr w14:val="tx1"/>
            </w14:solidFill>
          </w14:textFill>
        </w:rPr>
        <w:t>系统调试运行、技术培训服务。</w:t>
      </w:r>
      <w:r>
        <w:rPr>
          <w:rFonts w:hint="eastAsia" w:ascii="宋体" w:hAnsi="宋体" w:eastAsia="宋体" w:cs="宋体"/>
          <w:color w:val="000000" w:themeColor="text1"/>
          <w:kern w:val="0"/>
          <w:sz w:val="21"/>
          <w:szCs w:val="21"/>
          <w:highlight w:val="none"/>
          <w14:textFill>
            <w14:solidFill>
              <w14:schemeClr w14:val="tx1"/>
            </w14:solidFill>
          </w14:textFill>
        </w:rPr>
        <w:t>投标人需对曝气系统进行系统设计，并提供设计计算文件和图纸资料</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管</w:t>
      </w:r>
      <w:r>
        <w:rPr>
          <w:rFonts w:hint="eastAsia" w:ascii="宋体" w:hAnsi="宋体" w:eastAsia="宋体" w:cs="宋体"/>
          <w:color w:val="000000" w:themeColor="text1"/>
          <w:kern w:val="0"/>
          <w:sz w:val="21"/>
          <w:szCs w:val="21"/>
          <w:highlight w:val="none"/>
          <w:lang w:val="zh-CN"/>
          <w14:textFill>
            <w14:solidFill>
              <w14:schemeClr w14:val="tx1"/>
            </w14:solidFill>
          </w14:textFill>
        </w:rPr>
        <w:t>式微孔曝气器成套曝气系统主要包括</w:t>
      </w:r>
      <w:r>
        <w:rPr>
          <w:rFonts w:hint="eastAsia" w:ascii="宋体" w:hAnsi="宋体" w:eastAsia="宋体" w:cs="宋体"/>
          <w:color w:val="000000" w:themeColor="text1"/>
          <w:kern w:val="0"/>
          <w:sz w:val="21"/>
          <w:szCs w:val="21"/>
          <w:highlight w:val="none"/>
          <w14:textFill>
            <w14:solidFill>
              <w14:schemeClr w14:val="tx1"/>
            </w14:solidFill>
          </w14:textFill>
        </w:rPr>
        <w:t>管</w:t>
      </w:r>
      <w:r>
        <w:rPr>
          <w:rFonts w:hint="eastAsia" w:ascii="宋体" w:hAnsi="宋体" w:eastAsia="宋体" w:cs="宋体"/>
          <w:color w:val="000000" w:themeColor="text1"/>
          <w:kern w:val="0"/>
          <w:sz w:val="21"/>
          <w:szCs w:val="21"/>
          <w:highlight w:val="none"/>
          <w:lang w:val="zh-CN"/>
          <w14:textFill>
            <w14:solidFill>
              <w14:schemeClr w14:val="tx1"/>
            </w14:solidFill>
          </w14:textFill>
        </w:rPr>
        <w:t>式微孔曝气器及</w:t>
      </w:r>
      <w:r>
        <w:rPr>
          <w:rFonts w:hint="eastAsia" w:ascii="宋体" w:hAnsi="宋体" w:eastAsia="宋体" w:cs="宋体"/>
          <w:color w:val="000000" w:themeColor="text1"/>
          <w:kern w:val="0"/>
          <w:sz w:val="21"/>
          <w:szCs w:val="21"/>
          <w:highlight w:val="none"/>
          <w14:textFill>
            <w14:solidFill>
              <w14:schemeClr w14:val="tx1"/>
            </w14:solidFill>
          </w14:textFill>
        </w:rPr>
        <w:t>其相关配套</w:t>
      </w:r>
      <w:r>
        <w:rPr>
          <w:rFonts w:hint="eastAsia" w:ascii="宋体" w:hAnsi="宋体" w:eastAsia="宋体" w:cs="宋体"/>
          <w:color w:val="000000" w:themeColor="text1"/>
          <w:kern w:val="0"/>
          <w:sz w:val="21"/>
          <w:szCs w:val="21"/>
          <w:highlight w:val="none"/>
          <w:lang w:val="zh-CN"/>
          <w14:textFill>
            <w14:solidFill>
              <w14:schemeClr w14:val="tx1"/>
            </w14:solidFill>
          </w14:textFill>
        </w:rPr>
        <w:t>连接件、输气管道、冷凝水排放管道、管道支撑件、紧固件、地脚螺栓等。</w:t>
      </w:r>
    </w:p>
    <w:p>
      <w:pPr>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投标人</w:t>
      </w:r>
      <w:r>
        <w:rPr>
          <w:rFonts w:hint="eastAsia" w:ascii="宋体" w:hAnsi="宋体" w:eastAsia="宋体" w:cs="宋体"/>
          <w:color w:val="000000" w:themeColor="text1"/>
          <w:kern w:val="0"/>
          <w:sz w:val="21"/>
          <w:szCs w:val="21"/>
          <w:highlight w:val="none"/>
          <w:lang w:val="zh-CN"/>
          <w14:textFill>
            <w14:solidFill>
              <w14:schemeClr w14:val="tx1"/>
            </w14:solidFill>
          </w14:textFill>
        </w:rPr>
        <w:t>所供</w:t>
      </w:r>
      <w:r>
        <w:rPr>
          <w:rFonts w:hint="eastAsia" w:ascii="宋体" w:hAnsi="宋体" w:eastAsia="宋体" w:cs="宋体"/>
          <w:color w:val="000000" w:themeColor="text1"/>
          <w:kern w:val="0"/>
          <w:sz w:val="21"/>
          <w:szCs w:val="21"/>
          <w:highlight w:val="none"/>
          <w14:textFill>
            <w14:solidFill>
              <w14:schemeClr w14:val="tx1"/>
            </w14:solidFill>
          </w14:textFill>
        </w:rPr>
        <w:t>管</w:t>
      </w:r>
      <w:r>
        <w:rPr>
          <w:rFonts w:hint="eastAsia" w:ascii="宋体" w:hAnsi="宋体" w:eastAsia="宋体" w:cs="宋体"/>
          <w:color w:val="000000" w:themeColor="text1"/>
          <w:kern w:val="0"/>
          <w:sz w:val="21"/>
          <w:szCs w:val="21"/>
          <w:highlight w:val="none"/>
          <w:lang w:val="zh-CN"/>
          <w14:textFill>
            <w14:solidFill>
              <w14:schemeClr w14:val="tx1"/>
            </w14:solidFill>
          </w14:textFill>
        </w:rPr>
        <w:t>式微孔曝气器成套曝气系统</w:t>
      </w:r>
      <w:r>
        <w:rPr>
          <w:rFonts w:hint="eastAsia" w:ascii="宋体" w:hAnsi="宋体" w:eastAsia="宋体" w:cs="宋体"/>
          <w:color w:val="000000" w:themeColor="text1"/>
          <w:kern w:val="0"/>
          <w:sz w:val="21"/>
          <w:szCs w:val="21"/>
          <w:highlight w:val="none"/>
          <w14:textFill>
            <w14:solidFill>
              <w14:schemeClr w14:val="tx1"/>
            </w14:solidFill>
          </w14:textFill>
        </w:rPr>
        <w:t>设计方案需经招标人同意后实施。若设计方案涉及输气</w:t>
      </w:r>
      <w:r>
        <w:rPr>
          <w:rFonts w:hint="eastAsia" w:ascii="宋体" w:hAnsi="宋体" w:eastAsia="宋体" w:cs="宋体"/>
          <w:color w:val="000000" w:themeColor="text1"/>
          <w:kern w:val="0"/>
          <w:sz w:val="21"/>
          <w:szCs w:val="21"/>
          <w:highlight w:val="none"/>
          <w:lang w:val="zh-CN"/>
          <w14:textFill>
            <w14:solidFill>
              <w14:schemeClr w14:val="tx1"/>
            </w14:solidFill>
          </w14:textFill>
        </w:rPr>
        <w:t>立管的规格、</w:t>
      </w:r>
      <w:r>
        <w:rPr>
          <w:rFonts w:hint="eastAsia" w:ascii="宋体" w:hAnsi="宋体" w:eastAsia="宋体" w:cs="宋体"/>
          <w:color w:val="000000" w:themeColor="text1"/>
          <w:kern w:val="0"/>
          <w:sz w:val="21"/>
          <w:szCs w:val="21"/>
          <w:highlight w:val="none"/>
          <w14:textFill>
            <w14:solidFill>
              <w14:schemeClr w14:val="tx1"/>
            </w14:solidFill>
          </w14:textFill>
        </w:rPr>
        <w:t>布置</w:t>
      </w:r>
      <w:r>
        <w:rPr>
          <w:rFonts w:hint="eastAsia" w:ascii="宋体" w:hAnsi="宋体" w:eastAsia="宋体" w:cs="宋体"/>
          <w:color w:val="000000" w:themeColor="text1"/>
          <w:kern w:val="0"/>
          <w:sz w:val="21"/>
          <w:szCs w:val="21"/>
          <w:highlight w:val="none"/>
          <w:lang w:val="zh-CN"/>
          <w14:textFill>
            <w14:solidFill>
              <w14:schemeClr w14:val="tx1"/>
            </w14:solidFill>
          </w14:textFill>
        </w:rPr>
        <w:t>等</w:t>
      </w:r>
      <w:r>
        <w:rPr>
          <w:rFonts w:hint="eastAsia" w:ascii="宋体" w:hAnsi="宋体" w:eastAsia="宋体" w:cs="宋体"/>
          <w:color w:val="000000" w:themeColor="text1"/>
          <w:kern w:val="0"/>
          <w:sz w:val="21"/>
          <w:szCs w:val="21"/>
          <w:highlight w:val="none"/>
          <w14:textFill>
            <w14:solidFill>
              <w14:schemeClr w14:val="tx1"/>
            </w14:solidFill>
          </w14:textFill>
        </w:rPr>
        <w:t>的调整</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其调整所</w:t>
      </w:r>
      <w:r>
        <w:rPr>
          <w:rFonts w:hint="eastAsia" w:ascii="宋体" w:hAnsi="宋体" w:eastAsia="宋体" w:cs="宋体"/>
          <w:color w:val="000000" w:themeColor="text1"/>
          <w:kern w:val="0"/>
          <w:sz w:val="21"/>
          <w:szCs w:val="21"/>
          <w:highlight w:val="none"/>
          <w:lang w:val="zh-CN"/>
          <w14:textFill>
            <w14:solidFill>
              <w14:schemeClr w14:val="tx1"/>
            </w14:solidFill>
          </w14:textFill>
        </w:rPr>
        <w:t>涉及的与主管接驳、混凝土池体开孔等的工作</w:t>
      </w:r>
      <w:r>
        <w:rPr>
          <w:rFonts w:hint="eastAsia" w:ascii="宋体" w:hAnsi="宋体" w:eastAsia="宋体" w:cs="宋体"/>
          <w:color w:val="000000" w:themeColor="text1"/>
          <w:kern w:val="0"/>
          <w:sz w:val="21"/>
          <w:szCs w:val="21"/>
          <w:highlight w:val="none"/>
          <w14:textFill>
            <w14:solidFill>
              <w14:schemeClr w14:val="tx1"/>
            </w14:solidFill>
          </w14:textFill>
        </w:rPr>
        <w:t>及新增的</w:t>
      </w:r>
      <w:r>
        <w:rPr>
          <w:rFonts w:hint="eastAsia" w:ascii="宋体" w:hAnsi="宋体" w:eastAsia="宋体" w:cs="宋体"/>
          <w:color w:val="000000" w:themeColor="text1"/>
          <w:kern w:val="0"/>
          <w:sz w:val="21"/>
          <w:szCs w:val="21"/>
          <w:highlight w:val="none"/>
          <w:lang w:val="zh-CN"/>
          <w14:textFill>
            <w14:solidFill>
              <w14:schemeClr w14:val="tx1"/>
            </w14:solidFill>
          </w14:textFill>
        </w:rPr>
        <w:t>管材、</w:t>
      </w:r>
      <w:r>
        <w:rPr>
          <w:rFonts w:hint="eastAsia" w:ascii="宋体" w:hAnsi="宋体" w:eastAsia="宋体" w:cs="宋体"/>
          <w:color w:val="000000" w:themeColor="text1"/>
          <w:kern w:val="0"/>
          <w:sz w:val="21"/>
          <w:szCs w:val="21"/>
          <w:highlight w:val="none"/>
          <w14:textFill>
            <w14:solidFill>
              <w14:schemeClr w14:val="tx1"/>
            </w14:solidFill>
          </w14:textFill>
        </w:rPr>
        <w:t>连接件及其他附属件产生的费用</w:t>
      </w:r>
      <w:r>
        <w:rPr>
          <w:rFonts w:hint="eastAsia" w:ascii="宋体" w:hAnsi="宋体" w:eastAsia="宋体" w:cs="宋体"/>
          <w:color w:val="000000" w:themeColor="text1"/>
          <w:kern w:val="0"/>
          <w:sz w:val="21"/>
          <w:szCs w:val="21"/>
          <w:highlight w:val="none"/>
          <w:lang w:val="zh-CN"/>
          <w14:textFill>
            <w14:solidFill>
              <w14:schemeClr w14:val="tx1"/>
            </w14:solidFill>
          </w14:textFill>
        </w:rPr>
        <w:t>均由投标人负责，</w:t>
      </w:r>
      <w:r>
        <w:rPr>
          <w:rFonts w:hint="eastAsia" w:ascii="宋体" w:hAnsi="宋体" w:eastAsia="宋体" w:cs="宋体"/>
          <w:color w:val="000000" w:themeColor="text1"/>
          <w:kern w:val="0"/>
          <w:sz w:val="21"/>
          <w:szCs w:val="21"/>
          <w:highlight w:val="none"/>
          <w14:textFill>
            <w14:solidFill>
              <w14:schemeClr w14:val="tx1"/>
            </w14:solidFill>
          </w14:textFill>
        </w:rPr>
        <w:t>投标人</w:t>
      </w:r>
      <w:r>
        <w:rPr>
          <w:rFonts w:hint="eastAsia" w:ascii="宋体" w:hAnsi="宋体" w:eastAsia="宋体" w:cs="宋体"/>
          <w:color w:val="000000" w:themeColor="text1"/>
          <w:kern w:val="0"/>
          <w:sz w:val="21"/>
          <w:szCs w:val="21"/>
          <w:highlight w:val="none"/>
          <w:lang w:val="zh-CN"/>
          <w14:textFill>
            <w14:solidFill>
              <w14:schemeClr w14:val="tx1"/>
            </w14:solidFill>
          </w14:textFill>
        </w:rPr>
        <w:t>在项目实施时必须无条件及时提供，且不得以此为由要求增加费用。</w:t>
      </w:r>
    </w:p>
    <w:p>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投标人需提供</w:t>
      </w:r>
      <w:r>
        <w:rPr>
          <w:rFonts w:hint="eastAsia" w:ascii="宋体" w:hAnsi="宋体" w:eastAsia="宋体" w:cs="宋体"/>
          <w:color w:val="000000" w:themeColor="text1"/>
          <w:kern w:val="0"/>
          <w:sz w:val="21"/>
          <w:szCs w:val="21"/>
          <w:highlight w:val="none"/>
          <w14:textFill>
            <w14:solidFill>
              <w14:schemeClr w14:val="tx1"/>
            </w14:solidFill>
          </w14:textFill>
        </w:rPr>
        <w:t>管</w:t>
      </w:r>
      <w:r>
        <w:rPr>
          <w:rFonts w:hint="eastAsia" w:ascii="宋体" w:hAnsi="宋体" w:eastAsia="宋体" w:cs="宋体"/>
          <w:color w:val="000000" w:themeColor="text1"/>
          <w:kern w:val="0"/>
          <w:sz w:val="21"/>
          <w:szCs w:val="21"/>
          <w:highlight w:val="none"/>
          <w:lang w:val="zh-CN"/>
          <w14:textFill>
            <w14:solidFill>
              <w14:schemeClr w14:val="tx1"/>
            </w14:solidFill>
          </w14:textFill>
        </w:rPr>
        <w:t>式微孔曝气器专用的安装工具、拆卸工具，及提供曝气器专用的清（酸）洗套件、清洗设备（如有），以及提供曝气系统备品备件（清单中仅列出完整的曝气器备件数量要求，为确保曝气系统正常运行所需的曝气器膜片、曝气器紧固件、管道支撑件、紧固件等的其他备件，投标人仍需提供）。</w:t>
      </w:r>
    </w:p>
    <w:p>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投标人提供供货设备的现场安装、调试运行、技术培训服务。</w:t>
      </w:r>
    </w:p>
    <w:p>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投标人负责现有</w:t>
      </w:r>
      <w:r>
        <w:rPr>
          <w:rFonts w:hint="eastAsia" w:ascii="宋体" w:hAnsi="宋体" w:eastAsia="宋体" w:cs="宋体"/>
          <w:color w:val="000000" w:themeColor="text1"/>
          <w:kern w:val="0"/>
          <w:sz w:val="21"/>
          <w:szCs w:val="21"/>
          <w:highlight w:val="none"/>
          <w14:textFill>
            <w14:solidFill>
              <w14:schemeClr w14:val="tx1"/>
            </w14:solidFill>
          </w14:textFill>
        </w:rPr>
        <w:t>管</w:t>
      </w:r>
      <w:r>
        <w:rPr>
          <w:rFonts w:hint="eastAsia" w:ascii="宋体" w:hAnsi="宋体" w:eastAsia="宋体" w:cs="宋体"/>
          <w:color w:val="000000" w:themeColor="text1"/>
          <w:kern w:val="0"/>
          <w:sz w:val="21"/>
          <w:szCs w:val="21"/>
          <w:highlight w:val="none"/>
          <w:lang w:val="zh-CN"/>
          <w14:textFill>
            <w14:solidFill>
              <w14:schemeClr w14:val="tx1"/>
            </w14:solidFill>
          </w14:textFill>
        </w:rPr>
        <w:t>式微孔曝气器的拆</w:t>
      </w:r>
      <w:r>
        <w:rPr>
          <w:rFonts w:hint="eastAsia" w:ascii="宋体" w:hAnsi="宋体" w:eastAsia="宋体" w:cs="宋体"/>
          <w:color w:val="000000" w:themeColor="text1"/>
          <w:kern w:val="0"/>
          <w:sz w:val="21"/>
          <w:szCs w:val="21"/>
          <w:highlight w:val="none"/>
          <w14:textFill>
            <w14:solidFill>
              <w14:schemeClr w14:val="tx1"/>
            </w14:solidFill>
          </w14:textFill>
        </w:rPr>
        <w:t>除</w:t>
      </w:r>
      <w:r>
        <w:rPr>
          <w:rFonts w:hint="eastAsia" w:ascii="宋体" w:hAnsi="宋体" w:eastAsia="宋体" w:cs="宋体"/>
          <w:color w:val="000000" w:themeColor="text1"/>
          <w:kern w:val="0"/>
          <w:sz w:val="21"/>
          <w:szCs w:val="21"/>
          <w:highlight w:val="none"/>
          <w:lang w:val="zh-CN"/>
          <w14:textFill>
            <w14:solidFill>
              <w14:schemeClr w14:val="tx1"/>
            </w14:solidFill>
          </w14:textFill>
        </w:rPr>
        <w:t>工作，拆除下来的管式曝气器、化学螺栓等由投标人起吊、搬运至</w:t>
      </w:r>
      <w:r>
        <w:rPr>
          <w:rFonts w:hint="eastAsia" w:ascii="宋体" w:hAnsi="宋体" w:eastAsia="宋体" w:cs="宋体"/>
          <w:color w:val="000000" w:themeColor="text1"/>
          <w:kern w:val="0"/>
          <w:sz w:val="21"/>
          <w:szCs w:val="21"/>
          <w:highlight w:val="none"/>
          <w14:textFill>
            <w14:solidFill>
              <w14:schemeClr w14:val="tx1"/>
            </w14:solidFill>
          </w14:textFill>
        </w:rPr>
        <w:t>石碣沙腰</w:t>
      </w:r>
      <w:r>
        <w:rPr>
          <w:rFonts w:hint="eastAsia" w:ascii="宋体" w:hAnsi="宋体" w:eastAsia="宋体" w:cs="宋体"/>
          <w:color w:val="000000" w:themeColor="text1"/>
          <w:kern w:val="0"/>
          <w:sz w:val="21"/>
          <w:szCs w:val="21"/>
          <w:highlight w:val="none"/>
          <w:lang w:val="zh-CN"/>
          <w14:textFill>
            <w14:solidFill>
              <w14:schemeClr w14:val="tx1"/>
            </w14:solidFill>
          </w14:textFill>
        </w:rPr>
        <w:t>污水处理厂二期内部招标人指定的位置。</w:t>
      </w:r>
    </w:p>
    <w:p>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整个生化池池底淤泥清淤工作由投标人负责。清淤所需的工具、设备、材料等由投标人自行安排。投标人需清理生化池内所有积沙和部分淤泥，</w:t>
      </w:r>
      <w:r>
        <w:rPr>
          <w:rFonts w:hint="eastAsia" w:ascii="宋体" w:hAnsi="宋体" w:eastAsia="宋体" w:cs="宋体"/>
          <w:color w:val="000000" w:themeColor="text1"/>
          <w:kern w:val="0"/>
          <w:sz w:val="21"/>
          <w:szCs w:val="21"/>
          <w:highlight w:val="none"/>
          <w14:textFill>
            <w14:solidFill>
              <w14:schemeClr w14:val="tx1"/>
            </w14:solidFill>
          </w14:textFill>
        </w:rPr>
        <w:t>并</w:t>
      </w:r>
      <w:r>
        <w:rPr>
          <w:rFonts w:hint="eastAsia" w:ascii="宋体" w:hAnsi="宋体" w:eastAsia="宋体" w:cs="宋体"/>
          <w:color w:val="000000" w:themeColor="text1"/>
          <w:kern w:val="0"/>
          <w:sz w:val="21"/>
          <w:szCs w:val="21"/>
          <w:highlight w:val="none"/>
          <w:lang w:val="zh-CN"/>
          <w14:textFill>
            <w14:solidFill>
              <w14:schemeClr w14:val="tx1"/>
            </w14:solidFill>
          </w14:textFill>
        </w:rPr>
        <w:t>按招标人的要求处理积沙和淤泥（</w:t>
      </w:r>
      <w:r>
        <w:rPr>
          <w:rFonts w:hint="eastAsia" w:ascii="宋体" w:hAnsi="宋体" w:eastAsia="宋体" w:cs="宋体"/>
          <w:color w:val="000000" w:themeColor="text1"/>
          <w:kern w:val="0"/>
          <w:sz w:val="21"/>
          <w:szCs w:val="21"/>
          <w:highlight w:val="none"/>
          <w14:textFill>
            <w14:solidFill>
              <w14:schemeClr w14:val="tx1"/>
            </w14:solidFill>
          </w14:textFill>
        </w:rPr>
        <w:t>不含</w:t>
      </w:r>
      <w:r>
        <w:rPr>
          <w:rFonts w:hint="eastAsia" w:ascii="宋体" w:hAnsi="宋体" w:eastAsia="宋体" w:cs="宋体"/>
          <w:color w:val="000000" w:themeColor="text1"/>
          <w:kern w:val="0"/>
          <w:sz w:val="21"/>
          <w:szCs w:val="21"/>
          <w:highlight w:val="none"/>
          <w:lang w:val="zh-CN"/>
          <w14:textFill>
            <w14:solidFill>
              <w14:schemeClr w14:val="tx1"/>
            </w14:solidFill>
          </w14:textFill>
        </w:rPr>
        <w:t>外运处理</w:t>
      </w:r>
      <w:r>
        <w:rPr>
          <w:rFonts w:hint="eastAsia" w:ascii="宋体" w:hAnsi="宋体" w:eastAsia="宋体" w:cs="宋体"/>
          <w:color w:val="000000" w:themeColor="text1"/>
          <w:kern w:val="0"/>
          <w:sz w:val="21"/>
          <w:szCs w:val="21"/>
          <w:highlight w:val="none"/>
          <w14:textFill>
            <w14:solidFill>
              <w14:schemeClr w14:val="tx1"/>
            </w14:solidFill>
          </w14:textFill>
        </w:rPr>
        <w:t>处置</w:t>
      </w:r>
      <w:r>
        <w:rPr>
          <w:rFonts w:hint="eastAsia" w:ascii="宋体" w:hAnsi="宋体" w:eastAsia="宋体" w:cs="宋体"/>
          <w:color w:val="000000" w:themeColor="text1"/>
          <w:kern w:val="0"/>
          <w:sz w:val="21"/>
          <w:szCs w:val="21"/>
          <w:highlight w:val="none"/>
          <w:lang w:val="zh-CN"/>
          <w14:textFill>
            <w14:solidFill>
              <w14:schemeClr w14:val="tx1"/>
            </w14:solidFill>
          </w14:textFill>
        </w:rPr>
        <w:t>）。清淤后，投标人需及时对生化池及相应的场地、道路、绿化</w:t>
      </w:r>
      <w:r>
        <w:rPr>
          <w:rFonts w:hint="eastAsia" w:ascii="宋体" w:hAnsi="宋体" w:eastAsia="宋体" w:cs="宋体"/>
          <w:color w:val="000000" w:themeColor="text1"/>
          <w:kern w:val="0"/>
          <w:sz w:val="21"/>
          <w:szCs w:val="21"/>
          <w:highlight w:val="none"/>
          <w14:textFill>
            <w14:solidFill>
              <w14:schemeClr w14:val="tx1"/>
            </w14:solidFill>
          </w14:textFill>
        </w:rPr>
        <w:t>等</w:t>
      </w:r>
      <w:r>
        <w:rPr>
          <w:rFonts w:hint="eastAsia" w:ascii="宋体" w:hAnsi="宋体" w:eastAsia="宋体" w:cs="宋体"/>
          <w:color w:val="000000" w:themeColor="text1"/>
          <w:kern w:val="0"/>
          <w:sz w:val="21"/>
          <w:szCs w:val="21"/>
          <w:highlight w:val="none"/>
          <w:lang w:val="zh-CN"/>
          <w14:textFill>
            <w14:solidFill>
              <w14:schemeClr w14:val="tx1"/>
            </w14:solidFill>
          </w14:textFill>
        </w:rPr>
        <w:t>进行冲洗、清洁，生化池曝气区域清淤效果需满足现有曝气系统拆除工作及新购置</w:t>
      </w:r>
      <w:r>
        <w:rPr>
          <w:rFonts w:hint="eastAsia" w:ascii="宋体" w:hAnsi="宋体" w:eastAsia="宋体" w:cs="宋体"/>
          <w:color w:val="000000" w:themeColor="text1"/>
          <w:kern w:val="0"/>
          <w:sz w:val="21"/>
          <w:szCs w:val="21"/>
          <w:highlight w:val="none"/>
          <w14:textFill>
            <w14:solidFill>
              <w14:schemeClr w14:val="tx1"/>
            </w14:solidFill>
          </w14:textFill>
        </w:rPr>
        <w:t>管</w:t>
      </w:r>
      <w:r>
        <w:rPr>
          <w:rFonts w:hint="eastAsia" w:ascii="宋体" w:hAnsi="宋体" w:eastAsia="宋体" w:cs="宋体"/>
          <w:color w:val="000000" w:themeColor="text1"/>
          <w:kern w:val="0"/>
          <w:sz w:val="21"/>
          <w:szCs w:val="21"/>
          <w:highlight w:val="none"/>
          <w:lang w:val="zh-CN"/>
          <w14:textFill>
            <w14:solidFill>
              <w14:schemeClr w14:val="tx1"/>
            </w14:solidFill>
          </w14:textFill>
        </w:rPr>
        <w:t>式微孔曝气器安装工作的正常开展，其余区域池内淤泥平均深度不得大于0.05m。</w:t>
      </w:r>
    </w:p>
    <w:p>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石碣沙腰</w:t>
      </w:r>
      <w:r>
        <w:rPr>
          <w:rFonts w:hint="eastAsia" w:ascii="宋体" w:hAnsi="宋体" w:eastAsia="宋体" w:cs="宋体"/>
          <w:color w:val="000000" w:themeColor="text1"/>
          <w:kern w:val="0"/>
          <w:sz w:val="21"/>
          <w:szCs w:val="21"/>
          <w:highlight w:val="none"/>
          <w:lang w:val="zh-CN"/>
          <w14:textFill>
            <w14:solidFill>
              <w14:schemeClr w14:val="tx1"/>
            </w14:solidFill>
          </w14:textFill>
        </w:rPr>
        <w:t>污水处理厂二期</w:t>
      </w:r>
      <w:r>
        <w:rPr>
          <w:rFonts w:hint="eastAsia" w:ascii="宋体" w:hAnsi="宋体" w:eastAsia="宋体" w:cs="宋体"/>
          <w:color w:val="000000" w:themeColor="text1"/>
          <w:kern w:val="0"/>
          <w:sz w:val="21"/>
          <w:szCs w:val="21"/>
          <w:highlight w:val="none"/>
          <w14:textFill>
            <w14:solidFill>
              <w14:schemeClr w14:val="tx1"/>
            </w14:solidFill>
          </w14:textFill>
        </w:rPr>
        <w:t>及二期提标</w:t>
      </w:r>
      <w:r>
        <w:rPr>
          <w:rFonts w:hint="eastAsia" w:ascii="宋体" w:hAnsi="宋体" w:eastAsia="宋体" w:cs="宋体"/>
          <w:color w:val="000000" w:themeColor="text1"/>
          <w:kern w:val="0"/>
          <w:sz w:val="21"/>
          <w:szCs w:val="21"/>
          <w:highlight w:val="none"/>
          <w:lang w:val="zh-CN"/>
          <w14:textFill>
            <w14:solidFill>
              <w14:schemeClr w14:val="tx1"/>
            </w14:solidFill>
          </w14:textFill>
        </w:rPr>
        <w:t>工程目前仍投入运行，为降低对厂区生产的影响，曝气系统更换过程需逐个生化池进行。</w:t>
      </w:r>
    </w:p>
    <w:p>
      <w:pPr>
        <w:numPr>
          <w:ilvl w:val="0"/>
          <w:numId w:val="0"/>
        </w:numPr>
        <w:autoSpaceDE w:val="0"/>
        <w:autoSpaceDN w:val="0"/>
        <w:adjustRightInd w:val="0"/>
        <w:spacing w:line="360" w:lineRule="auto"/>
        <w:ind w:left="0" w:leftChars="0"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t>）</w:t>
      </w:r>
      <w:r>
        <w:rPr>
          <w:rFonts w:ascii="宋体" w:hAnsi="宋体" w:eastAsia="宋体" w:cs="宋体"/>
          <w:color w:val="000000" w:themeColor="text1"/>
          <w:kern w:val="0"/>
          <w:sz w:val="21"/>
          <w:szCs w:val="21"/>
          <w:highlight w:val="none"/>
          <w14:textFill>
            <w14:solidFill>
              <w14:schemeClr w14:val="tx1"/>
            </w14:solidFill>
          </w14:textFill>
        </w:rPr>
        <w:t>投标人的清淤部分费用包工、包料、包工期、包质量、包安全、包文明施工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包</w:t>
      </w:r>
      <w:r>
        <w:rPr>
          <w:rFonts w:ascii="宋体" w:hAnsi="宋体" w:eastAsia="宋体" w:cs="宋体"/>
          <w:color w:val="000000" w:themeColor="text1"/>
          <w:kern w:val="0"/>
          <w:sz w:val="21"/>
          <w:szCs w:val="21"/>
          <w:highlight w:val="none"/>
          <w14:textFill>
            <w14:solidFill>
              <w14:schemeClr w14:val="tx1"/>
            </w14:solidFill>
          </w14:textFill>
        </w:rPr>
        <w:t>项目措施费等与本项目相关的费用。</w:t>
      </w:r>
    </w:p>
    <w:p>
      <w:pPr>
        <w:autoSpaceDE w:val="0"/>
        <w:autoSpaceDN w:val="0"/>
        <w:adjustRightInd w:val="0"/>
        <w:spacing w:line="360" w:lineRule="auto"/>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3.3 应用环境</w:t>
      </w:r>
    </w:p>
    <w:p>
      <w:pPr>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提供的曝气器装置必须适用于曝气池污水生物处理的需要，应能有效地将来自鼓风机的有压空气，均匀地扩散于水体中，并能保持长期和稳定的充氧效果，以及停止供气时有效的闭合，确保曝气器正常运行，并确保池底不会产生积泥。MSBR池现况主要尺寸详见图纸《MSBR池工艺施工图》。</w:t>
      </w:r>
    </w:p>
    <w:p>
      <w:pPr>
        <w:autoSpaceDE w:val="0"/>
        <w:autoSpaceDN w:val="0"/>
        <w:adjustRightInd w:val="0"/>
        <w:spacing w:before="120" w:beforeLines="50" w:after="120" w:afterLines="50" w:line="360" w:lineRule="auto"/>
        <w:jc w:val="left"/>
        <w:rPr>
          <w:rFonts w:hint="eastAsia" w:ascii="宋体" w:hAnsi="宋体" w:eastAsia="宋体" w:cs="Times New Roman"/>
          <w:b/>
          <w:color w:val="000000" w:themeColor="text1"/>
          <w:kern w:val="0"/>
          <w:sz w:val="24"/>
          <w:szCs w:val="24"/>
          <w:highlight w:val="none"/>
          <w:lang w:val="zh-CN"/>
          <w14:textFill>
            <w14:solidFill>
              <w14:schemeClr w14:val="tx1"/>
            </w14:solidFill>
          </w14:textFill>
        </w:rPr>
      </w:pPr>
      <w:r>
        <w:rPr>
          <w:rFonts w:hint="eastAsia" w:ascii="宋体" w:hAnsi="宋体" w:eastAsia="宋体" w:cs="Times New Roman"/>
          <w:b/>
          <w:color w:val="000000" w:themeColor="text1"/>
          <w:kern w:val="0"/>
          <w:sz w:val="24"/>
          <w:szCs w:val="24"/>
          <w:highlight w:val="none"/>
          <w:lang w:val="zh-CN"/>
          <w14:textFill>
            <w14:solidFill>
              <w14:schemeClr w14:val="tx1"/>
            </w14:solidFill>
          </w14:textFill>
        </w:rPr>
        <w:t>四.技术要求</w:t>
      </w:r>
    </w:p>
    <w:p>
      <w:pPr>
        <w:autoSpaceDE w:val="0"/>
        <w:autoSpaceDN w:val="0"/>
        <w:adjustRightInd w:val="0"/>
        <w:spacing w:line="360" w:lineRule="auto"/>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4.1性能和结构</w:t>
      </w:r>
    </w:p>
    <w:p>
      <w:pPr>
        <w:autoSpaceDE w:val="0"/>
        <w:autoSpaceDN w:val="0"/>
        <w:adjustRightInd w:val="0"/>
        <w:spacing w:line="360" w:lineRule="auto"/>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4.1.1曝气系统</w:t>
      </w:r>
    </w:p>
    <w:p>
      <w:pPr>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曝气系统由管式橡胶膜微孔曝气器、管道连接件、配气管道、管道支撑件、紧固件、池底固定支架及冷凝水排放系统及其他安装附件配件等构成。</w:t>
      </w:r>
    </w:p>
    <w:p>
      <w:pPr>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管式微孔曝气器、输气立管及输气支管应适用于极限工作温度90℃。应确保连接可靠，拆装方便，具有防振功能。</w:t>
      </w:r>
    </w:p>
    <w:p>
      <w:pPr>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式微孔曝气器主要由橡胶膜片、支撑管、压盖等部件组成。管式微孔曝气器必须适用于生化池污水生物处理的需要，能有效地将来自鼓风机的有压空气，均匀地扩散于水体中，并能保持长期和稳定的充氧效果，以及停止供气时有效的闭合。进入曝气器的空气应无需做空气净化，并应能满足在长期连续使用或停用后再投入使用，均不会产生微孔的堵塞和混合液的回流。总设计曝气量和管式微孔曝气器需要满足以下要求：</w:t>
      </w:r>
    </w:p>
    <w:p>
      <w:pPr>
        <w:autoSpaceDE w:val="0"/>
        <w:autoSpaceDN w:val="0"/>
        <w:adjustRightInd w:val="0"/>
        <w:spacing w:line="360" w:lineRule="auto"/>
        <w:ind w:firstLine="422"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14:textFill>
            <w14:solidFill>
              <w14:schemeClr w14:val="tx1"/>
            </w14:solidFill>
          </w14:textFill>
        </w:rPr>
        <w:t>总设计曝气量≥28840 m</w:t>
      </w:r>
      <w:r>
        <w:rPr>
          <w:rFonts w:hint="eastAsia" w:ascii="宋体" w:hAnsi="宋体" w:eastAsia="宋体" w:cs="宋体"/>
          <w:b/>
          <w:bCs/>
          <w:color w:val="000000" w:themeColor="text1"/>
          <w:kern w:val="0"/>
          <w:sz w:val="21"/>
          <w:szCs w:val="21"/>
          <w:highlight w:val="none"/>
          <w:vertAlign w:val="superscript"/>
          <w14:textFill>
            <w14:solidFill>
              <w14:schemeClr w14:val="tx1"/>
            </w14:solidFill>
          </w14:textFill>
        </w:rPr>
        <w:t>3</w:t>
      </w:r>
      <w:r>
        <w:rPr>
          <w:rFonts w:hint="eastAsia" w:ascii="宋体" w:hAnsi="宋体" w:eastAsia="宋体" w:cs="宋体"/>
          <w:b/>
          <w:bCs/>
          <w:color w:val="000000" w:themeColor="text1"/>
          <w:kern w:val="0"/>
          <w:sz w:val="21"/>
          <w:szCs w:val="21"/>
          <w:highlight w:val="none"/>
          <w14:textFill>
            <w14:solidFill>
              <w14:schemeClr w14:val="tx1"/>
            </w14:solidFill>
          </w14:textFill>
        </w:rPr>
        <w:t>/h，管式微孔曝气器数量≥4120</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根</w:t>
      </w:r>
      <w:r>
        <w:rPr>
          <w:rFonts w:hint="eastAsia" w:ascii="宋体" w:hAnsi="宋体" w:eastAsia="宋体" w:cs="宋体"/>
          <w:b/>
          <w:bCs/>
          <w:color w:val="000000" w:themeColor="text1"/>
          <w:kern w:val="0"/>
          <w:sz w:val="2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具体要求如下： </w:t>
      </w:r>
    </w:p>
    <w:p>
      <w:pPr>
        <w:autoSpaceDE w:val="0"/>
        <w:autoSpaceDN w:val="0"/>
        <w:adjustRightInd w:val="0"/>
        <w:spacing w:line="360" w:lineRule="auto"/>
        <w:ind w:firstLine="420"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14:textFill>
            <w14:solidFill>
              <w14:schemeClr w14:val="tx1"/>
            </w14:solidFill>
          </w14:textFill>
        </w:rPr>
        <w:t>（1）膜片</w:t>
      </w:r>
    </w:p>
    <w:p>
      <w:p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橡胶膜片采用三元乙丙橡胶EPDM精密制作而成，并在应力集中部位设有与橡胶膜合为一体的加强橡胶结构。膜片上按一定规则排列开闭式孔眼，厚度不低于2mm，整个膜片无厚薄现象。厚度允许偏差为±0.2mm；外径允许偏差为±0.5mm。在整个曝气区域范围内必须保证充氧的要求和池内布气的均匀性，且为了减少曝气器元件间的密封面数、增加密封性，膜片本身需带有密封圈。膜片必需具备以下基本特征：</w:t>
      </w:r>
    </w:p>
    <w:p>
      <w:p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管式微孔曝气器应符合下列特性：</w:t>
      </w:r>
    </w:p>
    <w:tbl>
      <w:tblPr>
        <w:tblStyle w:val="36"/>
        <w:tblW w:w="10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8"/>
        <w:gridCol w:w="4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598"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膜片</w:t>
            </w:r>
          </w:p>
        </w:tc>
        <w:tc>
          <w:tcPr>
            <w:tcW w:w="472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EPDM（三元乙丙胶）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膜片有效直径</w:t>
            </w:r>
          </w:p>
        </w:tc>
        <w:tc>
          <w:tcPr>
            <w:tcW w:w="472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65 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标准通气量</w:t>
            </w:r>
          </w:p>
        </w:tc>
        <w:tc>
          <w:tcPr>
            <w:tcW w:w="472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7 m</w:t>
            </w:r>
            <w:r>
              <w:rPr>
                <w:rFonts w:hint="eastAsia" w:ascii="宋体" w:hAnsi="宋体" w:eastAsia="宋体" w:cs="宋体"/>
                <w:b/>
                <w:bCs/>
                <w:color w:val="000000" w:themeColor="text1"/>
                <w:kern w:val="0"/>
                <w:sz w:val="21"/>
                <w:szCs w:val="21"/>
                <w:highlight w:val="none"/>
                <w:vertAlign w:val="superscript"/>
                <w14:textFill>
                  <w14:solidFill>
                    <w14:schemeClr w14:val="tx1"/>
                  </w14:solidFill>
                </w14:textFill>
              </w:rPr>
              <w:t>3</w:t>
            </w:r>
            <w:r>
              <w:rPr>
                <w:rFonts w:hint="eastAsia" w:ascii="宋体" w:hAnsi="宋体" w:eastAsia="宋体" w:cs="宋体"/>
                <w:b/>
                <w:bCs/>
                <w:color w:val="000000" w:themeColor="text1"/>
                <w:kern w:val="0"/>
                <w:sz w:val="21"/>
                <w:szCs w:val="21"/>
                <w:highlight w:val="none"/>
                <w14:textFill>
                  <w14:solidFill>
                    <w14:schemeClr w14:val="tx1"/>
                  </w14:solidFill>
                </w14:textFill>
              </w:rPr>
              <w:t>/h</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标准氧传质速率(充氧能力)</w:t>
            </w:r>
          </w:p>
        </w:tc>
        <w:tc>
          <w:tcPr>
            <w:tcW w:w="472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≥0.4 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阻力损失</w:t>
            </w:r>
          </w:p>
        </w:tc>
        <w:tc>
          <w:tcPr>
            <w:tcW w:w="472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≤3000Pa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标准氧传质效率(氧利用率)</w:t>
            </w:r>
          </w:p>
        </w:tc>
        <w:tc>
          <w:tcPr>
            <w:tcW w:w="472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≥35%（水深6.0m）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59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标准曝气效率</w:t>
            </w:r>
          </w:p>
        </w:tc>
        <w:tc>
          <w:tcPr>
            <w:tcW w:w="472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≥8.2kg/（kW·h）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5598"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工作制</w:t>
            </w:r>
          </w:p>
        </w:tc>
        <w:tc>
          <w:tcPr>
            <w:tcW w:w="4722" w:type="dxa"/>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24 h/d</w:t>
            </w:r>
          </w:p>
        </w:tc>
      </w:tr>
    </w:tbl>
    <w:p>
      <w:pPr>
        <w:numPr>
          <w:ilvl w:val="-1"/>
          <w:numId w:val="0"/>
        </w:num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① </w:t>
      </w:r>
      <w:r>
        <w:rPr>
          <w:rFonts w:hint="eastAsia" w:ascii="宋体" w:hAnsi="宋体" w:eastAsia="宋体" w:cs="宋体"/>
          <w:b/>
          <w:bCs/>
          <w:color w:val="000000" w:themeColor="text1"/>
          <w:kern w:val="0"/>
          <w:sz w:val="21"/>
          <w:szCs w:val="21"/>
          <w:highlight w:val="none"/>
          <w14:textFill>
            <w14:solidFill>
              <w14:schemeClr w14:val="tx1"/>
            </w14:solidFill>
          </w14:textFill>
        </w:rPr>
        <w:t>单管最大工作通气量：12 m³/h</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p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② </w:t>
      </w:r>
      <w:r>
        <w:rPr>
          <w:rFonts w:hint="eastAsia" w:ascii="宋体" w:hAnsi="宋体" w:eastAsia="宋体" w:cs="宋体"/>
          <w:b/>
          <w:bCs/>
          <w:color w:val="000000" w:themeColor="text1"/>
          <w:kern w:val="0"/>
          <w:sz w:val="21"/>
          <w:szCs w:val="21"/>
          <w:highlight w:val="none"/>
          <w14:textFill>
            <w14:solidFill>
              <w14:schemeClr w14:val="tx1"/>
            </w14:solidFill>
          </w14:textFill>
        </w:rPr>
        <w:t>在通气条件下，曝气器需能均匀分配空气，在水中可产生直径1-3 mm的气泡；</w:t>
      </w:r>
    </w:p>
    <w:p>
      <w:p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③ </w:t>
      </w:r>
      <w:r>
        <w:rPr>
          <w:rFonts w:hint="eastAsia" w:ascii="宋体" w:hAnsi="宋体" w:eastAsia="宋体" w:cs="宋体"/>
          <w:b/>
          <w:bCs/>
          <w:color w:val="000000" w:themeColor="text1"/>
          <w:kern w:val="0"/>
          <w:sz w:val="21"/>
          <w:szCs w:val="21"/>
          <w:highlight w:val="none"/>
          <w14:textFill>
            <w14:solidFill>
              <w14:schemeClr w14:val="tx1"/>
            </w14:solidFill>
          </w14:textFill>
        </w:rPr>
        <w:t>当曝气系统停止供气时，膜片上的微孔及时收缩处于密封状态，能有效防止污水、污泥倒灌；</w:t>
      </w:r>
    </w:p>
    <w:p>
      <w:p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④ </w:t>
      </w:r>
      <w:r>
        <w:rPr>
          <w:rFonts w:hint="eastAsia" w:ascii="宋体" w:hAnsi="宋体" w:eastAsia="宋体" w:cs="宋体"/>
          <w:b/>
          <w:bCs/>
          <w:color w:val="000000" w:themeColor="text1"/>
          <w:kern w:val="0"/>
          <w:sz w:val="21"/>
          <w:szCs w:val="21"/>
          <w:highlight w:val="none"/>
          <w14:textFill>
            <w14:solidFill>
              <w14:schemeClr w14:val="tx1"/>
            </w14:solidFill>
          </w14:textFill>
        </w:rPr>
        <w:t>当空气没有散开时，曝气薄膜紧附于曝气器支撑管上；</w:t>
      </w:r>
    </w:p>
    <w:p>
      <w:p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⑤ </w:t>
      </w:r>
      <w:r>
        <w:rPr>
          <w:rFonts w:hint="eastAsia" w:ascii="宋体" w:hAnsi="宋体" w:eastAsia="宋体" w:cs="宋体"/>
          <w:b/>
          <w:bCs/>
          <w:color w:val="000000" w:themeColor="text1"/>
          <w:kern w:val="0"/>
          <w:sz w:val="21"/>
          <w:szCs w:val="21"/>
          <w:highlight w:val="none"/>
          <w14:textFill>
            <w14:solidFill>
              <w14:schemeClr w14:val="tx1"/>
            </w14:solidFill>
          </w14:textFill>
        </w:rPr>
        <w:t>膜片打孔方向应垂直膜片纹理，膜片打孔形式由中心向外方向呈放射形状打孔，布置均匀合理；</w:t>
      </w:r>
    </w:p>
    <w:p>
      <w:p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⑥ </w:t>
      </w:r>
      <w:r>
        <w:rPr>
          <w:rFonts w:hint="eastAsia" w:ascii="宋体" w:hAnsi="宋体" w:eastAsia="宋体" w:cs="宋体"/>
          <w:b/>
          <w:bCs/>
          <w:color w:val="000000" w:themeColor="text1"/>
          <w:kern w:val="0"/>
          <w:sz w:val="21"/>
          <w:szCs w:val="21"/>
          <w:highlight w:val="none"/>
          <w14:textFill>
            <w14:solidFill>
              <w14:schemeClr w14:val="tx1"/>
            </w14:solidFill>
          </w14:textFill>
        </w:rPr>
        <w:t>膜片具有抗紫外线氧化作用及油、酸、碱等的腐蚀作用，可有效防止膜片萎缩变形；</w:t>
      </w:r>
    </w:p>
    <w:p>
      <w:p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⑦ </w:t>
      </w:r>
      <w:r>
        <w:rPr>
          <w:rFonts w:hint="eastAsia" w:ascii="宋体" w:hAnsi="宋体" w:eastAsia="宋体" w:cs="宋体"/>
          <w:b/>
          <w:bCs/>
          <w:color w:val="000000" w:themeColor="text1"/>
          <w:kern w:val="0"/>
          <w:sz w:val="21"/>
          <w:szCs w:val="21"/>
          <w:highlight w:val="none"/>
          <w14:textFill>
            <w14:solidFill>
              <w14:schemeClr w14:val="tx1"/>
            </w14:solidFill>
          </w14:textFill>
        </w:rPr>
        <w:t>膜片使用寿命＞8年。</w:t>
      </w:r>
    </w:p>
    <w:p>
      <w:pPr>
        <w:autoSpaceDE w:val="0"/>
        <w:autoSpaceDN w:val="0"/>
        <w:adjustRightInd w:val="0"/>
        <w:spacing w:line="360" w:lineRule="auto"/>
        <w:ind w:firstLine="422"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膜片外观应光洁、平整，无杂质、气泡和裂纹，无刺激性气味，其理化、力学性能满足货物性能参数要求。（合同签订前提供产品实物样品）</w:t>
      </w:r>
    </w:p>
    <w:p>
      <w:pPr>
        <w:autoSpaceDE w:val="0"/>
        <w:autoSpaceDN w:val="0"/>
        <w:adjustRightInd w:val="0"/>
        <w:spacing w:line="360" w:lineRule="auto"/>
        <w:ind w:firstLine="420" w:firstLineChars="20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1"/>
          <w:szCs w:val="21"/>
          <w:highlight w:val="none"/>
          <w14:textFill>
            <w14:solidFill>
              <w14:schemeClr w14:val="tx1"/>
            </w14:solidFill>
          </w14:textFill>
        </w:rPr>
        <w:t>）对装连接</w:t>
      </w:r>
    </w:p>
    <w:p>
      <w:pPr>
        <w:autoSpaceDE w:val="0"/>
        <w:autoSpaceDN w:val="0"/>
        <w:adjustRightInd w:val="0"/>
        <w:spacing w:line="360" w:lineRule="auto"/>
        <w:ind w:firstLine="422" w:firstLineChars="200"/>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管式微孔曝气器通过带螺纹的对装连接件，用插板方式或螺栓锚固的方式将曝气器固定在输气管道上，不得采用曝气器与管道一体注塑或胶水粘接的安装形式。管式微孔曝气器安装到位后，各曝气器安装标高需基本一致，同一生化池好氧区曝气器安装标高需控制在±</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b/>
          <w:color w:val="000000" w:themeColor="text1"/>
          <w:kern w:val="0"/>
          <w:sz w:val="21"/>
          <w:szCs w:val="21"/>
          <w:highlight w:val="none"/>
          <w14:textFill>
            <w14:solidFill>
              <w14:schemeClr w14:val="tx1"/>
            </w14:solidFill>
          </w14:textFill>
        </w:rPr>
        <w:t>cm误差范围之内，不同系列生化池好氧区曝气器安装标高需控制在±</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b/>
          <w:color w:val="000000" w:themeColor="text1"/>
          <w:kern w:val="0"/>
          <w:sz w:val="21"/>
          <w:szCs w:val="21"/>
          <w:highlight w:val="none"/>
          <w14:textFill>
            <w14:solidFill>
              <w14:schemeClr w14:val="tx1"/>
            </w14:solidFill>
          </w14:textFill>
        </w:rPr>
        <w:t>cm误差范围之内。</w:t>
      </w:r>
    </w:p>
    <w:p>
      <w:pPr>
        <w:autoSpaceDE w:val="0"/>
        <w:autoSpaceDN w:val="0"/>
        <w:adjustRightInd w:val="0"/>
        <w:spacing w:line="360" w:lineRule="auto"/>
        <w:ind w:firstLine="422" w:firstLineChars="200"/>
        <w:jc w:val="left"/>
        <w:rPr>
          <w:rFonts w:hint="eastAsia" w:ascii="宋体" w:hAnsi="宋体" w:eastAsia="宋体" w:cs="宋体"/>
          <w:b/>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4120</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根</w:t>
      </w:r>
      <w:r>
        <w:rPr>
          <w:rFonts w:hint="eastAsia" w:ascii="宋体" w:hAnsi="宋体" w:eastAsia="宋体" w:cs="宋体"/>
          <w:b/>
          <w:color w:val="000000" w:themeColor="text1"/>
          <w:kern w:val="0"/>
          <w:sz w:val="21"/>
          <w:szCs w:val="21"/>
          <w:highlight w:val="none"/>
          <w14:textFill>
            <w14:solidFill>
              <w14:schemeClr w14:val="tx1"/>
            </w14:solidFill>
          </w14:textFill>
        </w:rPr>
        <w:t>EPDM管式微孔曝气器及剩余50m备品备件的各项性能指标参数、材质、安装方式应一致。EPDM 管式微孔曝气器含可提升式安装1600m，位于两座MSBR池的单元1、单元7序批池内，共16组，每组50根，固定在可提升式支架上。更换新曝气管时，应安装在原有可提升式支架上，并与曝气支管旋转锁紧，确保曝气管固定牢固不脱落，曝气管固定架应保证同一组曝气管的安装整齐、处于同一水平面。若石碣二期曝气系统原可提升式支架如有损坏需一并进行修整或更换</w:t>
      </w:r>
      <w:r>
        <w:rPr>
          <w:rFonts w:hint="eastAsia" w:ascii="宋体" w:hAnsi="宋体" w:eastAsia="宋体" w:cs="宋体"/>
          <w:b/>
          <w:color w:val="000000" w:themeColor="text1"/>
          <w:kern w:val="0"/>
          <w:sz w:val="21"/>
          <w:szCs w:val="21"/>
          <w:highlight w:val="none"/>
          <w:lang w:eastAsia="zh-CN"/>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4.1.2  技术计算书</w:t>
      </w:r>
    </w:p>
    <w:p>
      <w:pPr>
        <w:autoSpaceDE w:val="0"/>
        <w:autoSpaceDN w:val="0"/>
        <w:adjustRightInd w:val="0"/>
        <w:snapToGrid w:val="0"/>
        <w:spacing w:line="360" w:lineRule="auto"/>
        <w:ind w:firstLine="495" w:firstLineChars="236"/>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投标人在投标文件中必须提供供货曝气器样本图片、参数、配套说明书、必要的设备图纸等技术资料。这些资料应能表述设备的关键参数和性能(包括设备部件的材质、质量标准、设备产地、制造商)。</w:t>
      </w:r>
    </w:p>
    <w:p>
      <w:pPr>
        <w:autoSpaceDE w:val="0"/>
        <w:autoSpaceDN w:val="0"/>
        <w:adjustRightInd w:val="0"/>
        <w:spacing w:line="360" w:lineRule="auto"/>
        <w:ind w:firstLine="57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14:textFill>
            <w14:solidFill>
              <w14:schemeClr w14:val="tx1"/>
            </w14:solidFill>
          </w14:textFill>
        </w:rPr>
        <w:t>投标人提供管式微孔曝气器设备的详细设计计算书。投标人应根据东莞市石碣沙腰污水处理厂二期的工艺条件、池形（详见招标图纸），合理的布置曝气系统的曝气器, 并提供相关的计算书。在计算书中，应包括曝气器布设数量、平面布置与安装设计，以及曝气器设备氧利用率、系统总曝气量、曝气器通气量、阻力损失等的相关计算说明。</w:t>
      </w:r>
    </w:p>
    <w:p>
      <w:pPr>
        <w:widowControl w:val="0"/>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t>
      </w:r>
      <w:r>
        <w:rPr>
          <w:rFonts w:hint="eastAsia" w:ascii="宋体" w:hAnsi="宋体" w:eastAsia="宋体" w:cs="宋体"/>
          <w:b/>
          <w:bCs/>
          <w:color w:val="000000" w:themeColor="text1"/>
          <w:sz w:val="21"/>
          <w:szCs w:val="21"/>
          <w:highlight w:val="none"/>
          <w:lang w:val="zh-CN" w:eastAsia="zh-CN" w:bidi="ar-SA"/>
          <w14:textFill>
            <w14:solidFill>
              <w14:schemeClr w14:val="tx1"/>
            </w14:solidFill>
          </w14:textFill>
        </w:rPr>
        <w:t>投标人</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所选用的膜片管式微孔曝气器，须依据《水处理用橡胶膜微孔曝气器》（CJ/T264-2018）或《微孔曝气器清水氧传质性能测定》（CJ/T475-2015），在标准通气量7.0m³/h·根，水深6m的测试条件下，单个曝气器满足以下指标要求：① 标准曝气效率：≥8.2kg/(kW·h)；② 标准氧传质速率(充氧能力)：≥0.4kg/h；③ 标准氧传质效率(氧利用率)：≥35%；④ 阻力损失：≤3000Pa</w:t>
      </w:r>
      <w:r>
        <w:rPr>
          <w:rFonts w:hint="eastAsia" w:ascii="宋体" w:hAnsi="宋体" w:eastAsia="宋体" w:cs="宋体"/>
          <w:b/>
          <w:bCs/>
          <w:color w:val="000000" w:themeColor="text1"/>
          <w:sz w:val="21"/>
          <w:szCs w:val="21"/>
          <w:highlight w:val="none"/>
          <w:lang w:val="zh-CN" w:eastAsia="zh-CN" w:bidi="ar-SA"/>
          <w14:textFill>
            <w14:solidFill>
              <w14:schemeClr w14:val="tx1"/>
            </w14:solidFill>
          </w14:textFill>
        </w:rPr>
        <w:t>。</w:t>
      </w:r>
    </w:p>
    <w:p>
      <w:pPr>
        <w:autoSpaceDE w:val="0"/>
        <w:autoSpaceDN w:val="0"/>
        <w:adjustRightInd w:val="0"/>
        <w:spacing w:line="360" w:lineRule="auto"/>
        <w:jc w:val="lef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4.2主要材料</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0"/>
        <w:gridCol w:w="4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膜片</w:t>
            </w:r>
          </w:p>
        </w:tc>
        <w:tc>
          <w:tcPr>
            <w:tcW w:w="48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EPDM(三元乙丙胶)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支撑体</w:t>
            </w:r>
          </w:p>
        </w:tc>
        <w:tc>
          <w:tcPr>
            <w:tcW w:w="48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聚丙烯（PP）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3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螺栓、螺母、垫圈等紧固件</w:t>
            </w:r>
          </w:p>
        </w:tc>
        <w:tc>
          <w:tcPr>
            <w:tcW w:w="48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304不锈钢或更优材质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3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冷凝水排放管，含弯头、球阀等</w:t>
            </w:r>
          </w:p>
        </w:tc>
        <w:tc>
          <w:tcPr>
            <w:tcW w:w="48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304不锈钢或更优材质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53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支架紧固件</w:t>
            </w:r>
          </w:p>
        </w:tc>
        <w:tc>
          <w:tcPr>
            <w:tcW w:w="48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304不锈钢或更优材质</w:t>
            </w:r>
          </w:p>
        </w:tc>
      </w:tr>
    </w:tbl>
    <w:p>
      <w:pPr>
        <w:autoSpaceDE w:val="0"/>
        <w:autoSpaceDN w:val="0"/>
        <w:adjustRightInd w:val="0"/>
        <w:spacing w:line="360" w:lineRule="auto"/>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4.2.1控制方式</w:t>
      </w:r>
    </w:p>
    <w:p>
      <w:pPr>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有关操作方式应配合鼓风机系统技术要求。</w:t>
      </w:r>
    </w:p>
    <w:p>
      <w:pPr>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停止供气时曝气器微孔自行闭合，不得产生污水的任何流入。</w:t>
      </w:r>
    </w:p>
    <w:p>
      <w:pPr>
        <w:autoSpaceDE w:val="0"/>
        <w:autoSpaceDN w:val="0"/>
        <w:adjustRightInd w:val="0"/>
        <w:spacing w:line="360" w:lineRule="auto"/>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4.2.2安装和检验</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（1）参考标准</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《机械设备安装工程施工及验收通用规范》（GB 50231-2009）</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《城镇污水处理厂工程质量验收规范》（GB50334-2017）</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《微孔曝气器清水氧传质性能测定》（CJ／T 475-2015）</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《水处理用橡胶膜微孔曝气器》（CJ／T 264-2018）</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（2）现场条件</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曝气器</w:t>
      </w:r>
      <w:r>
        <w:rPr>
          <w:rFonts w:hint="eastAsia" w:ascii="宋体" w:hAnsi="宋体" w:eastAsia="宋体" w:cs="宋体"/>
          <w:color w:val="000000" w:themeColor="text1"/>
          <w:kern w:val="0"/>
          <w:sz w:val="21"/>
          <w:szCs w:val="21"/>
          <w:highlight w:val="none"/>
          <w14:textFill>
            <w14:solidFill>
              <w14:schemeClr w14:val="tx1"/>
            </w14:solidFill>
          </w14:textFill>
        </w:rPr>
        <w:t>安装需</w:t>
      </w:r>
      <w:r>
        <w:rPr>
          <w:rFonts w:ascii="宋体" w:hAnsi="宋体" w:eastAsia="宋体" w:cs="宋体"/>
          <w:color w:val="000000" w:themeColor="text1"/>
          <w:kern w:val="0"/>
          <w:sz w:val="21"/>
          <w:szCs w:val="21"/>
          <w:highlight w:val="none"/>
          <w14:textFill>
            <w14:solidFill>
              <w14:schemeClr w14:val="tx1"/>
            </w14:solidFill>
          </w14:textFill>
        </w:rPr>
        <w:t>保证气密性。</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投标人在上述设备安装前，应对建成构筑物的相关土建尺寸，进行核对，并提出详细数据。</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（3）设备结构要素</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曝气装置由橡胶膜微孔曝气器、布气管道、调节器、连接件、清除装置、固定螺栓等组成。</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管式微孔曝气器通过带螺纹的对装连接件，用插板方式或螺栓锚固的方式将曝气器固定在输气管道上，不得采用曝气器与管道一体注塑或胶水粘接的安装形式。管式微孔曝气器安装到位后，各曝气器安装标高需基本一致，同一生化池好氧区曝气器安装标高需控制在±0.5cm误差范围之内，不同系列生化池好氧区曝气器安装标高需控制在±1.0cm误差范围之内。</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各部件之间的配合关系和安装顺序应按制造厂安装手册为准。</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（4）现场检验和调试</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安装后应按CJ/T475-2015《微孔曝气器清水氧传质性能测定》标准进行检验，保证其允差值符合规定的指标，并提供性能检验的合格证明。</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曝气器外观质量应无缺损和变形。</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投标人应按CJ/T475-2015《微孔曝气器清水氧传质性能测定》标准进行，在清水状态下，按标准通风量检测气泡分布情况和充氧量等技术性能测定，并进行布气均匀性和机械、理化性能的测定。</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安装后，须配合鼓风机系统进行空载试运行及负载连续运行试验。</w:t>
      </w:r>
    </w:p>
    <w:p>
      <w:pPr>
        <w:autoSpaceDE w:val="0"/>
        <w:autoSpaceDN w:val="0"/>
        <w:adjustRightInd w:val="0"/>
        <w:spacing w:line="360" w:lineRule="auto"/>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4.2.3防腐处理</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投标人提供的设备材料应适用于污水处理厂的腐蚀环境。</w:t>
      </w:r>
    </w:p>
    <w:p>
      <w:pPr>
        <w:autoSpaceDE w:val="0"/>
        <w:autoSpaceDN w:val="0"/>
        <w:adjustRightInd w:val="0"/>
        <w:spacing w:line="360" w:lineRule="auto"/>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4.2.4性能保证</w:t>
      </w:r>
    </w:p>
    <w:p>
      <w:pPr>
        <w:autoSpaceDE w:val="0"/>
        <w:autoSpaceDN w:val="0"/>
        <w:adjustRightInd w:val="0"/>
        <w:spacing w:line="360" w:lineRule="auto"/>
        <w:ind w:firstLine="422"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管式微孔曝气器应留有0.3%供货余量以满足随机抽检要求，具体送检样品数量由招标人确定，抽检样品由招标人送交有资质独立第三方CMA机构，对管式微孔曝气器的标准曝气效率、标准氧传质速率(充氧能力)、标准氧传质效率(氧利用率)及阻力损失进行检测，检测结果须满足本条膜片技术要求。若检测结果为合格，则由招标人支付相关检测费用；若检测结果为不合格，则由投标人支付相关检测费用，并对曝气器进行免费更换，直至检测结果合格为止，期间给招标人造成的所有损失由投标人承担赔偿责任。</w:t>
      </w:r>
    </w:p>
    <w:p>
      <w:pPr>
        <w:autoSpaceDE w:val="0"/>
        <w:autoSpaceDN w:val="0"/>
        <w:adjustRightInd w:val="0"/>
        <w:spacing w:before="120" w:beforeLines="50" w:after="120" w:afterLines="50" w:line="360" w:lineRule="auto"/>
        <w:jc w:val="left"/>
        <w:rPr>
          <w:rFonts w:hint="eastAsia" w:ascii="宋体" w:hAnsi="宋体" w:eastAsia="宋体" w:cs="Times New Roman"/>
          <w:b/>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b/>
          <w:color w:val="000000" w:themeColor="text1"/>
          <w:kern w:val="0"/>
          <w:sz w:val="21"/>
          <w:szCs w:val="21"/>
          <w:highlight w:val="none"/>
          <w:lang w:val="zh-CN"/>
          <w14:textFill>
            <w14:solidFill>
              <w14:schemeClr w14:val="tx1"/>
            </w14:solidFill>
          </w14:textFill>
        </w:rPr>
        <w:t>五. 清淤、现有曝气系统拆卸等工作技术要求</w:t>
      </w:r>
    </w:p>
    <w:p>
      <w:pPr>
        <w:autoSpaceDE w:val="0"/>
        <w:autoSpaceDN w:val="0"/>
        <w:adjustRightInd w:val="0"/>
        <w:spacing w:line="360" w:lineRule="auto"/>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5.1 生化池清淤</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清淤范围为两个MSBR池，总共4个序批池、2个好氧池，总面积约为9000m</w:t>
      </w:r>
      <w:r>
        <w:rPr>
          <w:rFonts w:ascii="宋体" w:hAnsi="宋体" w:eastAsia="宋体" w:cs="宋体"/>
          <w:color w:val="000000" w:themeColor="text1"/>
          <w:kern w:val="0"/>
          <w:sz w:val="21"/>
          <w:szCs w:val="21"/>
          <w:highlight w:val="none"/>
          <w:vertAlign w:val="superscript"/>
          <w14:textFill>
            <w14:solidFill>
              <w14:schemeClr w14:val="tx1"/>
            </w14:solidFill>
          </w14:textFill>
        </w:rPr>
        <w:t>2</w:t>
      </w:r>
      <w:r>
        <w:rPr>
          <w:rFonts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淤泥平均深度</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按</w:t>
      </w:r>
      <w:r>
        <w:rPr>
          <w:rFonts w:hint="eastAsia" w:ascii="宋体" w:hAnsi="宋体" w:eastAsia="宋体" w:cs="宋体"/>
          <w:color w:val="000000" w:themeColor="text1"/>
          <w:kern w:val="0"/>
          <w:sz w:val="21"/>
          <w:szCs w:val="21"/>
          <w:highlight w:val="none"/>
          <w14:textFill>
            <w14:solidFill>
              <w14:schemeClr w14:val="tx1"/>
            </w14:solidFill>
          </w14:textFill>
        </w:rPr>
        <w:t>0.4m估算，清淤量约为3600m</w:t>
      </w:r>
      <w:r>
        <w:rPr>
          <w:rFonts w:hint="eastAsia" w:ascii="宋体" w:hAnsi="宋体" w:eastAsia="宋体" w:cs="宋体"/>
          <w:color w:val="000000" w:themeColor="text1"/>
          <w:kern w:val="0"/>
          <w:sz w:val="21"/>
          <w:szCs w:val="21"/>
          <w:highlight w:val="none"/>
          <w:vertAlign w:val="superscript"/>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vertAlign w:val="baseline"/>
          <w:lang w:val="en-US" w:eastAsia="zh-CN"/>
          <w14:textFill>
            <w14:solidFill>
              <w14:schemeClr w14:val="tx1"/>
            </w14:solidFill>
          </w14:textFill>
        </w:rPr>
        <w:t>，</w:t>
      </w:r>
      <w:r>
        <w:rPr>
          <w:rFonts w:ascii="宋体" w:hAnsi="宋体" w:eastAsia="宋体" w:cs="宋体"/>
          <w:color w:val="000000" w:themeColor="text1"/>
          <w:kern w:val="0"/>
          <w:sz w:val="21"/>
          <w:szCs w:val="21"/>
          <w:highlight w:val="none"/>
          <w14:textFill>
            <w14:solidFill>
              <w14:schemeClr w14:val="tx1"/>
            </w14:solidFill>
          </w14:textFill>
        </w:rPr>
        <w:t>清淤工作所需工程器械、清淤单位需由投标人负责安排。</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lang w:val="zh-CN"/>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生化池清淤时将单边MSBR池放空至露出池底泥面，投标人将单元6好氧池、单元1序批池、单元7序批池整个生化池不能自然放空的积泥，通过冲水、刮扫等方式将污泥冲至放空管位置回流到泵房，若未能通过放空管位置回流到泵房，需将池体淤泥通过水泵等方式输送至另一MSBR单元6好氧池，并清理池底的垃圾、沙砾、积水等。清淤后生化池好氧区池底混凝土表面要求无明显积泥、积水，不影响现有曝气管的拆除及新购置的管式微孔曝气器安装等工作的正常进行。</w:t>
      </w:r>
    </w:p>
    <w:p>
      <w:pPr>
        <w:autoSpaceDE w:val="0"/>
        <w:autoSpaceDN w:val="0"/>
        <w:adjustRightInd w:val="0"/>
        <w:spacing w:line="360" w:lineRule="auto"/>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5.2 现有曝气系统拆除</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lang w:val="zh-CN"/>
          <w14:textFill>
            <w14:solidFill>
              <w14:schemeClr w14:val="tx1"/>
            </w14:solidFill>
          </w14:textFill>
        </w:rPr>
        <w:t>拆除现有曝气系统，主要包括管式曝气器的拆除。</w:t>
      </w:r>
      <w:r>
        <w:rPr>
          <w:rFonts w:hint="eastAsia" w:ascii="宋体" w:hAnsi="宋体" w:eastAsia="宋体" w:cs="宋体"/>
          <w:color w:val="000000" w:themeColor="text1"/>
          <w:kern w:val="0"/>
          <w:sz w:val="21"/>
          <w:szCs w:val="21"/>
          <w:highlight w:val="none"/>
          <w14:textFill>
            <w14:solidFill>
              <w14:schemeClr w14:val="tx1"/>
            </w14:solidFill>
          </w14:textFill>
        </w:rPr>
        <w:t>石碣沙腰</w:t>
      </w:r>
      <w:r>
        <w:rPr>
          <w:rFonts w:ascii="宋体" w:hAnsi="宋体" w:eastAsia="宋体" w:cs="宋体"/>
          <w:color w:val="000000" w:themeColor="text1"/>
          <w:kern w:val="0"/>
          <w:sz w:val="21"/>
          <w:szCs w:val="21"/>
          <w:highlight w:val="none"/>
          <w14:textFill>
            <w14:solidFill>
              <w14:schemeClr w14:val="tx1"/>
            </w14:solidFill>
          </w14:textFill>
        </w:rPr>
        <w:t>污水处理厂二期</w:t>
      </w:r>
      <w:r>
        <w:rPr>
          <w:rFonts w:ascii="宋体" w:hAnsi="宋体" w:eastAsia="宋体" w:cs="宋体"/>
          <w:color w:val="000000" w:themeColor="text1"/>
          <w:kern w:val="0"/>
          <w:sz w:val="21"/>
          <w:szCs w:val="21"/>
          <w:highlight w:val="none"/>
          <w:lang w:val="zh-CN"/>
          <w14:textFill>
            <w14:solidFill>
              <w14:schemeClr w14:val="tx1"/>
            </w14:solidFill>
          </w14:textFill>
        </w:rPr>
        <w:t>管式曝气器</w:t>
      </w:r>
      <w:r>
        <w:rPr>
          <w:rFonts w:hint="eastAsia" w:ascii="宋体" w:hAnsi="宋体" w:eastAsia="宋体" w:cs="宋体"/>
          <w:color w:val="000000" w:themeColor="text1"/>
          <w:kern w:val="0"/>
          <w:sz w:val="21"/>
          <w:szCs w:val="21"/>
          <w:highlight w:val="none"/>
          <w14:textFill>
            <w14:solidFill>
              <w14:schemeClr w14:val="tx1"/>
            </w14:solidFill>
          </w14:textFill>
        </w:rPr>
        <w:t>4120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根</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含可提升式1600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根</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ascii="宋体" w:hAnsi="宋体" w:eastAsia="宋体" w:cs="宋体"/>
          <w:color w:val="000000" w:themeColor="text1"/>
          <w:kern w:val="0"/>
          <w:sz w:val="21"/>
          <w:szCs w:val="21"/>
          <w:highlight w:val="none"/>
          <w:lang w:val="zh-CN"/>
          <w14:textFill>
            <w14:solidFill>
              <w14:schemeClr w14:val="tx1"/>
            </w14:solidFill>
          </w14:textFill>
        </w:rPr>
        <w:t>。拆除过程中，输气管道</w:t>
      </w:r>
      <w:r>
        <w:rPr>
          <w:rFonts w:hint="eastAsia" w:ascii="宋体" w:hAnsi="宋体" w:eastAsia="宋体" w:cs="宋体"/>
          <w:color w:val="000000" w:themeColor="text1"/>
          <w:kern w:val="0"/>
          <w:sz w:val="21"/>
          <w:szCs w:val="21"/>
          <w:highlight w:val="none"/>
          <w14:textFill>
            <w14:solidFill>
              <w14:schemeClr w14:val="tx1"/>
            </w14:solidFill>
          </w14:textFill>
        </w:rPr>
        <w:t>及其支架</w:t>
      </w:r>
      <w:r>
        <w:rPr>
          <w:rFonts w:ascii="宋体" w:hAnsi="宋体" w:eastAsia="宋体" w:cs="宋体"/>
          <w:color w:val="000000" w:themeColor="text1"/>
          <w:kern w:val="0"/>
          <w:sz w:val="21"/>
          <w:szCs w:val="21"/>
          <w:highlight w:val="none"/>
          <w:lang w:val="zh-CN"/>
          <w14:textFill>
            <w14:solidFill>
              <w14:schemeClr w14:val="tx1"/>
            </w14:solidFill>
          </w14:textFill>
        </w:rPr>
        <w:t>需进行保护，严禁破坏性的暴力拆除。输气管道支架不锈钢化学螺栓拆卸，如特殊原因化学螺栓无法拆下，需把化学螺栓露出底板或墙体部分割除，割除后化学螺栓露出部分与底板或墙体齐平，拆卸过程造成的底板或墙体损坏，需及时修补，且修补后不能影响</w:t>
      </w:r>
      <w:r>
        <w:rPr>
          <w:rFonts w:hint="eastAsia" w:ascii="宋体" w:hAnsi="宋体" w:eastAsia="宋体" w:cs="宋体"/>
          <w:color w:val="000000" w:themeColor="text1"/>
          <w:kern w:val="0"/>
          <w:sz w:val="21"/>
          <w:szCs w:val="21"/>
          <w:highlight w:val="none"/>
          <w14:textFill>
            <w14:solidFill>
              <w14:schemeClr w14:val="tx1"/>
            </w14:solidFill>
          </w14:textFill>
        </w:rPr>
        <w:t>管</w:t>
      </w:r>
      <w:r>
        <w:rPr>
          <w:rFonts w:ascii="宋体" w:hAnsi="宋体" w:eastAsia="宋体" w:cs="宋体"/>
          <w:color w:val="000000" w:themeColor="text1"/>
          <w:kern w:val="0"/>
          <w:sz w:val="21"/>
          <w:szCs w:val="21"/>
          <w:highlight w:val="none"/>
          <w:lang w:val="zh-CN"/>
          <w14:textFill>
            <w14:solidFill>
              <w14:schemeClr w14:val="tx1"/>
            </w14:solidFill>
          </w14:textFill>
        </w:rPr>
        <w:t>式微孔曝气器的安装。拆卸下来的管式曝气器、化学螺栓等，需用清水冲洗干净，起吊、搬运至</w:t>
      </w:r>
      <w:r>
        <w:rPr>
          <w:rFonts w:hint="eastAsia" w:ascii="宋体" w:hAnsi="宋体" w:eastAsia="宋体" w:cs="宋体"/>
          <w:color w:val="000000" w:themeColor="text1"/>
          <w:kern w:val="0"/>
          <w:sz w:val="21"/>
          <w:szCs w:val="21"/>
          <w:highlight w:val="none"/>
          <w14:textFill>
            <w14:solidFill>
              <w14:schemeClr w14:val="tx1"/>
            </w14:solidFill>
          </w14:textFill>
        </w:rPr>
        <w:t>石碣沙腰</w:t>
      </w:r>
      <w:r>
        <w:rPr>
          <w:rFonts w:ascii="宋体" w:hAnsi="宋体" w:eastAsia="宋体" w:cs="宋体"/>
          <w:color w:val="000000" w:themeColor="text1"/>
          <w:kern w:val="0"/>
          <w:sz w:val="21"/>
          <w:szCs w:val="21"/>
          <w:highlight w:val="none"/>
          <w14:textFill>
            <w14:solidFill>
              <w14:schemeClr w14:val="tx1"/>
            </w14:solidFill>
          </w14:textFill>
        </w:rPr>
        <w:t>污水处理厂二期内部指定位置并分类整齐放置。</w:t>
      </w:r>
    </w:p>
    <w:p>
      <w:pPr>
        <w:autoSpaceDE w:val="0"/>
        <w:autoSpaceDN w:val="0"/>
        <w:adjustRightInd w:val="0"/>
        <w:spacing w:before="120" w:beforeLines="50" w:after="120" w:afterLines="50" w:line="360" w:lineRule="auto"/>
        <w:jc w:val="left"/>
        <w:rPr>
          <w:rFonts w:hint="eastAsia" w:ascii="宋体" w:hAnsi="宋体" w:eastAsia="宋体" w:cs="Times New Roman"/>
          <w:b/>
          <w:color w:val="000000" w:themeColor="text1"/>
          <w:kern w:val="0"/>
          <w:sz w:val="24"/>
          <w:szCs w:val="24"/>
          <w:highlight w:val="none"/>
          <w:lang w:val="zh-CN"/>
          <w14:textFill>
            <w14:solidFill>
              <w14:schemeClr w14:val="tx1"/>
            </w14:solidFill>
          </w14:textFill>
        </w:rPr>
      </w:pPr>
      <w:r>
        <w:rPr>
          <w:rFonts w:hint="eastAsia" w:ascii="宋体" w:hAnsi="宋体" w:eastAsia="宋体" w:cs="Times New Roman"/>
          <w:b/>
          <w:color w:val="000000" w:themeColor="text1"/>
          <w:kern w:val="0"/>
          <w:sz w:val="24"/>
          <w:szCs w:val="24"/>
          <w:highlight w:val="none"/>
          <w:lang w:val="zh-CN"/>
          <w14:textFill>
            <w14:solidFill>
              <w14:schemeClr w14:val="tx1"/>
            </w14:solidFill>
          </w14:textFill>
        </w:rPr>
        <w:t>六.质量要求</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1）设备应按照相关的参考标准即相关的质量标准、试验程序、操作规范安装验收规范来完成。所有设备的制造、调试和安装应符合中国国家有关标准和规范。如果投标人所用标准优于国家标准，投标人要说明用于替代的标准或实际使用的规范，并提交标准或实施规范。</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（2）应</w:t>
      </w:r>
      <w:r>
        <w:rPr>
          <w:rFonts w:hint="eastAsia" w:ascii="宋体" w:hAnsi="宋体" w:eastAsia="宋体" w:cs="宋体"/>
          <w:color w:val="000000" w:themeColor="text1"/>
          <w:kern w:val="0"/>
          <w:sz w:val="21"/>
          <w:szCs w:val="21"/>
          <w:highlight w:val="none"/>
          <w14:textFill>
            <w14:solidFill>
              <w14:schemeClr w14:val="tx1"/>
            </w14:solidFill>
          </w14:textFill>
        </w:rPr>
        <w:t>按</w:t>
      </w:r>
      <w:r>
        <w:rPr>
          <w:rFonts w:ascii="宋体" w:hAnsi="宋体" w:eastAsia="宋体" w:cs="宋体"/>
          <w:color w:val="000000" w:themeColor="text1"/>
          <w:kern w:val="0"/>
          <w:sz w:val="21"/>
          <w:szCs w:val="21"/>
          <w:highlight w:val="none"/>
          <w14:textFill>
            <w14:solidFill>
              <w14:schemeClr w14:val="tx1"/>
            </w14:solidFill>
          </w14:textFill>
        </w:rPr>
        <w:t>最新的相关标准和规范</w:t>
      </w:r>
      <w:r>
        <w:rPr>
          <w:rFonts w:hint="eastAsia" w:ascii="宋体" w:hAnsi="宋体" w:eastAsia="宋体" w:cs="宋体"/>
          <w:color w:val="000000" w:themeColor="text1"/>
          <w:kern w:val="0"/>
          <w:sz w:val="21"/>
          <w:szCs w:val="21"/>
          <w:highlight w:val="none"/>
          <w14:textFill>
            <w14:solidFill>
              <w14:schemeClr w14:val="tx1"/>
            </w14:solidFill>
          </w14:textFill>
        </w:rPr>
        <w:t>执行</w:t>
      </w:r>
      <w:r>
        <w:rPr>
          <w:rFonts w:ascii="宋体" w:hAnsi="宋体" w:eastAsia="宋体" w:cs="宋体"/>
          <w:color w:val="000000" w:themeColor="text1"/>
          <w:kern w:val="0"/>
          <w:sz w:val="2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lang w:val="zh-CN"/>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（3）货物为原厂原装、非组装的、全新的、未使用过的产品（含零配件等），其中曝气器为原厂原装、非组装的、全新的、未使用过的产品（含零配件等）。</w:t>
      </w:r>
    </w:p>
    <w:p>
      <w:pPr>
        <w:autoSpaceDE w:val="0"/>
        <w:autoSpaceDN w:val="0"/>
        <w:adjustRightInd w:val="0"/>
        <w:spacing w:before="120" w:beforeLines="50" w:after="120" w:afterLines="50" w:line="360" w:lineRule="auto"/>
        <w:jc w:val="left"/>
        <w:rPr>
          <w:rFonts w:hint="eastAsia" w:ascii="宋体" w:hAnsi="宋体" w:eastAsia="宋体" w:cs="Times New Roman"/>
          <w:b/>
          <w:color w:val="000000" w:themeColor="text1"/>
          <w:kern w:val="0"/>
          <w:sz w:val="24"/>
          <w:szCs w:val="24"/>
          <w:highlight w:val="none"/>
          <w:lang w:val="zh-CN"/>
          <w14:textFill>
            <w14:solidFill>
              <w14:schemeClr w14:val="tx1"/>
            </w14:solidFill>
          </w14:textFill>
        </w:rPr>
      </w:pPr>
      <w:r>
        <w:rPr>
          <w:rFonts w:hint="eastAsia" w:ascii="宋体" w:hAnsi="宋体" w:eastAsia="宋体" w:cs="Times New Roman"/>
          <w:b/>
          <w:color w:val="000000" w:themeColor="text1"/>
          <w:kern w:val="0"/>
          <w:sz w:val="24"/>
          <w:szCs w:val="24"/>
          <w:highlight w:val="none"/>
          <w:lang w:val="zh-CN"/>
          <w14:textFill>
            <w14:solidFill>
              <w14:schemeClr w14:val="tx1"/>
            </w14:solidFill>
          </w14:textFill>
        </w:rPr>
        <w:t>七.工期要求</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（1）交货时间：合同签订后</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，接到招标人书面通知之日起</w:t>
      </w:r>
      <w:r>
        <w:rPr>
          <w:rFonts w:ascii="宋体" w:hAnsi="宋体" w:eastAsia="宋体" w:cs="宋体"/>
          <w:color w:val="000000" w:themeColor="text1"/>
          <w:kern w:val="0"/>
          <w:sz w:val="21"/>
          <w:szCs w:val="21"/>
          <w:highlight w:val="none"/>
          <w14:textFill>
            <w14:solidFill>
              <w14:schemeClr w14:val="tx1"/>
            </w14:solidFill>
          </w14:textFill>
        </w:rPr>
        <w:t>10周内</w:t>
      </w:r>
      <w:r>
        <w:rPr>
          <w:rFonts w:hint="eastAsia" w:ascii="宋体" w:hAnsi="宋体" w:eastAsia="宋体" w:cs="宋体"/>
          <w:color w:val="000000" w:themeColor="text1"/>
          <w:kern w:val="0"/>
          <w:sz w:val="21"/>
          <w:szCs w:val="21"/>
          <w:highlight w:val="none"/>
          <w14:textFill>
            <w14:solidFill>
              <w14:schemeClr w14:val="tx1"/>
            </w14:solidFill>
          </w14:textFill>
        </w:rPr>
        <w:t>完成全部设备的供</w:t>
      </w:r>
      <w:r>
        <w:rPr>
          <w:rFonts w:ascii="宋体" w:hAnsi="宋体" w:eastAsia="宋体" w:cs="宋体"/>
          <w:color w:val="000000" w:themeColor="text1"/>
          <w:kern w:val="0"/>
          <w:sz w:val="21"/>
          <w:szCs w:val="21"/>
          <w:highlight w:val="none"/>
          <w14:textFill>
            <w14:solidFill>
              <w14:schemeClr w14:val="tx1"/>
            </w14:solidFill>
          </w14:textFill>
        </w:rPr>
        <w:t>货。</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（2）设备安装调试完成时间：全部设备完成交货</w:t>
      </w:r>
      <w:r>
        <w:rPr>
          <w:rFonts w:hint="eastAsia" w:ascii="宋体" w:hAnsi="宋体" w:eastAsia="宋体" w:cs="宋体"/>
          <w:color w:val="000000" w:themeColor="text1"/>
          <w:kern w:val="0"/>
          <w:sz w:val="21"/>
          <w:szCs w:val="21"/>
          <w:highlight w:val="none"/>
          <w14:textFill>
            <w14:solidFill>
              <w14:schemeClr w14:val="tx1"/>
            </w14:solidFill>
          </w14:textFill>
        </w:rPr>
        <w:t>并通过初步验收</w:t>
      </w:r>
      <w:r>
        <w:rPr>
          <w:rFonts w:ascii="宋体" w:hAnsi="宋体" w:eastAsia="宋体" w:cs="宋体"/>
          <w:color w:val="000000" w:themeColor="text1"/>
          <w:kern w:val="0"/>
          <w:sz w:val="21"/>
          <w:szCs w:val="21"/>
          <w:highlight w:val="none"/>
          <w14:textFill>
            <w14:solidFill>
              <w14:schemeClr w14:val="tx1"/>
            </w14:solidFill>
          </w14:textFill>
        </w:rPr>
        <w:t>后，投标人接到招标人书面通知之日起</w:t>
      </w:r>
      <w:r>
        <w:rPr>
          <w:rFonts w:hint="eastAsia" w:ascii="宋体" w:hAnsi="宋体" w:eastAsia="宋体" w:cs="宋体"/>
          <w:color w:val="000000" w:themeColor="text1"/>
          <w:kern w:val="0"/>
          <w:sz w:val="21"/>
          <w:szCs w:val="21"/>
          <w:highlight w:val="none"/>
          <w14:textFill>
            <w14:solidFill>
              <w14:schemeClr w14:val="tx1"/>
            </w14:solidFill>
          </w14:textFill>
        </w:rPr>
        <w:t>15</w:t>
      </w:r>
      <w:r>
        <w:rPr>
          <w:rFonts w:ascii="宋体" w:hAnsi="宋体" w:eastAsia="宋体" w:cs="宋体"/>
          <w:color w:val="000000" w:themeColor="text1"/>
          <w:kern w:val="0"/>
          <w:sz w:val="21"/>
          <w:szCs w:val="21"/>
          <w:highlight w:val="none"/>
          <w14:textFill>
            <w14:solidFill>
              <w14:schemeClr w14:val="tx1"/>
            </w14:solidFill>
          </w14:textFill>
        </w:rPr>
        <w:t>日内完成</w:t>
      </w:r>
      <w:r>
        <w:rPr>
          <w:rFonts w:hint="eastAsia" w:ascii="宋体" w:hAnsi="宋体" w:eastAsia="宋体" w:cs="宋体"/>
          <w:color w:val="000000" w:themeColor="text1"/>
          <w:kern w:val="0"/>
          <w:sz w:val="21"/>
          <w:szCs w:val="21"/>
          <w:highlight w:val="none"/>
          <w14:textFill>
            <w14:solidFill>
              <w14:schemeClr w14:val="tx1"/>
            </w14:solidFill>
          </w14:textFill>
        </w:rPr>
        <w:t>生化池</w:t>
      </w:r>
      <w:r>
        <w:rPr>
          <w:rFonts w:ascii="宋体" w:hAnsi="宋体" w:eastAsia="宋体" w:cs="宋体"/>
          <w:color w:val="000000" w:themeColor="text1"/>
          <w:kern w:val="0"/>
          <w:sz w:val="21"/>
          <w:szCs w:val="21"/>
          <w:highlight w:val="none"/>
          <w14:textFill>
            <w14:solidFill>
              <w14:schemeClr w14:val="tx1"/>
            </w14:solidFill>
          </w14:textFill>
        </w:rPr>
        <w:t>清淤、现有曝气系统拆卸、新购置曝气系统设备安装及调试等工作</w:t>
      </w:r>
      <w:r>
        <w:rPr>
          <w:rFonts w:hint="eastAsia" w:ascii="宋体" w:hAnsi="宋体" w:eastAsia="宋体" w:cs="宋体"/>
          <w:color w:val="000000" w:themeColor="text1"/>
          <w:kern w:val="0"/>
          <w:sz w:val="21"/>
          <w:szCs w:val="21"/>
          <w:highlight w:val="none"/>
          <w14:textFill>
            <w14:solidFill>
              <w14:schemeClr w14:val="tx1"/>
            </w14:solidFill>
          </w14:textFill>
        </w:rPr>
        <w:t>。如因特殊情况无法按时完成的，投标人需提前5日与招标人进行沟通，征得招标人同意后，方可适当延长服务时间，且因工作时间延长产生的费用由投标人自行承担</w:t>
      </w:r>
      <w:r>
        <w:rPr>
          <w:rFonts w:ascii="宋体" w:hAnsi="宋体" w:eastAsia="宋体" w:cs="宋体"/>
          <w:color w:val="000000" w:themeColor="text1"/>
          <w:kern w:val="0"/>
          <w:sz w:val="2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（3）交货地点、方式：交货地点为</w:t>
      </w:r>
      <w:r>
        <w:rPr>
          <w:rFonts w:hint="eastAsia" w:ascii="宋体" w:hAnsi="宋体" w:eastAsia="宋体" w:cs="宋体"/>
          <w:color w:val="000000" w:themeColor="text1"/>
          <w:kern w:val="0"/>
          <w:sz w:val="21"/>
          <w:szCs w:val="21"/>
          <w:highlight w:val="none"/>
          <w14:textFill>
            <w14:solidFill>
              <w14:schemeClr w14:val="tx1"/>
            </w14:solidFill>
          </w14:textFill>
        </w:rPr>
        <w:t>石碣沙腰</w:t>
      </w:r>
      <w:r>
        <w:rPr>
          <w:rFonts w:ascii="宋体" w:hAnsi="宋体" w:eastAsia="宋体" w:cs="宋体"/>
          <w:color w:val="000000" w:themeColor="text1"/>
          <w:kern w:val="0"/>
          <w:sz w:val="21"/>
          <w:szCs w:val="21"/>
          <w:highlight w:val="none"/>
          <w14:textFill>
            <w14:solidFill>
              <w14:schemeClr w14:val="tx1"/>
            </w14:solidFill>
          </w14:textFill>
        </w:rPr>
        <w:t>污水处理厂二期厂内，投标人负责将货物运输至招标人指定位置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kern w:val="0"/>
          <w:sz w:val="21"/>
          <w:szCs w:val="21"/>
          <w:highlight w:val="none"/>
          <w14:textFill>
            <w14:solidFill>
              <w14:schemeClr w14:val="tx1"/>
            </w14:solidFill>
          </w14:textFill>
        </w:rPr>
        <w:t>负责供货设备运输及承担运输费用</w:t>
      </w:r>
      <w:r>
        <w:rPr>
          <w:rFonts w:ascii="宋体" w:hAnsi="宋体" w:eastAsia="宋体" w:cs="宋体"/>
          <w:color w:val="000000" w:themeColor="text1"/>
          <w:kern w:val="0"/>
          <w:sz w:val="2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lang w:val="zh-CN"/>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（4）交货方式与风险承担：在货物移交给招标人并经招标人最终验收合格前，货物的毁损、灭失的风险和责任均由投标人承担。</w:t>
      </w:r>
    </w:p>
    <w:p>
      <w:pPr>
        <w:autoSpaceDE w:val="0"/>
        <w:autoSpaceDN w:val="0"/>
        <w:adjustRightInd w:val="0"/>
        <w:spacing w:before="120" w:beforeLines="50" w:after="120" w:afterLines="50" w:line="360" w:lineRule="auto"/>
        <w:jc w:val="left"/>
        <w:rPr>
          <w:rFonts w:hint="eastAsia" w:ascii="宋体" w:hAnsi="宋体" w:eastAsia="宋体" w:cs="Times New Roman"/>
          <w:b/>
          <w:color w:val="000000" w:themeColor="text1"/>
          <w:kern w:val="0"/>
          <w:sz w:val="24"/>
          <w:szCs w:val="24"/>
          <w:highlight w:val="none"/>
          <w:lang w:val="zh-CN"/>
          <w14:textFill>
            <w14:solidFill>
              <w14:schemeClr w14:val="tx1"/>
            </w14:solidFill>
          </w14:textFill>
        </w:rPr>
      </w:pPr>
      <w:r>
        <w:rPr>
          <w:rFonts w:hint="eastAsia" w:ascii="宋体" w:hAnsi="宋体" w:eastAsia="宋体" w:cs="Times New Roman"/>
          <w:b/>
          <w:color w:val="000000" w:themeColor="text1"/>
          <w:kern w:val="0"/>
          <w:sz w:val="24"/>
          <w:szCs w:val="24"/>
          <w:highlight w:val="none"/>
          <w:lang w:val="zh-CN"/>
          <w14:textFill>
            <w14:solidFill>
              <w14:schemeClr w14:val="tx1"/>
            </w14:solidFill>
          </w14:textFill>
        </w:rPr>
        <w:t>八. 施工安全及其他要求</w:t>
      </w:r>
    </w:p>
    <w:p>
      <w:pPr>
        <w:autoSpaceDE w:val="0"/>
        <w:autoSpaceDN w:val="0"/>
        <w:adjustRightInd w:val="0"/>
        <w:spacing w:line="360" w:lineRule="auto"/>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8.1 安全要求</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(1) 投标人在施工前需对施工人员做好施工安全培训、教育，施工期间严格执行有限空间作业、特种设备操作、用电安全等相关规范，并无条件接受招标人监督。</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(2) 投标人应当采取有效的职业卫生防护措施，为施工人员配备必要的防护用品（安全帽、防水手套、安全带、口罩、救生衣等）。</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(3) 施工人员需服从招标人管理，未经允许不能进入不相关的生产作业区。</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 xml:space="preserve">(4) </w:t>
      </w:r>
      <w:r>
        <w:rPr>
          <w:rFonts w:hint="eastAsia" w:ascii="宋体" w:hAnsi="宋体" w:eastAsia="宋体" w:cs="宋体"/>
          <w:color w:val="000000" w:themeColor="text1"/>
          <w:kern w:val="0"/>
          <w:sz w:val="21"/>
          <w:szCs w:val="21"/>
          <w:highlight w:val="none"/>
          <w14:textFill>
            <w14:solidFill>
              <w14:schemeClr w14:val="tx1"/>
            </w14:solidFill>
          </w14:textFill>
        </w:rPr>
        <w:t>施工作业期间，施工人员严禁打闹嬉戏、抽烟，严禁酒后工作。</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 xml:space="preserve">(5) </w:t>
      </w:r>
      <w:r>
        <w:rPr>
          <w:rFonts w:hint="eastAsia" w:ascii="宋体" w:hAnsi="宋体" w:eastAsia="宋体" w:cs="宋体"/>
          <w:color w:val="000000" w:themeColor="text1"/>
          <w:kern w:val="0"/>
          <w:sz w:val="21"/>
          <w:szCs w:val="21"/>
          <w:highlight w:val="none"/>
          <w14:textFill>
            <w14:solidFill>
              <w14:schemeClr w14:val="tx1"/>
            </w14:solidFill>
          </w14:textFill>
        </w:rPr>
        <w:t>施工作业期间，施工人员需穿戴好安全防护用品，如安全帽、防水套装等</w:t>
      </w:r>
      <w:r>
        <w:rPr>
          <w:rFonts w:ascii="宋体" w:hAnsi="宋体" w:eastAsia="宋体" w:cs="宋体"/>
          <w:color w:val="000000" w:themeColor="text1"/>
          <w:kern w:val="0"/>
          <w:sz w:val="2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 xml:space="preserve">(6) </w:t>
      </w:r>
      <w:r>
        <w:rPr>
          <w:rFonts w:hint="eastAsia" w:ascii="宋体" w:hAnsi="宋体" w:eastAsia="宋体" w:cs="宋体"/>
          <w:color w:val="000000" w:themeColor="text1"/>
          <w:kern w:val="0"/>
          <w:sz w:val="21"/>
          <w:szCs w:val="21"/>
          <w:highlight w:val="none"/>
          <w14:textFill>
            <w14:solidFill>
              <w14:schemeClr w14:val="tx1"/>
            </w14:solidFill>
          </w14:textFill>
        </w:rPr>
        <w:t>招标人</w:t>
      </w:r>
      <w:r>
        <w:rPr>
          <w:rFonts w:ascii="宋体" w:hAnsi="宋体" w:eastAsia="宋体" w:cs="宋体"/>
          <w:color w:val="000000" w:themeColor="text1"/>
          <w:kern w:val="0"/>
          <w:sz w:val="21"/>
          <w:szCs w:val="21"/>
          <w:highlight w:val="none"/>
          <w14:textFill>
            <w14:solidFill>
              <w14:schemeClr w14:val="tx1"/>
            </w14:solidFill>
          </w14:textFill>
        </w:rPr>
        <w:t>有权要求</w:t>
      </w:r>
      <w:r>
        <w:rPr>
          <w:rFonts w:hint="eastAsia" w:ascii="宋体" w:hAnsi="宋体" w:eastAsia="宋体" w:cs="宋体"/>
          <w:color w:val="000000" w:themeColor="text1"/>
          <w:kern w:val="0"/>
          <w:sz w:val="21"/>
          <w:szCs w:val="21"/>
          <w:highlight w:val="none"/>
          <w14:textFill>
            <w14:solidFill>
              <w14:schemeClr w14:val="tx1"/>
            </w14:solidFill>
          </w14:textFill>
        </w:rPr>
        <w:t>投标人</w:t>
      </w:r>
      <w:r>
        <w:rPr>
          <w:rFonts w:ascii="宋体" w:hAnsi="宋体" w:eastAsia="宋体" w:cs="宋体"/>
          <w:color w:val="000000" w:themeColor="text1"/>
          <w:kern w:val="0"/>
          <w:sz w:val="21"/>
          <w:szCs w:val="21"/>
          <w:highlight w:val="none"/>
          <w14:textFill>
            <w14:solidFill>
              <w14:schemeClr w14:val="tx1"/>
            </w14:solidFill>
          </w14:textFill>
        </w:rPr>
        <w:t>对不称职人员进行更换，更换时间不超过2个工作日。</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 xml:space="preserve">(7) </w:t>
      </w:r>
      <w:r>
        <w:rPr>
          <w:rFonts w:hint="eastAsia" w:ascii="宋体" w:hAnsi="宋体" w:eastAsia="宋体" w:cs="宋体"/>
          <w:color w:val="000000" w:themeColor="text1"/>
          <w:kern w:val="0"/>
          <w:sz w:val="21"/>
          <w:szCs w:val="21"/>
          <w:highlight w:val="none"/>
          <w14:textFill>
            <w14:solidFill>
              <w14:schemeClr w14:val="tx1"/>
            </w14:solidFill>
          </w14:textFill>
        </w:rPr>
        <w:t>投标人</w:t>
      </w:r>
      <w:r>
        <w:rPr>
          <w:rFonts w:ascii="宋体" w:hAnsi="宋体" w:eastAsia="宋体" w:cs="宋体"/>
          <w:color w:val="000000" w:themeColor="text1"/>
          <w:kern w:val="0"/>
          <w:sz w:val="21"/>
          <w:szCs w:val="21"/>
          <w:highlight w:val="none"/>
          <w14:textFill>
            <w14:solidFill>
              <w14:schemeClr w14:val="tx1"/>
            </w14:solidFill>
          </w14:textFill>
        </w:rPr>
        <w:t>须为每位施工人员购买保险。</w:t>
      </w:r>
    </w:p>
    <w:p>
      <w:pPr>
        <w:autoSpaceDE w:val="0"/>
        <w:autoSpaceDN w:val="0"/>
        <w:adjustRightInd w:val="0"/>
        <w:spacing w:line="360" w:lineRule="auto"/>
        <w:ind w:firstLine="420" w:firstLineChars="200"/>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(8) 施工过程中出现的安全事故由投标人自行承担</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投标人在签订合同时，须与招标人签订《安全生产管理协议》。投标人人员在招标人场所必须遵守招标人的一切规章制度和安全条例，服从招标人的监督。投标人在提供合同项下所有服务的过程中，如因违反招标人相关规章制度、安全条例，或因不服从招标人监督而发生安全事故的，其结果与责任均由投标人负责，招标人无须承担任何结果与责任。</w:t>
      </w:r>
    </w:p>
    <w:p>
      <w:pPr>
        <w:autoSpaceDE w:val="0"/>
        <w:autoSpaceDN w:val="0"/>
        <w:adjustRightInd w:val="0"/>
        <w:spacing w:line="160" w:lineRule="exact"/>
        <w:ind w:firstLine="480" w:firstLineChars="200"/>
        <w:jc w:val="left"/>
        <w:rPr>
          <w:rFonts w:ascii="宋体" w:hAnsi="Times New Roman"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spacing w:line="360" w:lineRule="auto"/>
        <w:jc w:val="left"/>
        <w:rPr>
          <w:rFonts w:ascii="宋体" w:hAnsi="宋体" w:eastAsia="宋体" w:cs="宋体"/>
          <w:b/>
          <w:color w:val="000000" w:themeColor="text1"/>
          <w:kern w:val="0"/>
          <w:sz w:val="21"/>
          <w:szCs w:val="21"/>
          <w:highlight w:val="none"/>
          <w14:textFill>
            <w14:solidFill>
              <w14:schemeClr w14:val="tx1"/>
            </w14:solidFill>
          </w14:textFill>
        </w:rPr>
      </w:pPr>
      <w:r>
        <w:rPr>
          <w:rFonts w:ascii="宋体" w:hAnsi="宋体" w:eastAsia="宋体" w:cs="宋体"/>
          <w:b/>
          <w:color w:val="000000" w:themeColor="text1"/>
          <w:kern w:val="0"/>
          <w:sz w:val="21"/>
          <w:szCs w:val="21"/>
          <w:highlight w:val="none"/>
          <w14:textFill>
            <w14:solidFill>
              <w14:schemeClr w14:val="tx1"/>
            </w14:solidFill>
          </w14:textFill>
        </w:rPr>
        <w:t>8.2 其他要求</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(1) 施工设备、工器具、安全防护用品、材料：由投标人自行解决。</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(2) 施工用水、用电：招标人在</w:t>
      </w:r>
      <w:r>
        <w:rPr>
          <w:rFonts w:hint="eastAsia" w:ascii="宋体" w:hAnsi="宋体" w:eastAsia="宋体" w:cs="宋体"/>
          <w:color w:val="000000" w:themeColor="text1"/>
          <w:kern w:val="0"/>
          <w:sz w:val="21"/>
          <w:szCs w:val="21"/>
          <w:highlight w:val="none"/>
          <w14:textFill>
            <w14:solidFill>
              <w14:schemeClr w14:val="tx1"/>
            </w14:solidFill>
          </w14:textFill>
        </w:rPr>
        <w:t>石碣沙腰</w:t>
      </w:r>
      <w:r>
        <w:rPr>
          <w:rFonts w:ascii="宋体" w:hAnsi="宋体" w:eastAsia="宋体" w:cs="宋体"/>
          <w:color w:val="000000" w:themeColor="text1"/>
          <w:kern w:val="0"/>
          <w:sz w:val="21"/>
          <w:szCs w:val="21"/>
          <w:highlight w:val="none"/>
          <w14:textFill>
            <w14:solidFill>
              <w14:schemeClr w14:val="tx1"/>
            </w14:solidFill>
          </w14:textFill>
        </w:rPr>
        <w:t>污水处理厂二期厂内提供水、电接入点，由投标人自行接入，投标人需做好用水、用电安全防护措施并无条件接受招标人监督。设备、设施施工的水、电费用由招标人承担。</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3</w:t>
      </w:r>
      <w:r>
        <w:rPr>
          <w:rFonts w:ascii="宋体" w:hAnsi="宋体" w:eastAsia="宋体" w:cs="宋体"/>
          <w:color w:val="000000" w:themeColor="text1"/>
          <w:kern w:val="0"/>
          <w:sz w:val="21"/>
          <w:szCs w:val="21"/>
          <w:highlight w:val="none"/>
          <w14:textFill>
            <w14:solidFill>
              <w14:schemeClr w14:val="tx1"/>
            </w14:solidFill>
          </w14:textFill>
        </w:rPr>
        <w:t>)投标人需在供货前提交供货、施工计划及施工方案，最终的供货、施工计划及施工方案以招标人确认的为准。</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lang w:val="zh-CN"/>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4</w:t>
      </w:r>
      <w:r>
        <w:rPr>
          <w:rFonts w:ascii="宋体" w:hAnsi="宋体" w:eastAsia="宋体" w:cs="宋体"/>
          <w:color w:val="000000" w:themeColor="text1"/>
          <w:kern w:val="0"/>
          <w:sz w:val="21"/>
          <w:szCs w:val="21"/>
          <w:highlight w:val="none"/>
          <w14:textFill>
            <w14:solidFill>
              <w14:schemeClr w14:val="tx1"/>
            </w14:solidFill>
          </w14:textFill>
        </w:rPr>
        <w:t>)生化池清淤工作进行时人员不少于5人，曝气管拆卸工作进行时工作人员不少于8人，曝气管搬运工作进行时人员不少于5人。放空工作先进行，投标人需提供设备（包含但不限于至少两台大型抽水泵（额定流量不小于500m³/h）、输水管道）及人员进行协助，清淤工作进行至可拆卸曝气管后，曝气管拆卸、搬运工作同时进行。各项工作人员需独立工作，不得人员交叉作业。清淤设备现场需配备不少于两台立式吸砂泵，额定流量大于等于80m³/h。</w:t>
      </w:r>
    </w:p>
    <w:p>
      <w:pPr>
        <w:autoSpaceDE w:val="0"/>
        <w:autoSpaceDN w:val="0"/>
        <w:adjustRightInd w:val="0"/>
        <w:spacing w:before="120" w:beforeLines="50" w:after="120" w:afterLines="50" w:line="360" w:lineRule="auto"/>
        <w:jc w:val="left"/>
        <w:rPr>
          <w:rFonts w:hint="eastAsia" w:ascii="宋体" w:hAnsi="宋体" w:eastAsia="宋体" w:cs="Times New Roman"/>
          <w:b/>
          <w:color w:val="000000" w:themeColor="text1"/>
          <w:kern w:val="0"/>
          <w:sz w:val="24"/>
          <w:szCs w:val="24"/>
          <w:highlight w:val="none"/>
          <w:lang w:val="zh-CN"/>
          <w14:textFill>
            <w14:solidFill>
              <w14:schemeClr w14:val="tx1"/>
            </w14:solidFill>
          </w14:textFill>
        </w:rPr>
      </w:pPr>
      <w:r>
        <w:rPr>
          <w:rFonts w:hint="eastAsia" w:ascii="宋体" w:hAnsi="宋体" w:eastAsia="宋体" w:cs="Times New Roman"/>
          <w:b/>
          <w:color w:val="000000" w:themeColor="text1"/>
          <w:kern w:val="0"/>
          <w:sz w:val="24"/>
          <w:szCs w:val="24"/>
          <w:highlight w:val="none"/>
          <w:lang w:val="zh-CN"/>
          <w14:textFill>
            <w14:solidFill>
              <w14:schemeClr w14:val="tx1"/>
            </w14:solidFill>
          </w14:textFill>
        </w:rPr>
        <w:t>九.验收要求</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(1) 验收分为货到交货地点的初步验收和最终验收。</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① 初步验收：货物运抵交货地点后 3 日内，招标人（含招标人委托的第三方）、投标人代表共同开箱验货。招标人按照合同及采购文件、国家相关法律法规以及规范的要求等相关的规定，对货物的品种、品牌、产地、型号规格、数量、外观质量、资料等进行清点和全面的检验，并作详细的记录。</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初步验收如发现货物不符，或货物短缺、质次、损坏等问题，应作详细记录，招标人可拒绝收货，或由投标人在招标人规定的时间内立即、无条件为招标人调换或补齐，调换或补齐后的货物，招标人有权按照本条有关验收的规定进行验收，由此产生的制造、修理和运费及保险费等费用均应由投标人负担，与招标人无关。</w:t>
      </w:r>
    </w:p>
    <w:p>
      <w:pPr>
        <w:tabs>
          <w:tab w:val="left" w:pos="420"/>
        </w:tabs>
        <w:autoSpaceDE w:val="0"/>
        <w:autoSpaceDN w:val="0"/>
        <w:adjustRightInd w:val="0"/>
        <w:spacing w:line="360" w:lineRule="auto"/>
        <w:ind w:firstLine="42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初步验收需要对曝气器进行随机抽检，抽检样品由招标人送交有资质独立第三方CMA机构，对</w:t>
      </w:r>
      <w:r>
        <w:rPr>
          <w:rFonts w:hint="eastAsia" w:ascii="宋体" w:hAnsi="宋体" w:eastAsia="宋体" w:cs="宋体"/>
          <w:color w:val="000000" w:themeColor="text1"/>
          <w:kern w:val="0"/>
          <w:sz w:val="21"/>
          <w:szCs w:val="21"/>
          <w:highlight w:val="none"/>
          <w14:textFill>
            <w14:solidFill>
              <w14:schemeClr w14:val="tx1"/>
            </w14:solidFill>
          </w14:textFill>
        </w:rPr>
        <w:t>管</w:t>
      </w:r>
      <w:r>
        <w:rPr>
          <w:rFonts w:ascii="宋体" w:hAnsi="宋体" w:eastAsia="宋体" w:cs="宋体"/>
          <w:color w:val="000000" w:themeColor="text1"/>
          <w:kern w:val="0"/>
          <w:sz w:val="21"/>
          <w:szCs w:val="21"/>
          <w:highlight w:val="none"/>
          <w14:textFill>
            <w14:solidFill>
              <w14:schemeClr w14:val="tx1"/>
            </w14:solidFill>
          </w14:textFill>
        </w:rPr>
        <w:t>式曝气器的标准曝气效率、标准氧传质速率(充氧能力)、标准氧传质效率(氧利用率)及阻力损失进行检测，检测数据的结果须满足4.1.2的要求。若检测结果为合格，则由招标人支付相关检测费用；若检测结果为不合格，则由投标人支付相关检测费用，并对曝气器进行免费更换，直至检测结果合格为止，期间给招标人造成的所有损失由投标人承担赔偿责任。</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初步验收合格后，招标人出具相关初步验收报告</w:t>
      </w:r>
      <w:r>
        <w:rPr>
          <w:rFonts w:hint="eastAsia" w:ascii="宋体" w:hAnsi="宋体" w:eastAsia="宋体" w:cs="宋体"/>
          <w:color w:val="000000" w:themeColor="text1"/>
          <w:kern w:val="0"/>
          <w:sz w:val="21"/>
          <w:szCs w:val="21"/>
          <w:highlight w:val="none"/>
          <w14:textFill>
            <w14:solidFill>
              <w14:schemeClr w14:val="tx1"/>
            </w14:solidFill>
          </w14:textFill>
        </w:rPr>
        <w:t>并由招标人、投标人双方共同签字确认</w:t>
      </w:r>
      <w:r>
        <w:rPr>
          <w:rFonts w:ascii="宋体" w:hAnsi="宋体" w:eastAsia="宋体" w:cs="宋体"/>
          <w:color w:val="000000" w:themeColor="text1"/>
          <w:kern w:val="0"/>
          <w:sz w:val="2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② 最终验收：生化池曝气器在完成安装调试、性能测试合格后，招标人、投标人对设备调试的测试结果进行检验。曝气系统安装完毕后要进行泄漏试验，所有管路系统、阀门均不允许有任何泄漏。曝气器密封性能测定按</w:t>
      </w:r>
      <w:r>
        <w:rPr>
          <w:rFonts w:hint="eastAsia" w:ascii="宋体" w:hAnsi="宋体" w:eastAsia="宋体" w:cs="宋体"/>
          <w:color w:val="000000" w:themeColor="text1"/>
          <w:kern w:val="0"/>
          <w:sz w:val="21"/>
          <w:szCs w:val="21"/>
          <w:highlight w:val="none"/>
          <w14:textFill>
            <w14:solidFill>
              <w14:schemeClr w14:val="tx1"/>
            </w14:solidFill>
          </w14:textFill>
        </w:rPr>
        <w:t>CJ/T264-2018</w:t>
      </w:r>
      <w:r>
        <w:rPr>
          <w:rFonts w:ascii="宋体" w:hAnsi="宋体" w:eastAsia="宋体" w:cs="宋体"/>
          <w:color w:val="000000" w:themeColor="text1"/>
          <w:kern w:val="0"/>
          <w:sz w:val="21"/>
          <w:szCs w:val="21"/>
          <w:highlight w:val="none"/>
          <w14:textFill>
            <w14:solidFill>
              <w14:schemeClr w14:val="tx1"/>
            </w14:solidFill>
          </w14:textFill>
        </w:rPr>
        <w:t>中7.5 进行。曝气器进行泄漏试验和试运行的最大允许空气流量为8.0 m</w:t>
      </w:r>
      <w:r>
        <w:rPr>
          <w:rFonts w:ascii="宋体" w:hAnsi="宋体" w:eastAsia="宋体" w:cs="宋体"/>
          <w:color w:val="000000" w:themeColor="text1"/>
          <w:kern w:val="0"/>
          <w:sz w:val="21"/>
          <w:szCs w:val="21"/>
          <w:highlight w:val="none"/>
          <w:vertAlign w:val="superscript"/>
          <w14:textFill>
            <w14:solidFill>
              <w14:schemeClr w14:val="tx1"/>
            </w14:solidFill>
          </w14:textFill>
        </w:rPr>
        <w:t>3</w:t>
      </w:r>
      <w:r>
        <w:rPr>
          <w:rFonts w:ascii="宋体" w:hAnsi="宋体" w:eastAsia="宋体" w:cs="宋体"/>
          <w:color w:val="000000" w:themeColor="text1"/>
          <w:kern w:val="0"/>
          <w:sz w:val="21"/>
          <w:szCs w:val="21"/>
          <w:highlight w:val="none"/>
          <w14:textFill>
            <w14:solidFill>
              <w14:schemeClr w14:val="tx1"/>
            </w14:solidFill>
          </w14:textFill>
        </w:rPr>
        <w:t>/小时/曝气器。供气正常时，整个曝气系统应均匀曝气，曝气器不允许有堵塞现象。投标人在货物安装、调试过程中，应做好详细的检验、测试记录和试验结果，检验结果应符合本合同及招标文件、投标文件、国家相关法律法规以及规范的规定标准（当多个标准不一致时，以最高标准作为验收标准）。货物经招标人根据上述约定验收符合全部要求，投标人移交完所有资料文档后，招标人向投标人出具书面的验收合格报告。</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(2) 由于非招标人原因而引起货物的修理或更换的时间，如投标人在招标人规定的时间内完成修理或更换的，则不视为逾期交货，否则将视为逾期交货。</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(3) 招标人根据本条规定对货物所做出的验收，仅作为起算付款及质保期之用，不为双方对于货物质量的最终认定。货物经验收合格后，投标人仍应在质保期内对产品质量承担保证责任。</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(4) 货物在最终验收合格前，其损耗、毁损、灭失等风险及责任由投标人承担，如因发生前述情形，导致投标人所供应的货物不能通过招标人验收的，投标人应按招标人要求予以更换或退货。</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lang w:val="zh-CN"/>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(5) 验收过程中，如对检验记录不能取得一致意见时，一方可委托货物交付地的有资质的第三方检验机构联合进行检验。检验结果具有约束力，检验费用由责任方负担。</w:t>
      </w:r>
    </w:p>
    <w:p>
      <w:pPr>
        <w:autoSpaceDE w:val="0"/>
        <w:autoSpaceDN w:val="0"/>
        <w:adjustRightInd w:val="0"/>
        <w:spacing w:before="120" w:beforeLines="50" w:after="120" w:afterLines="50" w:line="360" w:lineRule="auto"/>
        <w:jc w:val="left"/>
        <w:rPr>
          <w:rFonts w:hint="eastAsia" w:ascii="宋体" w:hAnsi="宋体" w:eastAsia="宋体" w:cs="Times New Roman"/>
          <w:b/>
          <w:color w:val="000000" w:themeColor="text1"/>
          <w:kern w:val="0"/>
          <w:sz w:val="24"/>
          <w:szCs w:val="24"/>
          <w:highlight w:val="none"/>
          <w:lang w:val="zh-CN"/>
          <w14:textFill>
            <w14:solidFill>
              <w14:schemeClr w14:val="tx1"/>
            </w14:solidFill>
          </w14:textFill>
        </w:rPr>
      </w:pPr>
      <w:r>
        <w:rPr>
          <w:rFonts w:hint="eastAsia" w:ascii="宋体" w:hAnsi="宋体" w:eastAsia="宋体" w:cs="Times New Roman"/>
          <w:b/>
          <w:color w:val="000000" w:themeColor="text1"/>
          <w:kern w:val="0"/>
          <w:sz w:val="24"/>
          <w:szCs w:val="24"/>
          <w:highlight w:val="none"/>
          <w:lang w:val="zh-CN"/>
          <w14:textFill>
            <w14:solidFill>
              <w14:schemeClr w14:val="tx1"/>
            </w14:solidFill>
          </w14:textFill>
        </w:rPr>
        <w:t>十. 质保及售后要求</w:t>
      </w:r>
    </w:p>
    <w:p>
      <w:pPr>
        <w:autoSpaceDE w:val="0"/>
        <w:autoSpaceDN w:val="0"/>
        <w:adjustRightInd w:val="0"/>
        <w:spacing w:line="360" w:lineRule="auto"/>
        <w:ind w:firstLine="422" w:firstLineChars="200"/>
        <w:jc w:val="left"/>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ascii="宋体" w:hAnsi="宋体" w:eastAsia="宋体" w:cs="宋体"/>
          <w:b/>
          <w:bCs/>
          <w:color w:val="000000" w:themeColor="text1"/>
          <w:kern w:val="0"/>
          <w:sz w:val="21"/>
          <w:szCs w:val="21"/>
          <w:highlight w:val="none"/>
          <w14:textFill>
            <w14:solidFill>
              <w14:schemeClr w14:val="tx1"/>
            </w14:solidFill>
          </w14:textFill>
        </w:rPr>
        <w:t>(1) 本项目质保期</w:t>
      </w:r>
      <w:r>
        <w:rPr>
          <w:rFonts w:hint="eastAsia" w:ascii="宋体" w:hAnsi="宋体" w:eastAsia="宋体" w:cs="宋体"/>
          <w:b/>
          <w:bCs/>
          <w:color w:val="000000" w:themeColor="text1"/>
          <w:kern w:val="0"/>
          <w:sz w:val="21"/>
          <w:szCs w:val="21"/>
          <w:highlight w:val="none"/>
          <w14:textFill>
            <w14:solidFill>
              <w14:schemeClr w14:val="tx1"/>
            </w14:solidFill>
          </w14:textFill>
        </w:rPr>
        <w:t>为至少</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36</w:t>
      </w:r>
      <w:r>
        <w:rPr>
          <w:rFonts w:hint="eastAsia" w:ascii="宋体" w:hAnsi="宋体" w:eastAsia="宋体" w:cs="宋体"/>
          <w:b/>
          <w:bCs/>
          <w:color w:val="000000" w:themeColor="text1"/>
          <w:kern w:val="0"/>
          <w:sz w:val="21"/>
          <w:szCs w:val="21"/>
          <w:highlight w:val="none"/>
          <w14:textFill>
            <w14:solidFill>
              <w14:schemeClr w14:val="tx1"/>
            </w14:solidFill>
          </w14:textFill>
        </w:rPr>
        <w:t>个月</w:t>
      </w:r>
      <w:r>
        <w:rPr>
          <w:rFonts w:ascii="宋体" w:hAnsi="宋体" w:eastAsia="宋体" w:cs="宋体"/>
          <w:b/>
          <w:bCs/>
          <w:color w:val="000000" w:themeColor="text1"/>
          <w:kern w:val="0"/>
          <w:sz w:val="21"/>
          <w:szCs w:val="21"/>
          <w:highlight w:val="none"/>
          <w14:textFill>
            <w14:solidFill>
              <w14:schemeClr w14:val="tx1"/>
            </w14:solidFill>
          </w14:textFill>
        </w:rPr>
        <w:t>，自项目最终验收合格之日起算</w:t>
      </w:r>
      <w:r>
        <w:rPr>
          <w:rFonts w:hint="eastAsia" w:ascii="宋体" w:hAnsi="宋体" w:eastAsia="宋体" w:cs="宋体"/>
          <w:b/>
          <w:bCs/>
          <w:color w:val="000000" w:themeColor="text1"/>
          <w:kern w:val="0"/>
          <w:sz w:val="21"/>
          <w:szCs w:val="21"/>
          <w:highlight w:val="none"/>
          <w14:textFill>
            <w14:solidFill>
              <w14:schemeClr w14:val="tx1"/>
            </w14:solidFill>
          </w14:textFill>
        </w:rPr>
        <w:t>（以设备整体验收报告日期为准）</w:t>
      </w:r>
      <w:r>
        <w:rPr>
          <w:rFonts w:ascii="宋体" w:hAnsi="宋体" w:eastAsia="宋体" w:cs="宋体"/>
          <w:b/>
          <w:bCs/>
          <w:color w:val="000000" w:themeColor="text1"/>
          <w:kern w:val="0"/>
          <w:sz w:val="21"/>
          <w:szCs w:val="21"/>
          <w:highlight w:val="none"/>
          <w14:textFill>
            <w14:solidFill>
              <w14:schemeClr w14:val="tx1"/>
            </w14:solidFill>
          </w14:textFill>
        </w:rPr>
        <w:t>。质保期内，对本项目供货、安装质量进行免费保修，并承诺优先采用不停产检修方式，若因水下检修作业条件不足，确需采用停产放空生化池检修的，需征得招标人同意后方可实施。免费保修包括但不限于由投标人承担完成质保期的工作而产生的运费、购置费、测试费、人工费等各项费用。</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(2) 在合同规定的质保期内，投标人承诺将在接到招标人的故障通知后4小时内响应，24小时内到达项目现场进行维修等服务。</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(3) 招标人在使用货物时所遇技术问题，投标人应按招标人要求及时向招标人无偿提供技术指导服务。</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lang w:val="zh-CN"/>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(4) 投标人未按上述要求提供售后服务的，招标人有权要求其他第三方提供相关服务，因此产生的费用全部由投标人承担。</w:t>
      </w:r>
    </w:p>
    <w:p>
      <w:pPr>
        <w:autoSpaceDE w:val="0"/>
        <w:autoSpaceDN w:val="0"/>
        <w:adjustRightInd w:val="0"/>
        <w:spacing w:before="120" w:beforeLines="50" w:after="120" w:afterLines="50" w:line="360" w:lineRule="auto"/>
        <w:jc w:val="left"/>
        <w:rPr>
          <w:rFonts w:hint="eastAsia" w:ascii="宋体" w:hAnsi="宋体" w:eastAsia="宋体" w:cs="Times New Roman"/>
          <w:b/>
          <w:color w:val="000000" w:themeColor="text1"/>
          <w:kern w:val="0"/>
          <w:sz w:val="24"/>
          <w:szCs w:val="24"/>
          <w:highlight w:val="none"/>
          <w:lang w:val="zh-CN"/>
          <w14:textFill>
            <w14:solidFill>
              <w14:schemeClr w14:val="tx1"/>
            </w14:solidFill>
          </w14:textFill>
        </w:rPr>
      </w:pPr>
      <w:r>
        <w:rPr>
          <w:rFonts w:hint="eastAsia" w:ascii="宋体" w:hAnsi="宋体" w:eastAsia="宋体" w:cs="Times New Roman"/>
          <w:b/>
          <w:color w:val="000000" w:themeColor="text1"/>
          <w:kern w:val="0"/>
          <w:sz w:val="24"/>
          <w:szCs w:val="24"/>
          <w:highlight w:val="none"/>
          <w:lang w:val="zh-CN"/>
          <w14:textFill>
            <w14:solidFill>
              <w14:schemeClr w14:val="tx1"/>
            </w14:solidFill>
          </w14:textFill>
        </w:rPr>
        <w:t>十一. 价款要求</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(1) 本项目的报价为不含税总价，包含但不限于本合同项下所供货物及其配备的附件的采购、制造、检测检验、试验、送货、装卸（含二次搬运至招标人方指定交货或仓储地点）、人工费、材料费、安装费、调试费、运费、</w:t>
      </w:r>
      <w:r>
        <w:rPr>
          <w:rFonts w:hint="eastAsia" w:ascii="宋体" w:hAnsi="宋体" w:eastAsia="宋体" w:cs="宋体"/>
          <w:color w:val="000000" w:themeColor="text1"/>
          <w:kern w:val="0"/>
          <w:sz w:val="21"/>
          <w:szCs w:val="21"/>
          <w:highlight w:val="none"/>
          <w14:textFill>
            <w14:solidFill>
              <w14:schemeClr w14:val="tx1"/>
            </w14:solidFill>
          </w14:textFill>
        </w:rPr>
        <w:t>除</w:t>
      </w:r>
      <w:r>
        <w:rPr>
          <w:rFonts w:ascii="宋体" w:hAnsi="宋体" w:eastAsia="宋体" w:cs="宋体"/>
          <w:color w:val="000000" w:themeColor="text1"/>
          <w:kern w:val="0"/>
          <w:sz w:val="21"/>
          <w:szCs w:val="21"/>
          <w:highlight w:val="none"/>
          <w14:textFill>
            <w14:solidFill>
              <w14:schemeClr w14:val="tx1"/>
            </w14:solidFill>
          </w14:textFill>
        </w:rPr>
        <w:t>投标人销项税额以外的税费、保险、质保期免费上门提供售后服务、培训、专用工具及备品备件、验收以及生化池清淤、现有曝气系统拆卸等相关服务的全部费用。未经招标人书面确认，投标人无权另行收取其它任何费用</w:t>
      </w:r>
      <w:r>
        <w:rPr>
          <w:rFonts w:hint="eastAsia" w:ascii="宋体" w:hAnsi="宋体" w:eastAsia="宋体" w:cs="宋体"/>
          <w:color w:val="000000" w:themeColor="text1"/>
          <w:kern w:val="0"/>
          <w:sz w:val="2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(2) 项目全部货物到达现场并初步验收合格后，投标人向招标人提交请款报告及与请款金额等额的、合法、有效的增值税专用发票，招标人在收到前述材料并确认无误后30个工作日内，支付合同价的30%及对应的税额给投标人。项目最终验收合格后，投标人向招标人提交请款报告及</w:t>
      </w:r>
      <w:r>
        <w:rPr>
          <w:rFonts w:hint="eastAsia" w:ascii="Calibri" w:hAnsi="宋体" w:eastAsia="宋体" w:cs="Times New Roman"/>
          <w:color w:val="000000" w:themeColor="text1"/>
          <w:kern w:val="0"/>
          <w:sz w:val="21"/>
          <w:szCs w:val="21"/>
          <w:highlight w:val="none"/>
          <w14:textFill>
            <w14:solidFill>
              <w14:schemeClr w14:val="tx1"/>
            </w14:solidFill>
          </w14:textFill>
        </w:rPr>
        <w:t>与请款金额等额的</w:t>
      </w:r>
      <w:r>
        <w:rPr>
          <w:rFonts w:ascii="宋体" w:hAnsi="宋体" w:eastAsia="宋体" w:cs="宋体"/>
          <w:color w:val="000000" w:themeColor="text1"/>
          <w:kern w:val="0"/>
          <w:sz w:val="21"/>
          <w:szCs w:val="21"/>
          <w:highlight w:val="none"/>
          <w14:textFill>
            <w14:solidFill>
              <w14:schemeClr w14:val="tx1"/>
            </w14:solidFill>
          </w14:textFill>
        </w:rPr>
        <w:t>、合法、有效的增值税专用发票，招标人在收到前述材料并确认无误后30个工作日内，支付至合同价的95%及对应的税额给投标人，剩余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合同价</w:t>
      </w:r>
      <w:r>
        <w:rPr>
          <w:rFonts w:ascii="宋体" w:hAnsi="宋体" w:eastAsia="宋体" w:cs="宋体"/>
          <w:color w:val="000000" w:themeColor="text1"/>
          <w:kern w:val="0"/>
          <w:sz w:val="21"/>
          <w:szCs w:val="21"/>
          <w:highlight w:val="none"/>
          <w14:textFill>
            <w14:solidFill>
              <w14:schemeClr w14:val="tx1"/>
            </w14:solidFill>
          </w14:textFill>
        </w:rPr>
        <w:t>的5%及对应的税额作为质保金。</w:t>
      </w:r>
    </w:p>
    <w:p>
      <w:pPr>
        <w:autoSpaceDE w:val="0"/>
        <w:autoSpaceDN w:val="0"/>
        <w:adjustRightInd w:val="0"/>
        <w:spacing w:line="360" w:lineRule="auto"/>
        <w:ind w:firstLine="210" w:firstLineChars="1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（3）质保期满后，采购货物无任何质量问题且投标人按照本合同约定提供质保服务的，由投标人向招标人提供</w:t>
      </w:r>
      <w:r>
        <w:rPr>
          <w:rFonts w:hint="eastAsia" w:ascii="宋体" w:hAnsi="宋体" w:eastAsia="宋体" w:cs="宋体"/>
          <w:color w:val="000000" w:themeColor="text1"/>
          <w:kern w:val="0"/>
          <w:sz w:val="21"/>
          <w:szCs w:val="21"/>
          <w:highlight w:val="none"/>
          <w14:textFill>
            <w14:solidFill>
              <w14:schemeClr w14:val="tx1"/>
            </w14:solidFill>
          </w14:textFill>
        </w:rPr>
        <w:t>与请款金额</w:t>
      </w:r>
      <w:r>
        <w:rPr>
          <w:rFonts w:ascii="宋体" w:hAnsi="宋体" w:eastAsia="宋体" w:cs="宋体"/>
          <w:color w:val="000000" w:themeColor="text1"/>
          <w:kern w:val="0"/>
          <w:sz w:val="21"/>
          <w:szCs w:val="21"/>
          <w:highlight w:val="none"/>
          <w14:textFill>
            <w14:solidFill>
              <w14:schemeClr w14:val="tx1"/>
            </w14:solidFill>
          </w14:textFill>
        </w:rPr>
        <w:t>等额</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w:t>
      </w:r>
      <w:r>
        <w:rPr>
          <w:rFonts w:ascii="宋体" w:hAnsi="宋体" w:eastAsia="宋体" w:cs="宋体"/>
          <w:color w:val="000000" w:themeColor="text1"/>
          <w:kern w:val="0"/>
          <w:sz w:val="21"/>
          <w:szCs w:val="21"/>
          <w:highlight w:val="none"/>
          <w14:textFill>
            <w14:solidFill>
              <w14:schemeClr w14:val="tx1"/>
            </w14:solidFill>
          </w14:textFill>
        </w:rPr>
        <w:t>、合法、有效的增值税专用发票等相关请款资料，经招标人确认无误后30个工作日内，支付剩余合同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价款</w:t>
      </w:r>
      <w:r>
        <w:rPr>
          <w:rFonts w:ascii="宋体" w:hAnsi="宋体" w:eastAsia="宋体" w:cs="宋体"/>
          <w:color w:val="000000" w:themeColor="text1"/>
          <w:kern w:val="0"/>
          <w:sz w:val="21"/>
          <w:szCs w:val="21"/>
          <w:highlight w:val="none"/>
          <w14:textFill>
            <w14:solidFill>
              <w14:schemeClr w14:val="tx1"/>
            </w14:solidFill>
          </w14:textFill>
        </w:rPr>
        <w:t>及对应的税额。如质保期内投标人未能按合同约定提供质保服务的，招标人有权从应付货款、质保金中扣减投标人依合同规定应付的违约金、赔偿金以及其他费用。</w:t>
      </w:r>
    </w:p>
    <w:p>
      <w:pPr>
        <w:autoSpaceDE w:val="0"/>
        <w:autoSpaceDN w:val="0"/>
        <w:adjustRightInd w:val="0"/>
        <w:spacing w:line="360" w:lineRule="auto"/>
        <w:ind w:firstLine="210" w:firstLineChars="100"/>
        <w:jc w:val="left"/>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（4）投标人逾期提交请款资料及发票或提交资料不符合招标人要求的，招标人付款时间顺延，并不承担逾期付款违约责任。由于投标人提供的发票不符合税法规定，给招标人造成的损失由投标人承担赔偿责任。</w:t>
      </w:r>
    </w:p>
    <w:p>
      <w:pPr>
        <w:autoSpaceDE w:val="0"/>
        <w:autoSpaceDN w:val="0"/>
        <w:adjustRightInd w:val="0"/>
        <w:spacing w:line="360" w:lineRule="auto"/>
        <w:ind w:firstLine="210" w:firstLineChars="100"/>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（5）支付方式为银行转账或银行承兑汇票，汇票期限不超过三个月，每期款项支付方式由招标人决定。</w:t>
      </w:r>
    </w:p>
    <w:p>
      <w:pPr>
        <w:spacing w:line="360" w:lineRule="auto"/>
        <w:rPr>
          <w:rFonts w:ascii="宋体" w:hAnsi="宋体" w:eastAsia="宋体" w:cs="Times New Roman"/>
          <w:color w:val="000000" w:themeColor="text1"/>
          <w:szCs w:val="21"/>
          <w:highlight w:val="none"/>
          <w14:textFill>
            <w14:solidFill>
              <w14:schemeClr w14:val="tx1"/>
            </w14:solidFill>
          </w14:textFill>
        </w:rPr>
      </w:pPr>
    </w:p>
    <w:p>
      <w:pPr>
        <w:rPr>
          <w:rFonts w:ascii="宋体" w:hAnsi="宋体" w:eastAsia="宋体" w:cs="Times New Roman"/>
          <w:b/>
          <w:color w:val="000000" w:themeColor="text1"/>
          <w:szCs w:val="21"/>
          <w:highlight w:val="none"/>
          <w14:textFill>
            <w14:solidFill>
              <w14:schemeClr w14:val="tx1"/>
            </w14:solidFill>
          </w14:textFill>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27" w:name="_Toc142508359"/>
      <w:bookmarkStart w:id="328" w:name="_Toc450662892"/>
      <w:bookmarkStart w:id="329" w:name="_Toc486167707"/>
      <w:bookmarkStart w:id="330" w:name="_Toc19477"/>
      <w:bookmarkStart w:id="331" w:name="_Toc11281_WPSOffice_Level1"/>
      <w:bookmarkStart w:id="332" w:name="_Toc6967"/>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327"/>
      <w:bookmarkEnd w:id="328"/>
      <w:bookmarkEnd w:id="329"/>
      <w:bookmarkEnd w:id="330"/>
      <w:bookmarkEnd w:id="331"/>
      <w:bookmarkEnd w:id="332"/>
    </w:p>
    <w:p>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spacing w:line="360" w:lineRule="auto"/>
        <w:jc w:val="cente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pPr>
      <w: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t>东莞市石鼓净水有限公司石碣二期生化池曝气系统重置采购项目（重新招标）</w:t>
      </w:r>
    </w:p>
    <w:p>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pPr>
        <w:autoSpaceDE w:val="0"/>
        <w:autoSpaceDN w:val="0"/>
        <w:adjustRightInd w:val="0"/>
        <w:spacing w:before="840" w:beforeLines="350" w:after="360" w:afterLines="150" w:line="360" w:lineRule="auto"/>
        <w:jc w:val="center"/>
        <w:rPr>
          <w:rFonts w:ascii="宋体" w:hAnsi="宋体" w:eastAsia="宋体" w:cs="Times New Roman"/>
          <w:b/>
          <w:bCs/>
          <w:color w:val="000000" w:themeColor="text1"/>
          <w:spacing w:val="60"/>
          <w:kern w:val="0"/>
          <w:sz w:val="52"/>
          <w:szCs w:val="52"/>
          <w:highlight w:val="none"/>
          <w14:textFill>
            <w14:solidFill>
              <w14:schemeClr w14:val="tx1"/>
            </w14:solidFill>
          </w14:textFill>
        </w:rPr>
      </w:pPr>
      <w:r>
        <w:rPr>
          <w:rFonts w:hint="eastAsia" w:ascii="宋体" w:hAnsi="宋体" w:eastAsia="宋体" w:cs="Times New Roman"/>
          <w:b/>
          <w:bCs/>
          <w:color w:val="000000" w:themeColor="text1"/>
          <w:spacing w:val="60"/>
          <w:kern w:val="0"/>
          <w:sz w:val="52"/>
          <w:szCs w:val="52"/>
          <w:highlight w:val="none"/>
          <w14:textFill>
            <w14:solidFill>
              <w14:schemeClr w14:val="tx1"/>
            </w14:solidFill>
          </w14:textFill>
        </w:rPr>
        <w:t>采购合同</w:t>
      </w:r>
    </w:p>
    <w:p>
      <w:pPr>
        <w:autoSpaceDE w:val="0"/>
        <w:autoSpaceDN w:val="0"/>
        <w:adjustRightInd w:val="0"/>
        <w:spacing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14:textFill>
            <w14:solidFill>
              <w14:schemeClr w14:val="tx1"/>
            </w14:solidFill>
          </w14:textFill>
        </w:rPr>
        <w:t>（合同编号：       ）</w:t>
      </w:r>
    </w:p>
    <w:p>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Times New Roman"/>
          <w:b/>
          <w:bCs/>
          <w:color w:val="000000" w:themeColor="text1"/>
          <w:kern w:val="0"/>
          <w:sz w:val="28"/>
          <w:szCs w:val="28"/>
          <w:highlight w:val="none"/>
          <w:u w:val="single"/>
          <w:lang w:eastAsia="zh-CN"/>
          <w14:textFill>
            <w14:solidFill>
              <w14:schemeClr w14:val="tx1"/>
            </w14:solidFill>
          </w14:textFill>
        </w:rPr>
        <w:t>东莞市石鼓净水有限公司</w:t>
      </w:r>
      <w:r>
        <w:rPr>
          <w:rFonts w:hint="eastAsia" w:ascii="宋体" w:hAnsi="宋体" w:eastAsia="宋体" w:cs="Times New Roman"/>
          <w:b/>
          <w:bCs/>
          <w:color w:val="000000" w:themeColor="text1"/>
          <w:kern w:val="0"/>
          <w:sz w:val="28"/>
          <w:szCs w:val="28"/>
          <w:highlight w:val="none"/>
          <w:u w:val="single"/>
          <w14:textFill>
            <w14:solidFill>
              <w14:schemeClr w14:val="tx1"/>
            </w14:solidFill>
          </w14:textFill>
        </w:rPr>
        <w:t xml:space="preserve"> </w:t>
      </w:r>
      <w:r>
        <w:rPr>
          <w:rFonts w:ascii="宋体" w:hAnsi="宋体" w:eastAsia="宋体" w:cs="Times New Roman"/>
          <w:b/>
          <w:bCs/>
          <w:color w:val="000000" w:themeColor="text1"/>
          <w:kern w:val="0"/>
          <w:sz w:val="28"/>
          <w:szCs w:val="28"/>
          <w:highlight w:val="none"/>
          <w14:textFill>
            <w14:solidFill>
              <w14:schemeClr w14:val="tx1"/>
            </w14:solidFill>
          </w14:textFill>
        </w:rPr>
        <w:t xml:space="preserve"> </w:t>
      </w:r>
    </w:p>
    <w:p>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pP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br w:type="page"/>
      </w:r>
    </w:p>
    <w:p>
      <w:pPr>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pPr>
        <w:snapToGrid w:val="0"/>
        <w:spacing w:line="360" w:lineRule="auto"/>
        <w:rPr>
          <w:rFonts w:ascii="宋体" w:hAnsi="宋体" w:eastAsia="宋体" w:cs="宋体"/>
          <w:color w:val="000000" w:themeColor="text1"/>
          <w:szCs w:val="21"/>
          <w:highlight w:val="none"/>
          <w14:textFill>
            <w14:solidFill>
              <w14:schemeClr w14:val="tx1"/>
            </w14:solidFill>
          </w14:textFill>
        </w:rPr>
      </w:pP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根据《中华人民共和国民法典》及</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日通知的</w:t>
      </w:r>
      <w:r>
        <w:rPr>
          <w:rFonts w:hint="eastAsia" w:ascii="宋体" w:hAnsi="宋体" w:eastAsia="宋体" w:cs="宋体"/>
          <w:color w:val="000000" w:themeColor="text1"/>
          <w:szCs w:val="21"/>
          <w:highlight w:val="none"/>
          <w:lang w:eastAsia="zh-CN"/>
          <w14:textFill>
            <w14:solidFill>
              <w14:schemeClr w14:val="tx1"/>
            </w14:solidFill>
          </w14:textFill>
        </w:rPr>
        <w:t>东莞市石鼓净水有限公司石碣二期生化池曝气系统重置采购项目（重新招标）</w:t>
      </w:r>
      <w:r>
        <w:rPr>
          <w:rFonts w:hint="eastAsia" w:ascii="宋体" w:hAnsi="宋体" w:eastAsia="宋体" w:cs="宋体"/>
          <w:color w:val="000000" w:themeColor="text1"/>
          <w:szCs w:val="21"/>
          <w:highlight w:val="none"/>
          <w14:textFill>
            <w14:solidFill>
              <w14:schemeClr w14:val="tx1"/>
            </w14:solidFill>
          </w14:textFill>
        </w:rPr>
        <w:t>中标结果（招标编号：</w:t>
      </w:r>
      <w:r>
        <w:rPr>
          <w:rFonts w:hint="eastAsia" w:ascii="宋体" w:hAnsi="宋体" w:eastAsia="宋体" w:cs="宋体"/>
          <w:color w:val="000000" w:themeColor="text1"/>
          <w:szCs w:val="21"/>
          <w:highlight w:val="none"/>
          <w:lang w:eastAsia="zh-CN"/>
          <w14:textFill>
            <w14:solidFill>
              <w14:schemeClr w14:val="tx1"/>
            </w14:solidFill>
          </w14:textFill>
        </w:rPr>
        <w:t>0832-SFCX24DG138A-1</w:t>
      </w:r>
      <w:r>
        <w:rPr>
          <w:rFonts w:hint="eastAsia" w:ascii="宋体" w:hAnsi="宋体" w:eastAsia="宋体" w:cs="宋体"/>
          <w:color w:val="000000" w:themeColor="text1"/>
          <w:szCs w:val="21"/>
          <w:highlight w:val="none"/>
          <w14:textFill>
            <w14:solidFill>
              <w14:schemeClr w14:val="tx1"/>
            </w14:solidFill>
          </w14:textFill>
        </w:rPr>
        <w:t>）和招标文件的要求，经双方协商一致，签订本合同。</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第一条 合同项目</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1、分项报价表：详见附件。</w:t>
      </w:r>
    </w:p>
    <w:p>
      <w:pPr>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2、本合同的供货及安装要求：</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交货时间：合同签订后</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，接到甲方书面通知之日起</w:t>
      </w:r>
      <w:r>
        <w:rPr>
          <w:rFonts w:hint="eastAsia" w:ascii="宋体" w:hAnsi="宋体" w:eastAsia="宋体" w:cs="宋体"/>
          <w:color w:val="000000" w:themeColor="text1"/>
          <w:szCs w:val="21"/>
          <w:highlight w:val="none"/>
          <w14:textFill>
            <w14:solidFill>
              <w14:schemeClr w14:val="tx1"/>
            </w14:solidFill>
          </w14:textFill>
        </w:rPr>
        <w:t>10周内完成全部设备的供货。</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 设备安装调试完成时间：全部设备完成交货</w:t>
      </w:r>
      <w:r>
        <w:rPr>
          <w:rFonts w:hint="eastAsia" w:ascii="宋体" w:hAnsi="宋体" w:eastAsia="宋体" w:cs="宋体"/>
          <w:color w:val="000000" w:themeColor="text1"/>
          <w:kern w:val="0"/>
          <w:sz w:val="21"/>
          <w:szCs w:val="21"/>
          <w:highlight w:val="none"/>
          <w14:textFill>
            <w14:solidFill>
              <w14:schemeClr w14:val="tx1"/>
            </w14:solidFill>
          </w14:textFill>
        </w:rPr>
        <w:t>并通过初步验收</w:t>
      </w:r>
      <w:r>
        <w:rPr>
          <w:rFonts w:hint="eastAsia" w:ascii="宋体" w:hAnsi="宋体" w:eastAsia="宋体" w:cs="宋体"/>
          <w:color w:val="000000" w:themeColor="text1"/>
          <w:szCs w:val="21"/>
          <w:highlight w:val="none"/>
          <w14:textFill>
            <w14:solidFill>
              <w14:schemeClr w14:val="tx1"/>
            </w14:solidFill>
          </w14:textFill>
        </w:rPr>
        <w:t>后，</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接到</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书面通知之日起</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日内完成生化池清淤、现有曝气系统拆卸、新购置曝气系统设备安装及调试等工作。</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交货地点、方式：交货地点为石碣沙腰污水处理厂二期厂内，</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负责将货物运输至</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指定位置</w:t>
      </w:r>
      <w:r>
        <w:rPr>
          <w:rFonts w:hint="eastAsia" w:ascii="宋体" w:hAnsi="宋体" w:eastAsia="宋体" w:cs="宋体"/>
          <w:color w:val="000000" w:themeColor="text1"/>
          <w:kern w:val="0"/>
          <w:sz w:val="21"/>
          <w:szCs w:val="21"/>
          <w:highlight w:val="none"/>
          <w14:textFill>
            <w14:solidFill>
              <w14:schemeClr w14:val="tx1"/>
            </w14:solidFill>
          </w14:textFill>
        </w:rPr>
        <w:t>。如因特殊情况无法按时完成的，</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需提前5日与</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进行沟通，征得</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同意后，方可适当延长服务时间，且因工作时间延长产生的费用由</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自行承担</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交货方式与风险承担：在货物移交给</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并经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最终验收合格前，货物的毁损、灭失的风险和责任均由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kern w:val="0"/>
          <w:sz w:val="21"/>
          <w:szCs w:val="21"/>
          <w:highlight w:val="none"/>
          <w14:textFill>
            <w14:solidFill>
              <w14:schemeClr w14:val="tx1"/>
            </w14:solidFill>
          </w14:textFill>
        </w:rPr>
        <w:t>负责供货设备运输及承担运输费用</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第二条 合同价款及销项税额</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1、合同价（不含乙方销项税额）为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在本合同履行过程中，</w:t>
      </w:r>
      <w:r>
        <w:rPr>
          <w:rFonts w:hint="eastAsia" w:ascii="宋体" w:hAnsi="宋体" w:eastAsia="宋体" w:cs="宋体"/>
          <w:color w:val="000000" w:themeColor="text1"/>
          <w:szCs w:val="21"/>
          <w:highlight w:val="none"/>
          <w14:textFill>
            <w14:solidFill>
              <w14:schemeClr w14:val="tx1"/>
            </w14:solidFill>
          </w14:textFill>
        </w:rPr>
        <w:t>前述</w:t>
      </w:r>
      <w:r>
        <w:rPr>
          <w:rFonts w:hint="eastAsia" w:ascii="宋体" w:hAnsi="宋体" w:eastAsia="宋体" w:cs="宋体"/>
          <w:color w:val="000000" w:themeColor="text1"/>
          <w:szCs w:val="21"/>
          <w:highlight w:val="none"/>
          <w:lang w:val="zh-CN"/>
          <w14:textFill>
            <w14:solidFill>
              <w14:schemeClr w14:val="tx1"/>
            </w14:solidFill>
          </w14:textFill>
        </w:rPr>
        <w:t>合同</w:t>
      </w:r>
      <w:r>
        <w:rPr>
          <w:rFonts w:hint="eastAsia" w:ascii="宋体" w:hAnsi="宋体" w:eastAsia="宋体" w:cs="宋体"/>
          <w:color w:val="000000" w:themeColor="text1"/>
          <w:szCs w:val="21"/>
          <w:highlight w:val="none"/>
          <w14:textFill>
            <w14:solidFill>
              <w14:schemeClr w14:val="tx1"/>
            </w14:solidFill>
          </w14:textFill>
        </w:rPr>
        <w:t>价（不含乙方销项税额）</w:t>
      </w:r>
      <w:r>
        <w:rPr>
          <w:rFonts w:hint="eastAsia" w:ascii="宋体" w:hAnsi="宋体" w:eastAsia="宋体" w:cs="宋体"/>
          <w:color w:val="000000" w:themeColor="text1"/>
          <w:szCs w:val="21"/>
          <w:highlight w:val="none"/>
          <w:lang w:val="zh-CN"/>
          <w14:textFill>
            <w14:solidFill>
              <w14:schemeClr w14:val="tx1"/>
            </w14:solidFill>
          </w14:textFill>
        </w:rPr>
        <w:t>不随法律法规政策、物价人工、工期调整而进行调整，</w:t>
      </w:r>
      <w:r>
        <w:rPr>
          <w:rFonts w:hint="eastAsia" w:ascii="宋体" w:hAnsi="宋体" w:eastAsia="宋体" w:cs="宋体"/>
          <w:color w:val="000000" w:themeColor="text1"/>
          <w:szCs w:val="21"/>
          <w:highlight w:val="none"/>
          <w14:textFill>
            <w14:solidFill>
              <w14:schemeClr w14:val="tx1"/>
            </w14:solidFill>
          </w14:textFill>
        </w:rPr>
        <w:t>未经甲方书面确认，乙方无权增加任何费用。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2、依法计得并根据本合同约定确定的销项税额由甲方承担。根据</w:t>
      </w:r>
      <w:r>
        <w:rPr>
          <w:rFonts w:hint="eastAsia" w:ascii="宋体" w:hAnsi="宋体" w:eastAsia="宋体" w:cs="宋体"/>
          <w:color w:val="000000" w:themeColor="text1"/>
          <w:szCs w:val="21"/>
          <w:highlight w:val="none"/>
          <w:lang w:val="zh-CN"/>
          <w14:textFill>
            <w14:solidFill>
              <w14:schemeClr w14:val="tx1"/>
            </w14:solidFill>
          </w14:textFill>
        </w:rPr>
        <w:t>《中华人民共和国增值税</w:t>
      </w:r>
      <w:r>
        <w:rPr>
          <w:rFonts w:hint="eastAsia" w:ascii="宋体" w:hAnsi="宋体" w:eastAsia="宋体" w:cs="宋体"/>
          <w:color w:val="000000" w:themeColor="text1"/>
          <w:szCs w:val="21"/>
          <w:highlight w:val="none"/>
          <w14:textFill>
            <w14:solidFill>
              <w14:schemeClr w14:val="tx1"/>
            </w14:solidFill>
          </w14:textFill>
        </w:rPr>
        <w:t>暂行</w:t>
      </w:r>
      <w:r>
        <w:rPr>
          <w:rFonts w:hint="eastAsia" w:ascii="宋体" w:hAnsi="宋体" w:eastAsia="宋体" w:cs="宋体"/>
          <w:color w:val="000000" w:themeColor="text1"/>
          <w:szCs w:val="21"/>
          <w:highlight w:val="none"/>
          <w:lang w:val="zh-CN"/>
          <w14:textFill>
            <w14:solidFill>
              <w14:schemeClr w14:val="tx1"/>
            </w14:solidFill>
          </w14:textFill>
        </w:rPr>
        <w:t>条例》（国务院令第691号修订版）</w:t>
      </w:r>
      <w:r>
        <w:rPr>
          <w:rFonts w:hint="eastAsia" w:ascii="宋体" w:hAnsi="宋体" w:eastAsia="宋体" w:cs="宋体"/>
          <w:color w:val="000000" w:themeColor="text1"/>
          <w:szCs w:val="21"/>
          <w:highlight w:val="none"/>
          <w14:textFill>
            <w14:solidFill>
              <w14:schemeClr w14:val="tx1"/>
            </w14:solidFill>
          </w14:textFill>
        </w:rPr>
        <w:t>及当前税务部门的相关规定，本合同项目的增值税税率为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，对应的销项税额为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在本合同履行过程中，税收政策变动导致</w:t>
      </w:r>
      <w:r>
        <w:rPr>
          <w:rFonts w:hint="eastAsia" w:ascii="宋体" w:hAnsi="宋体" w:eastAsia="宋体" w:cs="宋体"/>
          <w:color w:val="000000" w:themeColor="text1"/>
          <w:szCs w:val="21"/>
          <w:highlight w:val="none"/>
          <w14:textFill>
            <w14:solidFill>
              <w14:schemeClr w14:val="tx1"/>
            </w14:solidFill>
          </w14:textFill>
        </w:rPr>
        <w:t>增值税</w:t>
      </w:r>
      <w:r>
        <w:rPr>
          <w:rFonts w:hint="eastAsia" w:ascii="宋体" w:hAnsi="宋体" w:eastAsia="宋体" w:cs="宋体"/>
          <w:color w:val="000000" w:themeColor="text1"/>
          <w:szCs w:val="21"/>
          <w:highlight w:val="none"/>
          <w:lang w:val="zh-CN"/>
          <w14:textFill>
            <w14:solidFill>
              <w14:schemeClr w14:val="tx1"/>
            </w14:solidFill>
          </w14:textFill>
        </w:rPr>
        <w:t>税率调整，依法应调整</w:t>
      </w:r>
      <w:r>
        <w:rPr>
          <w:rFonts w:hint="eastAsia" w:ascii="宋体" w:hAnsi="宋体" w:eastAsia="宋体" w:cs="宋体"/>
          <w:color w:val="000000" w:themeColor="text1"/>
          <w:szCs w:val="21"/>
          <w:highlight w:val="none"/>
          <w14:textFill>
            <w14:solidFill>
              <w14:schemeClr w14:val="tx1"/>
            </w14:solidFill>
          </w14:textFill>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因乙方未按法定税率计算税额或未根据本合同约定出具对应税额的增值税专用发票等乙方原因导致甲方多支付税额的，乙方必须退还甲方，给甲方造成损失的，乙方须向甲方赔偿相应损失。</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3、合同价税合计为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），合同履行期间根据本条第2项规定调整销项税额的，结算合同价税合计对应调整。</w:t>
      </w:r>
    </w:p>
    <w:p>
      <w:pPr>
        <w:spacing w:line="360" w:lineRule="auto"/>
        <w:ind w:firstLine="420" w:firstLineChars="200"/>
        <w:outlineLvl w:val="0"/>
        <w:rPr>
          <w:rFonts w:ascii="宋体" w:hAnsi="宋体" w:eastAsia="宋体" w:cs="宋体"/>
          <w:color w:val="000000" w:themeColor="text1"/>
          <w:szCs w:val="21"/>
          <w:highlight w:val="none"/>
          <w14:textFill>
            <w14:solidFill>
              <w14:schemeClr w14:val="tx1"/>
            </w14:solidFill>
          </w14:textFill>
        </w:rPr>
      </w:pPr>
      <w:bookmarkStart w:id="333" w:name="_Toc9720"/>
      <w:r>
        <w:rPr>
          <w:rFonts w:hint="eastAsia" w:ascii="宋体" w:hAnsi="宋体" w:eastAsia="宋体" w:cs="宋体"/>
          <w:color w:val="000000" w:themeColor="text1"/>
          <w:szCs w:val="21"/>
          <w:highlight w:val="none"/>
          <w14:textFill>
            <w14:solidFill>
              <w14:schemeClr w14:val="tx1"/>
            </w14:solidFill>
          </w14:textFill>
        </w:rPr>
        <w:t>4、合同价为乙方完成应承担合同义务的全部费用，包括但不限于：</w:t>
      </w:r>
      <w:bookmarkEnd w:id="333"/>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（1）本合同项下所供货物及其配备的附件的采购、制造、检测检验、试验、送货、装卸（含二次搬运至</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指定交货或仓储地点）、人工费、材料费、安装费、调试费、运费、除</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销项税额以外的税费、保险、质保期免费上门提供售后服务、培训、专用工具及备品备件、验收以及生化池清淤、现有曝气系统拆卸等相关服务的全部费用。未经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书面确认，</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无权另行收取其它任何费用；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（2）货物及其工艺所有制造方、使用方应支付的对专有技术、专利权和版权、设计或其他知识产权而需要向其他方支付的版税；</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（3）验收时为达到相关标准而可能增加的、不合格货物更换、零配件更换等费用；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（4）甲方所在地及项目现场培训全过程费用（含会务、资料、培训方及非中文培训师的翻译、乙方、甲方涉及的所有费用）；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（5）设备备品备件（含零配件）、设备拆装维修所需特殊专用工具购置费；</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（6）日常技术指导，免费的质保期保修服务，包括但不限于对设备的运行指导，免费维修、保修或更换配件，在设备出现严重故障、影响正常运行、修复有困难的情况下，对设备进行免费更换的费用；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（7）分项报价表虽未列出，但为满足设计功能所必需的设备材料购置费；</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（8）合理利润、乙方销项税额以外的税费等；</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合同价中，甲方不另行向乙方支付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在合同履行期间，若发现乙方投标文件更改、删除或遗漏了招标文件用户需求书招标设备清单内的项目或数量等情况时，并不能免除乙方按照图纸、标准与规范实施合同的任何责任，并将视为该项费用已包括在合同价内，甲方不另行向乙方支付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（11）法律法规、商业公认、招标文件规定由乙方承担的其他直接及间接费用。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第三条 付款方式</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履约过程中，乙方根据本合同约定需向甲方支付违约金、赔偿金、或其他应付费用等款项的，甲方有权要求乙方必须向甲方支付完前述款项后，甲方才根据本合同向乙方支付合同价和税额，由此造成逾期付款的，甲方不构成违约；或者，甲方有权启用履约担保或直接从未付合同款项、质量保证金中直接扣除前述款项，且乙方必须按照扣除前述款项前的合同价（销售额）开具增值税专用发票，保证增值税税额符合法律规定。</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2、在达到以下付款条件时，甲方通过以下方式以人民币支付合同款项给乙方：</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（1）项目全部货物到达现场并初步验收合格后，</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向</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提交请款报告及与请款金额等额的、合法、有效的增值税专用发票，</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在收到前述材料并确认无误后30个工作日内，支付合同价的30%及对应的税额给</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。项目最终验收合格后，</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向</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提交请款报告及与请款金额等额的、合法、有效的增值税专用发票，</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在收到前述材料并确认无误后30个工作日内，支付至合同价的95%及对应的税额给</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，剩余</w:t>
      </w:r>
      <w:r>
        <w:rPr>
          <w:rFonts w:hint="eastAsia" w:ascii="宋体" w:hAnsi="宋体" w:eastAsia="宋体" w:cs="宋体"/>
          <w:color w:val="000000" w:themeColor="text1"/>
          <w:szCs w:val="21"/>
          <w:highlight w:val="none"/>
          <w:lang w:val="en-US" w:eastAsia="zh-CN"/>
          <w14:textFill>
            <w14:solidFill>
              <w14:schemeClr w14:val="tx1"/>
            </w14:solidFill>
          </w14:textFill>
        </w:rPr>
        <w:t>合同价</w:t>
      </w:r>
      <w:r>
        <w:rPr>
          <w:rFonts w:hint="eastAsia" w:ascii="宋体" w:hAnsi="宋体" w:eastAsia="宋体" w:cs="宋体"/>
          <w:color w:val="000000" w:themeColor="text1"/>
          <w:szCs w:val="21"/>
          <w:highlight w:val="none"/>
          <w14:textFill>
            <w14:solidFill>
              <w14:schemeClr w14:val="tx1"/>
            </w14:solidFill>
          </w14:textFill>
        </w:rPr>
        <w:t>的5%及对应的税额作为质保金。</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（2）质保期满后，采购货物无任何质量问题且</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按照本合同约定提供质保服务的，由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向</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提供与请款金额等额</w:t>
      </w:r>
      <w:r>
        <w:rPr>
          <w:rFonts w:hint="eastAsia" w:ascii="宋体" w:hAnsi="宋体" w:eastAsia="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、合法、有效的增值税专用发票等相关请款资料，经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确认无误后30个工作日内，支付剩余合同</w:t>
      </w:r>
      <w:r>
        <w:rPr>
          <w:rFonts w:hint="eastAsia" w:ascii="宋体" w:hAnsi="宋体" w:eastAsia="宋体" w:cs="宋体"/>
          <w:color w:val="000000" w:themeColor="text1"/>
          <w:szCs w:val="21"/>
          <w:highlight w:val="none"/>
          <w:lang w:val="en-US"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及对应的税额。如质保期内</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未能按合同约定提供质保服务的，</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有权从应付货款、质保金中扣减</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依合同规定应付的违约金、赔偿金以及其他费用。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逾期提交请款资料及发票或提交资料不符合</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要求的，</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付款时间顺延，并不承担逾期付款违约责任。由于</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提供的发票不符合税法规定，给</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造成的损失由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承担赔偿责任。</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4、支付方式为银行转账或银行承兑汇票，汇票期限不超过三个月，每期款项支付方式由甲方决定。</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第四条 合同组成</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第五条 技术要求</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保证所提供货物均为采用合格材料和工艺制成的全新一手的未使用过的制造商原装产品，并完全符合甲方招标文件、用户需求书要求及乙方投标文件承诺的质量、规格标准；同时乙方所提供货物，必须符合国家有关法律法规和环保、主管部门要求及甲方的技术要求，不存在侵犯第三人知识产权及其他合法权益的情况，否则</w:t>
      </w:r>
      <w:r>
        <w:rPr>
          <w:rFonts w:hint="eastAsia" w:ascii="宋体" w:hAnsi="宋体" w:eastAsia="宋体" w:cs="宋体"/>
          <w:color w:val="000000" w:themeColor="text1"/>
          <w:szCs w:val="21"/>
          <w:highlight w:val="none"/>
          <w:lang w:eastAsia="zh-Hans"/>
          <w14:textFill>
            <w14:solidFill>
              <w14:schemeClr w14:val="tx1"/>
            </w14:solidFill>
          </w14:textFill>
        </w:rPr>
        <w:t>甲方有权单方解除本合同、不予返还履约担保且要求乙方按合同总额的【20】%承担违约责任。</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2、乙方提供的货物及服务应满足附件《用户需求书》中的技术要求。</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numPr>
          <w:ilvl w:val="0"/>
          <w:numId w:val="2"/>
        </w:num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质量保证、工厂监造和出厂试验</w:t>
      </w:r>
    </w:p>
    <w:p>
      <w:pPr>
        <w:spacing w:line="360" w:lineRule="auto"/>
        <w:ind w:firstLine="420" w:firstLineChars="200"/>
        <w:outlineLvl w:val="0"/>
        <w:rPr>
          <w:rFonts w:ascii="宋体" w:hAnsi="宋体" w:eastAsia="宋体" w:cs="宋体"/>
          <w:color w:val="000000" w:themeColor="text1"/>
          <w:szCs w:val="21"/>
          <w:highlight w:val="none"/>
          <w14:textFill>
            <w14:solidFill>
              <w14:schemeClr w14:val="tx1"/>
            </w14:solidFill>
          </w14:textFill>
        </w:rPr>
      </w:pPr>
      <w:bookmarkStart w:id="334" w:name="_Toc29221"/>
      <w:r>
        <w:rPr>
          <w:rFonts w:hint="eastAsia" w:ascii="宋体" w:hAnsi="宋体" w:eastAsia="宋体" w:cs="宋体"/>
          <w:color w:val="000000" w:themeColor="text1"/>
          <w:szCs w:val="21"/>
          <w:highlight w:val="none"/>
          <w14:textFill>
            <w14:solidFill>
              <w14:schemeClr w14:val="tx1"/>
            </w14:solidFill>
          </w14:textFill>
        </w:rPr>
        <w:t>1、质量保证计划</w:t>
      </w:r>
      <w:bookmarkEnd w:id="334"/>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应在设备开始制造之前对本合同提供的设备制造、运输、安装、调试建立质量保证计划，并在本合同签订之日起7日内提供书面的质量保证计划给甲方，质量保证计划为合同的组成部分，乙方及分包供应商必须共同遵守，并严格按照本合同及招标文件和ISO、ICE、GB标准进行。</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2、由乙方供应的所有合同设备部件（包括外购），在生产过程中都须进行严格的测试和试验。所有测试、试验和总装（装配）必须有正式的记录文件。</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为掌握制造进度和协调工作，乙方保证甲方可随时进入设备制造现场检查设备制造进度，乙方需配合并提供便利条件。甲方有权派代表到设备制造所在地对设备制造、检验、测试及运行实地考察或监造，也可指派专人到制造厂进行逐台或抽样检验。乙方负责根据需要为甲方在产地的考察、监造或参与设备的检测工作提供便利，对于进口设备，乙方应替甲方办妥入境签证手续并获得进入现场检查、检测和实验的许可证件。前述所需费用不包含在合同价中，由甲方自行承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设备产地进行的检验和测试不是设备的最后验收。乙方在设备生产测试前应向甲方提供检查和测试计划，当设备检查、测试的准备工作就绪，应在测试日的10个工作日前书面通知甲方测试日期，当设备需在国外进行测试时乙方应于20日前发出书面通知，并在设备的测试成功后，在所有产品合格证的背后盖上“符合规格”（Conforms with the Specification）印章。如果在规定时间内，甲方代表不能到场，乙方在事先书面通知甲方并经甲方书面同意后方可自行完成检查和测试工作；未经甲方书面同意，乙方不得擅自进行测试工作，否则甲方有权拒绝承认乙方的测试结果。上述程序完成后，乙方应于3日内给甲方邮寄5份附有具体测试结果的合格证书，并保证甲方于7日内收到该报告，乙方应保证前述文件的合法性、真实性、准确性。如果尚无技术条件完成测试工作的，乙方应将相应工作安排到具有测试条件和相应资质的单位进行，相关费用由乙方承担。检验结论和记录应提交甲方书面确认，如检验、检测不符本技术要求而引起的时间延误，不得作为工期延误的免责理由，乙方应自行承担相关责任。</w:t>
      </w:r>
    </w:p>
    <w:p>
      <w:pPr>
        <w:pStyle w:val="18"/>
        <w:adjustRightInd/>
        <w:spacing w:line="360" w:lineRule="auto"/>
        <w:ind w:right="0" w:firstLine="420"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5、货物出厂后，甲方有权对任何材料（或设备）在任何时间和地点进行检验和测试，由此产生的费用由乙方先行垫付。如果所检验和测试的材料（或设备）符合本合同（含附件）约定的质量规定，则检验和测试费用最终由甲方承担，反之则此费用由乙方承担。</w:t>
      </w: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第七条 </w:t>
      </w:r>
      <w:r>
        <w:rPr>
          <w:rFonts w:hint="eastAsia" w:ascii="宋体" w:hAnsi="宋体" w:eastAsia="宋体" w:cs="宋体"/>
          <w:b/>
          <w:color w:val="000000" w:themeColor="text1"/>
          <w:szCs w:val="21"/>
          <w:highlight w:val="none"/>
          <w:lang w:val="zh-CN"/>
          <w14:textFill>
            <w14:solidFill>
              <w14:schemeClr w14:val="tx1"/>
            </w14:solidFill>
          </w14:textFill>
        </w:rPr>
        <w:t>施工安全及其他要求</w:t>
      </w:r>
    </w:p>
    <w:p>
      <w:pPr>
        <w:spacing w:line="360" w:lineRule="auto"/>
        <w:ind w:firstLine="422" w:firstLineChars="200"/>
        <w:outlineLvl w:val="0"/>
        <w:rPr>
          <w:rFonts w:ascii="宋体" w:hAnsi="宋体" w:eastAsia="宋体" w:cs="宋体"/>
          <w:color w:val="000000" w:themeColor="text1"/>
          <w:szCs w:val="21"/>
          <w:highlight w:val="none"/>
          <w14:textFill>
            <w14:solidFill>
              <w14:schemeClr w14:val="tx1"/>
            </w14:solidFill>
          </w14:textFill>
        </w:rPr>
      </w:pPr>
      <w:bookmarkStart w:id="335" w:name="_Toc769"/>
      <w:r>
        <w:rPr>
          <w:rFonts w:hint="eastAsia" w:ascii="宋体" w:hAnsi="宋体" w:eastAsia="宋体" w:cs="宋体"/>
          <w:b/>
          <w:color w:val="000000" w:themeColor="text1"/>
          <w:szCs w:val="21"/>
          <w:highlight w:val="none"/>
          <w14:textFill>
            <w14:solidFill>
              <w14:schemeClr w14:val="tx1"/>
            </w14:solidFill>
          </w14:textFill>
        </w:rPr>
        <w:t>1、安全要求</w:t>
      </w:r>
      <w:bookmarkEnd w:id="335"/>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在施工前需对施工人员做好施工安全培训、教育，施工期间严格执行有限空间作业、特种设备操作、用电安全等相关规范，并无条件接受</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监督。</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应当采取有效的职业卫生防护措施，为施工人员配备必要的防护用品（安全帽、防水手套、安全带、口罩、救生衣等）。</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 施工人员需服从</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管理，未经允许不能进入不相关的生产作业区。</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 施工作业期间，施工人员严禁打闹嬉戏、抽烟，严禁酒后工作。</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 施工作业期间，施工人员需穿戴好安全防护用品，如安全帽、防水套装等。</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(6) </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有权要求</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对不称职人员进行更换，更换时间不超过2个工作日。</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(7) </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须为每位施工人员购买保险。</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 施工过程中出现的安全事故由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自行承担。</w:t>
      </w:r>
    </w:p>
    <w:p>
      <w:pPr>
        <w:spacing w:line="360" w:lineRule="auto"/>
        <w:ind w:firstLine="422" w:firstLineChars="200"/>
        <w:outlineLvl w:val="0"/>
        <w:rPr>
          <w:rFonts w:ascii="宋体" w:hAnsi="宋体" w:eastAsia="宋体" w:cs="宋体"/>
          <w:color w:val="000000" w:themeColor="text1"/>
          <w:szCs w:val="21"/>
          <w:highlight w:val="none"/>
          <w14:textFill>
            <w14:solidFill>
              <w14:schemeClr w14:val="tx1"/>
            </w14:solidFill>
          </w14:textFill>
        </w:rPr>
      </w:pPr>
      <w:bookmarkStart w:id="336" w:name="_Toc52"/>
      <w:r>
        <w:rPr>
          <w:rFonts w:hint="eastAsia" w:ascii="宋体" w:hAnsi="宋体" w:eastAsia="宋体" w:cs="宋体"/>
          <w:b/>
          <w:color w:val="000000" w:themeColor="text1"/>
          <w:szCs w:val="21"/>
          <w:highlight w:val="none"/>
          <w14:textFill>
            <w14:solidFill>
              <w14:schemeClr w14:val="tx1"/>
            </w14:solidFill>
          </w14:textFill>
        </w:rPr>
        <w:t>2、其他要求</w:t>
      </w:r>
      <w:bookmarkEnd w:id="336"/>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施工设备、工器具、安全防护用品、材料：由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自行解决。</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 施工用水、用电：</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在石碣沙腰污水处理厂二期厂内提供水、电接入点，由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自行接入，</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需做好用水、用电安全防护措施并无条件接受</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监督。设备、设施施工的水、电费用由</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承担。</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需在供货前提交供货、施工计划及施工方案，最终的供货、施工计划及施工方案以</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确认的为准。</w:t>
      </w:r>
    </w:p>
    <w:p>
      <w:pPr>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生化池清淤工作进行时人员不少于5人，曝气管拆卸工作进行时工作人员不少于8人，曝气管搬运工作进行时人员不少于5人。放空工作先进行，</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需提供设备（包含但不限于至少两台大型抽水泵（额定流量不小于500m³/h）、输水管道）及人员进行协助，清淤工作进行至可拆卸曝气管后，曝气管拆卸、搬运工作同时进行。各项工作人员需独立工作，不得人员交叉作业。清淤设备现场需配备不少于两台立式吸砂泵，额定流量大于等于80m³/h。</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第八条 包装、运输</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1、本合同项下货物的包装均应有良好的防湿、防锈、防潮、防雨、防腐及防碰撞的措施，且货物的包装、运输方式均应符合国家及行业相关标准及规定。</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每件包装箱内，应附有装箱单、合格证、产品出厂质量合格证明书、技术说明以及甲方要求的其他合格证明文件或资料。所有包装箱上应正确地标上下列内容：a.合同号；b.设备及备件的名称、代号、型号、数量；c.设备安装地名称；d.通用的商务标志。内有危险品或易碎物品的包装箱应按当地或国际惯例对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4、各种设备的松散零星部件应采用可靠安全的包装方式，装入尺寸适当的箱内，并尽可能整车发运。栅格式箱子或类似的包装，只能用于盛装不至于被偷窃或被其他物品或雨水造成损坏的设备及零部件。</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5、凡设备上需涂油漆部分均需按规定进行处理，会腐蚀的未涂油漆的部分须用高熔点油脂或无酸牛脂或用其它保护剂涂抹，上述这些保护剂在设备安装期间或在安装后是易于抹去的。</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按照甲方的要求，乙方应按时告知设备的运输情况。乙方应负责将合同所供设备运至甲方指定位置，包括到场设备搬卸和采取安全措施。设备相关运输、装卸、保险、关税（进口设备）等费用已包含在合同价中。</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8、乙方对任何甲方不予接收的存在缺损或不符合技术文件规定的设备或有关机件、附件，应立即运走，予以更换。</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9、本合同项下货物由于包装不良、运输方式不当或非法运输造成的事故、损失、行政处罚和由此产生的其他全部费用均由乙方全部承担。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10、运输过程中发生的货物毁损、灭失等所有相关风险由乙方自行承担。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第九条 保险</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应负责为本合同项下所有货物购买足额的商业保险，投保的保险金额应不低于相应设备发票金额的110%，保险费已包含在合同价中。如因乙方未能投保或保险人不予承担相应责任而货物在经甲方验收合格前的运输、装卸等过程中发生毁损、灭失的风险由乙方自行承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一旦上述货物发生保险事故，乙方除依法向保险人请求赔偿保险金外，应继续依约按时向甲方提供满足本合同要求的货物，</w:t>
      </w:r>
      <w:r>
        <w:rPr>
          <w:rFonts w:hint="eastAsia" w:ascii="宋体" w:hAnsi="宋体" w:eastAsia="宋体" w:cs="宋体"/>
          <w:color w:val="000000" w:themeColor="text1"/>
          <w:szCs w:val="21"/>
          <w:highlight w:val="none"/>
          <w:lang w:eastAsia="zh-Hans"/>
          <w14:textFill>
            <w14:solidFill>
              <w14:schemeClr w14:val="tx1"/>
            </w14:solidFill>
          </w14:textFill>
        </w:rPr>
        <w:t>否则甲方有权按本合同第十</w:t>
      </w:r>
      <w:r>
        <w:rPr>
          <w:rFonts w:hint="eastAsia" w:ascii="宋体" w:hAnsi="宋体" w:eastAsia="宋体" w:cs="宋体"/>
          <w:color w:val="000000" w:themeColor="text1"/>
          <w:szCs w:val="21"/>
          <w:highlight w:val="none"/>
          <w14:textFill>
            <w14:solidFill>
              <w14:schemeClr w14:val="tx1"/>
            </w14:solidFill>
          </w14:textFill>
        </w:rPr>
        <w:t>九</w:t>
      </w:r>
      <w:r>
        <w:rPr>
          <w:rFonts w:hint="eastAsia" w:ascii="宋体" w:hAnsi="宋体" w:eastAsia="宋体" w:cs="宋体"/>
          <w:color w:val="000000" w:themeColor="text1"/>
          <w:szCs w:val="21"/>
          <w:highlight w:val="none"/>
          <w:lang w:eastAsia="zh-Hans"/>
          <w14:textFill>
            <w14:solidFill>
              <w14:schemeClr w14:val="tx1"/>
            </w14:solidFill>
          </w14:textFill>
        </w:rPr>
        <w:t>条第</w:t>
      </w:r>
      <w:r>
        <w:rPr>
          <w:rFonts w:hint="eastAsia" w:ascii="宋体" w:hAnsi="宋体" w:eastAsia="宋体" w:cs="宋体"/>
          <w:color w:val="000000" w:themeColor="text1"/>
          <w:szCs w:val="21"/>
          <w:highlight w:val="none"/>
          <w14:textFill>
            <w14:solidFill>
              <w14:schemeClr w14:val="tx1"/>
            </w14:solidFill>
          </w14:textFill>
        </w:rPr>
        <w:t>一</w:t>
      </w:r>
      <w:r>
        <w:rPr>
          <w:rFonts w:hint="eastAsia" w:ascii="宋体" w:hAnsi="宋体" w:eastAsia="宋体" w:cs="宋体"/>
          <w:color w:val="000000" w:themeColor="text1"/>
          <w:szCs w:val="21"/>
          <w:highlight w:val="none"/>
          <w:lang w:eastAsia="zh-Hans"/>
          <w14:textFill>
            <w14:solidFill>
              <w14:schemeClr w14:val="tx1"/>
            </w14:solidFill>
          </w14:textFill>
        </w:rPr>
        <w:t>款的约定要求乙方承担违约责任</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第十条 货物的交付</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将货物运输至甲方指定的交货地点、完成卸货，并向甲方提供产品合格证书、产品质量说明书、出厂检验报告及送货单后，经甲方书面确认最终验收合格后且签订书面验收凭证后视为交付货物。设备整体交付给甲方正常使用前，若发生货物的毁损、灭失等情况的，全部责任由乙方予以承担。</w:t>
      </w:r>
    </w:p>
    <w:p>
      <w:pPr>
        <w:pStyle w:val="185"/>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2、乙方应自行将货物运至交货地点交货。甲方根据整体项目进度的情况，有权提出对部分或全部货物提前或延迟交货，但应不迟于交货期限届满前7日告知乙方，甲方无需另行支付任何费用。 </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3、乙方有义务配合甲方整体项目进度，对整体项目提供协助及配合。</w:t>
      </w:r>
    </w:p>
    <w:p>
      <w:pPr>
        <w:pStyle w:val="18"/>
        <w:adjustRightInd/>
        <w:spacing w:line="360" w:lineRule="auto"/>
        <w:ind w:right="0" w:firstLine="420" w:firstLineChars="200"/>
        <w:jc w:val="left"/>
        <w:outlineLvl w:val="0"/>
        <w:rPr>
          <w:rFonts w:hAnsi="宋体" w:cs="宋体"/>
          <w:b w:val="0"/>
          <w:color w:val="000000" w:themeColor="text1"/>
          <w:sz w:val="21"/>
          <w:szCs w:val="21"/>
          <w:highlight w:val="none"/>
          <w14:textFill>
            <w14:solidFill>
              <w14:schemeClr w14:val="tx1"/>
            </w14:solidFill>
          </w14:textFill>
        </w:rPr>
      </w:pPr>
      <w:bookmarkStart w:id="337" w:name="_Toc2424"/>
      <w:r>
        <w:rPr>
          <w:rFonts w:hint="eastAsia" w:hAnsi="宋体" w:cs="宋体"/>
          <w:b w:val="0"/>
          <w:color w:val="000000" w:themeColor="text1"/>
          <w:sz w:val="21"/>
          <w:szCs w:val="21"/>
          <w:highlight w:val="none"/>
          <w14:textFill>
            <w14:solidFill>
              <w14:schemeClr w14:val="tx1"/>
            </w14:solidFill>
          </w14:textFill>
        </w:rPr>
        <w:t>4、供货及安装界限</w:t>
      </w:r>
      <w:bookmarkEnd w:id="337"/>
    </w:p>
    <w:p>
      <w:pPr>
        <w:pStyle w:val="18"/>
        <w:adjustRightInd/>
        <w:spacing w:line="360" w:lineRule="auto"/>
        <w:ind w:right="0" w:firstLine="420" w:firstLineChars="200"/>
        <w:jc w:val="left"/>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eastAsia="zh-CN"/>
          <w14:textFill>
            <w14:solidFill>
              <w14:schemeClr w14:val="tx1"/>
            </w14:solidFill>
          </w14:textFill>
        </w:rPr>
        <w:t>（</w:t>
      </w:r>
      <w:r>
        <w:rPr>
          <w:rFonts w:hint="eastAsia" w:hAnsi="宋体" w:cs="宋体"/>
          <w:b w:val="0"/>
          <w:bCs w:val="0"/>
          <w:color w:val="000000" w:themeColor="text1"/>
          <w:sz w:val="21"/>
          <w:szCs w:val="21"/>
          <w:highlight w:val="none"/>
          <w:lang w:val="en-US" w:eastAsia="zh-CN"/>
          <w14:textFill>
            <w14:solidFill>
              <w14:schemeClr w14:val="tx1"/>
            </w14:solidFill>
          </w14:textFill>
        </w:rPr>
        <w:t>1）乙方负责管式微孔曝气器成套曝气系统供货及其安装工作，并提供系统调试运行、技术培训服务。乙方需对曝气系统进行系统设计，并提供设计计算文件和图纸资料。管式微孔曝气器成套曝气系统主要包括管式微孔曝气器及其相关配套连接件、输气管道、冷凝水排放管道、管道支撑件、紧固件、地脚螺栓等。</w:t>
      </w:r>
    </w:p>
    <w:p>
      <w:pPr>
        <w:pStyle w:val="18"/>
        <w:adjustRightInd/>
        <w:spacing w:line="360" w:lineRule="auto"/>
        <w:ind w:right="0" w:firstLine="420" w:firstLineChars="200"/>
        <w:jc w:val="left"/>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2）乙方所供管式微孔曝气器成套曝气系统设计方案需经甲方同意后实施。若设计方案涉及输气立管的规格、布置等的调整，其调整所涉及的与主管接驳、混凝土池体开孔等的工作及新增的管材、连接件及其他附属件产生的费用均由乙方负责，乙方在项目实施时必须无条件及时提供，且不得以此为由要求增加费用。</w:t>
      </w:r>
    </w:p>
    <w:p>
      <w:pPr>
        <w:pStyle w:val="18"/>
        <w:adjustRightInd/>
        <w:spacing w:line="360" w:lineRule="auto"/>
        <w:ind w:right="0" w:firstLine="420" w:firstLineChars="200"/>
        <w:jc w:val="left"/>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3）乙方需提供管式微孔曝气器专用的安装工具、拆卸工具，及提供曝气器专用的清（酸）洗套件、清洗设备（如有），以及提供曝气系统备品备件（清单中仅列出完整的曝气器备件数量要求，为确保曝气系统正常运行所需的曝气器膜片、曝气器紧固件、管道支撑件、紧固件等的其他备件，乙方仍需提供）。</w:t>
      </w:r>
    </w:p>
    <w:p>
      <w:pPr>
        <w:pStyle w:val="18"/>
        <w:adjustRightInd/>
        <w:spacing w:line="360" w:lineRule="auto"/>
        <w:ind w:right="0" w:firstLine="420" w:firstLineChars="200"/>
        <w:jc w:val="left"/>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（4）乙方提供供货设备的现场安装、调试运行、技术培训服务。</w:t>
      </w:r>
    </w:p>
    <w:p>
      <w:pPr>
        <w:pStyle w:val="18"/>
        <w:adjustRightInd/>
        <w:spacing w:line="360" w:lineRule="auto"/>
        <w:ind w:right="0" w:firstLine="420" w:firstLineChars="200"/>
        <w:jc w:val="left"/>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（5）乙方负责现有管式微孔曝气器的拆除工作，拆除下来的管式曝气器、化学螺栓等由乙方起吊、搬运至石碣沙腰污水处理厂二期内部甲方指定的位置。</w:t>
      </w:r>
    </w:p>
    <w:p>
      <w:pPr>
        <w:pStyle w:val="18"/>
        <w:adjustRightInd/>
        <w:spacing w:line="360" w:lineRule="auto"/>
        <w:ind w:right="0" w:firstLine="420" w:firstLineChars="200"/>
        <w:jc w:val="left"/>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6）整个生化池池底淤泥清淤工作由乙方负责。清淤所需的工具、设备、材料等由乙方自行安排。乙方需清理生化池内所有积沙和部分淤泥，并按甲方的要求处理积沙和淤泥（不含外运处理处置）。清淤后，乙方需及时对生化池及相应的场地、道路、绿化等进行冲洗、清洁，生化池曝气区域清淤效果需满足现有曝气系统拆除工作及新购置管式微孔曝气器安装工作的正常开展，其余区域池内淤泥平均深度不得大于0.05m。</w:t>
      </w:r>
    </w:p>
    <w:p>
      <w:pPr>
        <w:pStyle w:val="18"/>
        <w:adjustRightInd/>
        <w:spacing w:line="360" w:lineRule="auto"/>
        <w:ind w:right="0" w:firstLine="420" w:firstLineChars="200"/>
        <w:jc w:val="left"/>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（7）石碣沙腰污水处理厂二期及二期提标工程目前仍投入运行，为降低对厂区生产的影响，曝气系统更换过程需逐个生化池进行。</w:t>
      </w:r>
    </w:p>
    <w:p>
      <w:pPr>
        <w:pStyle w:val="18"/>
        <w:adjustRightInd/>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（8）乙方的清淤部分费用包工、包料、包工期、包质量、包安全、包文明施工、包项目措施费等与本项目相关的费用</w:t>
      </w:r>
      <w:r>
        <w:rPr>
          <w:rFonts w:hint="eastAsia" w:hAnsi="宋体" w:cs="宋体"/>
          <w:b w:val="0"/>
          <w:bCs w:val="0"/>
          <w:color w:val="000000" w:themeColor="text1"/>
          <w:sz w:val="21"/>
          <w:szCs w:val="21"/>
          <w:highlight w:val="none"/>
          <w14:textFill>
            <w14:solidFill>
              <w14:schemeClr w14:val="tx1"/>
            </w14:solidFill>
          </w14:textFill>
        </w:rPr>
        <w:t>。</w:t>
      </w:r>
    </w:p>
    <w:p>
      <w:pPr>
        <w:pStyle w:val="18"/>
        <w:adjustRightInd/>
        <w:spacing w:line="360" w:lineRule="auto"/>
        <w:ind w:right="0" w:firstLine="420" w:firstLineChars="200"/>
        <w:jc w:val="left"/>
        <w:outlineLvl w:val="0"/>
        <w:rPr>
          <w:rFonts w:hint="eastAsia" w:hAnsi="宋体" w:cs="宋体"/>
          <w:b w:val="0"/>
          <w:bCs w:val="0"/>
          <w:color w:val="000000" w:themeColor="text1"/>
          <w:sz w:val="21"/>
          <w:szCs w:val="21"/>
          <w:highlight w:val="none"/>
          <w14:textFill>
            <w14:solidFill>
              <w14:schemeClr w14:val="tx1"/>
            </w14:solidFill>
          </w14:textFill>
        </w:rPr>
      </w:pPr>
      <w:bookmarkStart w:id="338" w:name="_Toc31364"/>
      <w:r>
        <w:rPr>
          <w:rFonts w:hint="eastAsia" w:hAnsi="宋体" w:cs="宋体"/>
          <w:b w:val="0"/>
          <w:bCs w:val="0"/>
          <w:color w:val="000000" w:themeColor="text1"/>
          <w:sz w:val="21"/>
          <w:szCs w:val="21"/>
          <w:highlight w:val="none"/>
          <w:lang w:val="en-US" w:eastAsia="zh-CN"/>
          <w14:textFill>
            <w14:solidFill>
              <w14:schemeClr w14:val="tx1"/>
            </w14:solidFill>
          </w14:textFill>
        </w:rPr>
        <w:t>5、</w:t>
      </w:r>
      <w:r>
        <w:rPr>
          <w:rFonts w:hint="eastAsia" w:hAnsi="宋体" w:cs="宋体"/>
          <w:b w:val="0"/>
          <w:bCs w:val="0"/>
          <w:color w:val="000000" w:themeColor="text1"/>
          <w:sz w:val="21"/>
          <w:szCs w:val="21"/>
          <w:highlight w:val="none"/>
          <w14:textFill>
            <w14:solidFill>
              <w14:schemeClr w14:val="tx1"/>
            </w14:solidFill>
          </w14:textFill>
        </w:rPr>
        <w:t>应用环境</w:t>
      </w:r>
      <w:bookmarkEnd w:id="338"/>
    </w:p>
    <w:p>
      <w:pPr>
        <w:pStyle w:val="18"/>
        <w:adjustRightInd/>
        <w:spacing w:line="360" w:lineRule="auto"/>
        <w:ind w:right="0" w:firstLine="420" w:firstLineChars="200"/>
        <w:jc w:val="left"/>
        <w:rPr>
          <w:rFonts w:hint="eastAsia"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乙方提供的曝气器装置必须适用于曝气池污水生物处理的需要，应能有效地将来自鼓风机的有压空气，均匀地扩散于水体中，并能保持长期和稳定的充氧效果，以及停止供气时有效的闭合，确保曝气器正常运行，并确保池底不会产生积泥。MSBR池现况主要尺寸详见图纸《MSBR池工艺施工图》</w:t>
      </w:r>
      <w:r>
        <w:rPr>
          <w:rFonts w:hint="eastAsia" w:hAnsi="宋体" w:cs="宋体"/>
          <w:b w:val="0"/>
          <w:bCs w:val="0"/>
          <w:color w:val="000000" w:themeColor="text1"/>
          <w:sz w:val="21"/>
          <w:szCs w:val="21"/>
          <w:highlight w:val="none"/>
          <w14:textFill>
            <w14:solidFill>
              <w14:schemeClr w14:val="tx1"/>
            </w14:solidFill>
          </w14:textFill>
        </w:rPr>
        <w:t>。</w:t>
      </w:r>
    </w:p>
    <w:p>
      <w:pPr>
        <w:pStyle w:val="18"/>
        <w:adjustRightInd/>
        <w:spacing w:line="360" w:lineRule="auto"/>
        <w:ind w:right="0" w:firstLine="420" w:firstLineChars="200"/>
        <w:jc w:val="left"/>
        <w:rPr>
          <w:rFonts w:hAnsi="宋体" w:cs="宋体"/>
          <w:b w:val="0"/>
          <w:color w:val="000000" w:themeColor="text1"/>
          <w:sz w:val="21"/>
          <w:szCs w:val="21"/>
          <w:highlight w:val="none"/>
          <w14:textFill>
            <w14:solidFill>
              <w14:schemeClr w14:val="tx1"/>
            </w14:solidFill>
          </w14:textFill>
        </w:rPr>
      </w:pPr>
      <w:r>
        <w:rPr>
          <w:rFonts w:hint="eastAsia" w:hAnsi="宋体" w:cs="宋体"/>
          <w:b w:val="0"/>
          <w:color w:val="000000" w:themeColor="text1"/>
          <w:sz w:val="21"/>
          <w:szCs w:val="21"/>
          <w:highlight w:val="none"/>
          <w:lang w:val="en-US" w:eastAsia="zh-CN"/>
          <w14:textFill>
            <w14:solidFill>
              <w14:schemeClr w14:val="tx1"/>
            </w14:solidFill>
          </w14:textFill>
        </w:rPr>
        <w:t>6</w:t>
      </w:r>
      <w:r>
        <w:rPr>
          <w:rFonts w:hint="eastAsia" w:hAnsi="宋体" w:cs="宋体"/>
          <w:b w:val="0"/>
          <w:color w:val="000000" w:themeColor="text1"/>
          <w:sz w:val="21"/>
          <w:szCs w:val="21"/>
          <w:highlight w:val="none"/>
          <w14:textFill>
            <w14:solidFill>
              <w14:schemeClr w14:val="tx1"/>
            </w14:solidFill>
          </w14:textFill>
        </w:rPr>
        <w:t>、乙方所供货物应具备该类产品的功能要求，无瑕疵和缺陷，质量为合格产品，同时有明确的生产厂商或制造厂商。</w:t>
      </w:r>
    </w:p>
    <w:p>
      <w:pPr>
        <w:pStyle w:val="18"/>
        <w:adjustRightInd/>
        <w:spacing w:line="360" w:lineRule="auto"/>
        <w:ind w:right="0" w:firstLine="420" w:firstLineChars="200"/>
        <w:jc w:val="left"/>
        <w:rPr>
          <w:rFonts w:hAnsi="宋体" w:cs="宋体"/>
          <w:b w:val="0"/>
          <w:color w:val="000000" w:themeColor="text1"/>
          <w:sz w:val="21"/>
          <w:szCs w:val="21"/>
          <w:highlight w:val="none"/>
          <w14:textFill>
            <w14:solidFill>
              <w14:schemeClr w14:val="tx1"/>
            </w14:solidFill>
          </w14:textFill>
        </w:rPr>
      </w:pPr>
      <w:r>
        <w:rPr>
          <w:rFonts w:hint="eastAsia" w:hAnsi="宋体" w:cs="宋体"/>
          <w:b w:val="0"/>
          <w:color w:val="000000" w:themeColor="text1"/>
          <w:sz w:val="21"/>
          <w:szCs w:val="21"/>
          <w:highlight w:val="none"/>
          <w:lang w:val="en-US" w:eastAsia="zh-CN"/>
          <w14:textFill>
            <w14:solidFill>
              <w14:schemeClr w14:val="tx1"/>
            </w14:solidFill>
          </w14:textFill>
        </w:rPr>
        <w:t>7</w:t>
      </w:r>
      <w:r>
        <w:rPr>
          <w:rFonts w:hint="eastAsia" w:hAnsi="宋体" w:cs="宋体"/>
          <w:b w:val="0"/>
          <w:color w:val="000000" w:themeColor="text1"/>
          <w:sz w:val="21"/>
          <w:szCs w:val="21"/>
          <w:highlight w:val="none"/>
          <w14:textFill>
            <w14:solidFill>
              <w14:schemeClr w14:val="tx1"/>
            </w14:solidFill>
          </w14:textFill>
        </w:rPr>
        <w:t>、乙方所供货物必须是全新的，所有设备和材料运输到达施工场地时的包装必须是原厂完整的，由甲方签收后方可拆包安装。</w:t>
      </w:r>
    </w:p>
    <w:p>
      <w:pPr>
        <w:pStyle w:val="18"/>
        <w:adjustRightInd/>
        <w:spacing w:line="360" w:lineRule="auto"/>
        <w:ind w:right="0" w:firstLine="420" w:firstLineChars="200"/>
        <w:jc w:val="left"/>
        <w:outlineLvl w:val="0"/>
        <w:rPr>
          <w:rFonts w:hAnsi="宋体" w:cs="宋体"/>
          <w:b w:val="0"/>
          <w:color w:val="000000" w:themeColor="text1"/>
          <w:sz w:val="21"/>
          <w:szCs w:val="21"/>
          <w:highlight w:val="none"/>
          <w14:textFill>
            <w14:solidFill>
              <w14:schemeClr w14:val="tx1"/>
            </w14:solidFill>
          </w14:textFill>
        </w:rPr>
      </w:pPr>
      <w:bookmarkStart w:id="339" w:name="_Toc4742"/>
      <w:r>
        <w:rPr>
          <w:rFonts w:hint="eastAsia" w:hAnsi="宋体" w:cs="宋体"/>
          <w:b w:val="0"/>
          <w:color w:val="000000" w:themeColor="text1"/>
          <w:sz w:val="21"/>
          <w:szCs w:val="21"/>
          <w:highlight w:val="none"/>
          <w:lang w:val="en-US" w:eastAsia="zh-CN"/>
          <w14:textFill>
            <w14:solidFill>
              <w14:schemeClr w14:val="tx1"/>
            </w14:solidFill>
          </w14:textFill>
        </w:rPr>
        <w:t>8</w:t>
      </w:r>
      <w:r>
        <w:rPr>
          <w:rFonts w:hint="eastAsia" w:hAnsi="宋体" w:cs="宋体"/>
          <w:b w:val="0"/>
          <w:color w:val="000000" w:themeColor="text1"/>
          <w:sz w:val="21"/>
          <w:szCs w:val="21"/>
          <w:highlight w:val="none"/>
          <w14:textFill>
            <w14:solidFill>
              <w14:schemeClr w14:val="tx1"/>
            </w14:solidFill>
          </w14:textFill>
        </w:rPr>
        <w:t>、所有货物须满足国家及行业环保和质量标准。</w:t>
      </w:r>
      <w:bookmarkEnd w:id="339"/>
    </w:p>
    <w:p>
      <w:pPr>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货物的规格、型号参数必须和清单要求一致。确因货物升级、停产、参数调整的情况，需经双方协商确定。</w:t>
      </w:r>
    </w:p>
    <w:p>
      <w:pPr>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0</w:t>
      </w:r>
      <w:r>
        <w:rPr>
          <w:rFonts w:hint="eastAsia" w:ascii="宋体" w:hAnsi="宋体" w:eastAsia="宋体" w:cs="宋体"/>
          <w:bCs/>
          <w:color w:val="000000" w:themeColor="text1"/>
          <w:szCs w:val="21"/>
          <w:highlight w:val="none"/>
          <w14:textFill>
            <w14:solidFill>
              <w14:schemeClr w14:val="tx1"/>
            </w14:solidFill>
          </w14:textFill>
        </w:rPr>
        <w:t>、乙方的货物应当按照甲方要求送到指定的地点，由于使用第三方送货服务导致货物未能经过双方共同验收、未送到指定地点仓库的，甲方有权拒绝收货。</w:t>
      </w:r>
    </w:p>
    <w:p>
      <w:pPr>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第十一条 安装、调试</w:t>
      </w:r>
    </w:p>
    <w:p>
      <w:pPr>
        <w:pStyle w:val="185"/>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1、乙方应派专业技术人员（含制造商委派人员）到现场，进行设备及其配套货物等的安装，在甲方的组织安排下，负责完成供货、安装、调试有关的技术工作。</w:t>
      </w:r>
    </w:p>
    <w:p>
      <w:pPr>
        <w:pStyle w:val="185"/>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货物安装、调试过程中，乙方应遵守甲方现场的管理规定，并遵守工程施工、安全生产、消防安全的有关管理规定，采取必要的安全防范措施，消除事故隐患，并随时接受甲方安全检查人员的监督检查。在乙方搬运、拆卸、安装、调试、验收过程中所产生的安全责任（包括但不限于对协助人员、施工人员、第三方所造成的财物毁损、人员损伤，以及防火、防电、防盗责任等），乙方应承担全部责任及费用，与甲方无关；如因此造成甲方损失的，乙方应承担赔偿责任。</w:t>
      </w:r>
    </w:p>
    <w:p>
      <w:pPr>
        <w:pStyle w:val="185"/>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负责安装、调试，并及时解决安装、调试中出现的由乙方供货设备导致的问题，相关问题的解决时长以不影响工期为原则，否则将视为乙方逾期交货，且甲方有权追究乙方逾期交货的责任，即每逾期一日，乙方应按人民币5000</w:t>
      </w:r>
      <w:r>
        <w:rPr>
          <w:rFonts w:hint="eastAsia" w:ascii="宋体" w:hAnsi="宋体" w:cs="宋体"/>
          <w:color w:val="000000" w:themeColor="text1"/>
          <w:szCs w:val="21"/>
          <w:highlight w:val="none"/>
          <w:lang w:val="en-US" w:eastAsia="zh-CN"/>
          <w14:textFill>
            <w14:solidFill>
              <w14:schemeClr w14:val="tx1"/>
            </w14:solidFill>
          </w14:textFill>
        </w:rPr>
        <w:t>元</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日</w:t>
      </w:r>
      <w:r>
        <w:rPr>
          <w:rFonts w:hint="eastAsia" w:ascii="宋体" w:hAnsi="宋体" w:cs="宋体"/>
          <w:color w:val="000000" w:themeColor="text1"/>
          <w:szCs w:val="21"/>
          <w:highlight w:val="none"/>
          <w14:textFill>
            <w14:solidFill>
              <w14:schemeClr w14:val="tx1"/>
            </w14:solidFill>
          </w14:textFill>
        </w:rPr>
        <w:t>为标准向甲方支付违约金。乙方逾期超过3日的，甲方有权单方解除本合同，除支付前述逾期违约金外，乙方还应按合同价的5%向甲方支付赔偿金，该部分金额不足以弥补甲方损失的，甲方还有权另行追偿。</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4、由于乙方（含制造商）技术服务人员对安装的疏忽和错误以及乙方未按要求派人指导而造成的直接损失应由乙方负责。造成甲方损失的，乙方需足额赔偿。</w:t>
      </w:r>
    </w:p>
    <w:p>
      <w:pPr>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lang w:val="zh-CN"/>
          <w14:textFill>
            <w14:solidFill>
              <w14:schemeClr w14:val="tx1"/>
            </w14:solidFill>
          </w14:textFill>
        </w:rPr>
        <w:t>应严格按照国家有关安全文明施工的标准与规范制定安全文明施工操作规程，配备必要的安全生产和劳动保护设施，加强对施工作业人员的施工安全教育培训，对他们的安全负责。</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lang w:val="zh-CN"/>
          <w14:textFill>
            <w14:solidFill>
              <w14:schemeClr w14:val="tx1"/>
            </w14:solidFill>
          </w14:textFill>
        </w:rPr>
        <w:t>应对合同工程的安全文明施工负责，采取有效的安全措施消除安全事故隐患，并接受和配合依法实施的监督检查。</w:t>
      </w:r>
    </w:p>
    <w:p>
      <w:pPr>
        <w:pStyle w:val="185"/>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乙方应遵守国家有关环境保护、卫生监督的法律法规，采取有效措施，保证施工场地达到环境保护、卫生部门的管理要求，为现场自有人员（含制造商委派人员）提供并维护干净卫生的生活设施，保持施工场地的清洁整齐。</w:t>
      </w: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第十二条 验收</w:t>
      </w:r>
    </w:p>
    <w:p>
      <w:pPr>
        <w:pStyle w:val="185"/>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验收分为货到交货地点的初步验收和最终验收。全部货物应符合甲方招标文件、用户需求书要求、乙方投标文件承诺的质量、规格标准及工程质量验收规范的规定，如果没有提及适用标准，则应符合国家标准或行业标准；如果没有相关标准的，则采用货物来源适用的官方标准。这些标准必须是有关机构发布的最新版本的标准。</w:t>
      </w:r>
    </w:p>
    <w:p>
      <w:pPr>
        <w:pStyle w:val="185"/>
        <w:spacing w:line="360" w:lineRule="auto"/>
        <w:ind w:firstLine="420" w:firstLineChars="200"/>
        <w:jc w:val="left"/>
        <w:outlineLvl w:val="0"/>
        <w:rPr>
          <w:rFonts w:hint="eastAsia" w:ascii="宋体" w:hAnsi="宋体" w:cs="宋体"/>
          <w:color w:val="000000" w:themeColor="text1"/>
          <w:szCs w:val="21"/>
          <w:highlight w:val="none"/>
          <w14:textFill>
            <w14:solidFill>
              <w14:schemeClr w14:val="tx1"/>
            </w14:solidFill>
          </w14:textFill>
        </w:rPr>
      </w:pPr>
      <w:bookmarkStart w:id="340" w:name="_Toc5120"/>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初步验收：</w:t>
      </w:r>
      <w:bookmarkEnd w:id="340"/>
    </w:p>
    <w:p>
      <w:pPr>
        <w:pStyle w:val="185"/>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货物运抵交货地点后 3 日内，</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（含</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委托的第三方）、</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代表共同开箱验货。</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按照合同及</w:t>
      </w:r>
      <w:r>
        <w:rPr>
          <w:rFonts w:hint="eastAsia" w:ascii="宋体" w:hAnsi="宋体" w:cs="宋体"/>
          <w:color w:val="000000" w:themeColor="text1"/>
          <w:szCs w:val="21"/>
          <w:highlight w:val="none"/>
          <w:lang w:val="en-US" w:eastAsia="zh-CN"/>
          <w14:textFill>
            <w14:solidFill>
              <w14:schemeClr w14:val="tx1"/>
            </w14:solidFill>
          </w14:textFill>
        </w:rPr>
        <w:t>招标</w:t>
      </w:r>
      <w:r>
        <w:rPr>
          <w:rFonts w:hint="eastAsia" w:ascii="宋体" w:hAnsi="宋体" w:cs="宋体"/>
          <w:color w:val="000000" w:themeColor="text1"/>
          <w:szCs w:val="21"/>
          <w:highlight w:val="none"/>
          <w14:textFill>
            <w14:solidFill>
              <w14:schemeClr w14:val="tx1"/>
            </w14:solidFill>
          </w14:textFill>
        </w:rPr>
        <w:t>文件、国家相关法律法规以及规范的要求等相关的规定，对货物的品种、品牌、产地、型号规格、数量、外观质量、资料等进行清点和全面的检验，并作详细的记录。</w:t>
      </w:r>
    </w:p>
    <w:p>
      <w:pPr>
        <w:pStyle w:val="185"/>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初步验收如发现货物不符，或货物短缺、质次、损坏等问题，应作详细记录，</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可拒绝收货，或由</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在</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规定的时间内立即、无条件为</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调换或补齐，调换或补齐后的货物，</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有权按照本条有关验收的规定进行验收，由此产生的制造、修理和运费及保险费等费用均应由</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负担，与</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无关。</w:t>
      </w:r>
    </w:p>
    <w:p>
      <w:pPr>
        <w:pStyle w:val="185"/>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初步验收需要对曝气器进行随机抽检，抽检样品由</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送交有资质独立第三方CMA机构，对管式曝气器的标准曝气效率、标准氧传质速率（充氧能力）、标准氧传质效率（氧利用率）及阻力损失进行检测，检测数据的结果须满足</w:t>
      </w:r>
      <w:r>
        <w:rPr>
          <w:rFonts w:hint="eastAsia" w:ascii="宋体" w:hAnsi="宋体" w:cs="宋体"/>
          <w:color w:val="000000" w:themeColor="text1"/>
          <w:szCs w:val="21"/>
          <w:highlight w:val="none"/>
          <w:lang w:val="en-US" w:eastAsia="zh-CN"/>
          <w14:textFill>
            <w14:solidFill>
              <w14:schemeClr w14:val="tx1"/>
            </w14:solidFill>
          </w14:textFill>
        </w:rPr>
        <w:t>用户需求书</w:t>
      </w:r>
      <w:r>
        <w:rPr>
          <w:rFonts w:hint="eastAsia" w:ascii="宋体" w:hAnsi="宋体" w:cs="宋体"/>
          <w:color w:val="000000" w:themeColor="text1"/>
          <w:szCs w:val="21"/>
          <w:highlight w:val="none"/>
          <w14:textFill>
            <w14:solidFill>
              <w14:schemeClr w14:val="tx1"/>
            </w14:solidFill>
          </w14:textFill>
        </w:rPr>
        <w:t>4.1.2的要求。若检测结果为合格，则由</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支付相关检测费用；若检测结果为不合格，则由</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支付相关检测费用，并对曝气器进行免费更换，直至检测结果合格为止，期间给</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造成的所有损失由</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承担赔偿责任。</w:t>
      </w:r>
    </w:p>
    <w:p>
      <w:pPr>
        <w:pStyle w:val="185"/>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初步验收合格后，</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出具相关初步验收报告并由甲乙双方共同签字确认。</w:t>
      </w:r>
    </w:p>
    <w:p>
      <w:pPr>
        <w:pStyle w:val="185"/>
        <w:spacing w:line="360" w:lineRule="auto"/>
        <w:ind w:firstLine="420" w:firstLineChars="200"/>
        <w:jc w:val="left"/>
        <w:outlineLvl w:val="0"/>
        <w:rPr>
          <w:rFonts w:hint="eastAsia" w:ascii="宋体" w:hAnsi="宋体" w:cs="宋体"/>
          <w:color w:val="000000" w:themeColor="text1"/>
          <w:szCs w:val="21"/>
          <w:highlight w:val="none"/>
          <w14:textFill>
            <w14:solidFill>
              <w14:schemeClr w14:val="tx1"/>
            </w14:solidFill>
          </w14:textFill>
        </w:rPr>
      </w:pPr>
      <w:bookmarkStart w:id="341" w:name="_Toc21063"/>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最终验收：</w:t>
      </w:r>
      <w:bookmarkEnd w:id="341"/>
    </w:p>
    <w:p>
      <w:pPr>
        <w:pStyle w:val="185"/>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生化池曝气器在完成安装调试、性能测试合格后，</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对设备调试的测试结果进行检验。曝气系统安装完毕后要进行泄漏试验，所有管路系统、阀门均不允许有任何泄漏。曝气器密封性能测定按CJ/T264-2018中7.5 进行。曝气器进行泄漏试验和试运行的最大允许空气流量为8.0 m3/小时/曝气器。供气正常时，整个曝气系统应均匀曝气，曝气器不允许有堵塞现象。</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在货物安装、调试过程中，应做好详细的检验、测试记录和试验结果，检验结果应符合本合同及招标文件、投标文件、国家相关法律法规以及规范的规定标准（当多个标准不一致时，以最高标准作为验收标准）。</w:t>
      </w:r>
    </w:p>
    <w:p>
      <w:pPr>
        <w:pStyle w:val="185"/>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货物经</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根据上述约定验收符合全部要求，</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移交完所有资料文档后，</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向</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出具书面的验收合格报告。</w:t>
      </w:r>
    </w:p>
    <w:p>
      <w:pPr>
        <w:pStyle w:val="185"/>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由于非</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原因而引起货物的修理或更换的时间，如</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在</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规定的时间内完成修理或更换的，则不视为逾期交货，否则将视为逾期交货。</w:t>
      </w:r>
    </w:p>
    <w:p>
      <w:pPr>
        <w:pStyle w:val="185"/>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根据本条规定对货物所做出的验收，仅作为起算付款及质保期之用，不为双方对于货物质量的最终认定。货物经验收合格后，</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仍应在质保期内对产品质量承担保证责任。</w:t>
      </w:r>
    </w:p>
    <w:p>
      <w:pPr>
        <w:pStyle w:val="185"/>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货物在最终验收合格前，其损耗、毁损、灭失等风险及责任由</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承担，如因发生前述情形，导致</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所供应的货物不能通过</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验收的，</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应按</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要求予以更换或退货。</w:t>
      </w:r>
    </w:p>
    <w:p>
      <w:pPr>
        <w:pStyle w:val="185"/>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验收过程中，如对检验记录不能取得一致意见时，一方可委托货物交付地的有资质的第三方检验机构联合进行检验。检验结果具有约束力，检验费用由责任方负担。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第十三条 权利保证</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r>
        <w:rPr>
          <w:rFonts w:hint="eastAsia" w:ascii="宋体" w:hAnsi="宋体" w:eastAsia="宋体" w:cs="宋体"/>
          <w:color w:val="000000" w:themeColor="text1"/>
          <w:szCs w:val="21"/>
          <w:highlight w:val="none"/>
          <w:lang w:eastAsia="zh-Hans"/>
          <w14:textFill>
            <w14:solidFill>
              <w14:schemeClr w14:val="tx1"/>
            </w14:solidFill>
          </w14:textFill>
        </w:rPr>
        <w:t>包括但不限于本合同所约定的总价款、甲方为维护自身权益所支付的律师费、诉讼费、鉴定费、差旅费等全部费用</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第十四条 质量保证及售后服务</w:t>
      </w:r>
    </w:p>
    <w:p>
      <w:pPr>
        <w:pStyle w:val="185"/>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1、乙方应以书面形式提供货物的质量保障承诺，该等承诺不应低于本合同约定的标准。乙方供货的质保期为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个月</w:t>
      </w:r>
      <w:r>
        <w:rPr>
          <w:rFonts w:hint="eastAsia" w:ascii="宋体" w:hAnsi="宋体" w:cs="宋体"/>
          <w:color w:val="000000" w:themeColor="text1"/>
          <w:szCs w:val="21"/>
          <w:highlight w:val="none"/>
          <w14:textFill>
            <w14:solidFill>
              <w14:schemeClr w14:val="tx1"/>
            </w14:solidFill>
          </w14:textFill>
        </w:rPr>
        <w:t>，质保期自本项目全部货物最终验收合格之日起算（以设备整体验收报告日期为准）。质保期内，</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对本项目供货、安装质量进行免费保修，免费保修包括但不限于由</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承担完成质保期的工作而产生的运费、购置费、测试费、人工费等各项费用。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2、在合同规定的质保期内，乙方承诺将在接到甲方的故障通知后</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小时</w:t>
      </w:r>
      <w:r>
        <w:rPr>
          <w:rFonts w:hint="eastAsia" w:ascii="宋体" w:hAnsi="宋体" w:eastAsia="宋体" w:cs="宋体"/>
          <w:color w:val="000000" w:themeColor="text1"/>
          <w:szCs w:val="21"/>
          <w:highlight w:val="none"/>
          <w14:textFill>
            <w14:solidFill>
              <w14:schemeClr w14:val="tx1"/>
            </w14:solidFill>
          </w14:textFill>
        </w:rPr>
        <w:t>内响应，</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小时</w:t>
      </w:r>
      <w:r>
        <w:rPr>
          <w:rFonts w:hint="eastAsia" w:ascii="宋体" w:hAnsi="宋体" w:eastAsia="宋体" w:cs="宋体"/>
          <w:color w:val="000000" w:themeColor="text1"/>
          <w:szCs w:val="21"/>
          <w:highlight w:val="none"/>
          <w14:textFill>
            <w14:solidFill>
              <w14:schemeClr w14:val="tx1"/>
            </w14:solidFill>
          </w14:textFill>
        </w:rPr>
        <w:t>内到达项目现场进行维修等服务，且不得另行收取任何费用。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3、甲方在使用货物时所遇技术问题，乙方应按甲方要求及时向甲方无偿提供技术指导服务。</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4、乙方未按上述要求提供售后服务的，甲方有权要求其他第三方提供相关服务，因此产生的费用全部由乙方承担。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第十五条 履约担保</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1、乙方应当根据招标文件的规定在签订本合同前向甲方提供履约担保，履约担保形式及金额由乙方从以下方式中任选一种：</w:t>
      </w:r>
    </w:p>
    <w:p>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履约保证金（银行转账形式）金额为¥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不可撤销银行履约保函金额为¥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履约保证保险凭证金额为¥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担保公司履约担保书金额为¥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2、履约担保用于补偿甲方因乙方不能完全履行其合同义务而蒙受的损失</w:t>
      </w:r>
      <w:r>
        <w:rPr>
          <w:rFonts w:hint="eastAsia" w:ascii="宋体" w:hAnsi="宋体" w:eastAsia="宋体" w:cs="Times New Roman"/>
          <w:color w:val="000000" w:themeColor="text1"/>
          <w:kern w:val="0"/>
          <w:szCs w:val="21"/>
          <w:highlight w:val="none"/>
          <w14:textFill>
            <w14:solidFill>
              <w14:schemeClr w14:val="tx1"/>
            </w14:solidFill>
          </w14:textFill>
        </w:rPr>
        <w:t>或其他合同约定的事项</w:t>
      </w:r>
      <w:r>
        <w:rPr>
          <w:rFonts w:hint="eastAsia" w:ascii="宋体" w:hAnsi="宋体" w:eastAsia="宋体" w:cs="宋体"/>
          <w:color w:val="000000" w:themeColor="text1"/>
          <w:szCs w:val="21"/>
          <w:highlight w:val="none"/>
          <w14:textFill>
            <w14:solidFill>
              <w14:schemeClr w14:val="tx1"/>
            </w14:solidFill>
          </w14:textFill>
        </w:rPr>
        <w:t>。如发生下列任一情况时，甲方除有权依合同追究乙方违约责任外，</w:t>
      </w:r>
      <w:r>
        <w:rPr>
          <w:rFonts w:hint="eastAsia" w:ascii="宋体" w:hAnsi="宋体" w:eastAsia="宋体" w:cs="Times New Roman"/>
          <w:color w:val="000000" w:themeColor="text1"/>
          <w:kern w:val="0"/>
          <w:szCs w:val="21"/>
          <w:highlight w:val="none"/>
          <w14:textFill>
            <w14:solidFill>
              <w14:schemeClr w14:val="tx1"/>
            </w14:solidFill>
          </w14:textFill>
        </w:rPr>
        <w:t>同时</w:t>
      </w:r>
      <w:r>
        <w:rPr>
          <w:rFonts w:hint="eastAsia" w:ascii="宋体" w:hAnsi="宋体" w:eastAsia="宋体" w:cs="宋体"/>
          <w:color w:val="000000" w:themeColor="text1"/>
          <w:szCs w:val="21"/>
          <w:highlight w:val="none"/>
          <w14:textFill>
            <w14:solidFill>
              <w14:schemeClr w14:val="tx1"/>
            </w14:solidFill>
          </w14:textFill>
        </w:rPr>
        <w:t>有权提取履约担保并进行相应处理：</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（1）乙方将合同项下乙方的权利义务全部转让给第三方，或未经甲方书面同意将部分权利义务转让给第三方的，甲方有权没收其履约担保。</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（2）在合同履行期间，乙方怠于履行合同义务，经甲方通知或要求承担违约金后仍拒不改正的，甲方可依法没收其履约担保。</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合同履行期间，因乙方货物、服务质量问题造成损害、侵权损失（包括但不限于甲方经济损失、第三人人身财产损失等）、拖欠供应商货款或与其所雇用员工发生劳资纠纷、上访、闹事或其他影响甲方生产经营等情况而其未及时妥善处理的，甲方有权使用履约担保予以支付或作出相应处理，由此产生的一切法律后果由乙方承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（4）在合同履行期间，乙方违约产生的违约金、赔偿、罚款或其他应付费用等款项，甲方有权直接从未付货物款项中扣除或使用履约担保予以支付。</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（5）合同期内，乙方不能及时完成合同某项义务的，甲方有权使用履约担保用于处理该项工作。</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（6）其他根据本合同约定或法律规定，甲方可使用履约担保的情形。</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乙方以履约保证金（银行转账形式）提供履约担保的，在合同期限届满并全部货物经最终验收合格，甲方向乙方支付全部款项（除质保金）后二十八（28）日后经甲方确认，乙方可向甲方提交退回履约担保的申请。甲方审核无异议后，办理履约担保退还手续，履约保证金形式提交的履约担保退回时一律以银行转账的形式无息退回到乙方的账户。</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款项（除质保金）后二十八（28）日内保持有效。如不可撤销银行履约保函或履约保证保险或担保公司履约担保书在规定有效期届满而货物尚未全部最终验收合格或甲方未支付完全部款项（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第十六条 技术资料</w:t>
      </w:r>
    </w:p>
    <w:p>
      <w:pPr>
        <w:spacing w:line="360" w:lineRule="auto"/>
        <w:ind w:firstLine="420" w:firstLineChars="200"/>
        <w:outlineLvl w:val="0"/>
        <w:rPr>
          <w:rFonts w:ascii="宋体" w:hAnsi="宋体" w:eastAsia="宋体" w:cs="宋体"/>
          <w:color w:val="000000" w:themeColor="text1"/>
          <w:szCs w:val="21"/>
          <w:highlight w:val="none"/>
          <w14:textFill>
            <w14:solidFill>
              <w14:schemeClr w14:val="tx1"/>
            </w14:solidFill>
          </w14:textFill>
        </w:rPr>
      </w:pPr>
      <w:bookmarkStart w:id="342" w:name="_Toc12735"/>
      <w:r>
        <w:rPr>
          <w:rFonts w:hint="eastAsia" w:ascii="宋体" w:hAnsi="宋体" w:eastAsia="宋体" w:cs="宋体"/>
          <w:color w:val="000000" w:themeColor="text1"/>
          <w:szCs w:val="21"/>
          <w:highlight w:val="none"/>
          <w14:textFill>
            <w14:solidFill>
              <w14:schemeClr w14:val="tx1"/>
            </w14:solidFill>
          </w14:textFill>
        </w:rPr>
        <w:t>1、乙方需向甲方提供但不限于下述技术资料：</w:t>
      </w:r>
      <w:bookmarkEnd w:id="342"/>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（1）完整的装箱单、产品出厂检验合格证书（含主要元器件的出厂合格证）、出厂试验报告、检验报告（或测试性能、测试报告）；</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（2）产品说明书；</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（3）质量保证书、保修保证书；</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（5）安装调试、维修、保养手册或招标文件用户需求书要求的技术资料；</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（6）与货物使用、维护或检验等所需的相关其他文件；</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（7）符合国家规定的验收标准、厂方标准及验收手册；</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（8）甲方要求提供的其他检验检测报告等。</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2、乙方需将上述资料以及其他甲方在使用货物过程中所需的技术资料（若上述资料为复印件的，则须加盖乙方公章）在交货时交给甲方，有关资料的收集和整理由乙方负责，甲方予以配合。</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3、乙方提供的货物必须达到招标文件用户需求书要求和投标文件承诺的质量标准。 </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第十七条 不可抗力</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或者其他有关机构等出具的证明文件。如果不可抗力事件发生后，乙方不能按甲方要求最迟交货期交货的，则甲方有权单方解除本合同并不承担任何责任。</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第十八条 索赔</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color w:val="000000" w:themeColor="text1"/>
          <w:szCs w:val="21"/>
          <w:highlight w:val="none"/>
          <w:lang w:eastAsia="zh-Hans"/>
          <w14:textFill>
            <w14:solidFill>
              <w14:schemeClr w14:val="tx1"/>
            </w14:solidFill>
          </w14:textFill>
        </w:rPr>
        <w:t>乙方逾期在上述期限作出答复的，视为其同意甲方的索赔方案。</w:t>
      </w:r>
      <w:r>
        <w:rPr>
          <w:rFonts w:hint="eastAsia" w:ascii="宋体" w:hAnsi="宋体" w:eastAsia="宋体" w:cs="宋体"/>
          <w:color w:val="000000" w:themeColor="text1"/>
          <w:szCs w:val="21"/>
          <w:highlight w:val="none"/>
          <w14:textFill>
            <w14:solidFill>
              <w14:schemeClr w14:val="tx1"/>
            </w14:solidFill>
          </w14:textFill>
        </w:rPr>
        <w:t>乙方根据合同约定应承担更换或退货责任的，乙方应立即根据本合同的约定承担免费更换或退货责任。</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双方对货物的质量问题存在争议的，双方同意在质量问题发生后7日内提交东莞市质检部门或双方共同确认的有资质及鉴定能力的鉴定机构进行质量鉴定后确认，鉴定费由乙方先行垫付，鉴定结果确定后，质量符合合同（含附件）约定的，鉴定费由甲方承担，否则由乙方承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3、如果乙方对甲方提出的异议及索赔负有责任，乙方应按照甲方同意的下列一种或多种方式解决索赔事宜：</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（1）根据甲方要求予以退货，在甲方发出退货通知后7日内将退货货物运回，返还甲方已支付的全部货款（含合同价及税费），并承担因此产生的全部费用，以及赔偿因此给甲方造成的损失。</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pPr>
        <w:tabs>
          <w:tab w:val="left" w:pos="504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（3）当甲方损失无法计算时，乙方同意按合同价的20%计算赔偿金。</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（5）索赔金额、甲方损失以及因索赔所发生的费用，甲方有权启动履约担保支付或从未付货款或质保金中直接扣除。</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第十九条 违约责任</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1、乙方未在约定的时间内完成交货（部分交货视为未完成交货），并经甲方验收合格的，或未在规定的时间内承担相应的更换、退货责任的，每逾期一日，应按人民币5000元/</w:t>
      </w:r>
      <w:r>
        <w:rPr>
          <w:rFonts w:hint="eastAsia" w:ascii="宋体" w:hAnsi="宋体" w:eastAsia="宋体" w:cs="宋体"/>
          <w:color w:val="000000" w:themeColor="text1"/>
          <w:szCs w:val="21"/>
          <w:highlight w:val="none"/>
          <w:lang w:val="en-US" w:eastAsia="zh-CN"/>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为标准向甲方支付违约金。乙方逾期超过</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10</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日的，甲方有权单方解除本合同，除支付前述逾期违约金外，乙方还应按合同价的5%向甲方支付赔偿金。该部分金额不足以弥补甲方损失的，甲方还有权另行追偿。</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所交货物（包括但不限于品种、型号、规格、质量、性能）不符合合同规定的，甲方有权拒收，并要求乙方免费予以更换或退货，同时乙方应向甲方支付该批货款金额的5%的违约金。乙方根据甲方的要求进行更换或退货后，向甲方移交的货物继续不符合合同规定的，甲方有权拒收，并要求乙方免费予以更换或退货，乙方向甲方支付履约担保等额的违约金，甲方有权单方解除合同</w:t>
      </w:r>
      <w:r>
        <w:rPr>
          <w:rFonts w:hint="eastAsia" w:ascii="宋体" w:hAnsi="宋体" w:eastAsia="宋体" w:cs="宋体"/>
          <w:color w:val="000000" w:themeColor="text1"/>
          <w:szCs w:val="21"/>
          <w:highlight w:val="none"/>
          <w:lang w:eastAsia="zh-Hans"/>
          <w14:textFill>
            <w14:solidFill>
              <w14:schemeClr w14:val="tx1"/>
            </w14:solidFill>
          </w14:textFill>
        </w:rPr>
        <w:t>并按本合同第十</w:t>
      </w:r>
      <w:r>
        <w:rPr>
          <w:rFonts w:hint="eastAsia" w:ascii="宋体" w:hAnsi="宋体" w:eastAsia="宋体" w:cs="宋体"/>
          <w:color w:val="000000" w:themeColor="text1"/>
          <w:szCs w:val="21"/>
          <w:highlight w:val="none"/>
          <w14:textFill>
            <w14:solidFill>
              <w14:schemeClr w14:val="tx1"/>
            </w14:solidFill>
          </w14:textFill>
        </w:rPr>
        <w:t>九</w:t>
      </w:r>
      <w:r>
        <w:rPr>
          <w:rFonts w:hint="eastAsia" w:ascii="宋体" w:hAnsi="宋体" w:eastAsia="宋体" w:cs="宋体"/>
          <w:color w:val="000000" w:themeColor="text1"/>
          <w:szCs w:val="21"/>
          <w:highlight w:val="none"/>
          <w:lang w:eastAsia="zh-Hans"/>
          <w14:textFill>
            <w14:solidFill>
              <w14:schemeClr w14:val="tx1"/>
            </w14:solidFill>
          </w14:textFill>
        </w:rPr>
        <w:t>条第</w:t>
      </w:r>
      <w:r>
        <w:rPr>
          <w:rFonts w:hint="eastAsia" w:ascii="宋体" w:hAnsi="宋体" w:eastAsia="宋体" w:cs="宋体"/>
          <w:color w:val="000000" w:themeColor="text1"/>
          <w:szCs w:val="21"/>
          <w:highlight w:val="none"/>
          <w14:textFill>
            <w14:solidFill>
              <w14:schemeClr w14:val="tx1"/>
            </w14:solidFill>
          </w14:textFill>
        </w:rPr>
        <w:t>一</w:t>
      </w:r>
      <w:r>
        <w:rPr>
          <w:rFonts w:hint="eastAsia" w:ascii="宋体" w:hAnsi="宋体" w:eastAsia="宋体" w:cs="宋体"/>
          <w:color w:val="000000" w:themeColor="text1"/>
          <w:szCs w:val="21"/>
          <w:highlight w:val="none"/>
          <w:lang w:eastAsia="zh-Hans"/>
          <w14:textFill>
            <w14:solidFill>
              <w14:schemeClr w14:val="tx1"/>
            </w14:solidFill>
          </w14:textFill>
        </w:rPr>
        <w:t>款的约定追究乙方逾期交货的责任</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3、乙方未按约定履行培训或售后服务义务的，甲方有权要求限期改正，如逾期仍未改正的，甲方有权单方解除合同，且剩余款项（含税额）无需再支付，同时甲方有权没收履约担保或质保金。</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4、无论是否在质保期内，因货物质量问题发生安全事故或引起其他损失、造成不良后果的，乙方应承担全部责任及损失赔偿。</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5%支付违约金或没收履约担保，并有权依法委托有资质的第三方继续履行本合同义务，由此造成的一切损失（包括但不限于再行采购的费用、委托第三人继续履行时超出本合同费用部分等）由乙方全部承担。</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7、甲方按本合同约定单方解除合同的，乙方应在收到单方解除合同书面通知之日起30日内与甲方共同确认已完成的供货量及金额，未经甲乙双方共同确认的供货量不得再要求结算。</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8、乙方车辆在甲方污水处理厂运营项目厂区行驶时，必须严格遵守厂区道路限行，限速和限重要求，如因乙方未遵守前述要求，对厂区/甲方（含其人员）、乙方人员、第三方造成损失的，</w:t>
      </w:r>
      <w:r>
        <w:rPr>
          <w:rFonts w:hint="eastAsia" w:ascii="宋体" w:hAnsi="宋体" w:eastAsia="宋体" w:cs="宋体"/>
          <w:color w:val="000000" w:themeColor="text1"/>
          <w:szCs w:val="21"/>
          <w:highlight w:val="none"/>
          <w:lang w:eastAsia="zh-Hans"/>
          <w14:textFill>
            <w14:solidFill>
              <w14:schemeClr w14:val="tx1"/>
            </w14:solidFill>
          </w14:textFill>
        </w:rPr>
        <w:t>因此产生</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Hans"/>
          <w14:textFill>
            <w14:solidFill>
              <w14:schemeClr w14:val="tx1"/>
            </w14:solidFill>
          </w14:textFill>
        </w:rPr>
        <w:t>相关法律责任均由乙方自行承担</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eastAsia="zh-Hans"/>
          <w14:textFill>
            <w14:solidFill>
              <w14:schemeClr w14:val="tx1"/>
            </w14:solidFill>
          </w14:textFill>
        </w:rPr>
        <w:t>在本合同履行期限内，乙方未经甲方书面同意即将本合同约定项下的全部项目或部分项目转包给第三方的，甲方有权单方解除本合同且要求乙方按</w:t>
      </w:r>
      <w:r>
        <w:rPr>
          <w:rFonts w:hint="eastAsia" w:ascii="宋体" w:hAnsi="宋体" w:eastAsia="宋体" w:cs="宋体"/>
          <w:color w:val="000000" w:themeColor="text1"/>
          <w:szCs w:val="21"/>
          <w:highlight w:val="none"/>
          <w14:textFill>
            <w14:solidFill>
              <w14:schemeClr w14:val="tx1"/>
            </w14:solidFill>
          </w14:textFill>
        </w:rPr>
        <w:t>合同价</w:t>
      </w:r>
      <w:r>
        <w:rPr>
          <w:rFonts w:hint="eastAsia" w:ascii="宋体" w:hAnsi="宋体" w:eastAsia="宋体" w:cs="宋体"/>
          <w:color w:val="000000" w:themeColor="text1"/>
          <w:szCs w:val="21"/>
          <w:highlight w:val="none"/>
          <w:lang w:eastAsia="zh-Hans"/>
          <w14:textFill>
            <w14:solidFill>
              <w14:schemeClr w14:val="tx1"/>
            </w14:solidFill>
          </w14:textFill>
        </w:rPr>
        <w:t>的【20】%承担违约责任。</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eastAsia="zh-Hans"/>
          <w14:textFill>
            <w14:solidFill>
              <w14:schemeClr w14:val="tx1"/>
            </w14:solidFill>
          </w14:textFill>
        </w:rPr>
        <w:t>因乙方违反本合同约定产生的违约金、赔偿金或其他应付费用等款项的，甲方有权在未付合同款中直接扣除，如造成甲方损失，且实际损失高于违约金的，甲方有权另行追偿。</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第二十条 争议解决</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1、双方在履约中发生争执和分歧，双方应通过友好协商解决，如不能通过友好协商解决的，任何一方均可向甲方住所地有管辖权的人民法院提起诉讼解决。</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第二十一条 其他</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1、基于乙方的专业特长，甲方代表（合同签字者）对关于产品质量指标的确认、变更等，仅是程序性行为，并非就是对乙方产品质量责任的免除，乙方仍要对所供的产品承担全部责任。</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2、合同履约过程中，若发现</w:t>
      </w:r>
      <w:r>
        <w:rPr>
          <w:rFonts w:hint="eastAsia" w:ascii="宋体" w:hAnsi="宋体" w:eastAsia="宋体" w:cs="宋体"/>
          <w:color w:val="000000" w:themeColor="text1"/>
          <w:szCs w:val="21"/>
          <w:highlight w:val="none"/>
          <w:lang w:val="zh-CN"/>
          <w14:textFill>
            <w14:solidFill>
              <w14:schemeClr w14:val="tx1"/>
            </w14:solidFill>
          </w14:textFill>
        </w:rPr>
        <w:t>同一种货物或服务存在有选择性的报价或不是固定的报价的，或存在</w:t>
      </w:r>
      <w:r>
        <w:rPr>
          <w:rFonts w:hint="eastAsia" w:ascii="宋体" w:hAnsi="宋体" w:eastAsia="宋体" w:cs="宋体"/>
          <w:color w:val="000000" w:themeColor="text1"/>
          <w:szCs w:val="21"/>
          <w:highlight w:val="none"/>
          <w14:textFill>
            <w14:solidFill>
              <w14:schemeClr w14:val="tx1"/>
            </w14:solidFill>
          </w14:textFill>
        </w:rPr>
        <w:t>多种理解方式的情况发生时，按最有利甲方的方式解释。合同条款与附件、招标文件、用户需求书、投标文件等其他文件不一致的，以有利于甲方的条款为准。</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4、本合同壹式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份，乙方执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份，招标代理机构执</w:t>
      </w:r>
      <w:r>
        <w:rPr>
          <w:rFonts w:hint="eastAsia" w:ascii="宋体" w:hAnsi="宋体" w:eastAsia="宋体" w:cs="宋体"/>
          <w:color w:val="000000" w:themeColor="text1"/>
          <w:szCs w:val="21"/>
          <w:highlight w:val="none"/>
          <w:u w:val="single"/>
          <w14:textFill>
            <w14:solidFill>
              <w14:schemeClr w14:val="tx1"/>
            </w14:solidFill>
          </w14:textFill>
        </w:rPr>
        <w:t xml:space="preserve"> 壹 </w:t>
      </w:r>
      <w:r>
        <w:rPr>
          <w:rFonts w:hint="eastAsia" w:ascii="宋体" w:hAnsi="宋体" w:eastAsia="宋体" w:cs="宋体"/>
          <w:color w:val="000000" w:themeColor="text1"/>
          <w:szCs w:val="21"/>
          <w:highlight w:val="none"/>
          <w14:textFill>
            <w14:solidFill>
              <w14:schemeClr w14:val="tx1"/>
            </w14:solidFill>
          </w14:textFill>
        </w:rPr>
        <w:t>份，均具有同等法律效力。</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5、本合同自甲乙双方法定代表人或负责人签字并盖章之日起生效,至全部合同义务履行完毕时终止。</w:t>
      </w:r>
    </w:p>
    <w:p>
      <w:pPr>
        <w:spacing w:line="360" w:lineRule="auto"/>
        <w:ind w:firstLine="420" w:firstLineChars="200"/>
        <w:outlineLvl w:val="0"/>
        <w:rPr>
          <w:rFonts w:ascii="宋体" w:hAnsi="宋体" w:eastAsia="宋体" w:cs="宋体"/>
          <w:color w:val="000000" w:themeColor="text1"/>
          <w:szCs w:val="21"/>
          <w:highlight w:val="none"/>
          <w14:textFill>
            <w14:solidFill>
              <w14:schemeClr w14:val="tx1"/>
            </w14:solidFill>
          </w14:textFill>
        </w:rPr>
      </w:pPr>
      <w:bookmarkStart w:id="343" w:name="_Toc23836"/>
      <w:r>
        <w:rPr>
          <w:rFonts w:hint="eastAsia" w:ascii="宋体" w:hAnsi="宋体" w:eastAsia="宋体" w:cs="宋体"/>
          <w:color w:val="000000" w:themeColor="text1"/>
          <w:szCs w:val="21"/>
          <w:highlight w:val="none"/>
          <w14:textFill>
            <w14:solidFill>
              <w14:schemeClr w14:val="tx1"/>
            </w14:solidFill>
          </w14:textFill>
        </w:rPr>
        <w:t>6、本合同未尽事宜，由双方协商处理。</w:t>
      </w:r>
      <w:bookmarkEnd w:id="343"/>
    </w:p>
    <w:p>
      <w:pPr>
        <w:autoSpaceDE w:val="0"/>
        <w:autoSpaceDN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7、合同所有附件及本项目的招标文件、答疑文件、投标文件、补充通知及相关承诺、协议等均为本合同有效组成部分，与本合同同具法律效力，该等文件与本合同正文约定不一致的，以有利于甲方的约定为准。</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附件：1.用户需求书；2.廉洁协议书；3.安全生产管理协议；4.分项报价表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5.安装时间、维修响应时间承诺表；6.验收报告表</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p>
    <w:p>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（以下无正文）</w:t>
      </w:r>
    </w:p>
    <w:p>
      <w:pPr>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pPr>
        <w:spacing w:line="360" w:lineRule="auto"/>
        <w:ind w:firstLine="373"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甲方：东莞市石鼓净水有限公司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乙方：</w:t>
      </w:r>
    </w:p>
    <w:p>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法定代表（或负责）人：                     法定代表（或负责）人：</w:t>
      </w:r>
    </w:p>
    <w:p>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Times New Roman"/>
          <w:color w:val="000000" w:themeColor="text1"/>
          <w:kern w:val="0"/>
          <w:szCs w:val="21"/>
          <w:highlight w:val="none"/>
          <w14:textFill>
            <w14:solidFill>
              <w14:schemeClr w14:val="tx1"/>
            </w14:solidFill>
          </w14:textFill>
        </w:rPr>
        <w:t>广东省东莞市南城街道滨河路100号</w:t>
      </w:r>
      <w:r>
        <w:rPr>
          <w:rFonts w:hint="eastAsia" w:ascii="宋体" w:hAnsi="宋体" w:eastAsia="宋体" w:cs="宋体"/>
          <w:color w:val="000000" w:themeColor="text1"/>
          <w:szCs w:val="21"/>
          <w:highlight w:val="none"/>
          <w14:textFill>
            <w14:solidFill>
              <w14:schemeClr w14:val="tx1"/>
            </w14:solidFill>
          </w14:textFill>
        </w:rPr>
        <w:t xml:space="preserve">     地址：</w:t>
      </w:r>
    </w:p>
    <w:p>
      <w:pPr>
        <w:spacing w:line="360" w:lineRule="auto"/>
        <w:ind w:firstLine="1058" w:firstLineChars="504"/>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一期1号楼101室</w:t>
      </w:r>
    </w:p>
    <w:p>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                                     电话：</w:t>
      </w:r>
    </w:p>
    <w:p>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                                     传真：</w:t>
      </w:r>
    </w:p>
    <w:p>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签约日期：                                 签约日期： </w:t>
      </w:r>
    </w:p>
    <w:p>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签约地点：广东省东莞市</w:t>
      </w:r>
    </w:p>
    <w:p>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                                 开户银行：</w:t>
      </w:r>
    </w:p>
    <w:p>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银行账户：                                 银行账户：</w:t>
      </w:r>
    </w:p>
    <w:p>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                                 银行账号：</w:t>
      </w:r>
    </w:p>
    <w:p>
      <w:pPr>
        <w:pageBreakBefore/>
        <w:spacing w:line="360"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val="en-US" w:eastAsia="zh-CN"/>
          <w14:textFill>
            <w14:solidFill>
              <w14:schemeClr w14:val="tx1"/>
            </w14:solidFill>
          </w14:textFill>
        </w:rPr>
        <w:t>二</w:t>
      </w:r>
      <w:r>
        <w:rPr>
          <w:rFonts w:hint="eastAsia" w:ascii="宋体" w:hAnsi="宋体" w:eastAsia="宋体" w:cs="宋体"/>
          <w:b/>
          <w:color w:val="000000" w:themeColor="text1"/>
          <w:szCs w:val="21"/>
          <w:highlight w:val="none"/>
          <w14:textFill>
            <w14:solidFill>
              <w14:schemeClr w14:val="tx1"/>
            </w14:solidFill>
          </w14:textFill>
        </w:rPr>
        <w:t>：廉洁协议书</w:t>
      </w:r>
    </w:p>
    <w:p>
      <w:pPr>
        <w:spacing w:line="360" w:lineRule="auto"/>
        <w:rPr>
          <w:rFonts w:ascii="宋体" w:hAnsi="宋体" w:eastAsia="宋体" w:cs="宋体"/>
          <w:color w:val="000000" w:themeColor="text1"/>
          <w:szCs w:val="21"/>
          <w:highlight w:val="none"/>
          <w14:textFill>
            <w14:solidFill>
              <w14:schemeClr w14:val="tx1"/>
            </w14:solidFill>
          </w14:textFill>
        </w:rPr>
      </w:pPr>
    </w:p>
    <w:p>
      <w:pPr>
        <w:spacing w:line="360" w:lineRule="auto"/>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廉洁协议书</w:t>
      </w:r>
    </w:p>
    <w:p>
      <w:pPr>
        <w:spacing w:line="360" w:lineRule="auto"/>
        <w:ind w:firstLine="422" w:firstLineChars="200"/>
        <w:jc w:val="center"/>
        <w:rPr>
          <w:rFonts w:ascii="宋体" w:hAnsi="宋体" w:eastAsia="宋体" w:cs="宋体"/>
          <w:b/>
          <w:color w:val="000000" w:themeColor="text1"/>
          <w:szCs w:val="21"/>
          <w:highlight w:val="none"/>
          <w14:textFill>
            <w14:solidFill>
              <w14:schemeClr w14:val="tx1"/>
            </w14:solidFill>
          </w14:textFill>
        </w:rPr>
      </w:pPr>
    </w:p>
    <w:p>
      <w:pPr>
        <w:spacing w:line="360" w:lineRule="auto"/>
        <w:ind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项目名称：</w:t>
      </w:r>
      <w:r>
        <w:rPr>
          <w:rFonts w:hint="eastAsia" w:ascii="宋体" w:hAnsi="宋体" w:eastAsia="宋体" w:cs="宋体"/>
          <w:b/>
          <w:bCs/>
          <w:color w:val="000000" w:themeColor="text1"/>
          <w:szCs w:val="21"/>
          <w:highlight w:val="none"/>
          <w:lang w:eastAsia="zh-CN"/>
          <w14:textFill>
            <w14:solidFill>
              <w14:schemeClr w14:val="tx1"/>
            </w14:solidFill>
          </w14:textFill>
        </w:rPr>
        <w:t>东莞市石鼓净水有限公司石碣二期生化池曝气系统重置采购项目（重新招标）</w:t>
      </w:r>
      <w:r>
        <w:rPr>
          <w:rFonts w:hint="eastAsia" w:ascii="宋体" w:hAnsi="宋体" w:eastAsia="宋体" w:cs="宋体"/>
          <w:b/>
          <w:bCs/>
          <w:color w:val="000000" w:themeColor="text1"/>
          <w:szCs w:val="21"/>
          <w:highlight w:val="none"/>
          <w14:textFill>
            <w14:solidFill>
              <w14:schemeClr w14:val="tx1"/>
            </w14:solidFill>
          </w14:textFill>
        </w:rPr>
        <w:t>(招标编号：</w:t>
      </w:r>
      <w:r>
        <w:rPr>
          <w:rFonts w:hint="eastAsia" w:ascii="宋体" w:hAnsi="宋体" w:eastAsia="宋体" w:cs="宋体"/>
          <w:b/>
          <w:bCs/>
          <w:color w:val="000000" w:themeColor="text1"/>
          <w:szCs w:val="21"/>
          <w:highlight w:val="none"/>
          <w:lang w:eastAsia="zh-CN"/>
          <w14:textFill>
            <w14:solidFill>
              <w14:schemeClr w14:val="tx1"/>
            </w14:solidFill>
          </w14:textFill>
        </w:rPr>
        <w:t>0832-SFCX24DG138A-1</w:t>
      </w:r>
      <w:r>
        <w:rPr>
          <w:rFonts w:hint="eastAsia" w:ascii="宋体" w:hAnsi="宋体" w:eastAsia="宋体" w:cs="宋体"/>
          <w:b/>
          <w:bCs/>
          <w:color w:val="000000" w:themeColor="text1"/>
          <w:szCs w:val="21"/>
          <w:highlight w:val="none"/>
          <w14:textFill>
            <w14:solidFill>
              <w14:schemeClr w14:val="tx1"/>
            </w14:solidFill>
          </w14:textFill>
        </w:rPr>
        <w:t>)</w:t>
      </w:r>
    </w:p>
    <w:p>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甲方（业主单位）：东莞市石鼓净水有限公司</w:t>
      </w:r>
    </w:p>
    <w:p>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乙方：</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第一条  甲乙双方的权利和义务</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（一）严格遵守党和国家有关法律法规等有关廉洁从业规定。</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（二）严格执行本项目的合同文件，自觉按合同办事。</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（四）建立健全廉洁制度，开展廉洁教育，设立廉洁监督公示牌，公布举报电话，监督并认真查处违法违纪行为。</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（五）发现对方在业务活动中有违反廉洁规定的行为，有及时提醒对方纠正的权利和义务。</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（六）发现对方严重违反本协议义务条款的行为，有向其上级有关部门举报、建议给予处理并要求告知处理结果的权利。</w:t>
      </w:r>
    </w:p>
    <w:p>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第二条  甲方的义务</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（二）甲方工作人员不得参加乙方安排的高消费宴请和娱乐活动；不得接受乙方提供的通讯工具、交通工具和高档办公用品。</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（四）甲方工作人员不得向乙方介绍其家属或者亲友（包括家属或亲友开办的公司企业）从事于本项目涉及的经济业务活动。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（五）甲方及其工作人员不得以任何理由向乙方推荐分包单位，不得要求乙方购买合同规定外的材料和设备。</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（六）甲方及其工作人员不得进行违反廉洁规定的其他活动。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第三条  乙方义务</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（一）乙方不得以任何理由向甲方及其工作人员馈赠礼金、有价证券、贵重礼品，或报销应由甲方单位或个人支付的任何费用。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（三）乙方不得为甲方单位和个人购置或提供通讯工具、交通工具和高档办公用品等。</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（四）乙方及其工作人员不得为甲方工作人员购买、装修、维修私人住房、汽车等。</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（六）乙方及其工作人员不得进行影响甲方及其工作人员公正执行合同和履行职务的其他活动。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第四条  违约责任</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（一）甲方违反本协议第一、第二条给乙方单位造成经济损失的，应予以赔偿。</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（二）乙方违反本协议第一、第三条给甲方单位造成经济损失的，应予以赔偿。</w:t>
      </w:r>
    </w:p>
    <w:p>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第五条  监督检查</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甲乙双方的廉洁从业行为由双方或双方上级单位的纪检、监察部门负责监督，对本协议履行情况进行检查。</w:t>
      </w:r>
    </w:p>
    <w:p>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第六条 举报信访受理</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（一）举报受理部门：东莞市水务集团有限公司纪检监察部。</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（二）举报电话：（0769）23076092。</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（三）举报邮箱：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"mailto:jcsj@dgswjt.cn。" </w:instrText>
      </w:r>
      <w:r>
        <w:rPr>
          <w:color w:val="000000" w:themeColor="text1"/>
          <w:highlight w:val="none"/>
          <w14:textFill>
            <w14:solidFill>
              <w14:schemeClr w14:val="tx1"/>
            </w14:solidFill>
          </w14:textFill>
        </w:rPr>
        <w:fldChar w:fldCharType="separate"/>
      </w:r>
      <w:r>
        <w:rPr>
          <w:rStyle w:val="42"/>
          <w:rFonts w:hint="eastAsia" w:ascii="宋体" w:hAnsi="宋体" w:eastAsia="宋体" w:cs="宋体"/>
          <w:color w:val="000000" w:themeColor="text1"/>
          <w:sz w:val="21"/>
          <w:szCs w:val="21"/>
          <w:highlight w:val="none"/>
          <w14:textFill>
            <w14:solidFill>
              <w14:schemeClr w14:val="tx1"/>
            </w14:solidFill>
          </w14:textFill>
        </w:rPr>
        <w:t>jcsj@dgswjt.cn。</w:t>
      </w:r>
      <w:r>
        <w:rPr>
          <w:rStyle w:val="42"/>
          <w:rFonts w:hint="eastAsia" w:ascii="宋体" w:hAnsi="宋体" w:eastAsia="宋体" w:cs="宋体"/>
          <w:color w:val="000000" w:themeColor="text1"/>
          <w:sz w:val="21"/>
          <w:szCs w:val="21"/>
          <w:highlight w:val="none"/>
          <w14:textFill>
            <w14:solidFill>
              <w14:schemeClr w14:val="tx1"/>
            </w14:solidFill>
          </w14:textFill>
        </w:rPr>
        <w:fldChar w:fldCharType="end"/>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（四）信访地址：广东省东莞市东城街道育华路1号。</w:t>
      </w:r>
    </w:p>
    <w:p>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第七条 其他</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本协议有效期为甲乙双方法定代表人或负责人签字并加盖章之日起至该工程/采购项目竣工验收完毕，质保期/服务期满后止。本协议一式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份，甲、乙双方各执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份，甲、乙双方上级主管部门各执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w:t>
      </w:r>
    </w:p>
    <w:p>
      <w:pPr>
        <w:spacing w:line="360" w:lineRule="auto"/>
        <w:rPr>
          <w:rFonts w:ascii="宋体" w:hAnsi="宋体" w:eastAsia="宋体" w:cs="宋体"/>
          <w:color w:val="000000" w:themeColor="text1"/>
          <w:szCs w:val="21"/>
          <w:highlight w:val="none"/>
          <w14:textFill>
            <w14:solidFill>
              <w14:schemeClr w14:val="tx1"/>
            </w14:solidFill>
          </w14:textFill>
        </w:rPr>
      </w:pP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甲方（盖章）：                乙方（盖章）： </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法定代表（或负责）人：           法定代表（或负责）人：</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签订日期：    年  月  日         </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rPr>
          <w:rFonts w:ascii="宋体" w:hAnsi="宋体" w:eastAsia="宋体" w:cs="宋体"/>
          <w:color w:val="000000" w:themeColor="text1"/>
          <w:szCs w:val="21"/>
          <w:highlight w:val="none"/>
          <w14:textFill>
            <w14:solidFill>
              <w14:schemeClr w14:val="tx1"/>
            </w14:solidFill>
          </w14:textFill>
        </w:rPr>
      </w:pP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val="en-US" w:eastAsia="zh-CN"/>
          <w14:textFill>
            <w14:solidFill>
              <w14:schemeClr w14:val="tx1"/>
            </w14:solidFill>
          </w14:textFill>
        </w:rPr>
        <w:t>三</w:t>
      </w:r>
      <w:r>
        <w:rPr>
          <w:rFonts w:hint="eastAsia" w:ascii="宋体" w:hAnsi="宋体" w:eastAsia="宋体" w:cs="宋体"/>
          <w:b/>
          <w:color w:val="000000" w:themeColor="text1"/>
          <w:szCs w:val="21"/>
          <w:highlight w:val="none"/>
          <w14:textFill>
            <w14:solidFill>
              <w14:schemeClr w14:val="tx1"/>
            </w14:solidFill>
          </w14:textFill>
        </w:rPr>
        <w:t>：安全生产管理协议</w:t>
      </w:r>
    </w:p>
    <w:p>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安全生产管理协议</w:t>
      </w:r>
    </w:p>
    <w:p>
      <w:pPr>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 xml:space="preserve">                                         </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电话：                </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pPr>
        <w:spacing w:line="360" w:lineRule="auto"/>
        <w:rPr>
          <w:rFonts w:ascii="宋体" w:hAnsi="宋体" w:eastAsia="宋体" w:cs="宋体"/>
          <w:color w:val="000000" w:themeColor="text1"/>
          <w:szCs w:val="21"/>
          <w:highlight w:val="none"/>
          <w14:textFill>
            <w14:solidFill>
              <w14:schemeClr w14:val="tx1"/>
            </w14:solidFill>
          </w14:textFill>
        </w:rPr>
      </w:pP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pPr>
        <w:spacing w:line="360" w:lineRule="auto"/>
        <w:rPr>
          <w:rFonts w:ascii="宋体" w:hAnsi="宋体" w:eastAsia="宋体" w:cs="宋体"/>
          <w:color w:val="000000" w:themeColor="text1"/>
          <w:szCs w:val="21"/>
          <w:highlight w:val="none"/>
          <w14:textFill>
            <w14:solidFill>
              <w14:schemeClr w14:val="tx1"/>
            </w14:solidFill>
          </w14:textFill>
        </w:rPr>
      </w:pP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3、乙方使用被派遣劳动者的，应当将被派遣劳动者纳入本单位从业人员统一管理，对被派遣劳动者进行岗位安全操作规程和安全操作技能的教育和培训。</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5、乙方应当教育和督促从业人员严格执行本单位的安全生产规章制度和安全操作规程；并向从业人员如实告知作业场所和工作岗位存在的危险因素、防范措施以及事故应急措施。</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6、乙方应严格遵守国家、地方政府有关安全生产及劳动保护的法律法规、标准、规定，贯彻执行甲方的各项安全管理规章制度。</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7、乙方依法参加工伤保险，为从业人员缴纳保险费，并应当为从事危险作业的人员办理意外伤害保险。</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13、在施工过程中，需要进行动土、动火、登高、吊装、断路、进入限制性空间等危险性较高的作业时，乙方的施工负责人、专职或兼职安全员必须现场确认，确保安全后，方可开始施工。</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14、因乙方原因，造成乙方损失，由乙方自负，给甲方造成财产损失和人员伤害，乙方要负全部责任，并全额赔偿甲方。</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15、非因甲方原因，造成乙方损失的，甲方不承担任何责任，由乙方自行承担全部责任。</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16、乙方应严格遵守法律法规以及甲方的安全管理要求，并接受甲方的安全生产工作协调和监督，积极消除安全隐患。安全管理的基本要求包括但不限于以下条款：</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①禁火区内严禁吸烟、动火。有火灾危险的作业区域，乙方必须配置足够的灭火设施。</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②焊接、气割作业时两瓶距离必须达到5M及以上，气瓶距可能产生火花的电器、设备和其它火源的间距必须达到10M及以上。</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③严禁在厂内道路、消防通道内搭建临时建筑或堆放物资。</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④施工场所的电动工具、电焊机等须有漏电保护器和相应的安全防护装置。</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⑤施工现场及居住室、办公室内的用电设施必须符合要求，严禁电线乱接、乱拉，刀闸和开关无盖，在电器设施上堆放物品。</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⑥防雷、防静电设施及用电设施要有良好接地。</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⑦施工现场的危险区域，如临边、深坑、土方堆填区等，必须设置围栏和危险标志，夜间要设信号灯。</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numPr>
          <w:ilvl w:val="0"/>
          <w:numId w:val="3"/>
        </w:num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乙方必须接受甲方的检查与监督，并应主动配合，做好安全工作，凡有违反上述协议的即视为乙方违约，甲方有权视情况从工程结算款/服务价款中扣除（1000-2000）元/次作为违约金。</w:t>
      </w:r>
    </w:p>
    <w:p>
      <w:pPr>
        <w:numPr>
          <w:ilvl w:val="0"/>
          <w:numId w:val="3"/>
        </w:num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19、乙方对施工过程中潜在的安全风险不明确的，不可盲目施工，否则，造成的不良后果由乙方独自承担。</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20、本协议一式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份，甲、乙双方各执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份，自双方法定代表人或负责人签字并盖章后生效。</w:t>
      </w:r>
    </w:p>
    <w:p>
      <w:pPr>
        <w:spacing w:line="360" w:lineRule="auto"/>
        <w:rPr>
          <w:rFonts w:ascii="宋体" w:hAnsi="宋体" w:eastAsia="宋体" w:cs="宋体"/>
          <w:color w:val="000000" w:themeColor="text1"/>
          <w:szCs w:val="21"/>
          <w:highlight w:val="none"/>
          <w14:textFill>
            <w14:solidFill>
              <w14:schemeClr w14:val="tx1"/>
            </w14:solidFill>
          </w14:textFill>
        </w:rPr>
      </w:pPr>
    </w:p>
    <w:p>
      <w:pPr>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乙方声明：</w:t>
      </w:r>
    </w:p>
    <w:p>
      <w:pPr>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乙方已认真阅读协议内容，对协议条款、</w:t>
      </w:r>
      <w:r>
        <w:rPr>
          <w:rFonts w:hint="eastAsia" w:ascii="宋体" w:hAnsi="宋体" w:eastAsia="宋体" w:cs="宋体"/>
          <w:b/>
          <w:bCs/>
          <w:color w:val="000000" w:themeColor="text1"/>
          <w:szCs w:val="21"/>
          <w:highlight w:val="none"/>
          <w:u w:val="single"/>
          <w:lang w:eastAsia="zh-CN"/>
          <w14:textFill>
            <w14:solidFill>
              <w14:schemeClr w14:val="tx1"/>
            </w14:solidFill>
          </w14:textFill>
        </w:rPr>
        <w:t>东莞市石鼓净水有限公司石碣二期生化池曝气系统重置采购项目（重新招标）</w:t>
      </w:r>
      <w:r>
        <w:rPr>
          <w:rFonts w:hint="eastAsia" w:ascii="宋体" w:hAnsi="宋体" w:eastAsia="宋体" w:cs="宋体"/>
          <w:b/>
          <w:bCs/>
          <w:color w:val="000000" w:themeColor="text1"/>
          <w:szCs w:val="21"/>
          <w:highlight w:val="none"/>
          <w14:textFill>
            <w14:solidFill>
              <w14:schemeClr w14:val="tx1"/>
            </w14:solidFill>
          </w14:textFill>
        </w:rPr>
        <w:t>的安全管理要求、安全风险充分理解，并自愿承担因违约造成的一切后果。</w:t>
      </w:r>
    </w:p>
    <w:p>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甲方（盖章）：                      乙方（盖章）： </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法定代表人或负责人：               法定代表人或负责人：</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签订日期：</w:t>
      </w:r>
    </w:p>
    <w:p>
      <w:pPr>
        <w:autoSpaceDE w:val="0"/>
        <w:autoSpaceDN w:val="0"/>
        <w:adjustRightInd w:val="0"/>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签订地点：广东省东莞市</w:t>
      </w:r>
      <w:r>
        <w:rPr>
          <w:rFonts w:hint="eastAsia" w:ascii="宋体" w:hAnsi="宋体" w:eastAsia="宋体" w:cs="宋体"/>
          <w:color w:val="000000" w:themeColor="text1"/>
          <w:szCs w:val="21"/>
          <w:highlight w:val="none"/>
          <w14:textFill>
            <w14:solidFill>
              <w14:schemeClr w14:val="tx1"/>
            </w14:solidFill>
          </w14:textFill>
        </w:rPr>
        <w:br w:type="page"/>
      </w:r>
    </w:p>
    <w:p>
      <w:pPr>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val="en-US" w:eastAsia="zh-CN"/>
          <w14:textFill>
            <w14:solidFill>
              <w14:schemeClr w14:val="tx1"/>
            </w14:solidFill>
          </w14:textFill>
        </w:rPr>
        <w:t>六</w:t>
      </w:r>
      <w:r>
        <w:rPr>
          <w:rFonts w:hint="eastAsia" w:ascii="宋体" w:hAnsi="宋体" w:eastAsia="宋体" w:cs="宋体"/>
          <w:b/>
          <w:color w:val="000000" w:themeColor="text1"/>
          <w:szCs w:val="21"/>
          <w:highlight w:val="none"/>
          <w14:textFill>
            <w14:solidFill>
              <w14:schemeClr w14:val="tx1"/>
            </w14:solidFill>
          </w14:textFill>
        </w:rPr>
        <w:t>：验收报告表</w:t>
      </w:r>
    </w:p>
    <w:tbl>
      <w:tblPr>
        <w:tblStyle w:val="36"/>
        <w:tblW w:w="0" w:type="auto"/>
        <w:jc w:val="center"/>
        <w:tblLayout w:type="fixed"/>
        <w:tblCellMar>
          <w:top w:w="0" w:type="dxa"/>
          <w:left w:w="108" w:type="dxa"/>
          <w:bottom w:w="0" w:type="dxa"/>
          <w:right w:w="108" w:type="dxa"/>
        </w:tblCellMar>
      </w:tblPr>
      <w:tblGrid>
        <w:gridCol w:w="1976"/>
        <w:gridCol w:w="2666"/>
        <w:gridCol w:w="1763"/>
        <w:gridCol w:w="2891"/>
      </w:tblGrid>
      <w:tr>
        <w:tblPrEx>
          <w:tblCellMar>
            <w:top w:w="0" w:type="dxa"/>
            <w:left w:w="108" w:type="dxa"/>
            <w:bottom w:w="0" w:type="dxa"/>
            <w:right w:w="108" w:type="dxa"/>
          </w:tblCellMar>
        </w:tblPrEx>
        <w:trPr>
          <w:trHeight w:val="540" w:hRule="atLeast"/>
          <w:jc w:val="center"/>
        </w:trPr>
        <w:tc>
          <w:tcPr>
            <w:tcW w:w="9296" w:type="dxa"/>
            <w:gridSpan w:val="4"/>
            <w:tcBorders>
              <w:top w:val="nil"/>
              <w:left w:val="nil"/>
              <w:bottom w:val="nil"/>
              <w:right w:val="nil"/>
            </w:tcBorders>
            <w:noWrap w:val="0"/>
            <w:vAlign w:val="center"/>
          </w:tcPr>
          <w:p>
            <w:pPr>
              <w:widowControl/>
              <w:spacing w:line="600" w:lineRule="exact"/>
              <w:jc w:val="center"/>
              <w:rPr>
                <w:rFonts w:ascii="方正小标宋简体" w:hAnsi="宋体" w:eastAsia="方正小标宋简体" w:cs="宋体"/>
                <w:color w:val="000000" w:themeColor="text1"/>
                <w:kern w:val="0"/>
                <w:sz w:val="40"/>
                <w:szCs w:val="40"/>
                <w:highlight w:val="none"/>
                <w14:textFill>
                  <w14:solidFill>
                    <w14:schemeClr w14:val="tx1"/>
                  </w14:solidFill>
                </w14:textFill>
              </w:rPr>
            </w:pPr>
            <w:r>
              <w:rPr>
                <w:rFonts w:hint="eastAsia" w:ascii="方正小标宋简体" w:hAnsi="宋体" w:eastAsia="方正小标宋简体" w:cs="宋体"/>
                <w:color w:val="000000" w:themeColor="text1"/>
                <w:kern w:val="0"/>
                <w:sz w:val="40"/>
                <w:szCs w:val="40"/>
                <w:highlight w:val="none"/>
                <w14:textFill>
                  <w14:solidFill>
                    <w14:schemeClr w14:val="tx1"/>
                  </w14:solidFill>
                </w14:textFill>
              </w:rPr>
              <w:t>东莞市</w:t>
            </w:r>
            <w:r>
              <w:rPr>
                <w:rFonts w:hint="eastAsia" w:ascii="方正小标宋简体" w:hAnsi="宋体" w:eastAsia="方正小标宋简体" w:cs="宋体"/>
                <w:color w:val="000000" w:themeColor="text1"/>
                <w:kern w:val="0"/>
                <w:sz w:val="40"/>
                <w:szCs w:val="40"/>
                <w:highlight w:val="none"/>
                <w:lang w:val="en-US" w:eastAsia="zh-CN"/>
                <w14:textFill>
                  <w14:solidFill>
                    <w14:schemeClr w14:val="tx1"/>
                  </w14:solidFill>
                </w14:textFill>
              </w:rPr>
              <w:t>水务集团净水</w:t>
            </w:r>
            <w:r>
              <w:rPr>
                <w:rFonts w:hint="eastAsia" w:ascii="方正小标宋简体" w:hAnsi="宋体" w:eastAsia="方正小标宋简体" w:cs="宋体"/>
                <w:color w:val="000000" w:themeColor="text1"/>
                <w:kern w:val="0"/>
                <w:sz w:val="40"/>
                <w:szCs w:val="40"/>
                <w:highlight w:val="none"/>
                <w14:textFill>
                  <w14:solidFill>
                    <w14:schemeClr w14:val="tx1"/>
                  </w14:solidFill>
                </w14:textFill>
              </w:rPr>
              <w:t>有限公司项目验收报告表</w:t>
            </w:r>
          </w:p>
        </w:tc>
      </w:tr>
      <w:tr>
        <w:tblPrEx>
          <w:tblCellMar>
            <w:top w:w="0" w:type="dxa"/>
            <w:left w:w="108" w:type="dxa"/>
            <w:bottom w:w="0" w:type="dxa"/>
            <w:right w:w="108" w:type="dxa"/>
          </w:tblCellMar>
        </w:tblPrEx>
        <w:trPr>
          <w:trHeight w:val="474" w:hRule="atLeast"/>
          <w:jc w:val="center"/>
        </w:trPr>
        <w:tc>
          <w:tcPr>
            <w:tcW w:w="1976" w:type="dxa"/>
            <w:tcBorders>
              <w:top w:val="nil"/>
              <w:left w:val="nil"/>
              <w:bottom w:val="nil"/>
              <w:right w:val="nil"/>
            </w:tcBorders>
            <w:noWrap w:val="0"/>
            <w:vAlign w:val="center"/>
          </w:tcPr>
          <w:p>
            <w:pPr>
              <w:widowControl/>
              <w:jc w:val="left"/>
              <w:rPr>
                <w:rFonts w:ascii="仿宋_GB2312" w:hAnsi="宋体" w:eastAsia="仿宋_GB2312" w:cs="宋体"/>
                <w:color w:val="000000" w:themeColor="text1"/>
                <w:kern w:val="0"/>
                <w:sz w:val="18"/>
                <w:szCs w:val="18"/>
                <w:highlight w:val="none"/>
                <w14:textFill>
                  <w14:solidFill>
                    <w14:schemeClr w14:val="tx1"/>
                  </w14:solidFill>
                </w14:textFill>
              </w:rPr>
            </w:pPr>
          </w:p>
        </w:tc>
        <w:tc>
          <w:tcPr>
            <w:tcW w:w="2666" w:type="dxa"/>
            <w:tcBorders>
              <w:top w:val="nil"/>
              <w:left w:val="nil"/>
              <w:bottom w:val="nil"/>
              <w:right w:val="nil"/>
            </w:tcBorders>
            <w:noWrap w:val="0"/>
            <w:vAlign w:val="center"/>
          </w:tcPr>
          <w:p>
            <w:pPr>
              <w:widowControl/>
              <w:jc w:val="left"/>
              <w:rPr>
                <w:rFonts w:ascii="仿宋_GB2312" w:hAnsi="宋体" w:eastAsia="仿宋_GB2312" w:cs="宋体"/>
                <w:color w:val="000000" w:themeColor="text1"/>
                <w:kern w:val="0"/>
                <w:sz w:val="18"/>
                <w:szCs w:val="18"/>
                <w:highlight w:val="none"/>
                <w14:textFill>
                  <w14:solidFill>
                    <w14:schemeClr w14:val="tx1"/>
                  </w14:solidFill>
                </w14:textFill>
              </w:rPr>
            </w:pPr>
          </w:p>
        </w:tc>
        <w:tc>
          <w:tcPr>
            <w:tcW w:w="1763" w:type="dxa"/>
            <w:tcBorders>
              <w:top w:val="nil"/>
              <w:left w:val="nil"/>
              <w:bottom w:val="nil"/>
              <w:right w:val="nil"/>
            </w:tcBorders>
            <w:noWrap w:val="0"/>
            <w:vAlign w:val="center"/>
          </w:tcPr>
          <w:p>
            <w:pPr>
              <w:widowControl/>
              <w:jc w:val="left"/>
              <w:rPr>
                <w:rFonts w:ascii="仿宋_GB2312" w:hAnsi="宋体" w:eastAsia="仿宋_GB2312" w:cs="宋体"/>
                <w:color w:val="000000" w:themeColor="text1"/>
                <w:kern w:val="0"/>
                <w:sz w:val="18"/>
                <w:szCs w:val="18"/>
                <w:highlight w:val="none"/>
                <w14:textFill>
                  <w14:solidFill>
                    <w14:schemeClr w14:val="tx1"/>
                  </w14:solidFill>
                </w14:textFill>
              </w:rPr>
            </w:pPr>
          </w:p>
        </w:tc>
        <w:tc>
          <w:tcPr>
            <w:tcW w:w="2891" w:type="dxa"/>
            <w:tcBorders>
              <w:top w:val="nil"/>
              <w:left w:val="nil"/>
              <w:bottom w:val="nil"/>
              <w:right w:val="nil"/>
            </w:tcBorders>
            <w:noWrap w:val="0"/>
            <w:vAlign w:val="center"/>
          </w:tcPr>
          <w:p>
            <w:pPr>
              <w:widowControl/>
              <w:jc w:val="left"/>
              <w:rPr>
                <w:rFonts w:ascii="仿宋_GB2312" w:hAnsi="宋体" w:eastAsia="仿宋_GB2312" w:cs="宋体"/>
                <w:color w:val="000000" w:themeColor="text1"/>
                <w:kern w:val="0"/>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375" w:hRule="atLeast"/>
          <w:jc w:val="center"/>
        </w:trPr>
        <w:tc>
          <w:tcPr>
            <w:tcW w:w="9296" w:type="dxa"/>
            <w:gridSpan w:val="4"/>
            <w:tcBorders>
              <w:top w:val="nil"/>
              <w:left w:val="nil"/>
              <w:bottom w:val="single" w:color="auto" w:sz="4" w:space="0"/>
              <w:right w:val="nil"/>
            </w:tcBorders>
            <w:noWrap w:val="0"/>
            <w:vAlign w:val="center"/>
          </w:tcPr>
          <w:p>
            <w:pPr>
              <w:widowControl/>
              <w:jc w:val="left"/>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类别：</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服务类（非设备）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货物</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含安装</w:t>
            </w:r>
            <w:r>
              <w:rPr>
                <w:rFonts w:hint="eastAsia" w:ascii="宋体" w:hAnsi="宋体" w:eastAsia="宋体" w:cs="宋体"/>
                <w:color w:val="000000" w:themeColor="text1"/>
                <w:kern w:val="0"/>
                <w:sz w:val="21"/>
                <w:szCs w:val="21"/>
                <w:highlight w:val="none"/>
                <w14:textFill>
                  <w14:solidFill>
                    <w14:schemeClr w14:val="tx1"/>
                  </w14:solidFill>
                </w14:textFill>
              </w:rPr>
              <w:t>类（非设备）</w:t>
            </w:r>
            <w:r>
              <w:rPr>
                <w:rFonts w:hint="eastAsia" w:ascii="仿宋_GB2312" w:hAnsi="宋体" w:eastAsia="仿宋_GB2312" w:cs="宋体"/>
                <w:color w:val="000000" w:themeColor="text1"/>
                <w:kern w:val="0"/>
                <w:sz w:val="24"/>
                <w:szCs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600" w:hRule="atLeast"/>
          <w:jc w:val="center"/>
        </w:trPr>
        <w:tc>
          <w:tcPr>
            <w:tcW w:w="1976" w:type="dxa"/>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themeColor="text1"/>
                <w:kern w:val="0"/>
                <w:sz w:val="24"/>
                <w:szCs w:val="24"/>
                <w:highlight w:val="none"/>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项目名称</w:t>
            </w:r>
          </w:p>
        </w:tc>
        <w:tc>
          <w:tcPr>
            <w:tcW w:w="7320" w:type="dxa"/>
            <w:gridSpan w:val="3"/>
            <w:tcBorders>
              <w:top w:val="single" w:color="auto" w:sz="4" w:space="0"/>
              <w:left w:val="nil"/>
              <w:bottom w:val="single" w:color="auto" w:sz="4" w:space="0"/>
              <w:right w:val="single" w:color="000000" w:sz="4" w:space="0"/>
            </w:tcBorders>
            <w:noWrap w:val="0"/>
            <w:vAlign w:val="center"/>
          </w:tcPr>
          <w:p>
            <w:pPr>
              <w:widowControl/>
              <w:jc w:val="left"/>
              <w:rPr>
                <w:rFonts w:hint="default" w:ascii="仿宋_GB2312" w:hAnsi="宋体" w:eastAsia="仿宋_GB2312" w:cs="宋体"/>
                <w:color w:val="000000" w:themeColor="text1"/>
                <w:kern w:val="0"/>
                <w:sz w:val="24"/>
                <w:szCs w:val="24"/>
                <w:highlight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486" w:hRule="atLeast"/>
          <w:jc w:val="center"/>
        </w:trPr>
        <w:tc>
          <w:tcPr>
            <w:tcW w:w="1976" w:type="dxa"/>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themeColor="text1"/>
                <w:kern w:val="0"/>
                <w:sz w:val="24"/>
                <w:szCs w:val="24"/>
                <w:highlight w:val="none"/>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使用地点</w:t>
            </w:r>
          </w:p>
        </w:tc>
        <w:tc>
          <w:tcPr>
            <w:tcW w:w="7320" w:type="dxa"/>
            <w:gridSpan w:val="3"/>
            <w:tcBorders>
              <w:top w:val="single" w:color="auto" w:sz="4" w:space="0"/>
              <w:left w:val="nil"/>
              <w:bottom w:val="single" w:color="auto" w:sz="4" w:space="0"/>
              <w:right w:val="single" w:color="000000" w:sz="4" w:space="0"/>
            </w:tcBorders>
            <w:noWrap w:val="0"/>
            <w:vAlign w:val="center"/>
          </w:tcPr>
          <w:p>
            <w:pPr>
              <w:spacing w:beforeLines="0" w:afterLines="0"/>
              <w:jc w:val="left"/>
              <w:rPr>
                <w:rFonts w:hint="eastAsia" w:ascii="仿宋_GB2312" w:hAnsi="宋体" w:eastAsia="仿宋" w:cs="宋体"/>
                <w:color w:val="000000" w:themeColor="text1"/>
                <w:kern w:val="0"/>
                <w:sz w:val="24"/>
                <w:szCs w:val="24"/>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1976" w:type="dxa"/>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themeColor="text1"/>
                <w:kern w:val="0"/>
                <w:sz w:val="24"/>
                <w:szCs w:val="24"/>
                <w:highlight w:val="none"/>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供货/服务</w:t>
            </w:r>
            <w:r>
              <w:rPr>
                <w:rFonts w:hint="eastAsia" w:ascii="黑体" w:hAnsi="黑体" w:eastAsia="黑体" w:cs="宋体"/>
                <w:color w:val="000000" w:themeColor="text1"/>
                <w:kern w:val="0"/>
                <w:sz w:val="24"/>
                <w:szCs w:val="24"/>
                <w:highlight w:val="none"/>
                <w14:textFill>
                  <w14:solidFill>
                    <w14:schemeClr w14:val="tx1"/>
                  </w14:solidFill>
                </w14:textFill>
              </w:rPr>
              <w:br w:type="textWrapping"/>
            </w:r>
            <w:r>
              <w:rPr>
                <w:rFonts w:hint="eastAsia" w:ascii="黑体" w:hAnsi="黑体" w:eastAsia="黑体" w:cs="宋体"/>
                <w:color w:val="000000" w:themeColor="text1"/>
                <w:kern w:val="0"/>
                <w:sz w:val="24"/>
                <w:szCs w:val="24"/>
                <w:highlight w:val="none"/>
                <w14:textFill>
                  <w14:solidFill>
                    <w14:schemeClr w14:val="tx1"/>
                  </w14:solidFill>
                </w14:textFill>
              </w:rPr>
              <w:t>单位</w:t>
            </w:r>
          </w:p>
        </w:tc>
        <w:tc>
          <w:tcPr>
            <w:tcW w:w="2666"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tc>
        <w:tc>
          <w:tcPr>
            <w:tcW w:w="1763" w:type="dxa"/>
            <w:tcBorders>
              <w:top w:val="nil"/>
              <w:left w:val="nil"/>
              <w:bottom w:val="single" w:color="auto" w:sz="4" w:space="0"/>
              <w:right w:val="single" w:color="auto" w:sz="4" w:space="0"/>
            </w:tcBorders>
            <w:noWrap w:val="0"/>
            <w:vAlign w:val="center"/>
          </w:tcPr>
          <w:p>
            <w:pPr>
              <w:widowControl/>
              <w:jc w:val="center"/>
              <w:rPr>
                <w:rFonts w:hint="default" w:ascii="黑体" w:hAnsi="黑体" w:eastAsia="黑体" w:cs="宋体"/>
                <w:color w:val="000000" w:themeColor="text1"/>
                <w:kern w:val="0"/>
                <w:sz w:val="24"/>
                <w:szCs w:val="24"/>
                <w:highlight w:val="none"/>
                <w:lang w:val="en-US" w:eastAsia="zh-CN"/>
                <w14:textFill>
                  <w14:solidFill>
                    <w14:schemeClr w14:val="tx1"/>
                  </w14:solidFill>
                </w14:textFill>
              </w:rPr>
            </w:pPr>
            <w:r>
              <w:rPr>
                <w:rFonts w:hint="eastAsia" w:ascii="黑体" w:hAnsi="黑体" w:eastAsia="黑体" w:cs="宋体"/>
                <w:color w:val="000000" w:themeColor="text1"/>
                <w:kern w:val="0"/>
                <w:sz w:val="24"/>
                <w:szCs w:val="24"/>
                <w:highlight w:val="none"/>
                <w:lang w:val="en-US" w:eastAsia="zh-CN"/>
                <w14:textFill>
                  <w14:solidFill>
                    <w14:schemeClr w14:val="tx1"/>
                  </w14:solidFill>
                </w14:textFill>
              </w:rPr>
              <w:t>金额</w:t>
            </w:r>
          </w:p>
        </w:tc>
        <w:tc>
          <w:tcPr>
            <w:tcW w:w="289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000000" w:themeColor="text1"/>
                <w:kern w:val="0"/>
                <w:sz w:val="24"/>
                <w:szCs w:val="24"/>
                <w:highlight w:val="none"/>
                <w:lang w:val="en-US"/>
                <w14:textFill>
                  <w14:solidFill>
                    <w14:schemeClr w14:val="tx1"/>
                  </w14:solidFill>
                </w14:textFill>
              </w:rPr>
            </w:pPr>
          </w:p>
        </w:tc>
      </w:tr>
      <w:tr>
        <w:tblPrEx>
          <w:tblCellMar>
            <w:top w:w="0" w:type="dxa"/>
            <w:left w:w="108" w:type="dxa"/>
            <w:bottom w:w="0" w:type="dxa"/>
            <w:right w:w="108" w:type="dxa"/>
          </w:tblCellMar>
        </w:tblPrEx>
        <w:trPr>
          <w:trHeight w:val="1118" w:hRule="atLeast"/>
          <w:jc w:val="center"/>
        </w:trPr>
        <w:tc>
          <w:tcPr>
            <w:tcW w:w="1976" w:type="dxa"/>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themeColor="text1"/>
                <w:kern w:val="0"/>
                <w:sz w:val="24"/>
                <w:szCs w:val="24"/>
                <w:highlight w:val="none"/>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验收单位</w:t>
            </w:r>
          </w:p>
        </w:tc>
        <w:tc>
          <w:tcPr>
            <w:tcW w:w="266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763"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color w:val="000000" w:themeColor="text1"/>
                <w:kern w:val="0"/>
                <w:sz w:val="24"/>
                <w:szCs w:val="24"/>
                <w:highlight w:val="none"/>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验收日期</w:t>
            </w:r>
          </w:p>
        </w:tc>
        <w:tc>
          <w:tcPr>
            <w:tcW w:w="289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48" w:hRule="atLeast"/>
          <w:jc w:val="center"/>
        </w:trPr>
        <w:tc>
          <w:tcPr>
            <w:tcW w:w="1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themeColor="text1"/>
                <w:kern w:val="0"/>
                <w:sz w:val="24"/>
                <w:szCs w:val="24"/>
                <w:highlight w:val="none"/>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项目</w:t>
            </w:r>
            <w:r>
              <w:rPr>
                <w:rFonts w:hint="eastAsia" w:ascii="黑体" w:hAnsi="黑体" w:eastAsia="黑体" w:cs="宋体"/>
                <w:color w:val="000000" w:themeColor="text1"/>
                <w:kern w:val="0"/>
                <w:sz w:val="24"/>
                <w:szCs w:val="24"/>
                <w:highlight w:val="none"/>
                <w14:textFill>
                  <w14:solidFill>
                    <w14:schemeClr w14:val="tx1"/>
                  </w14:solidFill>
                </w14:textFill>
              </w:rPr>
              <w:br w:type="textWrapping"/>
            </w:r>
            <w:r>
              <w:rPr>
                <w:rFonts w:hint="eastAsia" w:ascii="黑体" w:hAnsi="黑体" w:eastAsia="黑体" w:cs="宋体"/>
                <w:color w:val="000000" w:themeColor="text1"/>
                <w:kern w:val="0"/>
                <w:sz w:val="24"/>
                <w:szCs w:val="24"/>
                <w:highlight w:val="none"/>
                <w14:textFill>
                  <w14:solidFill>
                    <w14:schemeClr w14:val="tx1"/>
                  </w14:solidFill>
                </w14:textFill>
              </w:rPr>
              <w:t>概述</w:t>
            </w:r>
          </w:p>
        </w:tc>
        <w:tc>
          <w:tcPr>
            <w:tcW w:w="7320" w:type="dxa"/>
            <w:gridSpan w:val="3"/>
            <w:tcBorders>
              <w:top w:val="single" w:color="auto" w:sz="4" w:space="0"/>
              <w:left w:val="single" w:color="auto" w:sz="4" w:space="0"/>
              <w:right w:val="single" w:color="auto" w:sz="4" w:space="0"/>
            </w:tcBorders>
            <w:noWrap w:val="0"/>
            <w:vAlign w:val="center"/>
          </w:tcPr>
          <w:p>
            <w:pPr>
              <w:widowControl/>
              <w:jc w:val="center"/>
              <w:rPr>
                <w:rFonts w:hint="default" w:ascii="仿宋_GB2312" w:hAnsi="宋体" w:eastAsia="仿宋_GB2312" w:cs="宋体"/>
                <w:color w:val="000000" w:themeColor="text1"/>
                <w:kern w:val="0"/>
                <w:sz w:val="24"/>
                <w:szCs w:val="24"/>
                <w:highlight w:val="none"/>
                <w:lang w:val="en-US"/>
                <w14:textFill>
                  <w14:solidFill>
                    <w14:schemeClr w14:val="tx1"/>
                  </w14:solidFill>
                </w14:textFill>
              </w:rPr>
            </w:pPr>
          </w:p>
        </w:tc>
      </w:tr>
      <w:tr>
        <w:tblPrEx>
          <w:tblCellMar>
            <w:top w:w="0" w:type="dxa"/>
            <w:left w:w="108" w:type="dxa"/>
            <w:bottom w:w="0" w:type="dxa"/>
            <w:right w:w="108" w:type="dxa"/>
          </w:tblCellMar>
        </w:tblPrEx>
        <w:trPr>
          <w:trHeight w:val="1509" w:hRule="atLeast"/>
          <w:jc w:val="center"/>
        </w:trPr>
        <w:tc>
          <w:tcPr>
            <w:tcW w:w="19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themeColor="text1"/>
                <w:kern w:val="0"/>
                <w:sz w:val="24"/>
                <w:szCs w:val="24"/>
                <w:highlight w:val="none"/>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 xml:space="preserve">                                                                                                                                                                                                                                                                                                                                                                                                                                                                                                                                                                                                                                                                                                                                                                                                                                                                                                                                                                                                                                                                                                                                                                                                                                                                                                                                                                                                                                                                                                                                                                                                  验收意见</w:t>
            </w:r>
          </w:p>
        </w:tc>
        <w:tc>
          <w:tcPr>
            <w:tcW w:w="7320" w:type="dxa"/>
            <w:gridSpan w:val="3"/>
            <w:tcBorders>
              <w:top w:val="single" w:color="auto" w:sz="4" w:space="0"/>
              <w:left w:val="single" w:color="auto" w:sz="4" w:space="0"/>
              <w:right w:val="single" w:color="auto" w:sz="4" w:space="0"/>
            </w:tcBorders>
            <w:noWrap w:val="0"/>
            <w:vAlign w:val="center"/>
          </w:tcPr>
          <w:p>
            <w:pPr>
              <w:widowControl/>
              <w:jc w:val="center"/>
              <w:rPr>
                <w:rFonts w:hint="eastAsia" w:ascii="仿宋_GB2312" w:hAnsi="宋体" w:eastAsia="仿宋_GB2312"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71" w:hRule="atLeast"/>
          <w:jc w:val="center"/>
        </w:trPr>
        <w:tc>
          <w:tcPr>
            <w:tcW w:w="1976" w:type="dxa"/>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themeColor="text1"/>
                <w:kern w:val="0"/>
                <w:sz w:val="24"/>
                <w:szCs w:val="24"/>
                <w:highlight w:val="none"/>
                <w14:textFill>
                  <w14:solidFill>
                    <w14:schemeClr w14:val="tx1"/>
                  </w14:solidFill>
                </w14:textFill>
              </w:rPr>
            </w:pPr>
            <w:r>
              <w:rPr>
                <w:rFonts w:hint="eastAsia" w:ascii="黑体" w:hAnsi="黑体" w:eastAsia="黑体" w:cs="宋体"/>
                <w:color w:val="000000" w:themeColor="text1"/>
                <w:kern w:val="0"/>
                <w:sz w:val="24"/>
                <w:szCs w:val="24"/>
                <w:highlight w:val="none"/>
                <w14:textFill>
                  <w14:solidFill>
                    <w14:schemeClr w14:val="tx1"/>
                  </w14:solidFill>
                </w14:textFill>
              </w:rPr>
              <w:t>备注</w:t>
            </w:r>
          </w:p>
        </w:tc>
        <w:tc>
          <w:tcPr>
            <w:tcW w:w="732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75" w:hRule="atLeast"/>
          <w:jc w:val="center"/>
        </w:trPr>
        <w:tc>
          <w:tcPr>
            <w:tcW w:w="929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参 加 服 务 验 收 的 单 位 和 代 表 （签 章）</w:t>
            </w:r>
          </w:p>
        </w:tc>
      </w:tr>
      <w:tr>
        <w:tblPrEx>
          <w:tblCellMar>
            <w:top w:w="0" w:type="dxa"/>
            <w:left w:w="108" w:type="dxa"/>
            <w:bottom w:w="0" w:type="dxa"/>
            <w:right w:w="108" w:type="dxa"/>
          </w:tblCellMar>
        </w:tblPrEx>
        <w:trPr>
          <w:trHeight w:val="2394" w:hRule="atLeast"/>
          <w:jc w:val="center"/>
        </w:trPr>
        <w:tc>
          <w:tcPr>
            <w:tcW w:w="4642"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使用单位</w:t>
            </w:r>
          </w:p>
        </w:tc>
        <w:tc>
          <w:tcPr>
            <w:tcW w:w="4654"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服务单位</w:t>
            </w:r>
          </w:p>
        </w:tc>
      </w:tr>
    </w:tbl>
    <w:p>
      <w:pPr>
        <w:spacing w:line="360" w:lineRule="auto"/>
        <w:rPr>
          <w:rFonts w:hint="eastAsia" w:ascii="宋体" w:hAnsi="宋体" w:eastAsia="宋体" w:cs="宋体"/>
          <w:b/>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p>
    <w:p>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344" w:name="_Toc142508360"/>
      <w:bookmarkStart w:id="345" w:name="_Toc24427_WPSOffice_Level1"/>
      <w:bookmarkStart w:id="346" w:name="_Toc447044479"/>
      <w:bookmarkStart w:id="347" w:name="_Toc447045090"/>
      <w:bookmarkStart w:id="348" w:name="_Toc512353083"/>
      <w:bookmarkStart w:id="349" w:name="_Toc22246"/>
      <w:bookmarkStart w:id="350" w:name="_Toc447044603"/>
      <w:bookmarkStart w:id="351" w:name="_Toc29606"/>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344"/>
      <w:bookmarkEnd w:id="345"/>
      <w:bookmarkEnd w:id="346"/>
      <w:bookmarkEnd w:id="347"/>
      <w:bookmarkEnd w:id="348"/>
      <w:bookmarkEnd w:id="349"/>
      <w:bookmarkEnd w:id="350"/>
      <w:bookmarkEnd w:id="351"/>
      <w:bookmarkStart w:id="352" w:name="_Toc447044480"/>
      <w:bookmarkStart w:id="353" w:name="_Toc447044604"/>
      <w:bookmarkStart w:id="354" w:name="_Toc447045091"/>
    </w:p>
    <w:p>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355"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352"/>
      <w:bookmarkEnd w:id="353"/>
      <w:bookmarkEnd w:id="354"/>
      <w:bookmarkEnd w:id="355"/>
    </w:p>
    <w:p>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应</w:t>
      </w:r>
      <w:r>
        <w:rPr>
          <w:rFonts w:hint="eastAsia" w:ascii="宋体" w:hAnsi="宋体" w:eastAsia="宋体" w:cs="Times New Roman"/>
          <w:color w:val="000000" w:themeColor="text1"/>
          <w:kern w:val="0"/>
          <w:szCs w:val="21"/>
          <w:highlight w:val="none"/>
          <w14:textFill>
            <w14:solidFill>
              <w14:schemeClr w14:val="tx1"/>
            </w14:solidFill>
          </w14:textFill>
        </w:rPr>
        <w:t>从合同签订之日起（或签订合同前）至合同期限届满并全部货物经最终验收合格</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受益人向申请人支付全部款项（除质保金）后二十八（28）日内保持有效。</w:t>
      </w:r>
    </w:p>
    <w:p>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履约保证保险凭证格式</w:t>
      </w:r>
    </w:p>
    <w:p>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p>
    <w:p>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履约保证保险凭证</w:t>
      </w:r>
    </w:p>
    <w:p>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编号：</w:t>
      </w:r>
    </w:p>
    <w:p>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（下称“受益人”）： </w:t>
      </w:r>
    </w:p>
    <w:p>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p>
    <w:p>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。我方已接受申请人的请求，并出具《履约保证保险》保险单。</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p>
    <w:p>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一、保证保险金额 </w:t>
      </w:r>
    </w:p>
    <w:p>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元 （</w:t>
      </w:r>
      <w:r>
        <w:rPr>
          <w:rFonts w:hint="default"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三、代偿的安排 </w:t>
      </w:r>
    </w:p>
    <w:p>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四、生效时间 </w:t>
      </w:r>
    </w:p>
    <w:p>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其他</w:t>
      </w:r>
    </w:p>
    <w:p>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履约保证保险应</w:t>
      </w:r>
      <w:r>
        <w:rPr>
          <w:rFonts w:hint="eastAsia" w:ascii="宋体" w:hAnsi="宋体" w:eastAsia="宋体" w:cs="Times New Roman"/>
          <w:color w:val="000000" w:themeColor="text1"/>
          <w:kern w:val="0"/>
          <w:szCs w:val="21"/>
          <w:highlight w:val="none"/>
          <w14:textFill>
            <w14:solidFill>
              <w14:schemeClr w14:val="tx1"/>
            </w14:solidFill>
          </w14:textFill>
        </w:rPr>
        <w:t>从合同签订之日起（或签订合同前）至合同期限届满并全部货物经最终验收合格</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受益人向申请人支付全部款项（除质保金）后二十八（28）日内保持有效。</w:t>
      </w:r>
    </w:p>
    <w:p>
      <w:pPr>
        <w:pStyle w:val="4"/>
        <w:numPr>
          <w:ilvl w:val="0"/>
          <w:numId w:val="0"/>
        </w:numPr>
        <w:outlineLvl w:val="9"/>
        <w:rPr>
          <w:rFonts w:hint="default"/>
          <w:color w:val="000000" w:themeColor="text1"/>
          <w:highlight w:val="none"/>
          <w:lang w:val="en-US" w:eastAsia="zh-CN"/>
          <w14:textFill>
            <w14:solidFill>
              <w14:schemeClr w14:val="tx1"/>
            </w14:solidFill>
          </w14:textFill>
        </w:rPr>
      </w:pPr>
    </w:p>
    <w:p>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XXX </w:t>
      </w:r>
      <w:r>
        <w:rPr>
          <w:rFonts w:hint="eastAsia" w:ascii="宋体" w:hAnsi="宋体" w:eastAsia="宋体" w:cs="宋体"/>
          <w:color w:val="000000" w:themeColor="text1"/>
          <w:kern w:val="0"/>
          <w:szCs w:val="21"/>
          <w:highlight w:val="none"/>
          <w:lang w:val="en-US" w:eastAsia="zh-CN"/>
          <w14:textFill>
            <w14:solidFill>
              <w14:schemeClr w14:val="tx1"/>
            </w14:solidFill>
          </w14:textFill>
        </w:rPr>
        <w:t>保险有限公司履约保证保险（</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款）条款》及保单 </w:t>
      </w:r>
    </w:p>
    <w:p>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保险人：（盖章）</w:t>
      </w:r>
    </w:p>
    <w:p>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法定代表人或授权代理人：</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________ </w:t>
      </w:r>
    </w:p>
    <w:p>
      <w:pPr>
        <w:jc w:val="right"/>
        <w:rPr>
          <w:rFonts w:hint="eastAsia"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年</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月</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日</w:t>
      </w: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三</w:t>
      </w:r>
      <w:r>
        <w:rPr>
          <w:rFonts w:hint="eastAsia" w:ascii="宋体" w:hAnsi="宋体" w:eastAsia="宋体" w:cs="Times New Roman"/>
          <w:b/>
          <w:color w:val="000000" w:themeColor="text1"/>
          <w:kern w:val="0"/>
          <w:sz w:val="28"/>
          <w:szCs w:val="28"/>
          <w:highlight w:val="none"/>
          <w14:textFill>
            <w14:solidFill>
              <w14:schemeClr w14:val="tx1"/>
            </w14:solidFill>
          </w14:textFill>
        </w:rPr>
        <w:t>、担保公司履约担保书格式</w:t>
      </w:r>
    </w:p>
    <w:p>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应从合同签订之日起（或签订合同前）至合同期限届满并全部货物经最终验收合格</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受益人向申请人支付全部款项（除质保金）后二十八（28）日内保持有效。</w:t>
      </w:r>
    </w:p>
    <w:p>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color w:val="000000" w:themeColor="text1"/>
          <w:kern w:val="0"/>
          <w:sz w:val="32"/>
          <w:szCs w:val="32"/>
          <w:highlight w:val="none"/>
          <w14:textFill>
            <w14:solidFill>
              <w14:schemeClr w14:val="tx1"/>
            </w14:solidFill>
          </w14:textFill>
        </w:rPr>
      </w:pPr>
      <w:bookmarkStart w:id="356" w:name="_Toc486167708"/>
      <w:bookmarkStart w:id="357" w:name="_Toc17491"/>
      <w:bookmarkStart w:id="358" w:name="_Toc12794"/>
      <w:bookmarkStart w:id="359" w:name="_Toc450662895"/>
      <w:bookmarkStart w:id="360" w:name="_Toc142508361"/>
      <w:bookmarkStart w:id="361" w:name="_Toc3276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356"/>
      <w:bookmarkEnd w:id="357"/>
      <w:bookmarkEnd w:id="358"/>
      <w:bookmarkEnd w:id="359"/>
      <w:bookmarkEnd w:id="360"/>
      <w:bookmarkEnd w:id="361"/>
      <w:bookmarkStart w:id="362" w:name="_Toc104991868"/>
      <w:bookmarkStart w:id="363" w:name="_Toc140596921"/>
      <w:bookmarkStart w:id="364" w:name="_Toc102860411"/>
      <w:bookmarkStart w:id="365" w:name="_Toc21133_WPSOffice_Level2"/>
      <w:bookmarkStart w:id="366" w:name="_Toc142508362"/>
      <w:bookmarkStart w:id="367" w:name="_Toc102860067"/>
      <w:bookmarkStart w:id="368" w:name="_Toc533708121"/>
      <w:bookmarkStart w:id="369" w:name="_Toc1977721"/>
      <w:bookmarkStart w:id="370" w:name="_Toc94107202"/>
      <w:bookmarkStart w:id="371" w:name="_Toc486167709"/>
    </w:p>
    <w:p>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2773"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786"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773"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786"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4430" w:type="dxa"/>
            <w:tcBorders>
              <w:left w:val="single" w:color="auto" w:sz="4" w:space="0"/>
            </w:tcBorders>
            <w:vAlign w:val="center"/>
          </w:tcPr>
          <w:p>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000000" w:themeColor="text1"/>
                <w:szCs w:val="21"/>
                <w:highlight w:val="none"/>
                <w14:textFill>
                  <w14:solidFill>
                    <w14:schemeClr w14:val="tx1"/>
                  </w14:solidFill>
                </w14:textFill>
              </w:rPr>
            </w:pPr>
          </w:p>
        </w:tc>
        <w:tc>
          <w:tcPr>
            <w:tcW w:w="2773" w:type="dxa"/>
            <w:vAlign w:val="center"/>
          </w:tcPr>
          <w:p>
            <w:pPr>
              <w:rPr>
                <w:rFonts w:hint="eastAsia" w:ascii="宋体" w:hAnsi="宋体" w:eastAsia="宋体" w:cs="宋体"/>
                <w:bCs/>
                <w:color w:val="000000" w:themeColor="text1"/>
                <w:szCs w:val="21"/>
                <w:highlight w:val="none"/>
                <w14:textFill>
                  <w14:solidFill>
                    <w14:schemeClr w14:val="tx1"/>
                  </w14:solidFill>
                </w14:textFill>
              </w:rPr>
            </w:pPr>
          </w:p>
        </w:tc>
        <w:tc>
          <w:tcPr>
            <w:tcW w:w="1786" w:type="dxa"/>
            <w:vAlign w:val="center"/>
          </w:tcPr>
          <w:p>
            <w:pPr>
              <w:rPr>
                <w:rFonts w:hint="eastAsia" w:ascii="宋体" w:hAnsi="宋体" w:eastAsia="宋体" w:cs="宋体"/>
                <w:bCs/>
                <w:color w:val="000000" w:themeColor="text1"/>
                <w:szCs w:val="21"/>
                <w:highlight w:val="none"/>
                <w14:textFill>
                  <w14:solidFill>
                    <w14:schemeClr w14:val="tx1"/>
                  </w14:solidFill>
                </w14:textFill>
              </w:rPr>
            </w:pPr>
          </w:p>
        </w:tc>
        <w:tc>
          <w:tcPr>
            <w:tcW w:w="4430"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773" w:type="dxa"/>
            <w:vAlign w:val="center"/>
          </w:tcPr>
          <w:p>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786"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4430" w:type="dxa"/>
            <w:tcBorders>
              <w:left w:val="single" w:color="auto" w:sz="4" w:space="0"/>
            </w:tcBorders>
            <w:vAlign w:val="center"/>
          </w:tcPr>
          <w:p>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widowControl/>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372" w:name="_Toc18706"/>
      <w:bookmarkStart w:id="373" w:name="_Toc13331"/>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362"/>
      <w:bookmarkEnd w:id="363"/>
      <w:bookmarkEnd w:id="364"/>
      <w:bookmarkEnd w:id="365"/>
      <w:bookmarkEnd w:id="366"/>
      <w:bookmarkEnd w:id="367"/>
      <w:bookmarkEnd w:id="368"/>
      <w:bookmarkEnd w:id="369"/>
      <w:bookmarkEnd w:id="370"/>
      <w:bookmarkEnd w:id="371"/>
      <w:bookmarkEnd w:id="372"/>
      <w:bookmarkEnd w:id="373"/>
    </w:p>
    <w:p>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374"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374"/>
    </w:p>
    <w:p>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w:t>
      </w:r>
    </w:p>
    <w:p>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东莞市石鼓净水有限公司石碣二期生化池曝气系统重置采购项目（重新招标）</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0832-SFCX24DG138A-1</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0832-SFCX24DG138A-1</w:t>
      </w:r>
      <w:r>
        <w:rPr>
          <w:rFonts w:hint="eastAsia" w:ascii="宋体" w:hAnsi="宋体" w:eastAsia="宋体" w:cs="宋体"/>
          <w:color w:val="000000" w:themeColor="text1"/>
          <w:szCs w:val="21"/>
          <w:highlight w:val="none"/>
          <w:lang w:val="zh-CN"/>
          <w14:textFill>
            <w14:solidFill>
              <w14:schemeClr w14:val="tx1"/>
            </w14:solidFill>
          </w14:textFill>
        </w:rPr>
        <w:t>的投标；</w:t>
      </w:r>
    </w:p>
    <w:p>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375" w:name="_Toc104991869"/>
      <w:bookmarkStart w:id="376" w:name="_Toc486167710"/>
      <w:bookmarkStart w:id="377" w:name="_Toc94107203"/>
      <w:bookmarkStart w:id="378" w:name="_Toc140596922"/>
      <w:bookmarkStart w:id="379" w:name="_Toc533708122"/>
      <w:bookmarkStart w:id="380" w:name="_Toc8696"/>
      <w:bookmarkStart w:id="381" w:name="_Toc102860412"/>
      <w:bookmarkStart w:id="382" w:name="_Toc1977722"/>
      <w:bookmarkStart w:id="383" w:name="_Toc26795"/>
      <w:bookmarkStart w:id="384" w:name="_Toc102860068"/>
      <w:bookmarkStart w:id="385" w:name="_Toc142508363"/>
      <w:bookmarkStart w:id="386" w:name="_Toc28613_WPSOffice_Level2"/>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375"/>
      <w:bookmarkEnd w:id="376"/>
      <w:bookmarkEnd w:id="377"/>
      <w:bookmarkEnd w:id="378"/>
      <w:bookmarkEnd w:id="379"/>
      <w:bookmarkEnd w:id="380"/>
      <w:bookmarkEnd w:id="381"/>
      <w:bookmarkEnd w:id="382"/>
      <w:bookmarkEnd w:id="383"/>
      <w:bookmarkEnd w:id="384"/>
      <w:bookmarkEnd w:id="385"/>
      <w:bookmarkEnd w:id="386"/>
    </w:p>
    <w:p>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东莞市石鼓净水有限公司石碣二期生化池曝气系统重置采购项目（重新招标）</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0832-SFCX24DG138A-1</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387" w:name="_Toc316896755"/>
      <w:bookmarkStart w:id="388" w:name="_Toc326768876"/>
      <w:bookmarkStart w:id="389" w:name="_Toc311032584"/>
    </w:p>
    <w:p>
      <w:pPr>
        <w:pageBreakBefore w:val="0"/>
        <w:autoSpaceDE/>
        <w:autoSpaceDN/>
        <w:adjustRightInd/>
        <w:spacing w:line="240" w:lineRule="auto"/>
        <w:jc w:val="left"/>
        <w:outlineLvl w:val="9"/>
        <w:rPr>
          <w:rFonts w:hint="eastAsia" w:ascii="宋体" w:hAnsi="宋体" w:eastAsia="宋体" w:cs="宋体"/>
          <w:b/>
          <w:color w:val="000000" w:themeColor="text1"/>
          <w:kern w:val="44"/>
          <w:sz w:val="32"/>
          <w:szCs w:val="32"/>
          <w:highlight w:val="none"/>
          <w14:textFill>
            <w14:solidFill>
              <w14:schemeClr w14:val="tx1"/>
            </w14:solidFill>
          </w14:textFill>
        </w:rPr>
      </w:pPr>
      <w:bookmarkStart w:id="390" w:name="_Toc9778"/>
      <w:bookmarkStart w:id="391" w:name="_Toc140596923"/>
      <w:bookmarkStart w:id="392" w:name="_Toc82182546"/>
      <w:bookmarkStart w:id="393" w:name="_Toc86764083"/>
      <w:bookmarkStart w:id="394" w:name="_Toc142508364"/>
      <w:bookmarkStart w:id="395" w:name="_Toc94107204"/>
      <w:bookmarkStart w:id="396" w:name="_Toc104991870"/>
      <w:bookmarkStart w:id="397" w:name="_Toc102860413"/>
      <w:bookmarkStart w:id="398" w:name="_Toc102860069"/>
      <w:bookmarkStart w:id="399" w:name="_Toc12590"/>
      <w:bookmarkStart w:id="400" w:name="_Toc7024_WPSOffice_Level2"/>
      <w:bookmarkStart w:id="401" w:name="_Toc533708123"/>
      <w:bookmarkStart w:id="402" w:name="_Toc486167711"/>
      <w:bookmarkStart w:id="403" w:name="_Toc1977723"/>
      <w:r>
        <w:rPr>
          <w:rFonts w:hint="eastAsia" w:ascii="宋体" w:hAnsi="宋体" w:eastAsia="宋体" w:cs="宋体"/>
          <w:b/>
          <w:color w:val="000000" w:themeColor="text1"/>
          <w:kern w:val="44"/>
          <w:sz w:val="32"/>
          <w:szCs w:val="32"/>
          <w:highlight w:val="none"/>
          <w14:textFill>
            <w14:solidFill>
              <w14:schemeClr w14:val="tx1"/>
            </w14:solidFill>
          </w14:textFill>
        </w:rPr>
        <w:br w:type="page"/>
      </w:r>
    </w:p>
    <w:p>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r>
        <w:rPr>
          <w:rFonts w:hint="eastAsia" w:ascii="宋体" w:hAnsi="宋体" w:eastAsia="宋体" w:cs="宋体"/>
          <w:b/>
          <w:color w:val="000000" w:themeColor="text1"/>
          <w:kern w:val="44"/>
          <w:sz w:val="32"/>
          <w:szCs w:val="32"/>
          <w:highlight w:val="none"/>
          <w:lang w:val="en-US" w:eastAsia="zh-CN"/>
          <w14:textFill>
            <w14:solidFill>
              <w14:schemeClr w14:val="tx1"/>
            </w14:solidFill>
          </w14:textFill>
        </w:rPr>
        <w:t>三</w:t>
      </w:r>
      <w:r>
        <w:rPr>
          <w:rFonts w:hint="eastAsia" w:ascii="宋体" w:hAnsi="宋体" w:eastAsia="宋体" w:cs="宋体"/>
          <w:b/>
          <w:color w:val="000000" w:themeColor="text1"/>
          <w:kern w:val="44"/>
          <w:sz w:val="32"/>
          <w:szCs w:val="32"/>
          <w:highlight w:val="none"/>
          <w14:textFill>
            <w14:solidFill>
              <w14:schemeClr w14:val="tx1"/>
            </w14:solidFill>
          </w14:textFill>
        </w:rPr>
        <w:t>、供货及/或提供服务过程承诺函格式</w:t>
      </w:r>
      <w:bookmarkEnd w:id="390"/>
      <w:bookmarkEnd w:id="391"/>
      <w:bookmarkEnd w:id="392"/>
      <w:bookmarkEnd w:id="393"/>
      <w:bookmarkEnd w:id="394"/>
      <w:bookmarkEnd w:id="395"/>
      <w:bookmarkEnd w:id="396"/>
      <w:bookmarkEnd w:id="397"/>
      <w:bookmarkEnd w:id="398"/>
      <w:bookmarkEnd w:id="399"/>
    </w:p>
    <w:p>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宋体"/>
          <w:color w:val="000000" w:themeColor="text1"/>
          <w:kern w:val="0"/>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东莞市石鼓净水有限公司石碣二期生化池曝气系统重置采购项目（重新招标）</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0832-SFCX24DG138A-1</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pPr>
        <w:autoSpaceDE w:val="0"/>
        <w:autoSpaceDN w:val="0"/>
        <w:adjustRightInd w:val="0"/>
        <w:spacing w:line="360" w:lineRule="auto"/>
        <w:ind w:right="420" w:firstLine="5040" w:firstLineChars="2400"/>
        <w:jc w:val="left"/>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pPr>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p>
    <w:p>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404" w:name="_Toc7879"/>
      <w:bookmarkStart w:id="405" w:name="_Toc1375"/>
      <w:bookmarkStart w:id="406" w:name="_Toc32400"/>
      <w:bookmarkStart w:id="407" w:name="_Toc2527"/>
      <w:r>
        <w:rPr>
          <w:rFonts w:hint="eastAsia" w:ascii="宋体" w:hAnsi="宋体" w:eastAsia="宋体" w:cs="宋体"/>
          <w:b/>
          <w:color w:val="000000" w:themeColor="text1"/>
          <w:kern w:val="0"/>
          <w:sz w:val="32"/>
          <w:szCs w:val="32"/>
          <w:highlight w:val="none"/>
          <w:lang w:val="en-US" w:eastAsia="zh-CN" w:bidi="ar-SA"/>
          <w14:textFill>
            <w14:solidFill>
              <w14:schemeClr w14:val="tx1"/>
            </w14:solidFill>
          </w14:textFill>
        </w:rPr>
        <w:t>四、</w:t>
      </w:r>
      <w:bookmarkEnd w:id="404"/>
      <w:bookmarkEnd w:id="405"/>
      <w:bookmarkEnd w:id="406"/>
      <w:bookmarkEnd w:id="407"/>
      <w:bookmarkStart w:id="408" w:name="_Toc140596925"/>
      <w:bookmarkStart w:id="409" w:name="_Toc3993"/>
      <w:bookmarkStart w:id="410" w:name="_Toc94107206"/>
      <w:bookmarkStart w:id="411" w:name="_Toc142508366"/>
      <w:bookmarkStart w:id="412" w:name="_Toc102860071"/>
      <w:bookmarkStart w:id="413" w:name="_Toc104991872"/>
      <w:bookmarkStart w:id="414" w:name="_Toc102860415"/>
      <w:bookmarkStart w:id="415" w:name="_Toc6287"/>
      <w:r>
        <w:rPr>
          <w:rFonts w:hint="eastAsia" w:ascii="宋体" w:hAnsi="宋体" w:eastAsia="宋体" w:cs="宋体"/>
          <w:b/>
          <w:color w:val="000000" w:themeColor="text1"/>
          <w:kern w:val="44"/>
          <w:sz w:val="32"/>
          <w:szCs w:val="32"/>
          <w:highlight w:val="none"/>
          <w14:textFill>
            <w14:solidFill>
              <w14:schemeClr w14:val="tx1"/>
            </w14:solidFill>
          </w14:textFill>
        </w:rPr>
        <w:t>现场转换采购方式同意书格式</w:t>
      </w:r>
    </w:p>
    <w:p>
      <w:pPr>
        <w:autoSpaceDE w:val="0"/>
        <w:autoSpaceDN w:val="0"/>
        <w:adjustRightInd w:val="0"/>
        <w:spacing w:line="360" w:lineRule="auto"/>
        <w:jc w:val="center"/>
        <w:rPr>
          <w:rFonts w:ascii="宋体" w:hAnsi="宋体" w:eastAsia="宋体" w:cs="宋体"/>
          <w:b/>
          <w:color w:val="000000" w:themeColor="text1"/>
          <w:kern w:val="44"/>
          <w:sz w:val="32"/>
          <w:szCs w:val="32"/>
          <w:highlight w:val="none"/>
          <w14:textFill>
            <w14:solidFill>
              <w14:schemeClr w14:val="tx1"/>
            </w14:solidFill>
          </w14:textFill>
        </w:rPr>
      </w:pPr>
      <w:r>
        <w:rPr>
          <w:rFonts w:hint="eastAsia" w:ascii="宋体" w:hAnsi="宋体" w:eastAsia="宋体" w:cs="宋体"/>
          <w:b/>
          <w:color w:val="000000" w:themeColor="text1"/>
          <w:kern w:val="44"/>
          <w:sz w:val="32"/>
          <w:szCs w:val="32"/>
          <w:highlight w:val="none"/>
          <w14:textFill>
            <w14:solidFill>
              <w14:schemeClr w14:val="tx1"/>
            </w14:solidFill>
          </w14:textFill>
        </w:rPr>
        <w:t>现场转换采购方式同意书</w:t>
      </w:r>
    </w:p>
    <w:p>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致东莞市石鼓净水有限公司：</w:t>
      </w:r>
    </w:p>
    <w:p>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我方</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（投标人名称）为</w:t>
      </w:r>
      <w:r>
        <w:rPr>
          <w:rFonts w:hint="eastAsia" w:ascii="宋体" w:hAnsi="宋体" w:eastAsia="宋体" w:cs="Times New Roman"/>
          <w:color w:val="000000" w:themeColor="text1"/>
          <w:kern w:val="0"/>
          <w:szCs w:val="21"/>
          <w:highlight w:val="none"/>
          <w14:textFill>
            <w14:solidFill>
              <w14:schemeClr w14:val="tx1"/>
            </w14:solidFill>
          </w14:textFill>
        </w:rPr>
        <w:t>东莞市石鼓净水有限公司石碣二期生化池曝气系统重置采购项目</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重新招标</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0832-SFCX24DG138A</w:t>
      </w:r>
      <w:r>
        <w:rPr>
          <w:rFonts w:hint="eastAsia" w:ascii="宋体" w:hAnsi="宋体" w:eastAsia="宋体" w:cs="Times New Roman"/>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的投标单位，本次招标采购过程中我方同意按下列方式继续参与采购。</w:t>
      </w:r>
    </w:p>
    <w:p>
      <w:pPr>
        <w:autoSpaceDE w:val="0"/>
        <w:autoSpaceDN w:val="0"/>
        <w:adjustRightInd w:val="0"/>
        <w:spacing w:line="360" w:lineRule="auto"/>
        <w:ind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（1）若有效投标人只有2个时，我方同意本项目现场转为竞争性谈判方式继续实施采购，接受原公开招标文件的要求即为竞争性谈判采购文件的要求，接受原公开招标投标文件即为竞争性谈判响应文件。</w:t>
      </w:r>
    </w:p>
    <w:p>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（2）若有效投标人只有1个时，我方同意本项目现场转</w:t>
      </w:r>
      <w:r>
        <w:rPr>
          <w:rFonts w:hint="eastAsia" w:ascii="宋体" w:hAnsi="宋体" w:eastAsia="宋体" w:cs="宋体"/>
          <w:color w:val="000000" w:themeColor="text1"/>
          <w:szCs w:val="24"/>
          <w:highlight w:val="none"/>
          <w14:textFill>
            <w14:solidFill>
              <w14:schemeClr w14:val="tx1"/>
            </w14:solidFill>
          </w14:textFill>
        </w:rPr>
        <w:t>为</w:t>
      </w:r>
      <w:r>
        <w:rPr>
          <w:rFonts w:hint="eastAsia" w:ascii="宋体" w:hAnsi="宋体" w:eastAsia="宋体" w:cs="宋体"/>
          <w:color w:val="000000" w:themeColor="text1"/>
          <w:szCs w:val="24"/>
          <w:highlight w:val="none"/>
          <w:lang w:val="zh-CN"/>
          <w14:textFill>
            <w14:solidFill>
              <w14:schemeClr w14:val="tx1"/>
            </w14:solidFill>
          </w14:textFill>
        </w:rPr>
        <w:t>单一来源的方式继续实施采购。接受原公开招标文件的要求即为单一来源采购文件的要求，接受原公开招标投标文件即为单一来源响应文件。</w:t>
      </w:r>
    </w:p>
    <w:p>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p>
    <w:p>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p>
    <w:p>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五、投标报价表格式</w:t>
      </w:r>
      <w:bookmarkEnd w:id="400"/>
      <w:bookmarkEnd w:id="401"/>
      <w:bookmarkEnd w:id="402"/>
      <w:bookmarkEnd w:id="403"/>
      <w:bookmarkEnd w:id="408"/>
      <w:bookmarkEnd w:id="409"/>
      <w:bookmarkEnd w:id="410"/>
      <w:bookmarkEnd w:id="411"/>
      <w:bookmarkEnd w:id="412"/>
      <w:bookmarkEnd w:id="413"/>
      <w:bookmarkEnd w:id="414"/>
      <w:bookmarkEnd w:id="415"/>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416" w:name="_Toc102860416"/>
      <w:bookmarkStart w:id="417" w:name="_Toc18589"/>
      <w:bookmarkStart w:id="418" w:name="_Toc94107207"/>
      <w:bookmarkStart w:id="419" w:name="_Toc104991873"/>
      <w:bookmarkStart w:id="420" w:name="_Toc1105"/>
      <w:bookmarkStart w:id="421" w:name="_Toc140596926"/>
      <w:bookmarkStart w:id="422" w:name="_Toc102860072"/>
      <w:bookmarkStart w:id="423" w:name="_Toc142508367"/>
      <w:bookmarkStart w:id="424" w:name="_Toc2395_WPSOffice_Level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ascii="宋体" w:hAnsi="宋体" w:eastAsia="宋体" w:cs="宋体"/>
          <w:b/>
          <w:color w:val="000000" w:themeColor="text1"/>
          <w:kern w:val="0"/>
          <w:sz w:val="30"/>
          <w:szCs w:val="30"/>
          <w:highlight w:val="none"/>
          <w14:textFill>
            <w14:solidFill>
              <w14:schemeClr w14:val="tx1"/>
            </w14:solidFill>
          </w14:textFill>
        </w:rPr>
        <w:t xml:space="preserve">.1 </w:t>
      </w:r>
      <w:r>
        <w:rPr>
          <w:rFonts w:hint="eastAsia" w:ascii="宋体" w:hAnsi="宋体" w:eastAsia="宋体" w:cs="宋体"/>
          <w:b/>
          <w:color w:val="000000" w:themeColor="text1"/>
          <w:kern w:val="0"/>
          <w:sz w:val="30"/>
          <w:szCs w:val="30"/>
          <w:highlight w:val="none"/>
          <w14:textFill>
            <w14:solidFill>
              <w14:schemeClr w14:val="tx1"/>
            </w14:solidFill>
          </w14:textFill>
        </w:rPr>
        <w:t>投标报价表</w:t>
      </w:r>
      <w:bookmarkEnd w:id="416"/>
      <w:bookmarkEnd w:id="417"/>
      <w:bookmarkEnd w:id="418"/>
      <w:bookmarkEnd w:id="419"/>
      <w:bookmarkEnd w:id="420"/>
      <w:bookmarkEnd w:id="421"/>
      <w:bookmarkEnd w:id="422"/>
      <w:bookmarkEnd w:id="423"/>
      <w:bookmarkEnd w:id="424"/>
    </w:p>
    <w:p>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东莞市石鼓净水有限公司石碣二期生化池曝气系统重置采购项目（重新招标）</w:t>
      </w:r>
    </w:p>
    <w:p>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0832-SFCX24DG138A-1</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5"/>
        <w:gridCol w:w="3697"/>
        <w:gridCol w:w="4306"/>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369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43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投标报价（不含销项税，元）</w:t>
            </w:r>
          </w:p>
        </w:tc>
        <w:tc>
          <w:tcPr>
            <w:tcW w:w="133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5" w:type="dxa"/>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3697" w:type="dxa"/>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东莞市石鼓净水有限公司石碣二期生化池曝气系统重置采购项目（重新招标）</w:t>
            </w:r>
          </w:p>
        </w:tc>
        <w:tc>
          <w:tcPr>
            <w:tcW w:w="4306" w:type="dxa"/>
            <w:tcBorders>
              <w:top w:val="single" w:color="auto" w:sz="4" w:space="0"/>
              <w:left w:val="single" w:color="auto" w:sz="4" w:space="0"/>
              <w:right w:val="single" w:color="auto" w:sz="4" w:space="0"/>
            </w:tcBorders>
            <w:vAlign w:val="center"/>
          </w:tcPr>
          <w:p>
            <w:pPr>
              <w:tabs>
                <w:tab w:val="left" w:pos="8610"/>
              </w:tabs>
              <w:spacing w:line="360" w:lineRule="auto"/>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小写（人民币）：</w:t>
            </w:r>
          </w:p>
        </w:tc>
        <w:tc>
          <w:tcPr>
            <w:tcW w:w="1332" w:type="dxa"/>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pPr>
        <w:rPr>
          <w:rFonts w:ascii="宋体" w:hAnsi="宋体" w:eastAsia="宋体" w:cs="宋体"/>
          <w:color w:val="000000" w:themeColor="text1"/>
          <w:kern w:val="0"/>
          <w:sz w:val="20"/>
          <w:szCs w:val="21"/>
          <w:highlight w:val="none"/>
          <w14:textFill>
            <w14:solidFill>
              <w14:schemeClr w14:val="tx1"/>
            </w14:solidFill>
          </w14:textFill>
        </w:rPr>
      </w:pPr>
    </w:p>
    <w:p>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）投标人的投标报价高于不含税最高投标限价的，该投标人的投标文件将被视为无效投标。</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）本投标报价表报价与分项报价明细表报价不一致的，以本投标报价表为准。对不同文字文本投标文件的解释发生异议的，以中文文本为准。</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ascii="宋体" w:hAnsi="宋体" w:eastAsia="宋体" w:cs="Times New Roman"/>
          <w:bCs/>
          <w:color w:val="000000" w:themeColor="text1"/>
          <w:kern w:val="0"/>
          <w:szCs w:val="21"/>
          <w:highlight w:val="none"/>
          <w:lang w:val="zh-CN"/>
          <w14:textFill>
            <w14:solidFill>
              <w14:schemeClr w14:val="tx1"/>
            </w14:solidFill>
          </w14:textFill>
        </w:rPr>
        <w:t>5</w:t>
      </w: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u w:val="single"/>
          <w:lang w:val="zh-CN"/>
          <w14:textFill>
            <w14:solidFill>
              <w14:schemeClr w14:val="tx1"/>
            </w14:solidFill>
          </w14:textFill>
        </w:rPr>
        <w:t>报价需保留小数点后两位，否则评标委员会按去“尾”或补“零”的方式进行修正为保留小数点后两位，投标人须接受被修正后的报价</w:t>
      </w:r>
      <w:r>
        <w:rPr>
          <w:rFonts w:hint="eastAsia" w:ascii="宋体" w:hAnsi="宋体" w:eastAsia="宋体" w:cs="宋体"/>
          <w:b w:val="0"/>
          <w:bCs/>
          <w:color w:val="000000" w:themeColor="text1"/>
          <w:szCs w:val="21"/>
          <w:highlight w:val="none"/>
          <w:u w:val="single"/>
          <w:lang w:val="zh-CN"/>
          <w14:textFill>
            <w14:solidFill>
              <w14:schemeClr w14:val="tx1"/>
            </w14:solidFill>
          </w14:textFill>
        </w:rPr>
        <w:t>（例：如投标报价为0.789，则被修正为0.78；如投标报价为0.7，则被修正为0.70）</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pPr>
        <w:autoSpaceDE w:val="0"/>
        <w:autoSpaceDN w:val="0"/>
        <w:adjustRightInd w:val="0"/>
        <w:spacing w:line="360" w:lineRule="auto"/>
        <w:ind w:firstLine="4960" w:firstLineChars="2362"/>
        <w:rPr>
          <w:rFonts w:hint="eastAsia" w:ascii="宋体" w:hAnsi="宋体" w:eastAsia="宋体" w:cs="宋体"/>
          <w:color w:val="000000" w:themeColor="text1"/>
          <w:szCs w:val="21"/>
          <w:highlight w:val="none"/>
          <w:lang w:val="zh-CN"/>
          <w14:textFill>
            <w14:solidFill>
              <w14:schemeClr w14:val="tx1"/>
            </w14:solidFill>
          </w14:textFill>
        </w:rPr>
      </w:pPr>
    </w:p>
    <w:p>
      <w:pPr>
        <w:autoSpaceDE w:val="0"/>
        <w:autoSpaceDN w:val="0"/>
        <w:adjustRightInd w:val="0"/>
        <w:spacing w:line="360" w:lineRule="auto"/>
        <w:ind w:firstLine="4960" w:firstLineChars="2362"/>
        <w:rPr>
          <w:rFonts w:hint="eastAsia" w:ascii="宋体" w:hAnsi="宋体" w:eastAsia="宋体" w:cs="宋体"/>
          <w:color w:val="000000" w:themeColor="text1"/>
          <w:szCs w:val="21"/>
          <w:highlight w:val="none"/>
          <w:lang w:val="zh-CN"/>
          <w14:textFill>
            <w14:solidFill>
              <w14:schemeClr w14:val="tx1"/>
            </w14:solidFill>
          </w14:textFill>
        </w:rPr>
      </w:pPr>
    </w:p>
    <w:p>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000000" w:themeColor="text1"/>
          <w:sz w:val="30"/>
          <w:szCs w:val="30"/>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425" w:name="_Toc27734"/>
      <w:bookmarkStart w:id="426" w:name="_Toc142508368"/>
      <w:bookmarkStart w:id="427" w:name="_Toc104991874"/>
      <w:bookmarkStart w:id="428" w:name="_Toc102860073"/>
      <w:bookmarkStart w:id="429" w:name="_Toc30859"/>
      <w:bookmarkStart w:id="430" w:name="_Toc102860417"/>
      <w:bookmarkStart w:id="431" w:name="_Toc140596927"/>
      <w:bookmarkStart w:id="432" w:name="_Toc94107208"/>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ascii="宋体" w:hAnsi="宋体" w:eastAsia="宋体" w:cs="宋体"/>
          <w:b/>
          <w:color w:val="000000" w:themeColor="text1"/>
          <w:kern w:val="0"/>
          <w:sz w:val="30"/>
          <w:szCs w:val="30"/>
          <w:highlight w:val="none"/>
          <w14:textFill>
            <w14:solidFill>
              <w14:schemeClr w14:val="tx1"/>
            </w14:solidFill>
          </w14:textFill>
        </w:rPr>
        <w:t xml:space="preserve">.2 </w:t>
      </w:r>
      <w:r>
        <w:rPr>
          <w:rFonts w:hint="eastAsia" w:ascii="宋体" w:hAnsi="宋体" w:eastAsia="宋体" w:cs="宋体"/>
          <w:b/>
          <w:color w:val="000000" w:themeColor="text1"/>
          <w:kern w:val="0"/>
          <w:sz w:val="30"/>
          <w:szCs w:val="30"/>
          <w:highlight w:val="none"/>
          <w14:textFill>
            <w14:solidFill>
              <w14:schemeClr w14:val="tx1"/>
            </w14:solidFill>
          </w14:textFill>
        </w:rPr>
        <w:t>分项</w:t>
      </w:r>
      <w:r>
        <w:rPr>
          <w:rFonts w:ascii="宋体" w:hAnsi="宋体" w:eastAsia="宋体" w:cs="宋体"/>
          <w:b/>
          <w:color w:val="000000" w:themeColor="text1"/>
          <w:kern w:val="0"/>
          <w:sz w:val="30"/>
          <w:szCs w:val="30"/>
          <w:highlight w:val="none"/>
          <w14:textFill>
            <w14:solidFill>
              <w14:schemeClr w14:val="tx1"/>
            </w14:solidFill>
          </w14:textFill>
        </w:rPr>
        <w:t>报价表</w:t>
      </w:r>
      <w:bookmarkEnd w:id="425"/>
      <w:bookmarkEnd w:id="426"/>
      <w:bookmarkEnd w:id="427"/>
      <w:bookmarkEnd w:id="428"/>
      <w:bookmarkEnd w:id="429"/>
      <w:bookmarkEnd w:id="430"/>
      <w:bookmarkEnd w:id="431"/>
      <w:bookmarkEnd w:id="432"/>
    </w:p>
    <w:p>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分项</w:t>
      </w:r>
      <w:r>
        <w:rPr>
          <w:rFonts w:ascii="宋体" w:hAnsi="宋体" w:eastAsia="宋体" w:cs="宋体"/>
          <w:b/>
          <w:bCs/>
          <w:color w:val="000000" w:themeColor="text1"/>
          <w:sz w:val="30"/>
          <w:szCs w:val="30"/>
          <w:highlight w:val="none"/>
          <w:lang w:val="zh-CN"/>
          <w14:textFill>
            <w14:solidFill>
              <w14:schemeClr w14:val="tx1"/>
            </w14:solidFill>
          </w14:textFill>
        </w:rPr>
        <w:t>报价表</w:t>
      </w:r>
    </w:p>
    <w:p>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东莞市石鼓净水有限公司石碣二期生化池曝气系统重置采购项目（重新招标）</w:t>
      </w:r>
    </w:p>
    <w:p>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0832-SFCX24DG138A-1</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211"/>
        <w:gridCol w:w="911"/>
        <w:gridCol w:w="161"/>
        <w:gridCol w:w="1072"/>
        <w:gridCol w:w="47"/>
        <w:gridCol w:w="1025"/>
        <w:gridCol w:w="254"/>
        <w:gridCol w:w="818"/>
        <w:gridCol w:w="461"/>
        <w:gridCol w:w="612"/>
        <w:gridCol w:w="667"/>
        <w:gridCol w:w="405"/>
        <w:gridCol w:w="874"/>
        <w:gridCol w:w="198"/>
        <w:gridCol w:w="1078"/>
        <w:gridCol w:w="1"/>
        <w:gridCol w:w="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510" w:hRule="atLeast"/>
          <w:jc w:val="center"/>
        </w:trPr>
        <w:tc>
          <w:tcPr>
            <w:tcW w:w="10368" w:type="dxa"/>
            <w:gridSpan w:val="17"/>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878"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货物名称</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品牌</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产地</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规格、型号</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单位</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不含税综合单价</w:t>
            </w:r>
          </w:p>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（元）</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不含税小计（元）</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50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EPDM管式微孔曝气器</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422"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EPDM管式微孔曝气器（备品）</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3" w:type="dxa"/>
          <w:trHeight w:val="414"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2"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719" w:hRule="atLeast"/>
          <w:jc w:val="center"/>
        </w:trPr>
        <w:tc>
          <w:tcPr>
            <w:tcW w:w="8217" w:type="dxa"/>
            <w:gridSpan w:val="1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合计（不含税，元）</w:t>
            </w:r>
          </w:p>
        </w:tc>
        <w:tc>
          <w:tcPr>
            <w:tcW w:w="2151" w:type="dxa"/>
            <w:gridSpan w:val="4"/>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546" w:hRule="atLeast"/>
          <w:jc w:val="center"/>
        </w:trPr>
        <w:tc>
          <w:tcPr>
            <w:tcW w:w="10368" w:type="dxa"/>
            <w:gridSpan w:val="17"/>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服务费用明细表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679"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内容和标准</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单位</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数量</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不含税综合</w:t>
            </w:r>
          </w:p>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单价（元）</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不含税</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小计</w:t>
            </w:r>
            <w:r>
              <w:rPr>
                <w:rFonts w:hint="eastAsia" w:ascii="宋体" w:hAnsi="宋体" w:eastAsia="宋体" w:cs="宋体"/>
                <w:b/>
                <w:color w:val="000000" w:themeColor="text1"/>
                <w:sz w:val="21"/>
                <w:szCs w:val="21"/>
                <w:highlight w:val="none"/>
                <w14:textFill>
                  <w14:solidFill>
                    <w14:schemeClr w14:val="tx1"/>
                  </w14:solidFill>
                </w14:textFill>
              </w:rPr>
              <w:t>（元）</w:t>
            </w:r>
          </w:p>
        </w:tc>
        <w:tc>
          <w:tcPr>
            <w:tcW w:w="1277" w:type="dxa"/>
            <w:gridSpan w:val="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MSBR池清淤</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7" w:type="dxa"/>
            <w:gridSpan w:val="3"/>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维护生产措施费</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7" w:type="dxa"/>
            <w:gridSpan w:val="3"/>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现状曝气系统拆除</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7" w:type="dxa"/>
            <w:gridSpan w:val="3"/>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 w:type="dxa"/>
          <w:trHeight w:val="42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1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280" w:type="dxa"/>
            <w:gridSpan w:val="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2"/>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7" w:type="dxa"/>
            <w:gridSpan w:val="3"/>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98" w:hRule="atLeast"/>
          <w:jc w:val="center"/>
        </w:trPr>
        <w:tc>
          <w:tcPr>
            <w:tcW w:w="7812" w:type="dxa"/>
            <w:gridSpan w:val="1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合计（不含税，元）</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8" w:type="dxa"/>
            <w:gridSpan w:val="4"/>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812" w:type="dxa"/>
            <w:gridSpan w:val="1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不含税报价总计（货物报价合计+服务费用合计）</w:t>
            </w:r>
          </w:p>
          <w:p>
            <w:pPr>
              <w:pStyle w:val="2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小写（人民币）：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元</w:t>
            </w: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79" w:type="dxa"/>
            <w:gridSpan w:val="5"/>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bl>
    <w:p>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（1）此表为投标报价表的分项报价表，投标人应根据项目招标范围内分项实际内容的数量填写和扩展本报价表。</w:t>
      </w:r>
    </w:p>
    <w:p>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pPr>
        <w:autoSpaceDE w:val="0"/>
        <w:autoSpaceDN w:val="0"/>
        <w:adjustRightInd w:val="0"/>
        <w:spacing w:line="360" w:lineRule="auto"/>
        <w:ind w:left="462" w:leftChars="18"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（3）报价保留小数点后两位。</w:t>
      </w:r>
    </w:p>
    <w:p>
      <w:pPr>
        <w:autoSpaceDE w:val="0"/>
        <w:autoSpaceDN w:val="0"/>
        <w:adjustRightInd w:val="0"/>
        <w:spacing w:line="360" w:lineRule="auto"/>
        <w:ind w:firstLine="315" w:firstLineChars="150"/>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投标人：（加盖投标人法人公章）</w:t>
      </w:r>
    </w:p>
    <w:p>
      <w:pPr>
        <w:autoSpaceDE w:val="0"/>
        <w:autoSpaceDN w:val="0"/>
        <w:adjustRightInd w:val="0"/>
        <w:spacing w:line="360" w:lineRule="auto"/>
        <w:ind w:right="275" w:rightChars="131"/>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pPr>
        <w:autoSpaceDE w:val="0"/>
        <w:autoSpaceDN w:val="0"/>
        <w:adjustRightInd w:val="0"/>
        <w:spacing w:line="360" w:lineRule="auto"/>
        <w:ind w:firstLine="5668" w:firstLineChars="2362"/>
        <w:rPr>
          <w:rFonts w:ascii="宋体" w:hAnsi="宋体" w:eastAsia="宋体" w:cs="Times New Roman"/>
          <w:color w:val="000000" w:themeColor="text1"/>
          <w:sz w:val="24"/>
          <w:szCs w:val="24"/>
          <w:highlight w:val="none"/>
          <w:lang w:val="zh-CN"/>
          <w14:textFill>
            <w14:solidFill>
              <w14:schemeClr w14:val="tx1"/>
            </w14:solidFill>
          </w14:textFill>
        </w:rPr>
      </w:pPr>
    </w:p>
    <w:p>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br w:type="page"/>
      </w:r>
      <w:bookmarkStart w:id="433" w:name="_Toc18828"/>
      <w:bookmarkStart w:id="434" w:name="_Toc102860418"/>
      <w:bookmarkStart w:id="435" w:name="_Toc142508369"/>
      <w:bookmarkStart w:id="436" w:name="_Toc140596928"/>
      <w:bookmarkStart w:id="437" w:name="_Toc24015"/>
      <w:bookmarkStart w:id="438" w:name="_Toc94107209"/>
      <w:bookmarkStart w:id="439" w:name="_Toc104991875"/>
      <w:bookmarkStart w:id="440" w:name="_Toc102860074"/>
      <w:bookmarkStart w:id="441" w:name="_Toc1977725"/>
      <w:bookmarkStart w:id="442" w:name="_Toc20759_WPSOffice_Level2"/>
      <w:bookmarkStart w:id="443" w:name="_Toc486167712"/>
      <w:bookmarkStart w:id="444" w:name="_Toc533708124"/>
      <w:r>
        <w:rPr>
          <w:rFonts w:hint="eastAsia" w:ascii="宋体" w:hAnsi="宋体" w:eastAsia="宋体" w:cs="宋体"/>
          <w:b/>
          <w:bCs/>
          <w:color w:val="000000" w:themeColor="text1"/>
          <w:sz w:val="30"/>
          <w:szCs w:val="30"/>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433"/>
      <w:bookmarkEnd w:id="434"/>
      <w:bookmarkEnd w:id="435"/>
      <w:bookmarkEnd w:id="436"/>
      <w:bookmarkEnd w:id="437"/>
      <w:bookmarkEnd w:id="438"/>
      <w:bookmarkEnd w:id="439"/>
      <w:bookmarkEnd w:id="440"/>
      <w:bookmarkEnd w:id="441"/>
    </w:p>
    <w:p>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445" w:name="_Toc102860419"/>
      <w:bookmarkStart w:id="446" w:name="_Toc104991876"/>
      <w:bookmarkStart w:id="447" w:name="_Toc102860075"/>
      <w:bookmarkStart w:id="448" w:name="_Toc94107210"/>
      <w:bookmarkStart w:id="449" w:name="_Toc31420"/>
      <w:bookmarkStart w:id="450" w:name="_Toc142508370"/>
      <w:bookmarkStart w:id="451" w:name="_Toc140596929"/>
      <w:bookmarkStart w:id="452" w:name="_Toc28382"/>
      <w:bookmarkStart w:id="453"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445"/>
      <w:bookmarkEnd w:id="446"/>
      <w:bookmarkEnd w:id="447"/>
      <w:bookmarkEnd w:id="448"/>
      <w:bookmarkEnd w:id="449"/>
      <w:bookmarkEnd w:id="450"/>
      <w:bookmarkEnd w:id="451"/>
      <w:bookmarkEnd w:id="452"/>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454" w:name="_Toc102860076"/>
      <w:bookmarkStart w:id="455" w:name="_Toc140596930"/>
      <w:bookmarkStart w:id="456" w:name="_Toc26345"/>
      <w:bookmarkStart w:id="457" w:name="_Toc104991877"/>
      <w:bookmarkStart w:id="458" w:name="_Toc142508371"/>
      <w:bookmarkStart w:id="459" w:name="_Toc102860420"/>
      <w:bookmarkStart w:id="460" w:name="_Toc9489"/>
      <w:bookmarkStart w:id="461" w:name="_Toc94107211"/>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54"/>
      <w:bookmarkEnd w:id="455"/>
      <w:bookmarkEnd w:id="456"/>
      <w:bookmarkEnd w:id="457"/>
      <w:bookmarkEnd w:id="458"/>
      <w:bookmarkEnd w:id="459"/>
      <w:bookmarkEnd w:id="460"/>
      <w:bookmarkEnd w:id="461"/>
    </w:p>
    <w:p>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462" w:name="_Toc140596931"/>
      <w:bookmarkStart w:id="463" w:name="_Toc21657"/>
      <w:bookmarkStart w:id="464" w:name="_Toc102860421"/>
      <w:bookmarkStart w:id="465" w:name="_Toc644"/>
      <w:bookmarkStart w:id="466" w:name="_Toc102860077"/>
      <w:bookmarkStart w:id="467" w:name="_Toc104991878"/>
      <w:bookmarkStart w:id="468" w:name="_Toc94107212"/>
      <w:bookmarkStart w:id="469" w:name="_Toc142508372"/>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462"/>
      <w:bookmarkEnd w:id="463"/>
      <w:bookmarkEnd w:id="464"/>
      <w:bookmarkEnd w:id="465"/>
      <w:bookmarkEnd w:id="466"/>
      <w:bookmarkEnd w:id="467"/>
      <w:bookmarkEnd w:id="468"/>
      <w:bookmarkEnd w:id="469"/>
    </w:p>
    <w:p>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442"/>
      <w:bookmarkEnd w:id="443"/>
      <w:bookmarkEnd w:id="444"/>
      <w:bookmarkEnd w:id="453"/>
    </w:p>
    <w:p>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470"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471" w:name="_Toc36971359"/>
      <w:bookmarkStart w:id="472" w:name="_Toc45995270"/>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470"/>
    </w:p>
    <w:bookmarkEnd w:id="471"/>
    <w:bookmarkEnd w:id="472"/>
    <w:p>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387"/>
      <w:bookmarkEnd w:id="388"/>
      <w:bookmarkEnd w:id="389"/>
      <w:bookmarkStart w:id="473" w:name="_Toc6240_WPSOffice_Level2"/>
      <w:bookmarkStart w:id="474" w:name="_Toc533708125"/>
      <w:bookmarkStart w:id="475" w:name="_Toc486167713"/>
      <w:bookmarkStart w:id="476" w:name="_Toc1977727"/>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473"/>
      <w:bookmarkEnd w:id="474"/>
      <w:bookmarkEnd w:id="475"/>
      <w:bookmarkEnd w:id="476"/>
    </w:p>
    <w:p>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477"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477"/>
    </w:p>
    <w:p>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致：东莞市石鼓净水有限公司</w:t>
      </w:r>
    </w:p>
    <w:p>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东莞市石鼓净水有限公司石碣二期生化池曝气系统重置采购项目（重新招标）</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0832-SFCX24DG138A-1</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6" w:type="first"/>
          <w:footerReference r:id="rId5" w:type="default"/>
          <w:pgSz w:w="11906" w:h="16838"/>
          <w:pgMar w:top="1191" w:right="1043" w:bottom="1191" w:left="1043" w:header="720" w:footer="720" w:gutter="0"/>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kern w:val="0"/>
          <w:sz w:val="30"/>
          <w:szCs w:val="30"/>
          <w:highlight w:val="none"/>
          <w:lang w:val="zh-CN" w:eastAsia="zh-CN"/>
          <w14:textFill>
            <w14:solidFill>
              <w14:schemeClr w14:val="tx1"/>
            </w14:solidFill>
          </w14:textFill>
        </w:rPr>
      </w:pPr>
      <w:bookmarkStart w:id="478" w:name="_Toc12691"/>
      <w:bookmarkStart w:id="479" w:name="_Toc11459"/>
      <w:bookmarkStart w:id="480" w:name="_Toc5883"/>
      <w:bookmarkStart w:id="481" w:name="_Toc12805"/>
      <w:bookmarkStart w:id="482" w:name="_Toc30070"/>
      <w:bookmarkStart w:id="483" w:name="_Toc8338"/>
      <w:bookmarkStart w:id="484" w:name="_Toc140596933"/>
      <w:bookmarkStart w:id="485" w:name="_Toc104991880"/>
      <w:bookmarkStart w:id="486" w:name="_Toc1977730"/>
      <w:bookmarkStart w:id="487" w:name="_Toc94107214"/>
      <w:bookmarkStart w:id="488" w:name="_Toc14250837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6.4 </w:t>
      </w:r>
      <w:r>
        <w:rPr>
          <w:rFonts w:hint="eastAsia" w:ascii="宋体" w:hAnsi="宋体" w:eastAsia="宋体" w:cs="宋体"/>
          <w:b/>
          <w:color w:val="000000" w:themeColor="text1"/>
          <w:kern w:val="0"/>
          <w:sz w:val="30"/>
          <w:szCs w:val="30"/>
          <w:highlight w:val="none"/>
          <w:lang w:val="zh-CN" w:eastAsia="zh-CN"/>
          <w14:textFill>
            <w14:solidFill>
              <w14:schemeClr w14:val="tx1"/>
            </w14:solidFill>
          </w14:textFill>
        </w:rPr>
        <w:t>制造商资格声明和制造商售后服务承诺函及独家授权书</w:t>
      </w:r>
      <w:bookmarkEnd w:id="478"/>
      <w:bookmarkEnd w:id="479"/>
      <w:bookmarkEnd w:id="480"/>
      <w:bookmarkEnd w:id="481"/>
    </w:p>
    <w:p>
      <w:pPr>
        <w:snapToGrid w:val="0"/>
        <w:spacing w:line="360" w:lineRule="auto"/>
        <w:rPr>
          <w:rFonts w:hint="eastAsia" w:ascii="宋体" w:hAnsi="宋体" w:eastAsia="宋体" w:cs="宋体"/>
          <w:b/>
          <w:color w:val="000000" w:themeColor="text1"/>
          <w:sz w:val="21"/>
          <w:highlight w:val="none"/>
          <w14:textFill>
            <w14:solidFill>
              <w14:schemeClr w14:val="tx1"/>
            </w14:solidFill>
          </w14:textFill>
        </w:rPr>
      </w:pPr>
      <w:r>
        <w:rPr>
          <w:rFonts w:hint="eastAsia" w:ascii="宋体" w:hAnsi="宋体" w:eastAsia="宋体" w:cs="宋体"/>
          <w:b/>
          <w:color w:val="000000" w:themeColor="text1"/>
          <w:sz w:val="21"/>
          <w:highlight w:val="none"/>
          <w14:textFill>
            <w14:solidFill>
              <w14:schemeClr w14:val="tx1"/>
            </w14:solidFill>
          </w14:textFill>
        </w:rPr>
        <w:t>（1）制造商资格声明</w:t>
      </w:r>
    </w:p>
    <w:p>
      <w:pPr>
        <w:spacing w:line="360" w:lineRule="auto"/>
        <w:ind w:firstLine="517" w:firstLineChars="24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[投标人根据实际情况选用，本格式适用于：（1）</w:t>
      </w:r>
      <w:r>
        <w:rPr>
          <w:rFonts w:hint="eastAsia" w:ascii="宋体" w:hAnsi="宋体" w:eastAsia="宋体" w:cs="宋体"/>
          <w:b/>
          <w:color w:val="000000" w:themeColor="text1"/>
          <w:kern w:val="2"/>
          <w:sz w:val="21"/>
          <w:szCs w:val="21"/>
          <w:highlight w:val="none"/>
          <w:u w:val="single"/>
          <w14:textFill>
            <w14:solidFill>
              <w14:schemeClr w14:val="tx1"/>
            </w14:solidFill>
          </w14:textFill>
        </w:rPr>
        <w:t>投标人为在</w:t>
      </w:r>
      <w:r>
        <w:rPr>
          <w:rFonts w:hint="eastAsia" w:ascii="宋体" w:hAnsi="宋体" w:eastAsia="宋体" w:cs="宋体"/>
          <w:b/>
          <w:bCs w:val="0"/>
          <w:color w:val="000000" w:themeColor="text1"/>
          <w:kern w:val="2"/>
          <w:sz w:val="21"/>
          <w:szCs w:val="21"/>
          <w:highlight w:val="none"/>
          <w:u w:val="single"/>
          <w14:textFill>
            <w14:solidFill>
              <w14:schemeClr w14:val="tx1"/>
            </w14:solidFill>
          </w14:textFill>
        </w:rPr>
        <w:t>境内依</w:t>
      </w:r>
      <w:r>
        <w:rPr>
          <w:rFonts w:hint="eastAsia" w:ascii="宋体" w:hAnsi="宋体" w:eastAsia="宋体" w:cs="宋体"/>
          <w:b/>
          <w:color w:val="000000" w:themeColor="text1"/>
          <w:kern w:val="2"/>
          <w:sz w:val="21"/>
          <w:szCs w:val="21"/>
          <w:highlight w:val="none"/>
          <w:u w:val="single"/>
          <w14:textFill>
            <w14:solidFill>
              <w14:schemeClr w14:val="tx1"/>
            </w14:solidFill>
          </w14:textFill>
        </w:rPr>
        <w:t>法登记注册、能独立承担民事责任能力，具有生产制造本次投标</w:t>
      </w:r>
      <w:r>
        <w:rPr>
          <w:rFonts w:hint="eastAsia" w:ascii="宋体" w:hAnsi="宋体" w:eastAsia="宋体" w:cs="宋体"/>
          <w:b/>
          <w:color w:val="000000" w:themeColor="text1"/>
          <w:kern w:val="2"/>
          <w:sz w:val="21"/>
          <w:szCs w:val="21"/>
          <w:highlight w:val="none"/>
          <w:u w:val="single"/>
          <w:lang w:eastAsia="zh-CN"/>
          <w14:textFill>
            <w14:solidFill>
              <w14:schemeClr w14:val="tx1"/>
            </w14:solidFill>
          </w14:textFill>
        </w:rPr>
        <w:t>管式微孔曝气器</w:t>
      </w:r>
      <w:r>
        <w:rPr>
          <w:rFonts w:hint="eastAsia" w:ascii="宋体" w:hAnsi="宋体" w:eastAsia="宋体" w:cs="宋体"/>
          <w:b/>
          <w:color w:val="000000" w:themeColor="text1"/>
          <w:kern w:val="2"/>
          <w:sz w:val="21"/>
          <w:szCs w:val="21"/>
          <w:highlight w:val="none"/>
          <w:u w:val="single"/>
          <w14:textFill>
            <w14:solidFill>
              <w14:schemeClr w14:val="tx1"/>
            </w14:solidFill>
          </w14:textFill>
        </w:rPr>
        <w:t>能力的制造商时提供</w:t>
      </w:r>
      <w:r>
        <w:rPr>
          <w:rFonts w:hint="eastAsia" w:ascii="宋体" w:hAnsi="宋体" w:eastAsia="宋体" w:cs="宋体"/>
          <w:b/>
          <w:color w:val="000000" w:themeColor="text1"/>
          <w:kern w:val="2"/>
          <w:sz w:val="21"/>
          <w:szCs w:val="21"/>
          <w:highlight w:val="none"/>
          <w14:textFill>
            <w14:solidFill>
              <w14:schemeClr w14:val="tx1"/>
            </w14:solidFill>
          </w14:textFill>
        </w:rPr>
        <w:t>；（2）</w:t>
      </w:r>
      <w:r>
        <w:rPr>
          <w:rFonts w:hint="eastAsia" w:ascii="宋体" w:hAnsi="宋体" w:eastAsia="宋体" w:cs="宋体"/>
          <w:b/>
          <w:color w:val="000000" w:themeColor="text1"/>
          <w:kern w:val="2"/>
          <w:sz w:val="21"/>
          <w:szCs w:val="21"/>
          <w:highlight w:val="none"/>
          <w:u w:val="single"/>
          <w14:textFill>
            <w14:solidFill>
              <w14:schemeClr w14:val="tx1"/>
            </w14:solidFill>
          </w14:textFill>
        </w:rPr>
        <w:t>投标人为投标</w:t>
      </w:r>
      <w:r>
        <w:rPr>
          <w:rFonts w:hint="eastAsia" w:ascii="宋体" w:hAnsi="宋体" w:eastAsia="宋体" w:cs="宋体"/>
          <w:b/>
          <w:color w:val="000000" w:themeColor="text1"/>
          <w:kern w:val="2"/>
          <w:sz w:val="21"/>
          <w:szCs w:val="21"/>
          <w:highlight w:val="none"/>
          <w:u w:val="single"/>
          <w:lang w:eastAsia="zh-CN"/>
          <w14:textFill>
            <w14:solidFill>
              <w14:schemeClr w14:val="tx1"/>
            </w14:solidFill>
          </w14:textFill>
        </w:rPr>
        <w:t>管式微孔曝气器</w:t>
      </w:r>
      <w:r>
        <w:rPr>
          <w:rFonts w:hint="eastAsia" w:ascii="宋体" w:hAnsi="宋体" w:eastAsia="宋体" w:cs="宋体"/>
          <w:b/>
          <w:color w:val="000000" w:themeColor="text1"/>
          <w:kern w:val="2"/>
          <w:sz w:val="21"/>
          <w:szCs w:val="21"/>
          <w:highlight w:val="none"/>
          <w:u w:val="single"/>
          <w14:textFill>
            <w14:solidFill>
              <w14:schemeClr w14:val="tx1"/>
            </w14:solidFill>
          </w14:textFill>
        </w:rPr>
        <w:t>制造商直接就本项目独家授权在境内依法登记注册成立、能独立承担民事责任能力的经销商时提供。</w:t>
      </w:r>
      <w:r>
        <w:rPr>
          <w:rFonts w:hint="eastAsia" w:ascii="宋体" w:hAnsi="宋体" w:eastAsia="宋体" w:cs="宋体"/>
          <w:b/>
          <w:color w:val="000000" w:themeColor="text1"/>
          <w:sz w:val="21"/>
          <w:szCs w:val="21"/>
          <w:highlight w:val="none"/>
          <w:u w:val="single"/>
          <w14:textFill>
            <w14:solidFill>
              <w14:schemeClr w14:val="tx1"/>
            </w14:solidFill>
          </w14:textFill>
        </w:rPr>
        <w:t>]</w:t>
      </w:r>
    </w:p>
    <w:p>
      <w:pPr>
        <w:numPr>
          <w:ilvl w:val="0"/>
          <w:numId w:val="4"/>
        </w:numPr>
        <w:tabs>
          <w:tab w:val="left" w:pos="426"/>
          <w:tab w:val="left" w:pos="2700"/>
        </w:tabs>
        <w:autoSpaceDE/>
        <w:autoSpaceDN/>
        <w:snapToGrid w:val="0"/>
        <w:spacing w:line="360" w:lineRule="auto"/>
        <w:ind w:left="720" w:hanging="720"/>
        <w:jc w:val="both"/>
        <w:outlineLvl w:val="0"/>
        <w:rPr>
          <w:rFonts w:hint="eastAsia" w:ascii="宋体" w:hAnsi="宋体" w:eastAsia="宋体" w:cs="宋体"/>
          <w:color w:val="000000" w:themeColor="text1"/>
          <w:sz w:val="21"/>
          <w:szCs w:val="21"/>
          <w:highlight w:val="none"/>
          <w14:textFill>
            <w14:solidFill>
              <w14:schemeClr w14:val="tx1"/>
            </w14:solidFill>
          </w14:textFill>
        </w:rPr>
      </w:pPr>
      <w:bookmarkStart w:id="489" w:name="_Toc15069"/>
      <w:r>
        <w:rPr>
          <w:rFonts w:hint="eastAsia" w:ascii="宋体" w:hAnsi="宋体" w:eastAsia="宋体" w:cs="宋体"/>
          <w:color w:val="000000" w:themeColor="text1"/>
          <w:sz w:val="21"/>
          <w:szCs w:val="21"/>
          <w:highlight w:val="none"/>
          <w14:textFill>
            <w14:solidFill>
              <w14:schemeClr w14:val="tx1"/>
            </w14:solidFill>
          </w14:textFill>
        </w:rPr>
        <w:t>名称及概况：</w:t>
      </w:r>
      <w:bookmarkEnd w:id="489"/>
    </w:p>
    <w:p>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产品制造商名称：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总部地址：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tabs>
          <w:tab w:val="left" w:pos="426"/>
          <w:tab w:val="left" w:pos="900"/>
        </w:tabs>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电话号码：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成立和/或注册日期：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法定代表人姓名：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产品制造商代表姓名、联系电话和地址：</w:t>
      </w:r>
    </w:p>
    <w:p>
      <w:pPr>
        <w:tabs>
          <w:tab w:val="left" w:pos="426"/>
        </w:tabs>
        <w:snapToGrid w:val="0"/>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4"/>
        </w:numPr>
        <w:tabs>
          <w:tab w:val="left" w:pos="426"/>
          <w:tab w:val="left" w:pos="2700"/>
        </w:tabs>
        <w:autoSpaceDE/>
        <w:autoSpaceDN/>
        <w:snapToGrid w:val="0"/>
        <w:spacing w:line="360" w:lineRule="auto"/>
        <w:ind w:left="720" w:hanging="72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(1)制造投标货物的主要设备、设施及有关情况：</w:t>
      </w:r>
    </w:p>
    <w:tbl>
      <w:tblPr>
        <w:tblStyle w:val="36"/>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制造投标货物的工厂名称</w:t>
            </w:r>
          </w:p>
        </w:tc>
        <w:tc>
          <w:tcPr>
            <w:tcW w:w="196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制造投标货物的工厂地址</w:t>
            </w:r>
          </w:p>
        </w:tc>
        <w:tc>
          <w:tcPr>
            <w:tcW w:w="1636"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制造投标货物的主要生产设备设施名称及数量</w:t>
            </w:r>
          </w:p>
        </w:tc>
        <w:tc>
          <w:tcPr>
            <w:tcW w:w="147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购买年份</w:t>
            </w:r>
          </w:p>
        </w:tc>
        <w:tc>
          <w:tcPr>
            <w:tcW w:w="1472"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年生产能力</w:t>
            </w:r>
          </w:p>
        </w:tc>
        <w:tc>
          <w:tcPr>
            <w:tcW w:w="127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6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36"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2"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96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36"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3"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2"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tabs>
          <w:tab w:val="left" w:pos="426"/>
          <w:tab w:val="left" w:pos="2700"/>
        </w:tabs>
        <w:autoSpaceDE/>
        <w:autoSpaceDN/>
        <w:snapToGrid w:val="0"/>
        <w:spacing w:line="360" w:lineRule="auto"/>
        <w:ind w:left="720"/>
        <w:jc w:val="both"/>
        <w:rPr>
          <w:rFonts w:hint="eastAsia" w:ascii="宋体" w:hAnsi="宋体" w:eastAsia="宋体" w:cs="宋体"/>
          <w:color w:val="000000" w:themeColor="text1"/>
          <w:sz w:val="21"/>
          <w:szCs w:val="21"/>
          <w:highlight w:val="none"/>
          <w14:textFill>
            <w14:solidFill>
              <w14:schemeClr w14:val="tx1"/>
            </w14:solidFill>
          </w14:textFill>
        </w:rPr>
      </w:pPr>
    </w:p>
    <w:p>
      <w:pPr>
        <w:snapToGrid w:val="0"/>
        <w:spacing w:line="360" w:lineRule="auto"/>
        <w:ind w:firstLine="35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(2)投标货物中本制造商不生产，而需从其它制造商购买的主要零部件：</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主要零部件名称</w:t>
            </w:r>
          </w:p>
        </w:tc>
        <w:tc>
          <w:tcPr>
            <w:tcW w:w="3102"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制造厂名称</w:t>
            </w:r>
          </w:p>
        </w:tc>
        <w:tc>
          <w:tcPr>
            <w:tcW w:w="3100" w:type="dxa"/>
            <w:noWrap w:val="0"/>
            <w:vAlign w:val="center"/>
          </w:tcPr>
          <w:p>
            <w:pPr>
              <w:spacing w:line="360" w:lineRule="auto"/>
              <w:ind w:firstLine="1050" w:firstLineChars="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2"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102"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3、易损件供应商的名称和地址： </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易损件名称</w:t>
            </w:r>
          </w:p>
        </w:tc>
        <w:tc>
          <w:tcPr>
            <w:tcW w:w="3097" w:type="dxa"/>
            <w:noWrap w:val="0"/>
            <w:vAlign w:val="center"/>
          </w:tcPr>
          <w:p>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供应商名称</w:t>
            </w:r>
          </w:p>
        </w:tc>
        <w:tc>
          <w:tcPr>
            <w:tcW w:w="3095" w:type="dxa"/>
            <w:noWrap w:val="0"/>
            <w:vAlign w:val="center"/>
          </w:tcPr>
          <w:p>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97" w:type="dxa"/>
            <w:noWrap w:val="0"/>
            <w:vAlign w:val="center"/>
          </w:tcPr>
          <w:p>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4、近三年该货物主要销售给国内、外主要客户的名称地址：</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客户名称</w:t>
            </w:r>
          </w:p>
        </w:tc>
        <w:tc>
          <w:tcPr>
            <w:tcW w:w="3097" w:type="dxa"/>
            <w:noWrap w:val="0"/>
            <w:vAlign w:val="center"/>
          </w:tcPr>
          <w:p>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销售货物</w:t>
            </w:r>
          </w:p>
        </w:tc>
        <w:tc>
          <w:tcPr>
            <w:tcW w:w="3095" w:type="dxa"/>
            <w:noWrap w:val="0"/>
            <w:vAlign w:val="center"/>
          </w:tcPr>
          <w:p>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97" w:type="dxa"/>
            <w:noWrap w:val="0"/>
            <w:vAlign w:val="center"/>
          </w:tcPr>
          <w:p>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5、其他情况：(公司简介、技术力量、本制造商生产投标货物的经验等)</w:t>
      </w:r>
    </w:p>
    <w:p>
      <w:pPr>
        <w:autoSpaceDE/>
        <w:autoSpaceDN/>
        <w:adjustRightInd/>
        <w:spacing w:line="360" w:lineRule="auto"/>
        <w:ind w:firstLine="424" w:firstLineChars="202"/>
        <w:jc w:val="both"/>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p>
    <w:p>
      <w:pPr>
        <w:autoSpaceDE/>
        <w:autoSpaceDN/>
        <w:adjustRightInd/>
        <w:spacing w:line="360" w:lineRule="auto"/>
        <w:ind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兹证明上述声明是真实的、正确的，并提供了全部能提供的资料和数据，我们同意遵照贵方要求出示有关证明文件。</w:t>
      </w:r>
    </w:p>
    <w:p>
      <w:pPr>
        <w:autoSpaceDE/>
        <w:autoSpaceDN/>
        <w:adjustRightInd/>
        <w:spacing w:line="360" w:lineRule="auto"/>
        <w:ind w:left="567" w:leftChars="270" w:firstLine="420"/>
        <w:jc w:val="both"/>
        <w:rPr>
          <w:rFonts w:hint="eastAsia" w:ascii="宋体" w:hAnsi="宋体" w:eastAsia="宋体" w:cs="宋体"/>
          <w:color w:val="000000" w:themeColor="text1"/>
          <w:kern w:val="2"/>
          <w:sz w:val="21"/>
          <w:szCs w:val="21"/>
          <w:highlight w:val="none"/>
          <w14:textFill>
            <w14:solidFill>
              <w14:schemeClr w14:val="tx1"/>
            </w14:solidFill>
          </w14:textFill>
        </w:rPr>
      </w:pPr>
    </w:p>
    <w:p>
      <w:pPr>
        <w:autoSpaceDE/>
        <w:autoSpaceDN/>
        <w:adjustRightInd/>
        <w:spacing w:line="36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产品制造商名称：</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（境内工商注册的产品制造商必须同时加盖法人公章）</w:t>
      </w:r>
    </w:p>
    <w:p>
      <w:pPr>
        <w:snapToGrid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pacing w:line="360" w:lineRule="auto"/>
        <w:ind w:firstLine="600"/>
        <w:rPr>
          <w:rFonts w:hint="eastAsia" w:ascii="宋体" w:hAnsi="宋体" w:eastAsia="宋体" w:cs="宋体"/>
          <w:color w:val="000000" w:themeColor="text1"/>
          <w:sz w:val="21"/>
          <w:szCs w:val="21"/>
          <w:highlight w:val="none"/>
          <w:u w:val="single"/>
          <w14:textFill>
            <w14:solidFill>
              <w14:schemeClr w14:val="tx1"/>
            </w14:solidFill>
          </w14:textFill>
        </w:rPr>
      </w:pPr>
    </w:p>
    <w:p>
      <w:pP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注：投标文件正本内必须提供原件，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pP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br w:type="page"/>
      </w:r>
    </w:p>
    <w:p>
      <w:pPr>
        <w:pageBreakBefore/>
        <w:snapToGri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制造商资格声明</w:t>
      </w:r>
    </w:p>
    <w:p>
      <w:pPr>
        <w:spacing w:line="360" w:lineRule="auto"/>
        <w:ind w:firstLine="422" w:firstLineChars="200"/>
        <w:rPr>
          <w:rFonts w:hint="eastAsia" w:ascii="宋体" w:hAnsi="宋体" w:eastAsia="宋体" w:cs="宋体"/>
          <w:b/>
          <w:color w:val="000000" w:themeColor="text1"/>
          <w:kern w:val="2"/>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（投标人根据实际情况选用，本格式适用于：</w:t>
      </w:r>
      <w:r>
        <w:rPr>
          <w:rFonts w:hint="eastAsia" w:ascii="宋体" w:hAnsi="宋体" w:eastAsia="宋体" w:cs="宋体"/>
          <w:b/>
          <w:color w:val="000000" w:themeColor="text1"/>
          <w:sz w:val="21"/>
          <w:szCs w:val="21"/>
          <w:highlight w:val="none"/>
          <w:u w:val="single"/>
          <w14:textFill>
            <w14:solidFill>
              <w14:schemeClr w14:val="tx1"/>
            </w14:solidFill>
          </w14:textFill>
        </w:rPr>
        <w:t>境外品牌境外生产</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管式微孔曝气器</w:t>
      </w:r>
      <w:r>
        <w:rPr>
          <w:rFonts w:hint="eastAsia" w:ascii="宋体" w:hAnsi="宋体" w:eastAsia="宋体" w:cs="宋体"/>
          <w:b/>
          <w:color w:val="000000" w:themeColor="text1"/>
          <w:sz w:val="21"/>
          <w:szCs w:val="21"/>
          <w:highlight w:val="none"/>
          <w:u w:val="single"/>
          <w14:textFill>
            <w14:solidFill>
              <w14:schemeClr w14:val="tx1"/>
            </w14:solidFill>
          </w14:textFill>
        </w:rPr>
        <w:t>的生产制造商通过境内的办事机构</w:t>
      </w:r>
      <w:r>
        <w:rPr>
          <w:rFonts w:hint="eastAsia" w:ascii="宋体" w:hAnsi="宋体" w:eastAsia="宋体" w:cs="宋体"/>
          <w:b/>
          <w:color w:val="000000" w:themeColor="text1"/>
          <w:kern w:val="2"/>
          <w:sz w:val="21"/>
          <w:szCs w:val="21"/>
          <w:highlight w:val="none"/>
          <w:u w:val="single"/>
          <w14:textFill>
            <w14:solidFill>
              <w14:schemeClr w14:val="tx1"/>
            </w14:solidFill>
          </w14:textFill>
        </w:rPr>
        <w:t>独家授权在境内依法登记注册成立、能独立承担民事责任能力的经销商参与投标时提供</w:t>
      </w:r>
      <w:r>
        <w:rPr>
          <w:rFonts w:hint="eastAsia" w:ascii="宋体" w:hAnsi="宋体" w:eastAsia="宋体" w:cs="宋体"/>
          <w:b/>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w:t>
      </w:r>
    </w:p>
    <w:p>
      <w:pPr>
        <w:numPr>
          <w:ilvl w:val="0"/>
          <w:numId w:val="0"/>
        </w:numPr>
        <w:tabs>
          <w:tab w:val="left" w:pos="567"/>
          <w:tab w:val="left" w:pos="2700"/>
        </w:tabs>
        <w:autoSpaceDE/>
        <w:autoSpaceDN/>
        <w:snapToGrid w:val="0"/>
        <w:spacing w:line="360" w:lineRule="auto"/>
        <w:ind w:left="567" w:leftChars="0" w:hanging="567" w:firstLineChars="0"/>
        <w:jc w:val="both"/>
        <w:outlineLvl w:val="0"/>
        <w:rPr>
          <w:rFonts w:hint="eastAsia" w:ascii="宋体" w:hAnsi="宋体" w:eastAsia="宋体" w:cs="宋体"/>
          <w:color w:val="000000" w:themeColor="text1"/>
          <w:sz w:val="21"/>
          <w:szCs w:val="21"/>
          <w:highlight w:val="none"/>
          <w14:textFill>
            <w14:solidFill>
              <w14:schemeClr w14:val="tx1"/>
            </w14:solidFill>
          </w14:textFill>
        </w:rPr>
      </w:pPr>
      <w:bookmarkStart w:id="490" w:name="_Toc27966"/>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名称及概况：</w:t>
      </w:r>
      <w:bookmarkEnd w:id="490"/>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产品制造商名称：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总部地址：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tabs>
          <w:tab w:val="left" w:pos="567"/>
          <w:tab w:val="left" w:pos="900"/>
        </w:tabs>
        <w:snapToGrid w:val="0"/>
        <w:spacing w:line="360" w:lineRule="auto"/>
        <w:ind w:left="504" w:leftChars="220" w:hanging="42" w:hangingChars="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电话号码：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成立和/或注册日期：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法定代表人姓名：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制造商代表姓名、联系电话和地址：</w:t>
      </w:r>
    </w:p>
    <w:p>
      <w:pPr>
        <w:tabs>
          <w:tab w:val="left" w:pos="567"/>
        </w:tabs>
        <w:snapToGrid w:val="0"/>
        <w:spacing w:line="360" w:lineRule="auto"/>
        <w:ind w:left="567" w:hanging="567"/>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567"/>
        </w:tabs>
        <w:autoSpaceDE/>
        <w:autoSpaceDN/>
        <w:snapToGrid w:val="0"/>
        <w:spacing w:line="360" w:lineRule="auto"/>
        <w:ind w:left="565" w:leftChars="-1"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境内办事机构名称：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总部地址：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tabs>
          <w:tab w:val="left" w:pos="567"/>
          <w:tab w:val="left" w:pos="900"/>
        </w:tabs>
        <w:snapToGrid w:val="0"/>
        <w:spacing w:line="360" w:lineRule="auto"/>
        <w:ind w:left="500" w:leftChars="23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电话号码：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成立和/或注册日期：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法定代表人姓名：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境内办事机构代表姓名、联系电话和地址：</w:t>
      </w:r>
    </w:p>
    <w:p>
      <w:pPr>
        <w:tabs>
          <w:tab w:val="left" w:pos="567"/>
        </w:tabs>
        <w:snapToGrid w:val="0"/>
        <w:spacing w:line="360" w:lineRule="auto"/>
        <w:ind w:left="567" w:hanging="567"/>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numPr>
          <w:ilvl w:val="0"/>
          <w:numId w:val="0"/>
        </w:numPr>
        <w:tabs>
          <w:tab w:val="left" w:pos="426"/>
          <w:tab w:val="left" w:pos="2700"/>
        </w:tabs>
        <w:autoSpaceDE/>
        <w:autoSpaceDN/>
        <w:snapToGrid w:val="0"/>
        <w:spacing w:line="360" w:lineRule="auto"/>
        <w:ind w:left="720" w:leftChars="0" w:hanging="720" w:firstLineChars="0"/>
        <w:jc w:val="both"/>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产品制造商制造投标货物的主要设备、设施及有关情况：</w:t>
      </w:r>
    </w:p>
    <w:tbl>
      <w:tblPr>
        <w:tblStyle w:val="36"/>
        <w:tblW w:w="80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制造投标货物的工厂名称</w:t>
            </w:r>
          </w:p>
        </w:tc>
        <w:tc>
          <w:tcPr>
            <w:tcW w:w="1701"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制造投标货物的工厂地址</w:t>
            </w:r>
          </w:p>
        </w:tc>
        <w:tc>
          <w:tcPr>
            <w:tcW w:w="1417" w:type="dxa"/>
            <w:noWrap w:val="0"/>
            <w:vAlign w:val="center"/>
          </w:tcPr>
          <w:p>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制造投标货物的主要生产设备设施名称及数量</w:t>
            </w:r>
          </w:p>
        </w:tc>
        <w:tc>
          <w:tcPr>
            <w:tcW w:w="1276"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购买年份</w:t>
            </w:r>
          </w:p>
        </w:tc>
        <w:tc>
          <w:tcPr>
            <w:tcW w:w="1276"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年生产能力</w:t>
            </w:r>
          </w:p>
        </w:tc>
        <w:tc>
          <w:tcPr>
            <w:tcW w:w="1100"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01"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17"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6"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6"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0"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701" w:type="dxa"/>
            <w:noWrap w:val="0"/>
            <w:vAlign w:val="center"/>
          </w:tcPr>
          <w:p>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noWrap w:val="0"/>
            <w:vAlign w:val="center"/>
          </w:tcPr>
          <w:p>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6" w:type="dxa"/>
            <w:noWrap w:val="0"/>
            <w:vAlign w:val="center"/>
          </w:tcPr>
          <w:p>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6" w:type="dxa"/>
            <w:noWrap w:val="0"/>
            <w:vAlign w:val="center"/>
          </w:tcPr>
          <w:p>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00" w:type="dxa"/>
            <w:noWrap w:val="0"/>
            <w:vAlign w:val="center"/>
          </w:tcPr>
          <w:p>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pPr>
        <w:spacing w:line="360" w:lineRule="auto"/>
        <w:ind w:right="-26"/>
        <w:rPr>
          <w:rFonts w:hint="eastAsia" w:ascii="宋体" w:hAnsi="宋体" w:eastAsia="宋体" w:cs="宋体"/>
          <w:b/>
          <w:bCs/>
          <w:color w:val="000000" w:themeColor="text1"/>
          <w:kern w:val="2"/>
          <w:sz w:val="21"/>
          <w:szCs w:val="21"/>
          <w:highlight w:val="none"/>
          <w14:textFill>
            <w14:solidFill>
              <w14:schemeClr w14:val="tx1"/>
            </w14:solidFill>
          </w14:textFill>
        </w:rPr>
      </w:pPr>
    </w:p>
    <w:p>
      <w:pPr>
        <w:snapToGrid w:val="0"/>
        <w:spacing w:line="360" w:lineRule="auto"/>
        <w:ind w:firstLine="35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 投标货物中本产品制造商不生产，而需从其它制造商购买的主要零部件：</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主要零部件名称</w:t>
            </w:r>
          </w:p>
        </w:tc>
        <w:tc>
          <w:tcPr>
            <w:tcW w:w="3102"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制造厂名称</w:t>
            </w:r>
          </w:p>
        </w:tc>
        <w:tc>
          <w:tcPr>
            <w:tcW w:w="3100" w:type="dxa"/>
            <w:noWrap w:val="0"/>
            <w:vAlign w:val="center"/>
          </w:tcPr>
          <w:p>
            <w:pPr>
              <w:spacing w:line="360" w:lineRule="auto"/>
              <w:ind w:firstLine="1050" w:firstLineChars="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2" w:type="dxa"/>
            <w:noWrap w:val="0"/>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102"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3、易损件供应商的名称和地址： </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易损件名称</w:t>
            </w:r>
          </w:p>
        </w:tc>
        <w:tc>
          <w:tcPr>
            <w:tcW w:w="3097" w:type="dxa"/>
            <w:noWrap w:val="0"/>
            <w:vAlign w:val="center"/>
          </w:tcPr>
          <w:p>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供应商名称</w:t>
            </w:r>
          </w:p>
        </w:tc>
        <w:tc>
          <w:tcPr>
            <w:tcW w:w="3095" w:type="dxa"/>
            <w:noWrap w:val="0"/>
            <w:vAlign w:val="center"/>
          </w:tcPr>
          <w:p>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97" w:type="dxa"/>
            <w:noWrap w:val="0"/>
            <w:vAlign w:val="center"/>
          </w:tcPr>
          <w:p>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4、近三年该货物主要销售给国内、外主要客户的名称地址：</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客户名称</w:t>
            </w:r>
          </w:p>
        </w:tc>
        <w:tc>
          <w:tcPr>
            <w:tcW w:w="3097" w:type="dxa"/>
            <w:noWrap w:val="0"/>
            <w:vAlign w:val="center"/>
          </w:tcPr>
          <w:p>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销售货物</w:t>
            </w:r>
          </w:p>
        </w:tc>
        <w:tc>
          <w:tcPr>
            <w:tcW w:w="3095" w:type="dxa"/>
            <w:noWrap w:val="0"/>
            <w:vAlign w:val="center"/>
          </w:tcPr>
          <w:p>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7" w:type="dxa"/>
            <w:noWrap w:val="0"/>
            <w:vAlign w:val="center"/>
          </w:tcPr>
          <w:p>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5、其他情况：(公司简介、技术力量、产品制造商生产</w:t>
      </w: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货物的经验等)</w:t>
      </w:r>
    </w:p>
    <w:p>
      <w:pPr>
        <w:autoSpaceDE/>
        <w:autoSpaceDN/>
        <w:adjustRightInd/>
        <w:spacing w:line="360" w:lineRule="auto"/>
        <w:ind w:firstLine="424" w:firstLineChars="202"/>
        <w:jc w:val="both"/>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p>
    <w:p>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p>
    <w:p>
      <w:pPr>
        <w:autoSpaceDE/>
        <w:autoSpaceDN/>
        <w:adjustRightInd/>
        <w:spacing w:line="360" w:lineRule="auto"/>
        <w:ind w:firstLine="525" w:firstLineChars="25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兹证明上述声明是真实的、正确的，并提供了全部能提供的资料和数据，我们同意遵照贵方要求出示有关证明文件。</w:t>
      </w:r>
    </w:p>
    <w:p>
      <w:pPr>
        <w:autoSpaceDE/>
        <w:autoSpaceDN/>
        <w:adjustRightInd/>
        <w:spacing w:line="360" w:lineRule="auto"/>
        <w:ind w:firstLine="525" w:firstLineChars="2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境外品牌境外生产的产品生产制造商</w:t>
      </w:r>
      <w:r>
        <w:rPr>
          <w:rFonts w:hint="eastAsia" w:ascii="宋体" w:hAnsi="宋体" w:eastAsia="宋体" w:cs="宋体"/>
          <w:bCs/>
          <w:color w:val="000000" w:themeColor="text1"/>
          <w:kern w:val="2"/>
          <w:sz w:val="21"/>
          <w:szCs w:val="21"/>
          <w:highlight w:val="none"/>
          <w14:textFill>
            <w14:solidFill>
              <w14:schemeClr w14:val="tx1"/>
            </w14:solidFill>
          </w14:textFill>
        </w:rPr>
        <w:t>在境内的办事机构</w:t>
      </w:r>
      <w:r>
        <w:rPr>
          <w:rFonts w:hint="eastAsia" w:ascii="宋体" w:hAnsi="宋体" w:eastAsia="宋体" w:cs="宋体"/>
          <w:color w:val="000000" w:themeColor="text1"/>
          <w:kern w:val="2"/>
          <w:sz w:val="21"/>
          <w:szCs w:val="21"/>
          <w:highlight w:val="none"/>
          <w14:textFill>
            <w14:solidFill>
              <w14:schemeClr w14:val="tx1"/>
            </w14:solidFill>
          </w14:textFill>
        </w:rPr>
        <w:t>名称：</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（在境内工商注册的办事机构必须同时加盖公章）</w:t>
      </w:r>
    </w:p>
    <w:p>
      <w:pPr>
        <w:snapToGrid w:val="0"/>
        <w:spacing w:line="360" w:lineRule="auto"/>
        <w:ind w:firstLine="525" w:firstLineChars="2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525" w:firstLineChars="2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备注：</w:t>
      </w:r>
      <w:r>
        <w:rPr>
          <w:rFonts w:hint="eastAsia" w:ascii="宋体" w:hAnsi="宋体" w:eastAsia="宋体" w:cs="宋体"/>
          <w:color w:val="000000" w:themeColor="text1"/>
          <w:kern w:val="2"/>
          <w:sz w:val="21"/>
          <w:szCs w:val="20"/>
          <w:highlight w:val="none"/>
          <w14:textFill>
            <w14:solidFill>
              <w14:schemeClr w14:val="tx1"/>
            </w14:solidFill>
          </w14:textFill>
        </w:rPr>
        <w:t xml:space="preserve"> </w:t>
      </w:r>
      <w:r>
        <w:rPr>
          <w:rFonts w:hint="eastAsia" w:ascii="宋体" w:hAnsi="宋体" w:eastAsia="宋体" w:cs="宋体"/>
          <w:b/>
          <w:color w:val="000000" w:themeColor="text1"/>
          <w:kern w:val="2"/>
          <w:sz w:val="21"/>
          <w:szCs w:val="21"/>
          <w:highlight w:val="none"/>
          <w14:textFill>
            <w14:solidFill>
              <w14:schemeClr w14:val="tx1"/>
            </w14:solidFill>
          </w14:textFill>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pP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（3）</w:t>
      </w:r>
      <w:r>
        <w:rPr>
          <w:rFonts w:hint="eastAsia" w:ascii="宋体" w:hAnsi="宋体" w:eastAsia="宋体" w:cs="宋体"/>
          <w:b/>
          <w:color w:val="000000" w:themeColor="text1"/>
          <w:kern w:val="2"/>
          <w:sz w:val="21"/>
          <w:szCs w:val="21"/>
          <w:highlight w:val="none"/>
          <w14:textFill>
            <w14:solidFill>
              <w14:schemeClr w14:val="tx1"/>
            </w14:solidFill>
          </w14:textFill>
        </w:rPr>
        <w:t>制造商售后服务承诺函及独家授权书</w:t>
      </w:r>
    </w:p>
    <w:p>
      <w:pPr>
        <w:keepNext w:val="0"/>
        <w:keepLines w:val="0"/>
        <w:pageBreakBefore w:val="0"/>
        <w:widowControl w:val="0"/>
        <w:kinsoku/>
        <w:wordWrap/>
        <w:overflowPunct/>
        <w:topLinePunct w:val="0"/>
        <w:autoSpaceDE/>
        <w:autoSpaceDN/>
        <w:bidi w:val="0"/>
        <w:adjustRightInd/>
        <w:snapToGrid/>
        <w:spacing w:line="380" w:lineRule="exact"/>
        <w:ind w:firstLine="3584" w:firstLineChars="1700"/>
        <w:textAlignment w:val="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①制造商售后服务承诺函</w:t>
      </w:r>
    </w:p>
    <w:p>
      <w:pPr>
        <w:keepNext w:val="0"/>
        <w:keepLines w:val="0"/>
        <w:pageBreakBefore w:val="0"/>
        <w:widowControl w:val="0"/>
        <w:kinsoku/>
        <w:wordWrap/>
        <w:overflowPunct/>
        <w:topLinePunct w:val="0"/>
        <w:autoSpaceDE/>
        <w:autoSpaceDN/>
        <w:bidi w:val="0"/>
        <w:adjustRightInd/>
        <w:snapToGrid/>
        <w:spacing w:line="380" w:lineRule="exact"/>
        <w:ind w:firstLine="1054" w:firstLineChars="500"/>
        <w:textAlignment w:val="auto"/>
        <w:rPr>
          <w:rFonts w:hint="eastAsia" w:ascii="宋体" w:hAnsi="宋体" w:eastAsia="宋体" w:cs="宋体"/>
          <w:b/>
          <w:color w:val="000000" w:themeColor="text1"/>
          <w:kern w:val="2"/>
          <w:sz w:val="21"/>
          <w:szCs w:val="21"/>
          <w:highlight w:val="none"/>
          <w:u w:val="singl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（投标人根据实际情况选用，本格式适用于：投标人为制造商时提供。）</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致：东莞市石鼓净水有限公司</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我方就</w:t>
      </w:r>
      <w:r>
        <w:rPr>
          <w:rFonts w:hint="eastAsia" w:ascii="宋体" w:hAnsi="宋体" w:eastAsia="宋体" w:cs="宋体"/>
          <w:b/>
          <w:bCs/>
          <w:color w:val="000000" w:themeColor="text1"/>
          <w:sz w:val="21"/>
          <w:szCs w:val="21"/>
          <w:highlight w:val="none"/>
          <w:u w:val="single"/>
          <w:lang w:eastAsia="zh-CN"/>
          <w14:textFill>
            <w14:solidFill>
              <w14:schemeClr w14:val="tx1"/>
            </w14:solidFill>
          </w14:textFill>
        </w:rPr>
        <w:t>东莞市石鼓净水有限公司石碣二期生化池曝气系统重置采购项目（重新招标）</w:t>
      </w:r>
      <w:r>
        <w:rPr>
          <w:rFonts w:hint="eastAsia" w:ascii="宋体" w:hAnsi="宋体" w:eastAsia="宋体" w:cs="宋体"/>
          <w:color w:val="000000" w:themeColor="text1"/>
          <w:sz w:val="21"/>
          <w:szCs w:val="21"/>
          <w:highlight w:val="none"/>
          <w14:textFill>
            <w14:solidFill>
              <w14:schemeClr w14:val="tx1"/>
            </w14:solidFill>
          </w14:textFill>
        </w:rPr>
        <w:t>售后服务事宜承诺如下：</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1、我方向贵方提供技术支持，包括但不限于直接委派专业技术人员（含外籍人员的翻译人员）参与设计联络、到达工地现场对设备进行安装，相关费用无需贵方负责。</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2、我方对我方提供货物的质量和售后服务承担全部责任。本次提供的货物按以下方式提供售后服务：</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000000" w:themeColor="text1"/>
          <w:sz w:val="21"/>
          <w:szCs w:val="21"/>
          <w:highlight w:val="none"/>
          <w14:textFill>
            <w14:solidFill>
              <w14:schemeClr w14:val="tx1"/>
            </w14:solidFill>
          </w14:textFill>
        </w:rPr>
        <w:t>在</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个月</w:t>
      </w:r>
      <w:r>
        <w:rPr>
          <w:rFonts w:hint="eastAsia" w:ascii="宋体" w:hAnsi="宋体" w:eastAsia="宋体" w:cs="宋体"/>
          <w:color w:val="000000" w:themeColor="text1"/>
          <w:sz w:val="21"/>
          <w:szCs w:val="21"/>
          <w:highlight w:val="none"/>
          <w14:textFill>
            <w14:solidFill>
              <w14:schemeClr w14:val="tx1"/>
            </w14:solidFill>
          </w14:textFill>
        </w:rPr>
        <w:t>内提供免费的质保期保修服务，质保期自本项目所有货物最终验收合格之日起算（以设备整体验收报告日期为准）。</w:t>
      </w:r>
      <w:r>
        <w:rPr>
          <w:rFonts w:hint="eastAsia" w:ascii="宋体" w:hAnsi="宋体" w:eastAsia="宋体" w:cs="宋体"/>
          <w:b/>
          <w:color w:val="000000" w:themeColor="text1"/>
          <w:sz w:val="21"/>
          <w:szCs w:val="21"/>
          <w:highlight w:val="none"/>
          <w14:textFill>
            <w14:solidFill>
              <w14:schemeClr w14:val="tx1"/>
            </w14:solidFill>
          </w14:textFill>
        </w:rPr>
        <w:t>若上述质保期填写数值为非整数，我方同意按小数点后的数字向上取整的方式调整承诺的质保期数值。</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91" w:name="_Toc25868"/>
      <w:r>
        <w:rPr>
          <w:rFonts w:hint="eastAsia" w:ascii="宋体" w:hAnsi="宋体" w:eastAsia="宋体" w:cs="宋体"/>
          <w:color w:val="000000" w:themeColor="text1"/>
          <w:sz w:val="21"/>
          <w:szCs w:val="21"/>
          <w:highlight w:val="none"/>
          <w14:textFill>
            <w14:solidFill>
              <w14:schemeClr w14:val="tx1"/>
            </w14:solidFill>
          </w14:textFill>
        </w:rPr>
        <w:t>3、我方此次参与贵方投标的产品如下：</w:t>
      </w:r>
      <w:bookmarkEnd w:id="491"/>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我方保证：我方提供的产品既非试验产品也非积压产品，而是于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年投产的成熟产品，且生产（完工）日期不早于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月；在可以预见的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（天）内，我方没有对该型号产品进行升级、停产、淘汰的计划。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492" w:name="_Toc7677"/>
      <w:r>
        <w:rPr>
          <w:rFonts w:hint="eastAsia" w:ascii="宋体" w:hAnsi="宋体" w:eastAsia="宋体" w:cs="宋体"/>
          <w:color w:val="000000" w:themeColor="text1"/>
          <w:sz w:val="21"/>
          <w:szCs w:val="21"/>
          <w:highlight w:val="none"/>
          <w14:textFill>
            <w14:solidFill>
              <w14:schemeClr w14:val="tx1"/>
            </w14:solidFill>
          </w14:textFill>
        </w:rPr>
        <w:t>4、我方同意按照贵方要求提供与投标产品有关的一切数据或资料。</w:t>
      </w:r>
      <w:bookmarkEnd w:id="492"/>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网址：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签发日期：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000000" w:themeColor="text1"/>
          <w:kern w:val="2"/>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备注: 投标文件正本内必须提供原件，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pPr>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br w:type="page"/>
      </w:r>
    </w:p>
    <w:p>
      <w:pPr>
        <w:pageBreakBefore/>
        <w:snapToGrid w:val="0"/>
        <w:spacing w:line="360" w:lineRule="auto"/>
        <w:jc w:val="center"/>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②</w:t>
      </w:r>
      <w:r>
        <w:rPr>
          <w:rFonts w:hint="eastAsia" w:ascii="宋体" w:hAnsi="宋体" w:eastAsia="宋体" w:cs="宋体"/>
          <w:b/>
          <w:bCs/>
          <w:color w:val="000000" w:themeColor="text1"/>
          <w:sz w:val="21"/>
          <w:szCs w:val="21"/>
          <w:highlight w:val="none"/>
          <w:lang w:val="zh-CN"/>
          <w14:textFill>
            <w14:solidFill>
              <w14:schemeClr w14:val="tx1"/>
            </w14:solidFill>
          </w14:textFill>
        </w:rPr>
        <w:t>制造商独家授权书</w:t>
      </w:r>
    </w:p>
    <w:p>
      <w:pPr>
        <w:spacing w:line="360" w:lineRule="auto"/>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（投标人根据实际情况选用，本格式适用于：</w:t>
      </w:r>
      <w:r>
        <w:rPr>
          <w:rFonts w:hint="eastAsia" w:ascii="宋体" w:hAnsi="宋体" w:eastAsia="宋体" w:cs="宋体"/>
          <w:b/>
          <w:color w:val="000000" w:themeColor="text1"/>
          <w:sz w:val="21"/>
          <w:szCs w:val="21"/>
          <w:highlight w:val="none"/>
          <w:u w:val="single"/>
          <w14:textFill>
            <w14:solidFill>
              <w14:schemeClr w14:val="tx1"/>
            </w14:solidFill>
          </w14:textFill>
        </w:rPr>
        <w:t>投标人是经销商时提供</w:t>
      </w:r>
      <w:r>
        <w:rPr>
          <w:rFonts w:hint="eastAsia" w:ascii="宋体" w:hAnsi="宋体" w:eastAsia="宋体" w:cs="宋体"/>
          <w:b/>
          <w:color w:val="000000" w:themeColor="text1"/>
          <w:sz w:val="21"/>
          <w:szCs w:val="21"/>
          <w:highlight w:val="none"/>
          <w14:textFill>
            <w14:solidFill>
              <w14:schemeClr w14:val="tx1"/>
            </w14:solidFill>
          </w14:textFill>
        </w:rPr>
        <w:t>。）</w:t>
      </w:r>
    </w:p>
    <w:p>
      <w:pPr>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致：东莞市石鼓净水有限公司</w:t>
      </w:r>
    </w:p>
    <w:p>
      <w:pPr>
        <w:snapToGrid w:val="0"/>
        <w:spacing w:before="120" w:beforeLines="50" w:after="120" w:afterLines="50"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（产品制造商名称）是按</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（国家名称）法律成立的一家公司，主要营业地址设在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。兹证明参加贵方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项目（招标编号：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）的按</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（国家名称）法律成立的、主要营业地址在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（下称“投标人”）作为我方真正的、</w:t>
      </w:r>
      <w:r>
        <w:rPr>
          <w:rFonts w:hint="eastAsia" w:ascii="宋体" w:hAnsi="宋体" w:eastAsia="宋体" w:cs="宋体"/>
          <w:b/>
          <w:color w:val="000000" w:themeColor="text1"/>
          <w:sz w:val="21"/>
          <w:szCs w:val="21"/>
          <w:highlight w:val="none"/>
          <w14:textFill>
            <w14:solidFill>
              <w14:schemeClr w14:val="tx1"/>
            </w14:solidFill>
          </w14:textFill>
        </w:rPr>
        <w:t>唯一合法</w:t>
      </w:r>
      <w:r>
        <w:rPr>
          <w:rFonts w:hint="eastAsia" w:ascii="宋体" w:hAnsi="宋体" w:eastAsia="宋体" w:cs="宋体"/>
          <w:color w:val="000000" w:themeColor="text1"/>
          <w:sz w:val="21"/>
          <w:szCs w:val="21"/>
          <w:highlight w:val="none"/>
          <w14:textFill>
            <w14:solidFill>
              <w14:schemeClr w14:val="tx1"/>
            </w14:solidFill>
          </w14:textFill>
        </w:rPr>
        <w:t>的授权参与本项目投标、合同签订、售后服务等相关事项的经销商：</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1、我方确认，投标人就</w:t>
      </w:r>
      <w:r>
        <w:rPr>
          <w:rFonts w:hint="eastAsia" w:ascii="宋体" w:hAnsi="宋体" w:eastAsia="宋体" w:cs="Times New Roman"/>
          <w:b/>
          <w:bCs/>
          <w:color w:val="000000" w:themeColor="text1"/>
          <w:kern w:val="0"/>
          <w:szCs w:val="21"/>
          <w:highlight w:val="none"/>
          <w:u w:val="single"/>
          <w:lang w:eastAsia="zh-CN"/>
          <w14:textFill>
            <w14:solidFill>
              <w14:schemeClr w14:val="tx1"/>
            </w14:solidFill>
          </w14:textFill>
        </w:rPr>
        <w:t>东莞市石鼓净水有限公司石碣二期生化池曝气系统重置采购项目（重新招标）</w:t>
      </w:r>
      <w:r>
        <w:rPr>
          <w:rFonts w:hint="eastAsia" w:ascii="宋体" w:hAnsi="宋体" w:eastAsia="宋体" w:cs="宋体"/>
          <w:color w:val="000000" w:themeColor="text1"/>
          <w:sz w:val="21"/>
          <w:szCs w:val="21"/>
          <w:highlight w:val="none"/>
          <w14:textFill>
            <w14:solidFill>
              <w14:schemeClr w14:val="tx1"/>
            </w14:solidFill>
          </w14:textFill>
        </w:rPr>
        <w:t>提供货物时附带的出厂质量标准、售后服务承诺等合法有效，并对我方具有约束力。</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2、我方向贵方提供技术支持，包括但不限于直接委派专业技术人员（含外籍人员的翻译人员）参与设计联络、到达工地现场对设备进行安装，相关费用无需贵方负责。</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3、作为产品制造商，我方对我方提供货物的质量和售后服务承担全部责任。本次提供的货物按以下方式提供售后服务：</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000000" w:themeColor="text1"/>
          <w:sz w:val="21"/>
          <w:szCs w:val="21"/>
          <w:highlight w:val="none"/>
          <w14:textFill>
            <w14:solidFill>
              <w14:schemeClr w14:val="tx1"/>
            </w14:solidFill>
          </w14:textFill>
        </w:rPr>
        <w:t>在</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个月</w:t>
      </w:r>
      <w:r>
        <w:rPr>
          <w:rFonts w:hint="eastAsia" w:ascii="宋体" w:hAnsi="宋体" w:eastAsia="宋体" w:cs="宋体"/>
          <w:color w:val="000000" w:themeColor="text1"/>
          <w:sz w:val="21"/>
          <w:szCs w:val="21"/>
          <w:highlight w:val="none"/>
          <w14:textFill>
            <w14:solidFill>
              <w14:schemeClr w14:val="tx1"/>
            </w14:solidFill>
          </w14:textFill>
        </w:rPr>
        <w:t>内提供免费的质保期保修服务，质保期自本项目所有货物最终验收合格之日起算（以设备整体验收报告日期为准）。</w:t>
      </w:r>
      <w:r>
        <w:rPr>
          <w:rFonts w:hint="eastAsia" w:ascii="宋体" w:hAnsi="宋体" w:eastAsia="宋体" w:cs="宋体"/>
          <w:b/>
          <w:color w:val="000000" w:themeColor="text1"/>
          <w:sz w:val="21"/>
          <w:szCs w:val="21"/>
          <w:highlight w:val="none"/>
          <w14:textFill>
            <w14:solidFill>
              <w14:schemeClr w14:val="tx1"/>
            </w14:solidFill>
          </w14:textFill>
        </w:rPr>
        <w:t>若上述质保期填写数值为非整数，我方同意按小数点后的数字向上取整的方式调整承诺的质保期数值。</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pPr>
        <w:snapToGrid w:val="0"/>
        <w:spacing w:before="120" w:beforeLines="50" w:after="120" w:afterLines="50" w:line="360" w:lineRule="auto"/>
        <w:ind w:firstLine="420" w:firstLineChars="200"/>
        <w:outlineLvl w:val="0"/>
        <w:rPr>
          <w:rFonts w:hint="eastAsia" w:ascii="宋体" w:hAnsi="宋体" w:eastAsia="宋体" w:cs="宋体"/>
          <w:color w:val="000000" w:themeColor="text1"/>
          <w:sz w:val="21"/>
          <w:szCs w:val="21"/>
          <w:highlight w:val="none"/>
          <w14:textFill>
            <w14:solidFill>
              <w14:schemeClr w14:val="tx1"/>
            </w14:solidFill>
          </w14:textFill>
        </w:rPr>
      </w:pPr>
      <w:bookmarkStart w:id="493" w:name="_Toc27273"/>
      <w:r>
        <w:rPr>
          <w:rFonts w:hint="eastAsia" w:ascii="宋体" w:hAnsi="宋体" w:eastAsia="宋体" w:cs="宋体"/>
          <w:color w:val="000000" w:themeColor="text1"/>
          <w:sz w:val="21"/>
          <w:szCs w:val="21"/>
          <w:highlight w:val="none"/>
          <w14:textFill>
            <w14:solidFill>
              <w14:schemeClr w14:val="tx1"/>
            </w14:solidFill>
          </w14:textFill>
        </w:rPr>
        <w:t>4、我方此次参与贵方投标的产品如下：</w:t>
      </w:r>
      <w:bookmarkEnd w:id="493"/>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bl>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我方保证：我方提供的产品既非试验产品也非积压产品，而是于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年投产的成熟产品，且生产（完工）日期不早于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月；在可以预见的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（天）内，我方没有对该型号产品进行升级、停产、淘汰的计划。 </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5、我方同意按照贵方要求提供与投标产品有关的一切数据或资料。</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6、本授权函不得进行二次授权或转授权，否则无效。</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出具授权书的产品制造商（或境外品牌境外生产的产品生产制造商</w:t>
      </w:r>
      <w:r>
        <w:rPr>
          <w:rFonts w:hint="eastAsia" w:ascii="宋体" w:hAnsi="宋体" w:eastAsia="宋体" w:cs="宋体"/>
          <w:bCs/>
          <w:color w:val="000000" w:themeColor="text1"/>
          <w:sz w:val="21"/>
          <w:szCs w:val="21"/>
          <w:highlight w:val="none"/>
          <w14:textFill>
            <w14:solidFill>
              <w14:schemeClr w14:val="tx1"/>
            </w14:solidFill>
          </w14:textFill>
        </w:rPr>
        <w:t>境内的办事机构）</w:t>
      </w: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(其中，境内工商注册的产品制造商必须同时加盖法人公章，若境外品牌境外生产的产品生产制造商</w:t>
      </w:r>
      <w:r>
        <w:rPr>
          <w:rFonts w:hint="eastAsia" w:ascii="宋体" w:hAnsi="宋体" w:eastAsia="宋体" w:cs="宋体"/>
          <w:bCs/>
          <w:color w:val="000000" w:themeColor="text1"/>
          <w:sz w:val="21"/>
          <w:szCs w:val="21"/>
          <w:highlight w:val="none"/>
          <w14:textFill>
            <w14:solidFill>
              <w14:schemeClr w14:val="tx1"/>
            </w14:solidFill>
          </w14:textFill>
        </w:rPr>
        <w:t>境内的办事机构</w:t>
      </w:r>
      <w:r>
        <w:rPr>
          <w:rFonts w:hint="eastAsia" w:ascii="宋体" w:hAnsi="宋体" w:eastAsia="宋体" w:cs="宋体"/>
          <w:color w:val="000000" w:themeColor="text1"/>
          <w:sz w:val="21"/>
          <w:szCs w:val="21"/>
          <w:highlight w:val="none"/>
          <w14:textFill>
            <w14:solidFill>
              <w14:schemeClr w14:val="tx1"/>
            </w14:solidFill>
          </w14:textFill>
        </w:rPr>
        <w:t>在境内工商注册的，必须同时加盖公章)</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签发日期：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pPr>
        <w:snapToGrid w:val="0"/>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p>
    <w:p>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投标文件正本内必须提供原件，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pPr>
        <w:rPr>
          <w:rFonts w:hint="eastAsia" w:hAnsi="宋体" w:cs="宋体"/>
          <w:b/>
          <w:color w:val="000000" w:themeColor="text1"/>
          <w:kern w:val="0"/>
          <w:sz w:val="30"/>
          <w:szCs w:val="30"/>
          <w:highlight w:val="none"/>
          <w:lang w:val="en-US" w:eastAsia="zh-CN"/>
          <w14:textFill>
            <w14:solidFill>
              <w14:schemeClr w14:val="tx1"/>
            </w14:solidFill>
          </w14:textFill>
        </w:rPr>
      </w:pPr>
      <w:r>
        <w:rPr>
          <w:rFonts w:hint="eastAsia" w:hAnsi="宋体" w:cs="宋体"/>
          <w:b/>
          <w:color w:val="000000" w:themeColor="text1"/>
          <w:kern w:val="0"/>
          <w:sz w:val="30"/>
          <w:szCs w:val="30"/>
          <w:highlight w:val="none"/>
          <w:lang w:val="en-US" w:eastAsia="zh-CN"/>
          <w14:textFill>
            <w14:solidFill>
              <w14:schemeClr w14:val="tx1"/>
            </w14:solidFill>
          </w14:textFill>
        </w:rPr>
        <w:br w:type="page"/>
      </w:r>
    </w:p>
    <w:p>
      <w:pPr>
        <w:pStyle w:val="4"/>
        <w:pageBreakBefore/>
        <w:spacing w:line="360" w:lineRule="auto"/>
        <w:rPr>
          <w:rFonts w:hAnsi="宋体"/>
          <w:b/>
          <w:color w:val="000000" w:themeColor="text1"/>
          <w:sz w:val="30"/>
          <w:szCs w:val="30"/>
          <w:highlight w:val="none"/>
          <w:lang w:val="zh-CN"/>
          <w14:textFill>
            <w14:solidFill>
              <w14:schemeClr w14:val="tx1"/>
            </w14:solidFill>
          </w14:textFill>
        </w:rPr>
      </w:pPr>
      <w:r>
        <w:rPr>
          <w:rFonts w:hint="eastAsia" w:hAnsi="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bookmarkEnd w:id="482"/>
      <w:bookmarkEnd w:id="483"/>
      <w:r>
        <w:rPr>
          <w:rFonts w:hint="eastAsia" w:hAnsi="宋体"/>
          <w:b/>
          <w:bCs/>
          <w:color w:val="000000" w:themeColor="text1"/>
          <w:kern w:val="2"/>
          <w:sz w:val="32"/>
          <w:szCs w:val="32"/>
          <w:highlight w:val="none"/>
          <w14:textFill>
            <w14:solidFill>
              <w14:schemeClr w14:val="tx1"/>
            </w14:solidFill>
          </w14:textFill>
        </w:rPr>
        <w:t>【投标人提供一份202</w:t>
      </w:r>
      <w:r>
        <w:rPr>
          <w:rFonts w:hint="eastAsia" w:hAnsi="宋体"/>
          <w:b/>
          <w:bCs/>
          <w:color w:val="000000" w:themeColor="text1"/>
          <w:kern w:val="2"/>
          <w:sz w:val="32"/>
          <w:szCs w:val="32"/>
          <w:highlight w:val="none"/>
          <w:lang w:val="en-US" w:eastAsia="zh-CN"/>
          <w14:textFill>
            <w14:solidFill>
              <w14:schemeClr w14:val="tx1"/>
            </w14:solidFill>
          </w14:textFill>
        </w:rPr>
        <w:t>2</w:t>
      </w:r>
      <w:r>
        <w:rPr>
          <w:rFonts w:hint="eastAsia" w:hAnsi="宋体"/>
          <w:b/>
          <w:bCs/>
          <w:color w:val="000000" w:themeColor="text1"/>
          <w:kern w:val="2"/>
          <w:sz w:val="32"/>
          <w:szCs w:val="32"/>
          <w:highlight w:val="none"/>
          <w14:textFill>
            <w14:solidFill>
              <w14:schemeClr w14:val="tx1"/>
            </w14:solidFill>
          </w14:textFill>
        </w:rPr>
        <w:t>年1月1日以来在国内</w:t>
      </w:r>
      <w:r>
        <w:rPr>
          <w:rFonts w:hint="eastAsia" w:hAnsi="宋体"/>
          <w:b/>
          <w:bCs/>
          <w:color w:val="000000" w:themeColor="text1"/>
          <w:kern w:val="2"/>
          <w:sz w:val="32"/>
          <w:szCs w:val="32"/>
          <w:highlight w:val="none"/>
          <w:lang w:val="en-US" w:eastAsia="zh-CN"/>
          <w14:textFill>
            <w14:solidFill>
              <w14:schemeClr w14:val="tx1"/>
            </w14:solidFill>
          </w14:textFill>
        </w:rPr>
        <w:t>的</w:t>
      </w:r>
      <w:r>
        <w:rPr>
          <w:rFonts w:hint="eastAsia" w:hAnsi="宋体"/>
          <w:b/>
          <w:bCs/>
          <w:color w:val="000000" w:themeColor="text1"/>
          <w:kern w:val="2"/>
          <w:sz w:val="32"/>
          <w:szCs w:val="32"/>
          <w:highlight w:val="none"/>
          <w14:textFill>
            <w14:solidFill>
              <w14:schemeClr w14:val="tx1"/>
            </w14:solidFill>
          </w14:textFill>
        </w:rPr>
        <w:t>投标品牌</w:t>
      </w:r>
      <w:r>
        <w:rPr>
          <w:rFonts w:hint="eastAsia" w:hAnsi="宋体"/>
          <w:b/>
          <w:bCs/>
          <w:color w:val="000000" w:themeColor="text1"/>
          <w:kern w:val="2"/>
          <w:sz w:val="32"/>
          <w:szCs w:val="32"/>
          <w:highlight w:val="none"/>
          <w:lang w:eastAsia="zh-CN"/>
          <w14:textFill>
            <w14:solidFill>
              <w14:schemeClr w14:val="tx1"/>
            </w14:solidFill>
          </w14:textFill>
        </w:rPr>
        <w:t>管式微孔曝气器</w:t>
      </w:r>
      <w:r>
        <w:rPr>
          <w:rFonts w:hint="eastAsia" w:hAnsi="宋体"/>
          <w:b/>
          <w:bCs/>
          <w:color w:val="000000" w:themeColor="text1"/>
          <w:kern w:val="2"/>
          <w:sz w:val="32"/>
          <w:szCs w:val="32"/>
          <w:highlight w:val="none"/>
          <w14:textFill>
            <w14:solidFill>
              <w14:schemeClr w14:val="tx1"/>
            </w14:solidFill>
          </w14:textFill>
        </w:rPr>
        <w:t>设备供货业绩（合同签订日期为202</w:t>
      </w:r>
      <w:r>
        <w:rPr>
          <w:rFonts w:hint="eastAsia" w:hAnsi="宋体"/>
          <w:b/>
          <w:bCs/>
          <w:color w:val="000000" w:themeColor="text1"/>
          <w:kern w:val="2"/>
          <w:sz w:val="32"/>
          <w:szCs w:val="32"/>
          <w:highlight w:val="none"/>
          <w:lang w:val="en-US" w:eastAsia="zh-CN"/>
          <w14:textFill>
            <w14:solidFill>
              <w14:schemeClr w14:val="tx1"/>
            </w14:solidFill>
          </w14:textFill>
        </w:rPr>
        <w:t>2</w:t>
      </w:r>
      <w:r>
        <w:rPr>
          <w:rFonts w:hint="eastAsia" w:hAnsi="宋体"/>
          <w:b/>
          <w:bCs/>
          <w:color w:val="000000" w:themeColor="text1"/>
          <w:kern w:val="2"/>
          <w:sz w:val="32"/>
          <w:szCs w:val="32"/>
          <w:highlight w:val="none"/>
          <w14:textFill>
            <w14:solidFill>
              <w14:schemeClr w14:val="tx1"/>
            </w14:solidFill>
          </w14:textFill>
        </w:rPr>
        <w:t>年1月1日或以后）】</w:t>
      </w:r>
    </w:p>
    <w:p>
      <w:pPr>
        <w:spacing w:line="360" w:lineRule="auto"/>
        <w:rPr>
          <w:rFonts w:hAnsi="宋体"/>
          <w:color w:val="000000" w:themeColor="text1"/>
          <w:szCs w:val="21"/>
          <w:highlight w:val="none"/>
          <w:lang w:val="zh-CN"/>
          <w14:textFill>
            <w14:solidFill>
              <w14:schemeClr w14:val="tx1"/>
            </w14:solidFill>
          </w14:textFill>
        </w:rPr>
      </w:pPr>
    </w:p>
    <w:tbl>
      <w:tblPr>
        <w:tblStyle w:val="36"/>
        <w:tblW w:w="100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1"/>
        <w:gridCol w:w="1185"/>
        <w:gridCol w:w="1261"/>
        <w:gridCol w:w="1418"/>
        <w:gridCol w:w="855"/>
        <w:gridCol w:w="785"/>
        <w:gridCol w:w="829"/>
        <w:gridCol w:w="1572"/>
        <w:gridCol w:w="8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8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7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8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15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8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11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11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11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11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57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p>
    <w:p>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（1）业绩须附合同复印件（合同卖方必须为投标人）；</w:t>
      </w:r>
    </w:p>
    <w:p>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b w:val="0"/>
          <w:bCs/>
          <w:color w:val="000000" w:themeColor="text1"/>
          <w:kern w:val="0"/>
          <w:sz w:val="21"/>
          <w:szCs w:val="21"/>
          <w:highlight w:val="none"/>
          <w14:textFill>
            <w14:solidFill>
              <w14:schemeClr w14:val="tx1"/>
            </w14:solidFill>
          </w14:textFill>
        </w:rPr>
        <w:t>若合同无法反映资格条件（合同签订日期为</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202</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年1月1日</w:t>
      </w:r>
      <w:r>
        <w:rPr>
          <w:rFonts w:hint="eastAsia" w:ascii="宋体" w:hAnsi="宋体" w:eastAsia="宋体" w:cs="宋体"/>
          <w:b w:val="0"/>
          <w:bCs/>
          <w:color w:val="000000" w:themeColor="text1"/>
          <w:kern w:val="0"/>
          <w:sz w:val="21"/>
          <w:szCs w:val="21"/>
          <w:highlight w:val="none"/>
          <w14:textFill>
            <w14:solidFill>
              <w14:schemeClr w14:val="tx1"/>
            </w14:solidFill>
          </w14:textFill>
        </w:rPr>
        <w:t>或以后，合同标的必须包含投标品牌</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管式微孔曝气器</w:t>
      </w:r>
      <w:r>
        <w:rPr>
          <w:rFonts w:hint="eastAsia" w:ascii="宋体" w:hAnsi="宋体" w:eastAsia="宋体" w:cs="宋体"/>
          <w:b w:val="0"/>
          <w:bCs/>
          <w:color w:val="000000" w:themeColor="text1"/>
          <w:kern w:val="0"/>
          <w:sz w:val="21"/>
          <w:szCs w:val="21"/>
          <w:highlight w:val="none"/>
          <w14:textFill>
            <w14:solidFill>
              <w14:schemeClr w14:val="tx1"/>
            </w14:solidFill>
          </w14:textFill>
        </w:rPr>
        <w:t>设备）的，还需提供产品购买方出具的书面补充说明文件复印件作为辅助证明（补充说明文件复印件能显示购买方公章）</w:t>
      </w:r>
      <w:r>
        <w:rPr>
          <w:rFonts w:hint="eastAsia" w:ascii="宋体" w:hAnsi="宋体" w:eastAsia="宋体" w:cs="宋体"/>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494" w:name="_Toc14967"/>
      <w:bookmarkStart w:id="495" w:name="_Toc6253"/>
      <w:r>
        <w:rPr>
          <w:rFonts w:hint="eastAsia" w:ascii="宋体" w:hAnsi="宋体" w:eastAsia="宋体" w:cs="宋体"/>
          <w:b/>
          <w:color w:val="000000" w:themeColor="text1"/>
          <w:szCs w:val="21"/>
          <w:highlight w:val="none"/>
          <w:lang w:val="zh-CN"/>
          <w14:textFill>
            <w14:solidFill>
              <w14:schemeClr w14:val="tx1"/>
            </w14:solidFill>
          </w14:textFill>
        </w:rPr>
        <w:t>（3）</w:t>
      </w:r>
      <w:bookmarkEnd w:id="494"/>
      <w:bookmarkEnd w:id="495"/>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p>
    <w:p>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496" w:name="_Toc31879"/>
      <w:bookmarkStart w:id="497" w:name="_Toc897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6.6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484"/>
      <w:bookmarkEnd w:id="485"/>
      <w:bookmarkEnd w:id="486"/>
      <w:bookmarkEnd w:id="487"/>
      <w:bookmarkEnd w:id="488"/>
      <w:bookmarkEnd w:id="496"/>
      <w:bookmarkEnd w:id="497"/>
    </w:p>
    <w:p>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bookmarkStart w:id="498" w:name="_Toc13237"/>
      <w:bookmarkStart w:id="499" w:name="_Toc140596934"/>
      <w:bookmarkStart w:id="500" w:name="_Toc486167714"/>
      <w:bookmarkStart w:id="501" w:name="_Toc142508374"/>
      <w:bookmarkStart w:id="502" w:name="_Toc533708126"/>
      <w:bookmarkStart w:id="503" w:name="_Toc104991881"/>
      <w:bookmarkStart w:id="504" w:name="_Toc94107215"/>
      <w:bookmarkStart w:id="505" w:name="_Toc102860079"/>
      <w:bookmarkStart w:id="506" w:name="_Toc1977731"/>
      <w:bookmarkStart w:id="507" w:name="_Toc102860423"/>
      <w:bookmarkStart w:id="508" w:name="_Toc2031_WPSOffice_Level2"/>
    </w:p>
    <w:p>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509" w:name="_Toc11148"/>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498"/>
      <w:bookmarkEnd w:id="499"/>
      <w:bookmarkEnd w:id="500"/>
      <w:bookmarkEnd w:id="501"/>
      <w:bookmarkEnd w:id="502"/>
      <w:bookmarkEnd w:id="503"/>
      <w:bookmarkEnd w:id="504"/>
      <w:bookmarkEnd w:id="505"/>
      <w:bookmarkEnd w:id="506"/>
      <w:bookmarkEnd w:id="507"/>
      <w:bookmarkEnd w:id="508"/>
      <w:bookmarkEnd w:id="509"/>
    </w:p>
    <w:p>
      <w:pPr>
        <w:autoSpaceDE w:val="0"/>
        <w:autoSpaceDN w:val="0"/>
        <w:adjustRightInd w:val="0"/>
        <w:spacing w:line="360" w:lineRule="auto"/>
        <w:jc w:val="center"/>
        <w:outlineLvl w:val="0"/>
        <w:rPr>
          <w:rFonts w:ascii="宋体" w:hAnsi="宋体" w:eastAsia="宋体" w:cs="宋体"/>
          <w:b/>
          <w:bCs/>
          <w:color w:val="000000" w:themeColor="text1"/>
          <w:sz w:val="30"/>
          <w:szCs w:val="30"/>
          <w:highlight w:val="none"/>
          <w14:textFill>
            <w14:solidFill>
              <w14:schemeClr w14:val="tx1"/>
            </w14:solidFill>
          </w14:textFill>
        </w:rPr>
      </w:pPr>
      <w:bookmarkStart w:id="510" w:name="_Toc2773_WPSOffice_Level3"/>
      <w:bookmarkStart w:id="511" w:name="_Toc2188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510"/>
      <w:bookmarkEnd w:id="511"/>
    </w:p>
    <w:p>
      <w:pPr>
        <w:autoSpaceDE w:val="0"/>
        <w:autoSpaceDN w:val="0"/>
        <w:adjustRightInd w:val="0"/>
        <w:spacing w:line="360" w:lineRule="auto"/>
        <w:ind w:firstLine="420"/>
        <w:outlineLvl w:val="0"/>
        <w:rPr>
          <w:rFonts w:ascii="宋体" w:hAnsi="宋体" w:eastAsia="宋体" w:cs="宋体"/>
          <w:color w:val="000000" w:themeColor="text1"/>
          <w:szCs w:val="21"/>
          <w:highlight w:val="none"/>
          <w14:textFill>
            <w14:solidFill>
              <w14:schemeClr w14:val="tx1"/>
            </w14:solidFill>
          </w14:textFill>
        </w:rPr>
      </w:pPr>
      <w:bookmarkStart w:id="512" w:name="_Toc16084"/>
      <w:r>
        <w:rPr>
          <w:rFonts w:hint="eastAsia" w:ascii="宋体" w:hAnsi="宋体" w:eastAsia="宋体" w:cs="宋体"/>
          <w:color w:val="000000" w:themeColor="text1"/>
          <w:szCs w:val="21"/>
          <w:highlight w:val="none"/>
          <w:lang w:val="zh-CN"/>
          <w14:textFill>
            <w14:solidFill>
              <w14:schemeClr w14:val="tx1"/>
            </w14:solidFill>
          </w14:textFill>
        </w:rPr>
        <w:t>1．名称及概况：</w:t>
      </w:r>
      <w:bookmarkEnd w:id="512"/>
    </w:p>
    <w:p>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pPr>
        <w:autoSpaceDE w:val="0"/>
        <w:autoSpaceDN w:val="0"/>
        <w:adjustRightInd w:val="0"/>
        <w:spacing w:line="360" w:lineRule="auto"/>
        <w:ind w:firstLine="420"/>
        <w:outlineLvl w:val="0"/>
        <w:rPr>
          <w:rFonts w:ascii="宋体" w:hAnsi="宋体" w:eastAsia="宋体" w:cs="宋体"/>
          <w:color w:val="000000" w:themeColor="text1"/>
          <w:szCs w:val="24"/>
          <w:highlight w:val="none"/>
          <w14:textFill>
            <w14:solidFill>
              <w14:schemeClr w14:val="tx1"/>
            </w14:solidFill>
          </w14:textFill>
        </w:rPr>
      </w:pPr>
      <w:bookmarkStart w:id="513" w:name="_Toc28783"/>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bookmarkEnd w:id="513"/>
    </w:p>
    <w:p>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514" w:name="_Toc140596935"/>
      <w:bookmarkStart w:id="515" w:name="_Toc142508375"/>
      <w:bookmarkStart w:id="516" w:name="_Toc104991882"/>
      <w:bookmarkStart w:id="517" w:name="_Toc102860424"/>
      <w:bookmarkStart w:id="518" w:name="_Toc3711"/>
      <w:bookmarkStart w:id="519" w:name="_Toc102860080"/>
      <w:bookmarkStart w:id="520" w:name="_Toc94107216"/>
      <w:bookmarkStart w:id="521" w:name="_Toc4495"/>
      <w:bookmarkStart w:id="522" w:name="_Toc1977733"/>
      <w:bookmarkStart w:id="523" w:name="_Toc486167715"/>
      <w:bookmarkStart w:id="524" w:name="_Toc533708128"/>
      <w:bookmarkStart w:id="525" w:name="_Toc9051_WPSOffice_Level2"/>
      <w:r>
        <w:rPr>
          <w:rFonts w:hint="eastAsia" w:ascii="宋体" w:hAnsi="宋体" w:eastAsia="宋体" w:cs="宋体"/>
          <w:b/>
          <w:color w:val="000000" w:themeColor="text1"/>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514"/>
      <w:bookmarkEnd w:id="515"/>
      <w:bookmarkEnd w:id="516"/>
      <w:bookmarkEnd w:id="517"/>
      <w:bookmarkEnd w:id="518"/>
      <w:bookmarkEnd w:id="519"/>
      <w:bookmarkEnd w:id="520"/>
      <w:bookmarkEnd w:id="521"/>
    </w:p>
    <w:p>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4"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2021</w:t>
            </w:r>
          </w:p>
        </w:tc>
        <w:tc>
          <w:tcPr>
            <w:tcW w:w="1944"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7" w:type="default"/>
          <w:pgSz w:w="11907" w:h="16840"/>
          <w:pgMar w:top="1191" w:right="1043" w:bottom="1191" w:left="1043" w:header="720" w:footer="720" w:gutter="0"/>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522"/>
    <w:bookmarkEnd w:id="523"/>
    <w:bookmarkEnd w:id="524"/>
    <w:bookmarkEnd w:id="525"/>
    <w:p>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526" w:name="_Toc104991883"/>
      <w:bookmarkStart w:id="527" w:name="_Toc486167716"/>
      <w:bookmarkStart w:id="528" w:name="_Toc15551"/>
      <w:bookmarkStart w:id="529" w:name="_Toc94107217"/>
      <w:bookmarkStart w:id="530" w:name="_Toc102860425"/>
      <w:bookmarkStart w:id="531" w:name="_Toc20034"/>
      <w:bookmarkStart w:id="532" w:name="_Toc142508376"/>
      <w:bookmarkStart w:id="533" w:name="_Toc140596936"/>
      <w:bookmarkStart w:id="534" w:name="_Toc102860081"/>
      <w:bookmarkStart w:id="535" w:name="_Toc533708130"/>
      <w:bookmarkStart w:id="536" w:name="_Toc1977736"/>
      <w:bookmarkStart w:id="537" w:name="_Toc739_WPSOffice_Level2"/>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526"/>
      <w:bookmarkEnd w:id="527"/>
      <w:bookmarkEnd w:id="528"/>
      <w:bookmarkEnd w:id="529"/>
      <w:bookmarkEnd w:id="530"/>
      <w:bookmarkEnd w:id="531"/>
      <w:bookmarkEnd w:id="532"/>
      <w:bookmarkEnd w:id="533"/>
      <w:bookmarkEnd w:id="534"/>
      <w:bookmarkEnd w:id="535"/>
      <w:bookmarkEnd w:id="536"/>
      <w:bookmarkEnd w:id="537"/>
    </w:p>
    <w:p>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538"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东莞市石鼓净水有限公司石碣二期生化池曝气系统重置采购项目（重新招标）合同条款偏离表</w:t>
      </w:r>
      <w:bookmarkEnd w:id="538"/>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第一条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合同项目</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第二条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合同价款及销项税额</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第三条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付款方式</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第四条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合同组成</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第五条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技术要求</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六</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质量保证、工厂监造和出厂试验</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第七条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施工安全及其他要求</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第八条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包装、运输</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第九条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保险</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货物的交付</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第十一条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安装、调试</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第十二条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验收</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第十三条</w:t>
            </w:r>
          </w:p>
        </w:tc>
        <w:tc>
          <w:tcPr>
            <w:tcW w:w="3055" w:type="dxa"/>
            <w:vAlign w:val="center"/>
          </w:tcPr>
          <w:p>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权利保证</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第十四条</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质量保证及售后服务</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第十五条</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第十六条</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技术资料</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第十七条</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第十八条</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索赔</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第十九条</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第二十条</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争议解决</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第二十一条</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其他</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22</w:t>
            </w:r>
          </w:p>
        </w:tc>
        <w:tc>
          <w:tcPr>
            <w:tcW w:w="1425"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23</w:t>
            </w:r>
          </w:p>
        </w:tc>
        <w:tc>
          <w:tcPr>
            <w:tcW w:w="1425"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安全生产管理协议</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w:t>
            </w:r>
          </w:p>
        </w:tc>
        <w:tc>
          <w:tcPr>
            <w:tcW w:w="1425"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六</w:t>
            </w:r>
          </w:p>
        </w:tc>
        <w:tc>
          <w:tcPr>
            <w:tcW w:w="3055"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验收报告表</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25</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26</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27</w:t>
            </w:r>
          </w:p>
        </w:tc>
        <w:tc>
          <w:tcPr>
            <w:tcW w:w="142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055"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539" w:name="_Toc104991884"/>
      <w:bookmarkStart w:id="540" w:name="_Toc2075"/>
      <w:bookmarkStart w:id="541" w:name="_Toc140596937"/>
      <w:bookmarkStart w:id="542" w:name="_Toc102860082"/>
      <w:bookmarkStart w:id="543" w:name="_Toc13348"/>
      <w:bookmarkStart w:id="544" w:name="_Toc102860426"/>
      <w:bookmarkStart w:id="545" w:name="_Toc142508377"/>
      <w:bookmarkStart w:id="546" w:name="_Toc94107218"/>
      <w:bookmarkStart w:id="547" w:name="_Toc27980_WPSOffice_Level2"/>
      <w:bookmarkStart w:id="548" w:name="_Toc486167717"/>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十</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539"/>
      <w:bookmarkEnd w:id="540"/>
      <w:bookmarkEnd w:id="541"/>
      <w:bookmarkEnd w:id="542"/>
      <w:bookmarkEnd w:id="543"/>
      <w:bookmarkEnd w:id="544"/>
      <w:bookmarkEnd w:id="545"/>
      <w:bookmarkEnd w:id="546"/>
    </w:p>
    <w:p>
      <w:pPr>
        <w:autoSpaceDE w:val="0"/>
        <w:autoSpaceDN w:val="0"/>
        <w:adjustRightInd w:val="0"/>
        <w:spacing w:line="360" w:lineRule="auto"/>
        <w:ind w:firstLine="0"/>
        <w:jc w:val="left"/>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10.1 投标人具有的投标品牌设备业绩</w:t>
      </w:r>
    </w:p>
    <w:p>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2022</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月</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日至今（合同签订日期为202</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2</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年1月1日或以后）</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投标人</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在国内具有</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的投标品牌管式微孔曝气器</w:t>
      </w:r>
      <w:r>
        <w:rPr>
          <w:rFonts w:hint="eastAsia" w:ascii="宋体" w:hAnsi="宋体" w:eastAsia="宋体" w:cs="Times New Roman"/>
          <w:b/>
          <w:bCs/>
          <w:color w:val="000000" w:themeColor="text1"/>
          <w:sz w:val="30"/>
          <w:szCs w:val="30"/>
          <w:highlight w:val="none"/>
          <w:lang w:val="zh-CN"/>
          <w14:textFill>
            <w14:solidFill>
              <w14:schemeClr w14:val="tx1"/>
            </w14:solidFill>
          </w14:textFill>
        </w:rPr>
        <w:t>设备供货业绩表</w:t>
      </w:r>
    </w:p>
    <w:tbl>
      <w:tblPr>
        <w:tblStyle w:val="36"/>
        <w:tblW w:w="103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合同标的货物数量</w:t>
            </w: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8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pPr>
        <w:snapToGrid w:val="0"/>
        <w:spacing w:line="360" w:lineRule="auto"/>
        <w:ind w:left="481" w:leftChars="-41" w:hanging="567" w:hangingChars="270"/>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业绩按单项合同采购金额从高到低的方式排列；</w:t>
      </w:r>
      <w:r>
        <w:rPr>
          <w:rFonts w:hint="eastAsia" w:ascii="宋体" w:hAnsi="宋体" w:eastAsia="宋体" w:cs="宋体"/>
          <w:b/>
          <w:color w:val="000000" w:themeColor="text1"/>
          <w:sz w:val="21"/>
          <w:szCs w:val="21"/>
          <w:highlight w:val="none"/>
          <w:lang w:val="zh-CN"/>
          <w14:textFill>
            <w14:solidFill>
              <w14:schemeClr w14:val="tx1"/>
            </w14:solidFill>
          </w14:textFill>
        </w:rPr>
        <w:t>同一个单项合同的业绩可以同时在资格业绩和评分业绩重复放置；</w:t>
      </w:r>
      <w:r>
        <w:rPr>
          <w:rFonts w:hint="eastAsia" w:ascii="宋体" w:hAnsi="宋体" w:eastAsia="宋体" w:cs="宋体"/>
          <w:color w:val="000000" w:themeColor="text1"/>
          <w:kern w:val="2"/>
          <w:sz w:val="21"/>
          <w:highlight w:val="none"/>
          <w:lang w:val="zh-CN"/>
          <w14:textFill>
            <w14:solidFill>
              <w14:schemeClr w14:val="tx1"/>
            </w14:solidFill>
          </w14:textFill>
        </w:rPr>
        <w:t>此业绩表对应商务评审第三项业绩评审的第一类业绩；</w:t>
      </w:r>
    </w:p>
    <w:p>
      <w:pPr>
        <w:snapToGrid w:val="0"/>
        <w:spacing w:line="360" w:lineRule="auto"/>
        <w:ind w:left="481" w:leftChars="-41" w:hanging="567" w:hangingChars="270"/>
        <w:rPr>
          <w:rFonts w:hint="eastAsia" w:ascii="宋体" w:hAnsi="宋体" w:eastAsia="宋体" w:cs="宋体"/>
          <w:color w:val="000000" w:themeColor="text1"/>
          <w:kern w:val="2"/>
          <w:sz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b/>
          <w:bCs/>
          <w:color w:val="000000" w:themeColor="text1"/>
          <w:sz w:val="21"/>
          <w:szCs w:val="21"/>
          <w:highlight w:val="none"/>
          <w:lang w:val="zh-CN"/>
          <w14:textFill>
            <w14:solidFill>
              <w14:schemeClr w14:val="tx1"/>
            </w14:solidFill>
          </w14:textFill>
        </w:rPr>
        <w:t>业绩须附合同复印件</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否则不得分</w:t>
      </w:r>
      <w:r>
        <w:rPr>
          <w:rFonts w:hint="eastAsia" w:ascii="宋体" w:hAnsi="宋体" w:eastAsia="宋体" w:cs="宋体"/>
          <w:b/>
          <w:color w:val="000000" w:themeColor="text1"/>
          <w:sz w:val="21"/>
          <w:szCs w:val="21"/>
          <w:highlight w:val="none"/>
          <w:lang w:val="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当本次投标人为投标品牌设备的制造商时，合同卖方可为投标人，也可为投标品牌设备的代理商/经销商；当本次投标人为经销商时，合同的卖方必须为本项目的投标人</w:t>
      </w:r>
      <w:r>
        <w:rPr>
          <w:rFonts w:hint="eastAsia" w:ascii="宋体" w:hAnsi="宋体" w:eastAsia="宋体" w:cs="宋体"/>
          <w:b/>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w:t>
      </w:r>
    </w:p>
    <w:p>
      <w:pPr>
        <w:snapToGrid w:val="0"/>
        <w:spacing w:line="360" w:lineRule="auto"/>
        <w:ind w:left="481" w:leftChars="-41" w:hanging="567" w:hangingChars="270"/>
        <w:rPr>
          <w:rFonts w:hint="eastAsia" w:ascii="宋体" w:hAnsi="宋体" w:eastAsia="宋体" w:cs="宋体"/>
          <w:color w:val="000000" w:themeColor="text1"/>
          <w:kern w:val="2"/>
          <w:sz w:val="21"/>
          <w:highlight w:val="none"/>
          <w:lang w:val="zh-CN"/>
          <w14:textFill>
            <w14:solidFill>
              <w14:schemeClr w14:val="tx1"/>
            </w14:solidFill>
          </w14:textFill>
        </w:rPr>
      </w:pPr>
      <w:r>
        <w:rPr>
          <w:rFonts w:hint="eastAsia" w:ascii="宋体" w:hAnsi="宋体" w:eastAsia="宋体" w:cs="宋体"/>
          <w:color w:val="000000" w:themeColor="text1"/>
          <w:kern w:val="2"/>
          <w:sz w:val="21"/>
          <w:highlight w:val="none"/>
          <w:lang w:val="zh-CN"/>
          <w14:textFill>
            <w14:solidFill>
              <w14:schemeClr w14:val="tx1"/>
            </w14:solidFill>
          </w14:textFill>
        </w:rPr>
        <w:t>（3）</w:t>
      </w:r>
      <w:r>
        <w:rPr>
          <w:rFonts w:hint="eastAsia" w:ascii="宋体" w:hAnsi="宋体" w:eastAsia="宋体" w:cs="宋体"/>
          <w:b/>
          <w:bCs/>
          <w:color w:val="000000" w:themeColor="text1"/>
          <w:kern w:val="2"/>
          <w:sz w:val="21"/>
          <w:highlight w:val="none"/>
          <w:lang w:val="zh-CN"/>
          <w14:textFill>
            <w14:solidFill>
              <w14:schemeClr w14:val="tx1"/>
            </w14:solidFill>
          </w14:textFill>
        </w:rPr>
        <w:t>若合同无法反映评分条件</w:t>
      </w:r>
      <w:r>
        <w:rPr>
          <w:rFonts w:hint="eastAsia" w:ascii="宋体" w:hAnsi="宋体" w:eastAsia="宋体" w:cs="宋体"/>
          <w:color w:val="000000" w:themeColor="text1"/>
          <w:kern w:val="2"/>
          <w:sz w:val="21"/>
          <w:highlight w:val="none"/>
          <w:lang w:val="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合同签订日期为</w:t>
      </w:r>
      <w:r>
        <w:rPr>
          <w:rFonts w:hint="eastAsia" w:ascii="宋体" w:hAnsi="宋体" w:eastAsia="宋体" w:cs="宋体"/>
          <w:b/>
          <w:color w:val="000000" w:themeColor="text1"/>
          <w:sz w:val="21"/>
          <w:szCs w:val="21"/>
          <w:highlight w:val="none"/>
          <w:lang w:eastAsia="zh-CN"/>
          <w14:textFill>
            <w14:solidFill>
              <w14:schemeClr w14:val="tx1"/>
            </w14:solidFill>
          </w14:textFill>
        </w:rPr>
        <w:t>202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lang w:eastAsia="zh-CN"/>
          <w14:textFill>
            <w14:solidFill>
              <w14:schemeClr w14:val="tx1"/>
            </w14:solidFill>
          </w14:textFill>
        </w:rPr>
        <w:t>年1月1日</w:t>
      </w:r>
      <w:r>
        <w:rPr>
          <w:rFonts w:hint="eastAsia" w:ascii="宋体" w:hAnsi="宋体" w:eastAsia="宋体" w:cs="宋体"/>
          <w:b/>
          <w:color w:val="000000" w:themeColor="text1"/>
          <w:sz w:val="21"/>
          <w:szCs w:val="21"/>
          <w:highlight w:val="none"/>
          <w14:textFill>
            <w14:solidFill>
              <w14:schemeClr w14:val="tx1"/>
            </w14:solidFill>
          </w14:textFill>
        </w:rPr>
        <w:t>或以后，合同标的必须包含投标品牌管式微孔曝气器设备，合同金额满足评分要求</w:t>
      </w:r>
      <w:r>
        <w:rPr>
          <w:rFonts w:hint="eastAsia" w:ascii="宋体" w:hAnsi="宋体" w:eastAsia="宋体" w:cs="宋体"/>
          <w:b/>
          <w:bCs/>
          <w:color w:val="000000" w:themeColor="text1"/>
          <w:kern w:val="2"/>
          <w:sz w:val="21"/>
          <w:highlight w:val="none"/>
          <w:lang w:val="zh-CN"/>
          <w14:textFill>
            <w14:solidFill>
              <w14:schemeClr w14:val="tx1"/>
            </w14:solidFill>
          </w14:textFill>
        </w:rPr>
        <w:t>）的，还需提供</w:t>
      </w:r>
      <w:r>
        <w:rPr>
          <w:rFonts w:hint="eastAsia" w:ascii="宋体" w:hAnsi="宋体" w:eastAsia="宋体" w:cs="宋体"/>
          <w:b/>
          <w:color w:val="000000" w:themeColor="text1"/>
          <w:sz w:val="21"/>
          <w:szCs w:val="21"/>
          <w:highlight w:val="none"/>
          <w14:textFill>
            <w14:solidFill>
              <w14:schemeClr w14:val="tx1"/>
            </w14:solidFill>
          </w14:textFill>
        </w:rPr>
        <w:t>产品购买方出具的书面补充说明文件复印件作为辅助证明（补充说明文件复印件能显示购买方公章），否则不得分</w:t>
      </w:r>
      <w:r>
        <w:rPr>
          <w:rFonts w:hint="eastAsia" w:ascii="宋体" w:hAnsi="宋体" w:eastAsia="宋体" w:cs="宋体"/>
          <w:color w:val="000000" w:themeColor="text1"/>
          <w:kern w:val="2"/>
          <w:sz w:val="21"/>
          <w:highlight w:val="none"/>
          <w:lang w:val="zh-CN"/>
          <w14:textFill>
            <w14:solidFill>
              <w14:schemeClr w14:val="tx1"/>
            </w14:solidFill>
          </w14:textFill>
        </w:rPr>
        <w:t>；</w:t>
      </w:r>
    </w:p>
    <w:p>
      <w:pPr>
        <w:spacing w:line="360" w:lineRule="auto"/>
        <w:ind w:left="481" w:leftChars="-41" w:hanging="567" w:hangingChars="27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highlight w:val="none"/>
          <w:lang w:val="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未按上述要求在此格式下提供证明材料的业绩，或</w:t>
      </w:r>
      <w:r>
        <w:rPr>
          <w:rFonts w:hint="eastAsia" w:ascii="宋体" w:hAnsi="宋体" w:eastAsia="宋体" w:cs="Times New Roman"/>
          <w:b w:val="0"/>
          <w:bCs w:val="0"/>
          <w:color w:val="000000" w:themeColor="text1"/>
          <w:szCs w:val="24"/>
          <w:highlight w:val="none"/>
          <w14:textFill>
            <w14:solidFill>
              <w14:schemeClr w14:val="tx1"/>
            </w14:solidFill>
          </w14:textFill>
        </w:rPr>
        <w:t>在此格式下</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所</w:t>
      </w:r>
      <w:r>
        <w:rPr>
          <w:rFonts w:hint="eastAsia" w:ascii="宋体" w:hAnsi="宋体" w:eastAsia="宋体" w:cs="宋体"/>
          <w:b w:val="0"/>
          <w:bCs w:val="0"/>
          <w:color w:val="000000" w:themeColor="text1"/>
          <w:sz w:val="21"/>
          <w:szCs w:val="21"/>
          <w:highlight w:val="none"/>
          <w14:textFill>
            <w14:solidFill>
              <w14:schemeClr w14:val="tx1"/>
            </w14:solidFill>
          </w14:textFill>
        </w:rPr>
        <w:t>附材料无法证明填报项目符合本项评分要求的业绩，在评标时将不予考虑。</w:t>
      </w:r>
    </w:p>
    <w:p>
      <w:pPr>
        <w:spacing w:line="360" w:lineRule="auto"/>
        <w:ind w:left="420" w:hanging="420" w:hangingChars="20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b w:val="0"/>
          <w:bCs w:val="0"/>
          <w:color w:val="000000" w:themeColor="text1"/>
          <w:sz w:val="21"/>
          <w:szCs w:val="20"/>
          <w:highlight w:val="none"/>
          <w:lang w:val="en-US" w:eastAsia="zh-CN"/>
          <w14:textFill>
            <w14:solidFill>
              <w14:schemeClr w14:val="tx1"/>
            </w14:solidFill>
          </w14:textFill>
        </w:rPr>
        <w:t xml:space="preserve">(5) </w:t>
      </w:r>
      <w:r>
        <w:rPr>
          <w:rFonts w:hint="eastAsia" w:ascii="宋体" w:hAnsi="宋体" w:eastAsia="宋体" w:cs="宋体"/>
          <w:b w:val="0"/>
          <w:bCs w:val="0"/>
          <w:color w:val="000000" w:themeColor="text1"/>
          <w:sz w:val="21"/>
          <w:szCs w:val="20"/>
          <w:highlight w:val="none"/>
          <w14:textFill>
            <w14:solidFill>
              <w14:schemeClr w14:val="tx1"/>
            </w14:solidFill>
          </w14:textFill>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pPr>
        <w:autoSpaceDE w:val="0"/>
        <w:autoSpaceDN w:val="0"/>
        <w:adjustRightInd w:val="0"/>
        <w:spacing w:line="360" w:lineRule="auto"/>
        <w:ind w:firstLine="5040" w:firstLineChars="240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pPr>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br w:type="page"/>
      </w:r>
    </w:p>
    <w:p>
      <w:pPr>
        <w:spacing w:line="360" w:lineRule="auto"/>
        <w:ind w:firstLine="0"/>
        <w:jc w:val="left"/>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10.2 投标品牌设备业绩</w:t>
      </w:r>
    </w:p>
    <w:p>
      <w:pPr>
        <w:spacing w:line="360" w:lineRule="auto"/>
        <w:ind w:firstLine="0"/>
        <w:jc w:val="center"/>
        <w:rPr>
          <w:rFonts w:hint="eastAsia" w:ascii="宋体" w:hAnsi="宋体" w:eastAsia="宋体" w:cs="宋体"/>
          <w:b/>
          <w:bCs/>
          <w:color w:val="000000" w:themeColor="text1"/>
          <w:kern w:val="2"/>
          <w:sz w:val="30"/>
          <w:szCs w:val="30"/>
          <w:highlight w:val="none"/>
          <w:lang w:val="zh-CN"/>
          <w14:textFill>
            <w14:solidFill>
              <w14:schemeClr w14:val="tx1"/>
            </w14:solidFill>
          </w14:textFill>
        </w:rPr>
      </w:pPr>
      <w:r>
        <w:rPr>
          <w:rFonts w:hint="eastAsia" w:ascii="宋体" w:hAnsi="宋体" w:eastAsia="宋体" w:cs="宋体"/>
          <w:b/>
          <w:bCs/>
          <w:color w:val="000000" w:themeColor="text1"/>
          <w:kern w:val="2"/>
          <w:sz w:val="30"/>
          <w:szCs w:val="30"/>
          <w:highlight w:val="none"/>
          <w:lang w:val="zh-CN"/>
          <w14:textFill>
            <w14:solidFill>
              <w14:schemeClr w14:val="tx1"/>
            </w14:solidFill>
          </w14:textFill>
        </w:rPr>
        <w:t>202</w:t>
      </w:r>
      <w:r>
        <w:rPr>
          <w:rFonts w:hint="eastAsia" w:ascii="宋体" w:hAnsi="宋体" w:eastAsia="宋体" w:cs="宋体"/>
          <w:b/>
          <w:bCs/>
          <w:color w:val="000000" w:themeColor="text1"/>
          <w:kern w:val="2"/>
          <w:sz w:val="30"/>
          <w:szCs w:val="30"/>
          <w:highlight w:val="none"/>
          <w:lang w:val="en-US" w:eastAsia="zh-CN"/>
          <w14:textFill>
            <w14:solidFill>
              <w14:schemeClr w14:val="tx1"/>
            </w14:solidFill>
          </w14:textFill>
        </w:rPr>
        <w:t>2</w:t>
      </w:r>
      <w:r>
        <w:rPr>
          <w:rFonts w:hint="eastAsia" w:ascii="宋体" w:hAnsi="宋体" w:eastAsia="宋体" w:cs="宋体"/>
          <w:b/>
          <w:bCs/>
          <w:color w:val="000000" w:themeColor="text1"/>
          <w:kern w:val="2"/>
          <w:sz w:val="30"/>
          <w:szCs w:val="30"/>
          <w:highlight w:val="none"/>
          <w:lang w:val="zh-CN"/>
          <w14:textFill>
            <w14:solidFill>
              <w14:schemeClr w14:val="tx1"/>
            </w14:solidFill>
          </w14:textFill>
        </w:rPr>
        <w:t>年1月1日至今（合同签订日期为202</w:t>
      </w:r>
      <w:r>
        <w:rPr>
          <w:rFonts w:hint="eastAsia" w:ascii="宋体" w:hAnsi="宋体" w:eastAsia="宋体" w:cs="宋体"/>
          <w:b/>
          <w:bCs/>
          <w:color w:val="000000" w:themeColor="text1"/>
          <w:kern w:val="2"/>
          <w:sz w:val="30"/>
          <w:szCs w:val="30"/>
          <w:highlight w:val="none"/>
          <w:lang w:val="en-US" w:eastAsia="zh-CN"/>
          <w14:textFill>
            <w14:solidFill>
              <w14:schemeClr w14:val="tx1"/>
            </w14:solidFill>
          </w14:textFill>
        </w:rPr>
        <w:t>2</w:t>
      </w:r>
      <w:r>
        <w:rPr>
          <w:rFonts w:hint="eastAsia" w:ascii="宋体" w:hAnsi="宋体" w:eastAsia="宋体" w:cs="宋体"/>
          <w:b/>
          <w:bCs/>
          <w:color w:val="000000" w:themeColor="text1"/>
          <w:kern w:val="2"/>
          <w:sz w:val="30"/>
          <w:szCs w:val="30"/>
          <w:highlight w:val="none"/>
          <w:lang w:val="zh-CN"/>
          <w14:textFill>
            <w14:solidFill>
              <w14:schemeClr w14:val="tx1"/>
            </w14:solidFill>
          </w14:textFill>
        </w:rPr>
        <w:t>年1月1日或以后）</w:t>
      </w:r>
    </w:p>
    <w:p>
      <w:pPr>
        <w:spacing w:line="360" w:lineRule="auto"/>
        <w:ind w:firstLine="0"/>
        <w:jc w:val="center"/>
        <w:rPr>
          <w:rFonts w:hint="eastAsia" w:ascii="宋体" w:hAnsi="宋体" w:eastAsia="宋体" w:cs="宋体"/>
          <w:b/>
          <w:bCs/>
          <w:color w:val="000000" w:themeColor="text1"/>
          <w:kern w:val="2"/>
          <w:sz w:val="30"/>
          <w:szCs w:val="30"/>
          <w:highlight w:val="none"/>
          <w:lang w:val="zh-CN"/>
          <w14:textFill>
            <w14:solidFill>
              <w14:schemeClr w14:val="tx1"/>
            </w14:solidFill>
          </w14:textFill>
        </w:rPr>
      </w:pPr>
      <w:r>
        <w:rPr>
          <w:rFonts w:hint="eastAsia" w:ascii="宋体" w:hAnsi="宋体" w:eastAsia="宋体" w:cs="宋体"/>
          <w:b/>
          <w:bCs/>
          <w:color w:val="000000" w:themeColor="text1"/>
          <w:kern w:val="2"/>
          <w:sz w:val="30"/>
          <w:szCs w:val="30"/>
          <w:highlight w:val="none"/>
          <w:lang w:val="zh-CN"/>
          <w14:textFill>
            <w14:solidFill>
              <w14:schemeClr w14:val="tx1"/>
            </w14:solidFill>
          </w14:textFill>
        </w:rPr>
        <w:t>投标品牌管式微孔曝气器设备在国内</w:t>
      </w:r>
      <w:r>
        <w:rPr>
          <w:rFonts w:hint="eastAsia" w:ascii="宋体" w:hAnsi="宋体" w:eastAsia="宋体" w:cs="宋体"/>
          <w:b/>
          <w:bCs/>
          <w:color w:val="000000" w:themeColor="text1"/>
          <w:kern w:val="2"/>
          <w:sz w:val="30"/>
          <w:szCs w:val="30"/>
          <w:highlight w:val="none"/>
          <w:lang w:val="zh-CN" w:eastAsia="zh-CN"/>
          <w14:textFill>
            <w14:solidFill>
              <w14:schemeClr w14:val="tx1"/>
            </w14:solidFill>
          </w14:textFill>
        </w:rPr>
        <w:t>具有</w:t>
      </w:r>
      <w:r>
        <w:rPr>
          <w:rFonts w:hint="eastAsia" w:ascii="宋体" w:hAnsi="宋体" w:eastAsia="宋体" w:cs="宋体"/>
          <w:b/>
          <w:bCs/>
          <w:color w:val="000000" w:themeColor="text1"/>
          <w:kern w:val="2"/>
          <w:sz w:val="30"/>
          <w:szCs w:val="30"/>
          <w:highlight w:val="none"/>
          <w:lang w:val="zh-CN"/>
          <w14:textFill>
            <w14:solidFill>
              <w14:schemeClr w14:val="tx1"/>
            </w14:solidFill>
          </w14:textFill>
        </w:rPr>
        <w:t>的供货业绩表</w:t>
      </w:r>
    </w:p>
    <w:tbl>
      <w:tblPr>
        <w:tblStyle w:val="36"/>
        <w:tblW w:w="99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685"/>
        <w:gridCol w:w="889"/>
        <w:gridCol w:w="866"/>
        <w:gridCol w:w="1130"/>
        <w:gridCol w:w="1130"/>
        <w:gridCol w:w="683"/>
        <w:gridCol w:w="629"/>
        <w:gridCol w:w="663"/>
        <w:gridCol w:w="875"/>
        <w:gridCol w:w="1056"/>
        <w:gridCol w:w="5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序号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项目</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名称</w:t>
            </w:r>
          </w:p>
        </w:tc>
        <w:tc>
          <w:tcPr>
            <w:tcW w:w="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合同标的货物名称</w:t>
            </w:r>
          </w:p>
        </w:tc>
        <w:tc>
          <w:tcPr>
            <w:tcW w:w="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合同标的货物品牌</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合同标的货物数量</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单项合同</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金额（单位：万元）</w:t>
            </w:r>
          </w:p>
        </w:tc>
        <w:tc>
          <w:tcPr>
            <w:tcW w:w="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合同期限</w:t>
            </w:r>
          </w:p>
        </w:tc>
        <w:tc>
          <w:tcPr>
            <w:tcW w:w="6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签约</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日期</w:t>
            </w:r>
          </w:p>
        </w:tc>
        <w:tc>
          <w:tcPr>
            <w:tcW w:w="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完成</w:t>
            </w:r>
          </w:p>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情况</w:t>
            </w:r>
          </w:p>
        </w:tc>
        <w:tc>
          <w:tcPr>
            <w:tcW w:w="8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买方单位联系人及电话</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合同卖方（投标人或制造商）</w:t>
            </w:r>
          </w:p>
        </w:tc>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w:t>
            </w:r>
          </w:p>
        </w:tc>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p>
        </w:tc>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w:t>
            </w:r>
          </w:p>
        </w:tc>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snapToGrid w:val="0"/>
        <w:spacing w:line="360" w:lineRule="auto"/>
        <w:ind w:left="0" w:leftChars="0" w:firstLine="0" w:firstLineChars="0"/>
        <w:rPr>
          <w:rFonts w:hint="eastAsia" w:ascii="宋体" w:hAnsi="宋体" w:eastAsia="宋体" w:cs="宋体"/>
          <w:color w:val="000000" w:themeColor="text1"/>
          <w:kern w:val="2"/>
          <w:sz w:val="21"/>
          <w:highlight w:val="none"/>
          <w:lang w:val="zh-CN"/>
          <w14:textFill>
            <w14:solidFill>
              <w14:schemeClr w14:val="tx1"/>
            </w14:solidFill>
          </w14:textFill>
        </w:rPr>
      </w:pPr>
    </w:p>
    <w:p>
      <w:pPr>
        <w:snapToGrid w:val="0"/>
        <w:spacing w:line="360" w:lineRule="auto"/>
        <w:ind w:left="0" w:leftChars="0" w:firstLine="0" w:firstLineChars="0"/>
        <w:rPr>
          <w:rFonts w:hint="eastAsia" w:ascii="宋体" w:hAnsi="宋体" w:eastAsia="宋体" w:cs="宋体"/>
          <w:color w:val="000000" w:themeColor="text1"/>
          <w:kern w:val="2"/>
          <w:sz w:val="21"/>
          <w:highlight w:val="none"/>
          <w:lang w:val="zh-CN"/>
          <w14:textFill>
            <w14:solidFill>
              <w14:schemeClr w14:val="tx1"/>
            </w14:solidFill>
          </w14:textFill>
        </w:rPr>
      </w:pPr>
      <w:r>
        <w:rPr>
          <w:rFonts w:hint="eastAsia" w:ascii="宋体" w:hAnsi="宋体" w:eastAsia="宋体" w:cs="宋体"/>
          <w:color w:val="000000" w:themeColor="text1"/>
          <w:kern w:val="2"/>
          <w:sz w:val="21"/>
          <w:highlight w:val="none"/>
          <w:lang w:val="zh-CN"/>
          <w14:textFill>
            <w14:solidFill>
              <w14:schemeClr w14:val="tx1"/>
            </w14:solidFill>
          </w14:textFill>
        </w:rPr>
        <w:t>备注：</w:t>
      </w:r>
    </w:p>
    <w:p>
      <w:pPr>
        <w:snapToGrid w:val="0"/>
        <w:spacing w:line="360" w:lineRule="auto"/>
        <w:ind w:left="420" w:leftChars="0" w:hanging="420" w:hangingChars="200"/>
        <w:jc w:val="left"/>
        <w:rPr>
          <w:rFonts w:hint="eastAsia" w:ascii="宋体" w:hAnsi="宋体" w:eastAsia="宋体" w:cs="宋体"/>
          <w:color w:val="000000" w:themeColor="text1"/>
          <w:kern w:val="2"/>
          <w:sz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业绩按单项合同采购金额从高到低的方式排列；</w:t>
      </w:r>
      <w:r>
        <w:rPr>
          <w:rFonts w:hint="eastAsia" w:ascii="宋体" w:hAnsi="宋体" w:eastAsia="宋体" w:cs="宋体"/>
          <w:b/>
          <w:color w:val="000000" w:themeColor="text1"/>
          <w:sz w:val="21"/>
          <w:szCs w:val="21"/>
          <w:highlight w:val="none"/>
          <w:lang w:val="zh-CN"/>
          <w14:textFill>
            <w14:solidFill>
              <w14:schemeClr w14:val="tx1"/>
            </w14:solidFill>
          </w14:textFill>
        </w:rPr>
        <w:t>同一个单项合同的业绩可以同时在资格业绩和评分业绩重复放置；</w:t>
      </w:r>
      <w:r>
        <w:rPr>
          <w:rFonts w:hint="eastAsia" w:ascii="宋体" w:hAnsi="宋体" w:eastAsia="宋体" w:cs="宋体"/>
          <w:color w:val="000000" w:themeColor="text1"/>
          <w:kern w:val="2"/>
          <w:sz w:val="21"/>
          <w:highlight w:val="none"/>
          <w:lang w:val="zh-CN"/>
          <w14:textFill>
            <w14:solidFill>
              <w14:schemeClr w14:val="tx1"/>
            </w14:solidFill>
          </w14:textFill>
        </w:rPr>
        <w:t>此业绩表对应商务评审第三项业绩评审的第二类业绩；</w:t>
      </w:r>
    </w:p>
    <w:p>
      <w:pPr>
        <w:snapToGrid w:val="0"/>
        <w:spacing w:line="360" w:lineRule="auto"/>
        <w:ind w:left="420" w:leftChars="0" w:hanging="420" w:hangingChars="200"/>
        <w:jc w:val="left"/>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业绩须附合同复印件，否则不得分（合同卖方可为投标品牌设备的制造商，也可为投标品牌设备的代理商/经销商）</w:t>
      </w:r>
      <w:r>
        <w:rPr>
          <w:rFonts w:hint="eastAsia" w:ascii="宋体" w:hAnsi="宋体" w:eastAsia="宋体" w:cs="宋体"/>
          <w:b/>
          <w:color w:val="000000" w:themeColor="text1"/>
          <w:sz w:val="21"/>
          <w:szCs w:val="21"/>
          <w:highlight w:val="none"/>
          <w:lang w:eastAsia="zh-CN"/>
          <w14:textFill>
            <w14:solidFill>
              <w14:schemeClr w14:val="tx1"/>
            </w14:solidFill>
          </w14:textFill>
        </w:rPr>
        <w:t>；</w:t>
      </w:r>
    </w:p>
    <w:p>
      <w:pPr>
        <w:snapToGrid w:val="0"/>
        <w:spacing w:line="360" w:lineRule="auto"/>
        <w:ind w:left="630" w:leftChars="0" w:hanging="630" w:hangingChars="300"/>
        <w:jc w:val="left"/>
        <w:rPr>
          <w:rFonts w:hint="eastAsia" w:ascii="宋体" w:hAnsi="宋体" w:eastAsia="宋体" w:cs="宋体"/>
          <w:color w:val="000000" w:themeColor="text1"/>
          <w:kern w:val="2"/>
          <w:sz w:val="21"/>
          <w:highlight w:val="none"/>
          <w:lang w:val="zh-CN"/>
          <w14:textFill>
            <w14:solidFill>
              <w14:schemeClr w14:val="tx1"/>
            </w14:solidFill>
          </w14:textFill>
        </w:rPr>
      </w:pPr>
      <w:r>
        <w:rPr>
          <w:rFonts w:hint="eastAsia" w:ascii="宋体" w:hAnsi="宋体" w:eastAsia="宋体" w:cs="宋体"/>
          <w:color w:val="000000" w:themeColor="text1"/>
          <w:kern w:val="2"/>
          <w:sz w:val="21"/>
          <w:highlight w:val="none"/>
          <w:lang w:val="zh-CN"/>
          <w14:textFill>
            <w14:solidFill>
              <w14:schemeClr w14:val="tx1"/>
            </w14:solidFill>
          </w14:textFill>
        </w:rPr>
        <w:t>（3）若合同无法反映评分条件</w:t>
      </w:r>
      <w:r>
        <w:rPr>
          <w:rFonts w:hint="eastAsia" w:ascii="宋体" w:hAnsi="宋体" w:eastAsia="宋体" w:cs="宋体"/>
          <w:b/>
          <w:color w:val="000000" w:themeColor="text1"/>
          <w:sz w:val="21"/>
          <w:szCs w:val="21"/>
          <w:highlight w:val="none"/>
          <w14:textFill>
            <w14:solidFill>
              <w14:schemeClr w14:val="tx1"/>
            </w14:solidFill>
          </w14:textFill>
        </w:rPr>
        <w:t>（合同签订日期为</w:t>
      </w:r>
      <w:r>
        <w:rPr>
          <w:rFonts w:hint="eastAsia" w:ascii="宋体" w:hAnsi="宋体" w:eastAsia="宋体" w:cs="宋体"/>
          <w:b/>
          <w:color w:val="000000" w:themeColor="text1"/>
          <w:sz w:val="21"/>
          <w:szCs w:val="21"/>
          <w:highlight w:val="none"/>
          <w:lang w:eastAsia="zh-CN"/>
          <w14:textFill>
            <w14:solidFill>
              <w14:schemeClr w14:val="tx1"/>
            </w14:solidFill>
          </w14:textFill>
        </w:rPr>
        <w:t>202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lang w:eastAsia="zh-CN"/>
          <w14:textFill>
            <w14:solidFill>
              <w14:schemeClr w14:val="tx1"/>
            </w14:solidFill>
          </w14:textFill>
        </w:rPr>
        <w:t>年1月1日</w:t>
      </w:r>
      <w:r>
        <w:rPr>
          <w:rFonts w:hint="eastAsia" w:ascii="宋体" w:hAnsi="宋体" w:eastAsia="宋体" w:cs="宋体"/>
          <w:b/>
          <w:color w:val="000000" w:themeColor="text1"/>
          <w:sz w:val="21"/>
          <w:szCs w:val="21"/>
          <w:highlight w:val="none"/>
          <w14:textFill>
            <w14:solidFill>
              <w14:schemeClr w14:val="tx1"/>
            </w14:solidFill>
          </w14:textFill>
        </w:rPr>
        <w:t>或以后，合同标的必须包含投标品牌管式微孔曝气器设备，合同金额满足评分要求）的，</w:t>
      </w:r>
      <w:r>
        <w:rPr>
          <w:rFonts w:hint="eastAsia" w:ascii="宋体" w:hAnsi="宋体" w:eastAsia="宋体" w:cs="宋体"/>
          <w:b/>
          <w:color w:val="000000" w:themeColor="text1"/>
          <w:kern w:val="2"/>
          <w:sz w:val="21"/>
          <w:highlight w:val="none"/>
          <w:lang w:val="zh-CN"/>
          <w14:textFill>
            <w14:solidFill>
              <w14:schemeClr w14:val="tx1"/>
            </w14:solidFill>
          </w14:textFill>
        </w:rPr>
        <w:t>还需提供</w:t>
      </w:r>
      <w:r>
        <w:rPr>
          <w:rFonts w:hint="eastAsia" w:ascii="宋体" w:hAnsi="宋体" w:eastAsia="宋体" w:cs="宋体"/>
          <w:b/>
          <w:bCs/>
          <w:color w:val="000000" w:themeColor="text1"/>
          <w:sz w:val="21"/>
          <w:szCs w:val="21"/>
          <w:highlight w:val="none"/>
          <w14:textFill>
            <w14:solidFill>
              <w14:schemeClr w14:val="tx1"/>
            </w14:solidFill>
          </w14:textFill>
        </w:rPr>
        <w:t>产品购买方出具的书面补充说明文件复印件作为辅助证明（</w:t>
      </w:r>
      <w:r>
        <w:rPr>
          <w:rFonts w:hint="eastAsia" w:ascii="宋体" w:hAnsi="宋体" w:eastAsia="宋体" w:cs="宋体"/>
          <w:b/>
          <w:color w:val="000000" w:themeColor="text1"/>
          <w:sz w:val="21"/>
          <w:szCs w:val="21"/>
          <w:highlight w:val="none"/>
          <w14:textFill>
            <w14:solidFill>
              <w14:schemeClr w14:val="tx1"/>
            </w14:solidFill>
          </w14:textFill>
        </w:rPr>
        <w:t>补充说明文件</w:t>
      </w:r>
      <w:r>
        <w:rPr>
          <w:rFonts w:hint="eastAsia" w:ascii="宋体" w:hAnsi="宋体" w:eastAsia="宋体" w:cs="宋体"/>
          <w:b/>
          <w:bCs/>
          <w:color w:val="000000" w:themeColor="text1"/>
          <w:sz w:val="21"/>
          <w:szCs w:val="21"/>
          <w:highlight w:val="none"/>
          <w14:textFill>
            <w14:solidFill>
              <w14:schemeClr w14:val="tx1"/>
            </w14:solidFill>
          </w14:textFill>
        </w:rPr>
        <w:t>复印件能显示购买方公章），否则不得分</w:t>
      </w:r>
      <w:r>
        <w:rPr>
          <w:rFonts w:hint="eastAsia" w:ascii="宋体" w:hAnsi="宋体" w:eastAsia="宋体" w:cs="宋体"/>
          <w:color w:val="000000" w:themeColor="text1"/>
          <w:kern w:val="2"/>
          <w:sz w:val="21"/>
          <w:highlight w:val="none"/>
          <w:lang w:val="zh-CN"/>
          <w14:textFill>
            <w14:solidFill>
              <w14:schemeClr w14:val="tx1"/>
            </w14:solidFill>
          </w14:textFill>
        </w:rPr>
        <w:t>；</w:t>
      </w:r>
    </w:p>
    <w:p>
      <w:pPr>
        <w:snapToGrid w:val="0"/>
        <w:spacing w:line="360" w:lineRule="auto"/>
        <w:ind w:left="422" w:leftChars="0" w:hanging="422" w:hangingChars="200"/>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2"/>
          <w:sz w:val="21"/>
          <w:highlight w:val="none"/>
          <w:lang w:val="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未按上述要求在此格式下提供证明材料的业绩，或在此格式下所附材料无法证明填报项目符合本项评分要求的业绩，在评标时将不予考虑。</w:t>
      </w:r>
    </w:p>
    <w:p>
      <w:pPr>
        <w:spacing w:line="360" w:lineRule="auto"/>
        <w:ind w:left="422" w:leftChars="0" w:hanging="422" w:hangingChars="200"/>
        <w:jc w:val="left"/>
        <w:rPr>
          <w:rFonts w:hint="default" w:ascii="Arial" w:hAnsi="Arial" w:eastAsiaTheme="minorEastAsia" w:cstheme="minorBidi"/>
          <w:color w:val="000000" w:themeColor="text1"/>
          <w:sz w:val="21"/>
          <w:szCs w:val="20"/>
          <w:highlight w:val="none"/>
          <w14:textFill>
            <w14:solidFill>
              <w14:schemeClr w14:val="tx1"/>
            </w14:solidFill>
          </w14:textFill>
        </w:rPr>
      </w:pPr>
      <w:r>
        <w:rPr>
          <w:rFonts w:hint="eastAsia" w:ascii="宋体" w:hAnsi="宋体" w:eastAsia="宋体" w:cs="宋体"/>
          <w:b/>
          <w:bCs/>
          <w:color w:val="000000" w:themeColor="text1"/>
          <w:sz w:val="21"/>
          <w:szCs w:val="22"/>
          <w:highlight w:val="none"/>
          <w:lang w:val="zh-CN" w:eastAsia="zh-CN"/>
          <w14:textFill>
            <w14:solidFill>
              <w14:schemeClr w14:val="tx1"/>
            </w14:solidFill>
          </w14:textFill>
        </w:rPr>
        <w:t xml:space="preserve">(5) </w:t>
      </w:r>
      <w:r>
        <w:rPr>
          <w:rFonts w:hint="eastAsia" w:ascii="宋体" w:hAnsi="宋体" w:eastAsia="宋体" w:cs="宋体"/>
          <w:b/>
          <w:bCs/>
          <w:color w:val="000000" w:themeColor="text1"/>
          <w:sz w:val="21"/>
          <w:szCs w:val="20"/>
          <w:highlight w:val="none"/>
          <w14:textFill>
            <w14:solidFill>
              <w14:schemeClr w14:val="tx1"/>
            </w14:solidFill>
          </w14:textFill>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pPr>
        <w:spacing w:line="360" w:lineRule="auto"/>
        <w:ind w:firstLine="0" w:firstLineChars="0"/>
        <w:rPr>
          <w:rFonts w:hint="eastAsia" w:ascii="宋体" w:hAnsi="宋体" w:eastAsia="宋体" w:cs="宋体"/>
          <w:color w:val="000000" w:themeColor="text1"/>
          <w:kern w:val="2"/>
          <w:sz w:val="21"/>
          <w:highlight w:val="none"/>
          <w:lang w:val="zh-CN"/>
          <w14:textFill>
            <w14:solidFill>
              <w14:schemeClr w14:val="tx1"/>
            </w14:solidFill>
          </w14:textFill>
        </w:rPr>
      </w:pPr>
    </w:p>
    <w:p>
      <w:pPr>
        <w:autoSpaceDE w:val="0"/>
        <w:autoSpaceDN w:val="0"/>
        <w:adjustRightInd w:val="0"/>
        <w:spacing w:line="360" w:lineRule="auto"/>
        <w:ind w:firstLine="5040" w:firstLineChars="2400"/>
        <w:jc w:val="left"/>
        <w:rPr>
          <w:rFonts w:hint="eastAsia" w:ascii="宋体" w:hAnsi="宋体" w:eastAsia="宋体" w:cs="宋体"/>
          <w:color w:val="000000" w:themeColor="text1"/>
          <w:kern w:val="2"/>
          <w:sz w:val="21"/>
          <w:highlight w:val="none"/>
          <w:lang w:val="zh-CN"/>
          <w14:textFill>
            <w14:solidFill>
              <w14:schemeClr w14:val="tx1"/>
            </w14:solidFill>
          </w14:textFill>
        </w:rPr>
      </w:pPr>
      <w:r>
        <w:rPr>
          <w:rFonts w:hint="eastAsia" w:ascii="宋体" w:hAnsi="宋体" w:eastAsia="宋体" w:cs="宋体"/>
          <w:color w:val="000000" w:themeColor="text1"/>
          <w:kern w:val="2"/>
          <w:sz w:val="21"/>
          <w:highlight w:val="none"/>
          <w:lang w:val="zh-CN"/>
          <w14:textFill>
            <w14:solidFill>
              <w14:schemeClr w14:val="tx1"/>
            </w14:solidFill>
          </w14:textFill>
        </w:rPr>
        <w:t>投标人：（加盖投标人法人公章）</w:t>
      </w:r>
    </w:p>
    <w:p>
      <w:pPr>
        <w:autoSpaceDE w:val="0"/>
        <w:autoSpaceDN w:val="0"/>
        <w:adjustRightInd w:val="0"/>
        <w:spacing w:line="360" w:lineRule="auto"/>
        <w:ind w:firstLine="5040" w:firstLineChars="240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2"/>
          <w:sz w:val="21"/>
          <w:highlight w:val="none"/>
          <w:lang w:val="zh-CN"/>
          <w14:textFill>
            <w14:solidFill>
              <w14:schemeClr w14:val="tx1"/>
            </w14:solidFill>
          </w14:textFill>
        </w:rPr>
        <w:t>日期：   年   月   日</w:t>
      </w:r>
    </w:p>
    <w:bookmarkEnd w:id="547"/>
    <w:bookmarkEnd w:id="548"/>
    <w:p>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549" w:name="_Toc18175_WPSOffice_Level2"/>
      <w:bookmarkStart w:id="550" w:name="_Toc142508378"/>
      <w:bookmarkStart w:id="551" w:name="_Toc533708132"/>
      <w:bookmarkStart w:id="552" w:name="_Toc104991885"/>
      <w:bookmarkStart w:id="553" w:name="_Toc102860083"/>
      <w:bookmarkStart w:id="554" w:name="_Toc140596938"/>
      <w:bookmarkStart w:id="555" w:name="_Toc13822"/>
      <w:bookmarkStart w:id="556" w:name="_Toc102860427"/>
      <w:bookmarkStart w:id="557" w:name="_Toc11745"/>
      <w:bookmarkStart w:id="558" w:name="_Toc94107220"/>
      <w:bookmarkStart w:id="559" w:name="_Toc1977737"/>
      <w:bookmarkStart w:id="560" w:name="_Toc486167719"/>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十一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、投标保证金汇入情况说明</w:t>
      </w:r>
      <w:bookmarkEnd w:id="549"/>
      <w:bookmarkEnd w:id="550"/>
      <w:bookmarkEnd w:id="551"/>
      <w:bookmarkEnd w:id="552"/>
      <w:bookmarkEnd w:id="553"/>
      <w:bookmarkEnd w:id="554"/>
      <w:bookmarkEnd w:id="555"/>
      <w:bookmarkEnd w:id="556"/>
      <w:bookmarkEnd w:id="557"/>
      <w:bookmarkEnd w:id="558"/>
      <w:bookmarkEnd w:id="559"/>
      <w:bookmarkEnd w:id="560"/>
    </w:p>
    <w:p>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pPr>
        <w:autoSpaceDE w:val="0"/>
        <w:autoSpaceDN w:val="0"/>
        <w:adjustRightInd w:val="0"/>
        <w:spacing w:line="360" w:lineRule="auto"/>
        <w:jc w:val="center"/>
        <w:outlineLvl w:val="0"/>
        <w:rPr>
          <w:rFonts w:ascii="宋体" w:hAnsi="宋体" w:eastAsia="宋体" w:cs="宋体"/>
          <w:b/>
          <w:bCs/>
          <w:color w:val="000000" w:themeColor="text1"/>
          <w:kern w:val="0"/>
          <w:sz w:val="24"/>
          <w:szCs w:val="24"/>
          <w:highlight w:val="none"/>
          <w14:textFill>
            <w14:solidFill>
              <w14:schemeClr w14:val="tx1"/>
            </w14:solidFill>
          </w14:textFill>
        </w:rPr>
      </w:pPr>
      <w:bookmarkStart w:id="561" w:name="_Toc31832_WPSOffice_Level3"/>
      <w:bookmarkStart w:id="562" w:name="_Toc3606"/>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561"/>
      <w:bookmarkEnd w:id="562"/>
    </w:p>
    <w:p>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东莞市石鼓净水有限公司</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东莞市石鼓净水有限公司石碣二期生化池曝气系统重置采购项目（重新招标）</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0832-SFCX24DG138A-1</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563"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563"/>
    </w:p>
    <w:p>
      <w:pPr>
        <w:spacing w:line="360" w:lineRule="auto"/>
        <w:ind w:left="340" w:leftChars="162" w:firstLine="839" w:firstLineChars="398"/>
        <w:outlineLvl w:val="0"/>
        <w:rPr>
          <w:rFonts w:ascii="宋体" w:hAnsi="宋体" w:eastAsia="宋体" w:cs="宋体"/>
          <w:b/>
          <w:bCs/>
          <w:color w:val="000000" w:themeColor="text1"/>
          <w:szCs w:val="21"/>
          <w:highlight w:val="none"/>
          <w14:textFill>
            <w14:solidFill>
              <w14:schemeClr w14:val="tx1"/>
            </w14:solidFill>
          </w14:textFill>
        </w:rPr>
      </w:pPr>
      <w:bookmarkStart w:id="564" w:name="_Toc12992_WPSOffice_Level3"/>
      <w:bookmarkStart w:id="565" w:name="_Toc27499"/>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564"/>
      <w:bookmarkEnd w:id="565"/>
    </w:p>
    <w:p>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566" w:name="_Toc486167721"/>
    </w:p>
    <w:p>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567" w:name="_Toc533708134"/>
    </w:p>
    <w:p>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bookmarkStart w:id="568" w:name="_Toc102860428"/>
      <w:bookmarkStart w:id="569" w:name="_Toc94107221"/>
      <w:bookmarkStart w:id="570" w:name="_Toc142508379"/>
      <w:bookmarkStart w:id="571" w:name="_Toc140596939"/>
      <w:bookmarkStart w:id="572" w:name="_Toc104991886"/>
      <w:bookmarkStart w:id="573" w:name="_Toc18032"/>
      <w:bookmarkStart w:id="574" w:name="_Toc1977738"/>
      <w:bookmarkStart w:id="575" w:name="_Toc16292"/>
      <w:bookmarkStart w:id="576" w:name="_Toc102860084"/>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十二</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及有关</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服务能力的有关其它商务文件（不做强制要求）</w:t>
      </w:r>
      <w:bookmarkEnd w:id="568"/>
      <w:bookmarkEnd w:id="569"/>
      <w:bookmarkEnd w:id="570"/>
      <w:bookmarkEnd w:id="571"/>
      <w:bookmarkEnd w:id="572"/>
      <w:bookmarkEnd w:id="573"/>
      <w:bookmarkEnd w:id="574"/>
      <w:bookmarkEnd w:id="575"/>
      <w:bookmarkEnd w:id="576"/>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577" w:name="_Toc102860085"/>
      <w:bookmarkStart w:id="578" w:name="_Toc94107222"/>
      <w:bookmarkStart w:id="579" w:name="_Toc104991887"/>
      <w:bookmarkStart w:id="580" w:name="_Toc14341"/>
      <w:bookmarkStart w:id="581" w:name="_Toc1977739"/>
      <w:bookmarkStart w:id="582" w:name="_Toc15051"/>
      <w:bookmarkStart w:id="583" w:name="_Toc142508380"/>
      <w:bookmarkStart w:id="584" w:name="_Toc102860429"/>
      <w:bookmarkStart w:id="585" w:name="_Toc140596940"/>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十三</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567"/>
      <w:bookmarkEnd w:id="577"/>
      <w:bookmarkEnd w:id="578"/>
      <w:bookmarkEnd w:id="579"/>
      <w:bookmarkEnd w:id="580"/>
      <w:bookmarkEnd w:id="581"/>
      <w:bookmarkEnd w:id="582"/>
      <w:bookmarkEnd w:id="583"/>
      <w:bookmarkEnd w:id="584"/>
      <w:bookmarkEnd w:id="585"/>
    </w:p>
    <w:p>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pPr>
        <w:spacing w:line="360" w:lineRule="auto"/>
        <w:ind w:left="443" w:leftChars="77" w:hanging="281" w:hangingChars="134"/>
        <w:outlineLvl w:val="0"/>
        <w:rPr>
          <w:rFonts w:ascii="宋体" w:hAnsi="宋体" w:eastAsia="宋体" w:cs="宋体"/>
          <w:color w:val="000000" w:themeColor="text1"/>
          <w:kern w:val="0"/>
          <w:szCs w:val="21"/>
          <w:highlight w:val="none"/>
          <w14:textFill>
            <w14:solidFill>
              <w14:schemeClr w14:val="tx1"/>
            </w14:solidFill>
          </w14:textFill>
        </w:rPr>
      </w:pPr>
      <w:bookmarkStart w:id="586" w:name="_Toc1921"/>
      <w:r>
        <w:rPr>
          <w:rFonts w:hint="eastAsia" w:ascii="宋体" w:hAnsi="宋体" w:eastAsia="宋体" w:cs="宋体"/>
          <w:color w:val="000000" w:themeColor="text1"/>
          <w:kern w:val="0"/>
          <w:szCs w:val="21"/>
          <w:highlight w:val="none"/>
          <w14:textFill>
            <w14:solidFill>
              <w14:schemeClr w14:val="tx1"/>
            </w14:solidFill>
          </w14:textFill>
        </w:rPr>
        <w:t>1、用户需求响应程度（即</w:t>
      </w:r>
      <w:r>
        <w:rPr>
          <w:rFonts w:hint="eastAsia" w:ascii="宋体" w:hAnsi="宋体" w:eastAsia="宋体" w:cs="宋体"/>
          <w:color w:val="000000" w:themeColor="text1"/>
          <w:kern w:val="0"/>
          <w:szCs w:val="21"/>
          <w:highlight w:val="none"/>
          <w:lang w:val="en-US" w:eastAsia="zh-CN"/>
          <w14:textFill>
            <w14:solidFill>
              <w14:schemeClr w14:val="tx1"/>
            </w14:solidFill>
          </w14:textFill>
        </w:rPr>
        <w:t>13</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bookmarkEnd w:id="586"/>
    </w:p>
    <w:p>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2、供货货物及服务清单表（货物明细中的货物名称、品牌、产地、规格、型号、数量及服务明细中的内容和服务标准等，必须与分项报价明细表完全一致）；</w:t>
      </w:r>
    </w:p>
    <w:p>
      <w:pPr>
        <w:spacing w:line="360" w:lineRule="auto"/>
        <w:ind w:left="443" w:leftChars="77" w:hanging="281" w:hangingChars="134"/>
        <w:outlineLvl w:val="0"/>
        <w:rPr>
          <w:rFonts w:hint="eastAsia" w:ascii="宋体" w:hAnsi="宋体" w:eastAsia="宋体" w:cs="宋体"/>
          <w:color w:val="000000" w:themeColor="text1"/>
          <w:kern w:val="0"/>
          <w:szCs w:val="21"/>
          <w:highlight w:val="none"/>
          <w14:textFill>
            <w14:solidFill>
              <w14:schemeClr w14:val="tx1"/>
            </w14:solidFill>
          </w14:textFill>
        </w:rPr>
      </w:pPr>
      <w:bookmarkStart w:id="587" w:name="_Toc21040"/>
      <w:r>
        <w:rPr>
          <w:rFonts w:hint="eastAsia" w:ascii="宋体" w:hAnsi="宋体" w:eastAsia="宋体" w:cs="宋体"/>
          <w:color w:val="000000" w:themeColor="text1"/>
          <w:kern w:val="0"/>
          <w:szCs w:val="21"/>
          <w:highlight w:val="none"/>
          <w14:textFill>
            <w14:solidFill>
              <w14:schemeClr w14:val="tx1"/>
            </w14:solidFill>
          </w14:textFill>
        </w:rPr>
        <w:t>3、设备安装必需的配件供货清单；</w:t>
      </w:r>
      <w:bookmarkEnd w:id="587"/>
    </w:p>
    <w:p>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4、投标产品技术性能说明（投标人自行提供书面说明和资料，其中应包含投标产品性能说明书或其他能体现投标产品性能的证明材料）；</w:t>
      </w:r>
    </w:p>
    <w:p>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5、供货、安装计划及进度保证措施（投标人自行提供书面说明和资料）；</w:t>
      </w:r>
    </w:p>
    <w:p>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、安装时间、维修响应时间承诺表；</w:t>
      </w:r>
    </w:p>
    <w:p>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、用户需求要求提交的其他技术资料；</w:t>
      </w:r>
    </w:p>
    <w:p>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 xml:space="preserve">部分 </w:t>
      </w:r>
    </w:p>
    <w:p>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20"/>
        <w:spacing w:line="360" w:lineRule="auto"/>
        <w:rPr>
          <w:rFonts w:hint="eastAsia" w:ascii="宋体" w:hAnsi="宋体" w:eastAsia="宋体" w:cs="宋体"/>
          <w:color w:val="000000" w:themeColor="text1"/>
          <w:highlight w:val="none"/>
          <w14:textFill>
            <w14:solidFill>
              <w14:schemeClr w14:val="tx1"/>
            </w14:solidFill>
          </w14:textFill>
        </w:rPr>
      </w:pPr>
    </w:p>
    <w:p>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技术</w:t>
      </w:r>
      <w:r>
        <w:rPr>
          <w:rFonts w:hint="eastAsia" w:ascii="宋体" w:hAnsi="宋体" w:eastAsia="宋体" w:cs="宋体"/>
          <w:b/>
          <w:bCs/>
          <w:color w:val="000000" w:themeColor="text1"/>
          <w:szCs w:val="21"/>
          <w:highlight w:val="none"/>
          <w14:textFill>
            <w14:solidFill>
              <w14:schemeClr w14:val="tx1"/>
            </w14:solidFill>
          </w14:textFill>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2773"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786"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773"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786"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4430" w:type="dxa"/>
            <w:tcBorders>
              <w:left w:val="single" w:color="auto" w:sz="4" w:space="0"/>
            </w:tcBorders>
            <w:vAlign w:val="center"/>
          </w:tcPr>
          <w:p>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000000" w:themeColor="text1"/>
                <w:szCs w:val="21"/>
                <w:highlight w:val="none"/>
                <w14:textFill>
                  <w14:solidFill>
                    <w14:schemeClr w14:val="tx1"/>
                  </w14:solidFill>
                </w14:textFill>
              </w:rPr>
            </w:pPr>
          </w:p>
        </w:tc>
        <w:tc>
          <w:tcPr>
            <w:tcW w:w="2773" w:type="dxa"/>
            <w:vAlign w:val="center"/>
          </w:tcPr>
          <w:p>
            <w:pPr>
              <w:rPr>
                <w:rFonts w:hint="eastAsia" w:ascii="宋体" w:hAnsi="宋体" w:eastAsia="宋体" w:cs="宋体"/>
                <w:bCs/>
                <w:color w:val="000000" w:themeColor="text1"/>
                <w:szCs w:val="21"/>
                <w:highlight w:val="none"/>
                <w14:textFill>
                  <w14:solidFill>
                    <w14:schemeClr w14:val="tx1"/>
                  </w14:solidFill>
                </w14:textFill>
              </w:rPr>
            </w:pPr>
          </w:p>
        </w:tc>
        <w:tc>
          <w:tcPr>
            <w:tcW w:w="1786" w:type="dxa"/>
            <w:vAlign w:val="center"/>
          </w:tcPr>
          <w:p>
            <w:pPr>
              <w:rPr>
                <w:rFonts w:hint="eastAsia" w:ascii="宋体" w:hAnsi="宋体" w:eastAsia="宋体" w:cs="宋体"/>
                <w:bCs/>
                <w:color w:val="000000" w:themeColor="text1"/>
                <w:szCs w:val="21"/>
                <w:highlight w:val="none"/>
                <w14:textFill>
                  <w14:solidFill>
                    <w14:schemeClr w14:val="tx1"/>
                  </w14:solidFill>
                </w14:textFill>
              </w:rPr>
            </w:pPr>
          </w:p>
        </w:tc>
        <w:tc>
          <w:tcPr>
            <w:tcW w:w="4430"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773" w:type="dxa"/>
            <w:vAlign w:val="center"/>
          </w:tcPr>
          <w:p>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786" w:type="dxa"/>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4430" w:type="dxa"/>
            <w:tcBorders>
              <w:left w:val="single" w:color="auto" w:sz="4" w:space="0"/>
            </w:tcBorders>
            <w:vAlign w:val="center"/>
          </w:tcPr>
          <w:p>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566"/>
      <w:bookmarkStart w:id="588" w:name="_Toc20630"/>
      <w:bookmarkStart w:id="589" w:name="_Toc142508381"/>
      <w:bookmarkStart w:id="590" w:name="_Toc102860430"/>
      <w:bookmarkStart w:id="591" w:name="_Toc1558"/>
      <w:bookmarkStart w:id="592" w:name="_Toc94107223"/>
      <w:bookmarkStart w:id="593" w:name="_Toc140596941"/>
      <w:bookmarkStart w:id="594" w:name="_Toc533708135"/>
      <w:bookmarkStart w:id="595" w:name="_Toc1977740"/>
      <w:bookmarkStart w:id="596" w:name="_Toc102860086"/>
      <w:bookmarkStart w:id="597" w:name="_Toc104991888"/>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588"/>
      <w:bookmarkEnd w:id="589"/>
      <w:bookmarkEnd w:id="590"/>
      <w:bookmarkEnd w:id="591"/>
      <w:bookmarkEnd w:id="592"/>
      <w:bookmarkEnd w:id="593"/>
      <w:bookmarkEnd w:id="594"/>
      <w:bookmarkEnd w:id="595"/>
      <w:bookmarkEnd w:id="596"/>
      <w:bookmarkEnd w:id="597"/>
    </w:p>
    <w:p>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598"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598"/>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600"/>
        <w:gridCol w:w="987"/>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tcMar>
              <w:top w:w="57" w:type="dxa"/>
              <w:left w:w="57" w:type="dxa"/>
              <w:bottom w:w="57" w:type="dxa"/>
              <w:right w:w="57" w:type="dxa"/>
            </w:tcMar>
            <w:vAlign w:val="center"/>
          </w:tcPr>
          <w:p>
            <w:pPr>
              <w:spacing w:line="240" w:lineRule="auto"/>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7366" w:type="dxa"/>
            <w:gridSpan w:val="2"/>
            <w:tcMar>
              <w:top w:w="57" w:type="dxa"/>
              <w:left w:w="57" w:type="dxa"/>
              <w:bottom w:w="57" w:type="dxa"/>
              <w:right w:w="57" w:type="dxa"/>
            </w:tcMar>
            <w:vAlign w:val="center"/>
          </w:tcPr>
          <w:p>
            <w:pPr>
              <w:spacing w:line="240" w:lineRule="auto"/>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2404" w:type="dxa"/>
            <w:gridSpan w:val="3"/>
            <w:tcMar>
              <w:top w:w="57" w:type="dxa"/>
              <w:left w:w="57" w:type="dxa"/>
              <w:bottom w:w="57" w:type="dxa"/>
              <w:right w:w="57" w:type="dxa"/>
            </w:tcMar>
            <w:vAlign w:val="center"/>
          </w:tcPr>
          <w:p>
            <w:pPr>
              <w:spacing w:line="240" w:lineRule="auto"/>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tcMar>
              <w:top w:w="57" w:type="dxa"/>
              <w:left w:w="57" w:type="dxa"/>
              <w:bottom w:w="57" w:type="dxa"/>
              <w:right w:w="57" w:type="dxa"/>
            </w:tcMar>
            <w:vAlign w:val="center"/>
          </w:tcPr>
          <w:p>
            <w:pPr>
              <w:keepNext/>
              <w:keepLines/>
              <w:spacing w:line="240" w:lineRule="auto"/>
              <w:jc w:val="center"/>
              <w:outlineLvl w:val="9"/>
              <w:rPr>
                <w:rFonts w:hint="eastAsia" w:ascii="宋体" w:hAnsi="宋体" w:eastAsia="宋体" w:cs="宋体"/>
                <w:color w:val="000000" w:themeColor="text1"/>
                <w:kern w:val="0"/>
                <w:sz w:val="18"/>
                <w:szCs w:val="18"/>
                <w:highlight w:val="none"/>
                <w14:textFill>
                  <w14:solidFill>
                    <w14:schemeClr w14:val="tx1"/>
                  </w14:solidFill>
                </w14:textFill>
              </w:rPr>
            </w:pPr>
          </w:p>
        </w:tc>
        <w:tc>
          <w:tcPr>
            <w:tcW w:w="952" w:type="dxa"/>
            <w:tcMar>
              <w:top w:w="57" w:type="dxa"/>
              <w:left w:w="57" w:type="dxa"/>
              <w:bottom w:w="57" w:type="dxa"/>
              <w:right w:w="57" w:type="dxa"/>
            </w:tcMar>
            <w:vAlign w:val="center"/>
          </w:tcPr>
          <w:p>
            <w:pPr>
              <w:spacing w:line="240" w:lineRule="auto"/>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6414" w:type="dxa"/>
            <w:tcMar>
              <w:top w:w="57" w:type="dxa"/>
              <w:left w:w="57" w:type="dxa"/>
              <w:bottom w:w="57" w:type="dxa"/>
              <w:right w:w="57" w:type="dxa"/>
            </w:tcMar>
            <w:vAlign w:val="center"/>
          </w:tcPr>
          <w:p>
            <w:pPr>
              <w:spacing w:line="240" w:lineRule="auto"/>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600" w:type="dxa"/>
            <w:tcMar>
              <w:top w:w="57" w:type="dxa"/>
              <w:left w:w="57" w:type="dxa"/>
              <w:bottom w:w="57" w:type="dxa"/>
              <w:right w:w="57" w:type="dxa"/>
            </w:tcMar>
            <w:vAlign w:val="center"/>
          </w:tcPr>
          <w:p>
            <w:pPr>
              <w:spacing w:line="240" w:lineRule="auto"/>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987" w:type="dxa"/>
            <w:tcMar>
              <w:top w:w="57" w:type="dxa"/>
              <w:left w:w="57" w:type="dxa"/>
              <w:bottom w:w="57" w:type="dxa"/>
              <w:right w:w="57" w:type="dxa"/>
            </w:tcMar>
            <w:vAlign w:val="center"/>
          </w:tcPr>
          <w:p>
            <w:pPr>
              <w:spacing w:line="240" w:lineRule="auto"/>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817" w:type="dxa"/>
            <w:tcMar>
              <w:top w:w="57" w:type="dxa"/>
              <w:left w:w="57" w:type="dxa"/>
              <w:bottom w:w="57" w:type="dxa"/>
              <w:right w:w="57" w:type="dxa"/>
            </w:tcMar>
            <w:vAlign w:val="center"/>
          </w:tcPr>
          <w:p>
            <w:pPr>
              <w:spacing w:line="240" w:lineRule="auto"/>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0"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三</w:t>
            </w:r>
          </w:p>
        </w:tc>
        <w:tc>
          <w:tcPr>
            <w:tcW w:w="6414"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采购设备清单及供货安装界限</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2</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zh-CN"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zh-CN" w:eastAsia="zh-CN"/>
                <w14:textFill>
                  <w14:solidFill>
                    <w14:schemeClr w14:val="tx1"/>
                  </w14:solidFill>
                </w14:textFill>
              </w:rPr>
              <w:t>四</w:t>
            </w:r>
          </w:p>
        </w:tc>
        <w:tc>
          <w:tcPr>
            <w:tcW w:w="6414"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技术要求</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3</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zh-CN"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zh-CN" w:eastAsia="zh-CN"/>
                <w14:textFill>
                  <w14:solidFill>
                    <w14:schemeClr w14:val="tx1"/>
                  </w14:solidFill>
                </w14:textFill>
              </w:rPr>
              <w:t>五</w:t>
            </w:r>
          </w:p>
        </w:tc>
        <w:tc>
          <w:tcPr>
            <w:tcW w:w="6414"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清淤、现有曝气系统拆卸等工作技术要求</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4</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zh-CN"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zh-CN" w:eastAsia="zh-CN"/>
                <w14:textFill>
                  <w14:solidFill>
                    <w14:schemeClr w14:val="tx1"/>
                  </w14:solidFill>
                </w14:textFill>
              </w:rPr>
              <w:t>六</w:t>
            </w:r>
          </w:p>
        </w:tc>
        <w:tc>
          <w:tcPr>
            <w:tcW w:w="6414"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质量要求</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5</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七</w:t>
            </w:r>
          </w:p>
        </w:tc>
        <w:tc>
          <w:tcPr>
            <w:tcW w:w="6414"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工期要求</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6</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八</w:t>
            </w:r>
          </w:p>
        </w:tc>
        <w:tc>
          <w:tcPr>
            <w:tcW w:w="6414"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施工安全及其他要求</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7</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九</w:t>
            </w:r>
          </w:p>
        </w:tc>
        <w:tc>
          <w:tcPr>
            <w:tcW w:w="6414"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验收要求</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8</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十</w:t>
            </w:r>
          </w:p>
        </w:tc>
        <w:tc>
          <w:tcPr>
            <w:tcW w:w="6414"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质保及售后要求</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9</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十一</w:t>
            </w:r>
          </w:p>
        </w:tc>
        <w:tc>
          <w:tcPr>
            <w:tcW w:w="6414"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价款要求</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70" w:type="dxa"/>
            <w:gridSpan w:val="6"/>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用户需求书“★”条款汇总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10</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四</w:t>
            </w:r>
          </w:p>
        </w:tc>
        <w:tc>
          <w:tcPr>
            <w:tcW w:w="6414" w:type="dxa"/>
            <w:tcMar>
              <w:top w:w="57" w:type="dxa"/>
              <w:left w:w="57" w:type="dxa"/>
              <w:bottom w:w="57" w:type="dxa"/>
              <w:right w:w="57" w:type="dxa"/>
            </w:tcMar>
            <w:vAlign w:val="center"/>
          </w:tcPr>
          <w:p>
            <w:pPr>
              <w:spacing w:line="240" w:lineRule="auto"/>
              <w:ind w:firstLine="361"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4.1.1曝气系统</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★总设计曝气量≥28840 m3/h，管式微孔曝气器数量≥4120根。</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11</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四</w:t>
            </w:r>
          </w:p>
        </w:tc>
        <w:tc>
          <w:tcPr>
            <w:tcW w:w="6414" w:type="dxa"/>
            <w:tcMar>
              <w:top w:w="57" w:type="dxa"/>
              <w:left w:w="57" w:type="dxa"/>
              <w:bottom w:w="57" w:type="dxa"/>
              <w:right w:w="57" w:type="dxa"/>
            </w:tcMar>
            <w:vAlign w:val="center"/>
          </w:tcPr>
          <w:p>
            <w:pPr>
              <w:spacing w:line="240" w:lineRule="auto"/>
              <w:ind w:firstLine="361" w:firstLineChars="200"/>
              <w:jc w:val="both"/>
              <w:outlineLvl w:val="9"/>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4.1.1曝气系统</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★（1）膜片</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橡胶膜片采用三元乙丙橡胶EPDM精密制作而成，并在应力集中部位设有与橡胶膜合为一体的加强橡胶结构。膜片上按一定规则排列开闭式孔眼，厚度不低于2mm，整个膜片无厚薄现象。厚度允许偏差为±0.2mm；外径允许偏差为±0.5mm。在整个曝气区域范围内必须保证充氧的要求和池内布气的均匀性，且为了减少曝气器元件间的密封面数、增加密封性，膜片本身需带有密封圈。膜片必需具备以下基本特征：</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管式微孔曝气器应符合下列特性：</w:t>
            </w:r>
          </w:p>
          <w:tbl>
            <w:tblPr>
              <w:tblStyle w:val="36"/>
              <w:tblW w:w="5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31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2466" w:type="dxa"/>
                  <w:tcBorders>
                    <w:top w:val="single" w:color="auto" w:sz="12" w:space="0"/>
                    <w:left w:val="single" w:color="auto" w:sz="12" w:space="0"/>
                    <w:bottom w:val="single" w:color="auto" w:sz="4" w:space="0"/>
                    <w:right w:val="single" w:color="auto" w:sz="4"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膜片</w:t>
                  </w:r>
                </w:p>
              </w:tc>
              <w:tc>
                <w:tcPr>
                  <w:tcW w:w="3133" w:type="dxa"/>
                  <w:tcBorders>
                    <w:top w:val="single" w:color="auto" w:sz="12" w:space="0"/>
                    <w:left w:val="single" w:color="auto" w:sz="4" w:space="0"/>
                    <w:bottom w:val="single" w:color="auto" w:sz="4" w:space="0"/>
                    <w:right w:val="single" w:color="auto" w:sz="12"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EPDM（三元乙丙胶）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膜片有效直径</w:t>
                  </w:r>
                </w:p>
              </w:tc>
              <w:tc>
                <w:tcPr>
                  <w:tcW w:w="3133" w:type="dxa"/>
                  <w:tcBorders>
                    <w:top w:val="single" w:color="auto" w:sz="4" w:space="0"/>
                    <w:left w:val="single" w:color="auto" w:sz="4" w:space="0"/>
                    <w:bottom w:val="single" w:color="auto" w:sz="4" w:space="0"/>
                    <w:right w:val="single" w:color="auto" w:sz="12"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65 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标准通气量</w:t>
                  </w:r>
                </w:p>
              </w:tc>
              <w:tc>
                <w:tcPr>
                  <w:tcW w:w="3133" w:type="dxa"/>
                  <w:tcBorders>
                    <w:top w:val="single" w:color="auto" w:sz="4" w:space="0"/>
                    <w:left w:val="single" w:color="auto" w:sz="4" w:space="0"/>
                    <w:bottom w:val="single" w:color="auto" w:sz="4" w:space="0"/>
                    <w:right w:val="single" w:color="auto" w:sz="12" w:space="0"/>
                  </w:tcBorders>
                  <w:noWrap w:val="0"/>
                  <w:vAlign w:val="center"/>
                </w:tcPr>
                <w:p>
                  <w:pPr>
                    <w:spacing w:line="240" w:lineRule="auto"/>
                    <w:jc w:val="both"/>
                    <w:outlineLvl w:val="9"/>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7 m</w:t>
                  </w:r>
                  <w:r>
                    <w:rPr>
                      <w:rFonts w:hint="eastAsia" w:ascii="宋体" w:hAnsi="宋体" w:eastAsia="宋体" w:cs="宋体"/>
                      <w:b w:val="0"/>
                      <w:bCs w:val="0"/>
                      <w:color w:val="000000" w:themeColor="text1"/>
                      <w:kern w:val="0"/>
                      <w:sz w:val="18"/>
                      <w:szCs w:val="18"/>
                      <w:highlight w:val="none"/>
                      <w:vertAlign w:val="superscript"/>
                      <w:lang w:val="en-US" w:eastAsia="zh-CN"/>
                      <w14:textFill>
                        <w14:solidFill>
                          <w14:schemeClr w14:val="tx1"/>
                        </w14:solidFill>
                      </w14:textFill>
                    </w:rPr>
                    <w:t>3</w:t>
                  </w: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/h·根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标准氧传质速率(充氧能力)</w:t>
                  </w:r>
                </w:p>
              </w:tc>
              <w:tc>
                <w:tcPr>
                  <w:tcW w:w="3133" w:type="dxa"/>
                  <w:tcBorders>
                    <w:top w:val="single" w:color="auto" w:sz="4" w:space="0"/>
                    <w:left w:val="single" w:color="auto" w:sz="4" w:space="0"/>
                    <w:bottom w:val="single" w:color="auto" w:sz="4" w:space="0"/>
                    <w:right w:val="single" w:color="auto" w:sz="12"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≥0.4 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阻力损失</w:t>
                  </w:r>
                </w:p>
              </w:tc>
              <w:tc>
                <w:tcPr>
                  <w:tcW w:w="3133" w:type="dxa"/>
                  <w:tcBorders>
                    <w:top w:val="single" w:color="auto" w:sz="4" w:space="0"/>
                    <w:left w:val="single" w:color="auto" w:sz="4" w:space="0"/>
                    <w:bottom w:val="single" w:color="auto" w:sz="4" w:space="0"/>
                    <w:right w:val="single" w:color="auto" w:sz="12"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≤3000Pa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标准氧传质效率(氧利用率)</w:t>
                  </w:r>
                </w:p>
              </w:tc>
              <w:tc>
                <w:tcPr>
                  <w:tcW w:w="3133" w:type="dxa"/>
                  <w:tcBorders>
                    <w:top w:val="single" w:color="auto" w:sz="4" w:space="0"/>
                    <w:left w:val="single" w:color="auto" w:sz="4" w:space="0"/>
                    <w:bottom w:val="single" w:color="auto" w:sz="4" w:space="0"/>
                    <w:right w:val="single" w:color="auto" w:sz="12"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≥35%（水深6.0m）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466" w:type="dxa"/>
                  <w:tcBorders>
                    <w:top w:val="single" w:color="auto" w:sz="4" w:space="0"/>
                    <w:left w:val="single" w:color="auto" w:sz="12" w:space="0"/>
                    <w:bottom w:val="single" w:color="auto" w:sz="4" w:space="0"/>
                    <w:right w:val="single" w:color="auto" w:sz="4"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标准曝气效率</w:t>
                  </w:r>
                </w:p>
              </w:tc>
              <w:tc>
                <w:tcPr>
                  <w:tcW w:w="3133" w:type="dxa"/>
                  <w:tcBorders>
                    <w:top w:val="single" w:color="auto" w:sz="4" w:space="0"/>
                    <w:left w:val="single" w:color="auto" w:sz="4" w:space="0"/>
                    <w:bottom w:val="single" w:color="auto" w:sz="4" w:space="0"/>
                    <w:right w:val="single" w:color="auto" w:sz="12"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≥8.2kg/（kW·h）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2466" w:type="dxa"/>
                  <w:tcBorders>
                    <w:top w:val="single" w:color="auto" w:sz="4" w:space="0"/>
                    <w:left w:val="single" w:color="auto" w:sz="12" w:space="0"/>
                    <w:bottom w:val="single" w:color="auto" w:sz="12" w:space="0"/>
                    <w:right w:val="single" w:color="auto" w:sz="4"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工作制</w:t>
                  </w:r>
                </w:p>
              </w:tc>
              <w:tc>
                <w:tcPr>
                  <w:tcW w:w="3133" w:type="dxa"/>
                  <w:tcBorders>
                    <w:top w:val="single" w:color="auto" w:sz="4" w:space="0"/>
                    <w:left w:val="single" w:color="auto" w:sz="4" w:space="0"/>
                    <w:bottom w:val="single" w:color="auto" w:sz="12" w:space="0"/>
                    <w:right w:val="single" w:color="auto" w:sz="12" w:space="0"/>
                  </w:tcBorders>
                  <w:noWrap w:val="0"/>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24 h/d</w:t>
                  </w:r>
                </w:p>
              </w:tc>
            </w:tr>
          </w:tbl>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① 单管最大工作通气量：12 m³/h；</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② 在通气条件下，曝气器需能均匀分配空气，在水中可产生直径1-3 mm的气泡；</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③ 当曝气系统停止供气时，膜片上的微孔及时收缩处于密封状态，能有效防止污水、污泥倒灌；</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④ 当空气没有散开时，曝气薄膜紧附于曝气器支撑管上；</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⑤ 膜片打孔方向应垂直膜片纹理，膜片打孔形式由中心向外方向呈放射形状打孔，布置均匀合理；</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⑥ 膜片具有抗紫外线氧化作用及油、酸、碱等的腐蚀作用，可有效防止膜片萎缩变形；</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⑦ 膜片使用寿命＞8年。</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膜片外观应光洁、平整，无杂质、气泡和裂纹，无刺激性气味，其理化、力学性能满足货物性能参数要求。（合同签订前提供产品实物样品）</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12</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四</w:t>
            </w:r>
          </w:p>
        </w:tc>
        <w:tc>
          <w:tcPr>
            <w:tcW w:w="6414" w:type="dxa"/>
            <w:tcMar>
              <w:top w:w="57" w:type="dxa"/>
              <w:left w:w="57" w:type="dxa"/>
              <w:bottom w:w="57" w:type="dxa"/>
              <w:right w:w="57" w:type="dxa"/>
            </w:tcMar>
            <w:vAlign w:val="center"/>
          </w:tcPr>
          <w:p>
            <w:pPr>
              <w:spacing w:line="240" w:lineRule="auto"/>
              <w:ind w:firstLine="361" w:firstLineChars="200"/>
              <w:jc w:val="both"/>
              <w:outlineLvl w:val="9"/>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4.1.1曝气系统</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★（2）对装连接</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管式微孔曝气器通过带螺纹的对装连接件，用插板方式或螺栓锚固的方式将曝气器固定在输气管道上，不得采用曝气器与管道一体注塑或胶水粘接的安装形式。管式微孔曝气器安装到位后，各曝气器安装标高需基本一致，同一生化池好氧区曝气器安装标高需控制在±1.0cm误差范围之内，不同系列生化池好氧区曝气器安装标高需控制在±2.0cm误差范围之内。</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4120根EPDM管式微孔曝气器及剩余50m备品备件的各项性能指标参数、材质、安装方式应一致。EPDM 管式微孔曝气器含可提升式安装1600m，位于两座MSBR池的单元1、单元7序批池内，共16组，每组50根，固定在可提升式支架上。更换新曝气管时，应安装在原有可提升式支架上，并与曝气支管旋转锁紧，确保曝气管固定牢固不脱落，曝气管固定架应保证同一组曝气管的安装整齐、处于同一水平面。若石碣二期曝气系统原可提升式支架如有损坏需一并进行修整或更换。</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13</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四</w:t>
            </w:r>
          </w:p>
        </w:tc>
        <w:tc>
          <w:tcPr>
            <w:tcW w:w="6414" w:type="dxa"/>
            <w:tcMar>
              <w:top w:w="57" w:type="dxa"/>
              <w:left w:w="57" w:type="dxa"/>
              <w:bottom w:w="57" w:type="dxa"/>
              <w:right w:w="57" w:type="dxa"/>
            </w:tcMar>
            <w:vAlign w:val="center"/>
          </w:tcPr>
          <w:p>
            <w:pPr>
              <w:spacing w:line="240" w:lineRule="auto"/>
              <w:ind w:firstLine="361" w:firstLineChars="200"/>
              <w:jc w:val="both"/>
              <w:outlineLvl w:val="9"/>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4.1.2  技术计算书及测试报告</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★投标人提供管式微孔曝气器设备的详细设计计算书。投标人应根据东莞市石碣沙腰污水处理厂二期的工艺条件、池形（详见招标图纸），合理的布置曝气系统的曝气器, 并提供相关的计算书。在计算书中，应包括曝气器布设数量、平面布置与安装设计，以及曝气器设备氧利用率、系统总曝气量、曝气器通气量、阻力损失等的相关计算说明。</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14</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四</w:t>
            </w:r>
          </w:p>
        </w:tc>
        <w:tc>
          <w:tcPr>
            <w:tcW w:w="6414" w:type="dxa"/>
            <w:tcMar>
              <w:top w:w="57" w:type="dxa"/>
              <w:left w:w="57" w:type="dxa"/>
              <w:bottom w:w="57" w:type="dxa"/>
              <w:right w:w="57" w:type="dxa"/>
            </w:tcMar>
            <w:vAlign w:val="center"/>
          </w:tcPr>
          <w:p>
            <w:pPr>
              <w:spacing w:line="240" w:lineRule="auto"/>
              <w:ind w:firstLine="361" w:firstLineChars="200"/>
              <w:jc w:val="both"/>
              <w:outlineLvl w:val="9"/>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4.1.2  技术计算书</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投标人所选用的膜片管式微孔曝气器，须依据《水处理用橡胶膜微孔曝气器》（CJ/T264-2018）或《微孔曝气器清水氧传质性能测定》（CJ/T475-2015），在标准通气量7.0m³/h·根，水深6m的测试条件下，单个曝气器满足以下指标要求：① 标准曝气效率：≥8.2kg/(kW·h)；② 标准氧传质速率(充氧能力)：≥0.4kg/h；③ 标准氧传质效率(氧利用率)：≥35%；④ 阻力损失：≤3000Pa。</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15</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四</w:t>
            </w:r>
          </w:p>
        </w:tc>
        <w:tc>
          <w:tcPr>
            <w:tcW w:w="6414" w:type="dxa"/>
            <w:tcMar>
              <w:top w:w="57" w:type="dxa"/>
              <w:left w:w="57" w:type="dxa"/>
              <w:bottom w:w="57" w:type="dxa"/>
              <w:right w:w="57" w:type="dxa"/>
            </w:tcMar>
            <w:vAlign w:val="center"/>
          </w:tcPr>
          <w:p>
            <w:pPr>
              <w:spacing w:line="240" w:lineRule="auto"/>
              <w:ind w:firstLine="361" w:firstLineChars="200"/>
              <w:jc w:val="both"/>
              <w:outlineLvl w:val="9"/>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4.2.4性能保证</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管式微孔曝气器应留有0.3%供货余量以满足随机抽检要求，具体送检样品数量由招标人确定，抽检样品由招标人送交有资质独立第三方CMA机构，对管式微孔曝气器的标准曝气效率、标准氧传质速率(充氧能力)、标准氧传质效率(氧利用率)及阻力损失进行检测，检测结果须满足本条膜片技术要求。若检测结果为合格，则由招标人支付相关检测费用；若检测结果为不合格，则由投标人支付相关检测费用，并对曝气器进行免费更换，直至检测结果合格为止，期间给招标人造成的所有损失由投标人承担赔偿责任。</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tcMar>
              <w:top w:w="57" w:type="dxa"/>
              <w:left w:w="57" w:type="dxa"/>
              <w:bottom w:w="57" w:type="dxa"/>
              <w:right w:w="57" w:type="dxa"/>
            </w:tcMar>
            <w:vAlign w:val="center"/>
          </w:tcPr>
          <w:p>
            <w:pPr>
              <w:spacing w:line="240" w:lineRule="auto"/>
              <w:jc w:val="center"/>
              <w:outlineLvl w:val="9"/>
              <w:rPr>
                <w:rFonts w:hint="default"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16</w:t>
            </w:r>
          </w:p>
        </w:tc>
        <w:tc>
          <w:tcPr>
            <w:tcW w:w="952" w:type="dxa"/>
            <w:tcMar>
              <w:top w:w="57" w:type="dxa"/>
              <w:left w:w="57" w:type="dxa"/>
              <w:bottom w:w="57" w:type="dxa"/>
              <w:right w:w="57" w:type="dxa"/>
            </w:tcMar>
            <w:vAlign w:val="center"/>
          </w:tcPr>
          <w:p>
            <w:pPr>
              <w:spacing w:line="240" w:lineRule="auto"/>
              <w:jc w:val="center"/>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十</w:t>
            </w:r>
          </w:p>
        </w:tc>
        <w:tc>
          <w:tcPr>
            <w:tcW w:w="6414" w:type="dxa"/>
            <w:tcMar>
              <w:top w:w="57" w:type="dxa"/>
              <w:left w:w="57" w:type="dxa"/>
              <w:bottom w:w="57" w:type="dxa"/>
              <w:right w:w="57" w:type="dxa"/>
            </w:tcMar>
            <w:vAlign w:val="center"/>
          </w:tcPr>
          <w:p>
            <w:pPr>
              <w:spacing w:line="240" w:lineRule="auto"/>
              <w:ind w:firstLine="361" w:firstLineChars="200"/>
              <w:jc w:val="both"/>
              <w:outlineLvl w:val="9"/>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十.质保及售后要求</w:t>
            </w:r>
          </w:p>
          <w:p>
            <w:pPr>
              <w:spacing w:line="240" w:lineRule="auto"/>
              <w:ind w:firstLine="360" w:firstLineChars="200"/>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t>★(1) 本项目质保期为至少12个月，自项目最终验收合格之日起算（以设备整体验收报告日期为准）。质保期内，对本项目供货、安装质量进行免费保修，并承诺优先采用不停产检修方式，若因水下检修作业条件不足，确需采用停产放空生化池检修的，需征得招标人同意后方可实施。免费保修包括但不限于由投标人承担完成质保期的工作而产生的运费、购置费、测试费、人工费等各项费用。</w:t>
            </w:r>
          </w:p>
        </w:tc>
        <w:tc>
          <w:tcPr>
            <w:tcW w:w="600"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98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c>
          <w:tcPr>
            <w:tcW w:w="817" w:type="dxa"/>
            <w:tcMar>
              <w:top w:w="57" w:type="dxa"/>
              <w:left w:w="57" w:type="dxa"/>
              <w:bottom w:w="57" w:type="dxa"/>
              <w:right w:w="57" w:type="dxa"/>
            </w:tcMar>
            <w:vAlign w:val="center"/>
          </w:tcPr>
          <w:p>
            <w:pPr>
              <w:spacing w:line="240" w:lineRule="auto"/>
              <w:jc w:val="both"/>
              <w:outlineLvl w:val="9"/>
              <w:rPr>
                <w:rFonts w:hint="eastAsia" w:ascii="宋体" w:hAnsi="宋体" w:eastAsia="宋体" w:cs="宋体"/>
                <w:b w:val="0"/>
                <w:bCs w:val="0"/>
                <w:color w:val="000000" w:themeColor="text1"/>
                <w:kern w:val="0"/>
                <w:sz w:val="18"/>
                <w:szCs w:val="18"/>
                <w:highlight w:val="none"/>
                <w:lang w:val="en-US" w:eastAsia="zh-CN"/>
                <w14:textFill>
                  <w14:solidFill>
                    <w14:schemeClr w14:val="tx1"/>
                  </w14:solidFill>
                </w14:textFill>
              </w:rPr>
            </w:pPr>
          </w:p>
        </w:tc>
      </w:tr>
    </w:tbl>
    <w:p>
      <w:pPr>
        <w:spacing w:line="360" w:lineRule="auto"/>
        <w:rPr>
          <w:rFonts w:ascii="宋体" w:hAnsi="宋体" w:eastAsia="宋体" w:cs="宋体"/>
          <w:color w:val="000000" w:themeColor="text1"/>
          <w:szCs w:val="21"/>
          <w:highlight w:val="none"/>
          <w14:textFill>
            <w14:solidFill>
              <w14:schemeClr w14:val="tx1"/>
            </w14:solidFill>
          </w14:textFill>
        </w:rPr>
      </w:pPr>
    </w:p>
    <w:p>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pPr>
        <w:spacing w:line="360" w:lineRule="auto"/>
        <w:ind w:left="605" w:leftChars="18" w:hanging="567" w:hangingChars="27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w:t>
      </w:r>
      <w:r>
        <w:rPr>
          <w:rFonts w:hint="eastAsia" w:ascii="宋体" w:hAnsi="宋体" w:eastAsia="宋体" w:cs="宋体"/>
          <w:b/>
          <w:color w:val="000000" w:themeColor="text1"/>
          <w:szCs w:val="21"/>
          <w:highlight w:val="none"/>
          <w:u w:val="single"/>
          <w:lang w:eastAsia="zh-CN"/>
          <w14:textFill>
            <w14:solidFill>
              <w14:schemeClr w14:val="tx1"/>
            </w14:solidFill>
          </w14:textFill>
        </w:rPr>
        <w:t>（其中“一、项目信息；二、项目概况”除外）</w:t>
      </w:r>
      <w:r>
        <w:rPr>
          <w:rFonts w:hint="eastAsia" w:ascii="宋体" w:hAnsi="宋体" w:eastAsia="宋体" w:cs="宋体"/>
          <w:b/>
          <w:color w:val="000000" w:themeColor="text1"/>
          <w:szCs w:val="21"/>
          <w:highlight w:val="none"/>
          <w:u w:val="single"/>
          <w14:textFill>
            <w14:solidFill>
              <w14:schemeClr w14:val="tx1"/>
            </w14:solidFill>
          </w14:textFill>
        </w:rPr>
        <w:t>，逐条逐项、如实地填写“偏离情况”，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pPr>
        <w:spacing w:line="360" w:lineRule="auto"/>
        <w:rPr>
          <w:rFonts w:ascii="宋体" w:hAnsi="宋体" w:eastAsia="宋体" w:cs="宋体"/>
          <w:color w:val="000000" w:themeColor="text1"/>
          <w:szCs w:val="21"/>
          <w:highlight w:val="none"/>
          <w14:textFill>
            <w14:solidFill>
              <w14:schemeClr w14:val="tx1"/>
            </w14:solidFill>
          </w14:textFill>
        </w:rPr>
      </w:pPr>
    </w:p>
    <w:p>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599" w:name="_Toc104991889"/>
      <w:bookmarkStart w:id="600" w:name="_Toc140596942"/>
      <w:bookmarkStart w:id="601" w:name="_Toc28623"/>
      <w:bookmarkStart w:id="602" w:name="_Toc20665"/>
      <w:bookmarkStart w:id="603" w:name="_Toc94107224"/>
      <w:bookmarkStart w:id="604" w:name="_Toc142508382"/>
      <w:bookmarkStart w:id="605" w:name="_Toc102860431"/>
      <w:bookmarkStart w:id="606" w:name="_Toc10286008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w:t>
      </w:r>
      <w:r>
        <w:rPr>
          <w:rFonts w:hint="eastAsia" w:ascii="宋体" w:hAnsi="宋体" w:eastAsia="宋体" w:cs="宋体"/>
          <w:b/>
          <w:color w:val="000000" w:themeColor="text1"/>
          <w:kern w:val="0"/>
          <w:sz w:val="30"/>
          <w:szCs w:val="30"/>
          <w:highlight w:val="none"/>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Times New Roman"/>
          <w:b/>
          <w:color w:val="000000" w:themeColor="text1"/>
          <w:kern w:val="0"/>
          <w:sz w:val="30"/>
          <w:szCs w:val="30"/>
          <w:highlight w:val="none"/>
          <w14:textFill>
            <w14:solidFill>
              <w14:schemeClr w14:val="tx1"/>
            </w14:solidFill>
          </w14:textFill>
        </w:rPr>
        <w:t>供货货物</w:t>
      </w:r>
      <w:r>
        <w:rPr>
          <w:rFonts w:hint="eastAsia" w:ascii="宋体" w:hAnsi="宋体" w:eastAsia="宋体" w:cs="Times New Roman"/>
          <w:b/>
          <w:color w:val="000000" w:themeColor="text1"/>
          <w:kern w:val="0"/>
          <w:sz w:val="30"/>
          <w:szCs w:val="30"/>
          <w:highlight w:val="none"/>
          <w:lang w:eastAsia="zh-CN"/>
          <w14:textFill>
            <w14:solidFill>
              <w14:schemeClr w14:val="tx1"/>
            </w14:solidFill>
          </w14:textFill>
        </w:rPr>
        <w:t>及服务</w:t>
      </w:r>
      <w:r>
        <w:rPr>
          <w:rFonts w:hint="eastAsia" w:ascii="宋体" w:hAnsi="宋体" w:eastAsia="宋体" w:cs="Times New Roman"/>
          <w:b/>
          <w:color w:val="000000" w:themeColor="text1"/>
          <w:kern w:val="0"/>
          <w:sz w:val="30"/>
          <w:szCs w:val="30"/>
          <w:highlight w:val="none"/>
          <w14:textFill>
            <w14:solidFill>
              <w14:schemeClr w14:val="tx1"/>
            </w14:solidFill>
          </w14:textFill>
        </w:rPr>
        <w:t>清单表格式</w:t>
      </w:r>
      <w:bookmarkEnd w:id="599"/>
      <w:bookmarkEnd w:id="600"/>
      <w:bookmarkEnd w:id="601"/>
      <w:bookmarkEnd w:id="602"/>
      <w:bookmarkEnd w:id="603"/>
      <w:bookmarkEnd w:id="604"/>
      <w:bookmarkEnd w:id="605"/>
      <w:bookmarkEnd w:id="606"/>
    </w:p>
    <w:p>
      <w:pPr>
        <w:autoSpaceDE w:val="0"/>
        <w:autoSpaceDN w:val="0"/>
        <w:adjustRightInd w:val="0"/>
        <w:ind w:right="-23" w:rightChars="-11"/>
        <w:jc w:val="center"/>
        <w:rPr>
          <w:rFonts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color w:val="000000" w:themeColor="text1"/>
          <w:sz w:val="30"/>
          <w:szCs w:val="30"/>
          <w:highlight w:val="none"/>
          <w:lang w:val="zh-CN"/>
          <w14:textFill>
            <w14:solidFill>
              <w14:schemeClr w14:val="tx1"/>
            </w14:solidFill>
          </w14:textFill>
        </w:rPr>
        <w:t>供货货物及服务清单表</w:t>
      </w:r>
    </w:p>
    <w:p>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68"/>
        <w:gridCol w:w="695"/>
        <w:gridCol w:w="774"/>
        <w:gridCol w:w="1265"/>
        <w:gridCol w:w="964"/>
        <w:gridCol w:w="689"/>
        <w:gridCol w:w="1101"/>
        <w:gridCol w:w="1101"/>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0"/>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货物明细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品牌</w:t>
            </w:r>
          </w:p>
        </w:tc>
        <w:tc>
          <w:tcPr>
            <w:tcW w:w="774"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规格、型号</w:t>
            </w:r>
          </w:p>
        </w:tc>
        <w:tc>
          <w:tcPr>
            <w:tcW w:w="964"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生产厂家</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ind w:right="-105" w:rightChars="-5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ind w:right="-105" w:rightChars="-5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ind w:right="-105" w:rightChars="-5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ind w:right="-105" w:rightChars="-5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89"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1" w:type="dxa"/>
            <w:tcBorders>
              <w:top w:val="single" w:color="auto" w:sz="4" w:space="0"/>
              <w:left w:val="single" w:color="auto" w:sz="4" w:space="0"/>
              <w:bottom w:val="single" w:color="auto" w:sz="4" w:space="0"/>
              <w:right w:val="single" w:color="auto" w:sz="4" w:space="0"/>
            </w:tcBorders>
            <w:noWrap w:val="0"/>
            <w:vAlign w:val="top"/>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0"/>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内容和标准</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37" w:type="dxa"/>
            <w:gridSpan w:val="3"/>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20" w:type="dxa"/>
            <w:gridSpan w:val="5"/>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pStyle w:val="22"/>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p>
    <w:p>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备注：</w:t>
      </w:r>
    </w:p>
    <w:p>
      <w:pPr>
        <w:snapToGrid w:val="0"/>
        <w:spacing w:line="360" w:lineRule="auto"/>
        <w:ind w:left="976" w:leftChars="195"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投标人应列明按《用户需求书》所要求的全部货物及其服务的明细清单；</w:t>
      </w:r>
    </w:p>
    <w:p>
      <w:pPr>
        <w:snapToGrid w:val="0"/>
        <w:spacing w:line="360" w:lineRule="auto"/>
        <w:ind w:left="976" w:leftChars="195" w:hanging="567" w:hangingChars="27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（2）货物明细中的</w:t>
      </w:r>
      <w:r>
        <w:rPr>
          <w:rFonts w:hint="eastAsia" w:ascii="宋体" w:hAnsi="宋体" w:eastAsia="宋体" w:cs="宋体"/>
          <w:color w:val="000000" w:themeColor="text1"/>
          <w:sz w:val="21"/>
          <w:szCs w:val="21"/>
          <w:highlight w:val="none"/>
          <w:lang w:val="zh-CN"/>
          <w14:textFill>
            <w14:solidFill>
              <w14:schemeClr w14:val="tx1"/>
            </w14:solidFill>
          </w14:textFill>
        </w:rPr>
        <w:t>货物名称、品牌、产地、规格、型号及数量等必须与分项报价明细表的货物名称、品牌、产地、规格、型号及数量完全一致；</w:t>
      </w:r>
    </w:p>
    <w:p>
      <w:pPr>
        <w:snapToGrid w:val="0"/>
        <w:spacing w:line="360" w:lineRule="auto"/>
        <w:ind w:left="976" w:leftChars="195" w:hanging="567" w:hangingChars="27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（3）服务明细中的内容和标准必须与分项报价明细表的内容和标准完全一致；</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（4）表格可根据实际货物种类自行扩展</w:t>
      </w:r>
      <w:r>
        <w:rPr>
          <w:rFonts w:hint="eastAsia" w:ascii="宋体" w:hAnsi="宋体" w:eastAsia="宋体" w:cs="Times New Roman"/>
          <w:color w:val="000000" w:themeColor="text1"/>
          <w:kern w:val="0"/>
          <w:szCs w:val="21"/>
          <w:highlight w:val="none"/>
          <w:lang w:val="zh-CN"/>
          <w14:textFill>
            <w14:solidFill>
              <w14:schemeClr w14:val="tx1"/>
            </w14:solidFill>
          </w14:textFill>
        </w:rPr>
        <w:t>。</w:t>
      </w:r>
    </w:p>
    <w:p>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607"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607"/>
    <w:p>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608" w:name="_Toc102860438"/>
      <w:bookmarkStart w:id="609" w:name="_Toc142508389"/>
      <w:bookmarkStart w:id="610" w:name="_Toc102860094"/>
      <w:bookmarkStart w:id="611" w:name="_Toc104991896"/>
      <w:bookmarkStart w:id="612" w:name="_Toc140596949"/>
      <w:bookmarkStart w:id="613" w:name="_Toc53370813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13.3 设备安装必需的配件供货清单</w:t>
      </w:r>
    </w:p>
    <w:p>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tbl>
      <w:tblPr>
        <w:tblStyle w:val="36"/>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903"/>
        <w:gridCol w:w="769"/>
        <w:gridCol w:w="806"/>
        <w:gridCol w:w="763"/>
        <w:gridCol w:w="838"/>
        <w:gridCol w:w="132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配件名称</w:t>
            </w: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品牌</w:t>
            </w:r>
          </w:p>
        </w:tc>
        <w:tc>
          <w:tcPr>
            <w:tcW w:w="769"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c>
          <w:tcPr>
            <w:tcW w:w="806"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838"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w:t>
            </w:r>
          </w:p>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主要技术参数</w:t>
            </w:r>
          </w:p>
        </w:tc>
        <w:tc>
          <w:tcPr>
            <w:tcW w:w="1888"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898"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9"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38"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pPr>
              <w:pStyle w:val="22"/>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spacing w:line="360" w:lineRule="auto"/>
        <w:ind w:firstLine="4200" w:firstLineChars="2000"/>
        <w:rPr>
          <w:rFonts w:hint="eastAsia" w:ascii="宋体" w:hAnsi="宋体" w:eastAsia="宋体" w:cs="宋体"/>
          <w:color w:val="000000" w:themeColor="text1"/>
          <w:kern w:val="3"/>
          <w:sz w:val="21"/>
          <w:szCs w:val="21"/>
          <w:highlight w:val="none"/>
          <w14:textFill>
            <w14:solidFill>
              <w14:schemeClr w14:val="tx1"/>
            </w14:solidFill>
          </w14:textFill>
        </w:rPr>
      </w:pPr>
    </w:p>
    <w:p>
      <w:pPr>
        <w:pStyle w:val="22"/>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pStyle w:val="22"/>
        <w:spacing w:line="360" w:lineRule="auto"/>
        <w:ind w:firstLine="420" w:firstLineChars="200"/>
        <w:outlineLvl w:val="0"/>
        <w:rPr>
          <w:rFonts w:hint="eastAsia" w:ascii="宋体" w:hAnsi="宋体" w:eastAsia="宋体" w:cs="宋体"/>
          <w:color w:val="000000" w:themeColor="text1"/>
          <w:sz w:val="21"/>
          <w:szCs w:val="21"/>
          <w:highlight w:val="none"/>
          <w14:textFill>
            <w14:solidFill>
              <w14:schemeClr w14:val="tx1"/>
            </w14:solidFill>
          </w14:textFill>
        </w:rPr>
      </w:pPr>
      <w:bookmarkStart w:id="614" w:name="_Toc9152"/>
      <w:r>
        <w:rPr>
          <w:rFonts w:hint="eastAsia" w:ascii="宋体" w:hAnsi="宋体" w:eastAsia="宋体" w:cs="宋体"/>
          <w:color w:val="000000" w:themeColor="text1"/>
          <w:sz w:val="21"/>
          <w:szCs w:val="21"/>
          <w:highlight w:val="none"/>
          <w14:textFill>
            <w14:solidFill>
              <w14:schemeClr w14:val="tx1"/>
            </w14:solidFill>
          </w14:textFill>
        </w:rPr>
        <w:t>1、本表内所有的配件费用已计入投标报价；</w:t>
      </w:r>
      <w:bookmarkEnd w:id="614"/>
    </w:p>
    <w:p>
      <w:pPr>
        <w:pStyle w:val="22"/>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2、本表配件包括但不限于螺母、地脚螺栓、紧固件、连接件等其他配件；</w:t>
      </w:r>
    </w:p>
    <w:p>
      <w:pPr>
        <w:pStyle w:val="22"/>
        <w:spacing w:line="360" w:lineRule="auto"/>
        <w:ind w:firstLine="420" w:firstLineChars="200"/>
        <w:outlineLvl w:val="0"/>
        <w:rPr>
          <w:rFonts w:hint="eastAsia" w:ascii="宋体" w:hAnsi="宋体" w:eastAsia="宋体" w:cs="宋体"/>
          <w:color w:val="000000" w:themeColor="text1"/>
          <w:sz w:val="21"/>
          <w:szCs w:val="21"/>
          <w:highlight w:val="none"/>
          <w:lang w:val="zh-CN"/>
          <w14:textFill>
            <w14:solidFill>
              <w14:schemeClr w14:val="tx1"/>
            </w14:solidFill>
          </w14:textFill>
        </w:rPr>
      </w:pPr>
      <w:bookmarkStart w:id="615" w:name="_Toc12007"/>
      <w:r>
        <w:rPr>
          <w:rFonts w:hint="eastAsia" w:ascii="宋体" w:hAnsi="宋体" w:eastAsia="宋体" w:cs="宋体"/>
          <w:color w:val="000000" w:themeColor="text1"/>
          <w:sz w:val="21"/>
          <w:szCs w:val="21"/>
          <w:highlight w:val="none"/>
          <w:lang w:val="zh-CN"/>
          <w14:textFill>
            <w14:solidFill>
              <w14:schemeClr w14:val="tx1"/>
            </w14:solidFill>
          </w14:textFill>
        </w:rPr>
        <w:t>3、表格可根据实际货物种类自行扩展。</w:t>
      </w:r>
      <w:bookmarkEnd w:id="615"/>
    </w:p>
    <w:p>
      <w:pPr>
        <w:spacing w:line="360" w:lineRule="auto"/>
        <w:ind w:firstLine="4200" w:firstLineChars="2000"/>
        <w:rPr>
          <w:rFonts w:hint="eastAsia" w:ascii="宋体" w:hAnsi="宋体" w:eastAsia="宋体" w:cs="宋体"/>
          <w:color w:val="000000" w:themeColor="text1"/>
          <w:kern w:val="3"/>
          <w:sz w:val="21"/>
          <w:szCs w:val="21"/>
          <w:highlight w:val="none"/>
          <w14:textFill>
            <w14:solidFill>
              <w14:schemeClr w14:val="tx1"/>
            </w14:solidFill>
          </w14:textFill>
        </w:rPr>
      </w:pPr>
    </w:p>
    <w:p>
      <w:pPr>
        <w:spacing w:line="360" w:lineRule="auto"/>
        <w:ind w:firstLine="4200" w:firstLineChars="2000"/>
        <w:rPr>
          <w:rFonts w:hint="eastAsia" w:ascii="宋体" w:hAnsi="宋体" w:eastAsia="宋体" w:cs="宋体"/>
          <w:color w:val="000000" w:themeColor="text1"/>
          <w:kern w:val="3"/>
          <w:sz w:val="21"/>
          <w:szCs w:val="21"/>
          <w:highlight w:val="none"/>
          <w:u w:val="single"/>
          <w14:textFill>
            <w14:solidFill>
              <w14:schemeClr w14:val="tx1"/>
            </w14:solidFill>
          </w14:textFill>
        </w:rPr>
      </w:pPr>
      <w:r>
        <w:rPr>
          <w:rFonts w:hint="eastAsia" w:ascii="宋体" w:hAnsi="宋体" w:eastAsia="宋体" w:cs="宋体"/>
          <w:color w:val="000000" w:themeColor="text1"/>
          <w:kern w:val="3"/>
          <w:sz w:val="21"/>
          <w:szCs w:val="21"/>
          <w:highlight w:val="none"/>
          <w14:textFill>
            <w14:solidFill>
              <w14:schemeClr w14:val="tx1"/>
            </w14:solidFill>
          </w14:textFill>
        </w:rPr>
        <w:t>投 标 人（加盖投标人法人公章）：</w:t>
      </w:r>
      <w:r>
        <w:rPr>
          <w:rFonts w:hint="eastAsia" w:ascii="宋体" w:hAnsi="宋体" w:eastAsia="宋体" w:cs="宋体"/>
          <w:color w:val="000000" w:themeColor="text1"/>
          <w:kern w:val="3"/>
          <w:sz w:val="21"/>
          <w:szCs w:val="21"/>
          <w:highlight w:val="none"/>
          <w:u w:val="single"/>
          <w14:textFill>
            <w14:solidFill>
              <w14:schemeClr w14:val="tx1"/>
            </w14:solidFill>
          </w14:textFill>
        </w:rPr>
        <w:t xml:space="preserve">               </w:t>
      </w:r>
    </w:p>
    <w:p>
      <w:pPr>
        <w:spacing w:line="360" w:lineRule="auto"/>
        <w:ind w:firstLine="4200" w:firstLineChars="2000"/>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pPr>
        <w:tabs>
          <w:tab w:val="left" w:pos="567"/>
        </w:tabs>
        <w:spacing w:line="360" w:lineRule="auto"/>
        <w:outlineLvl w:val="2"/>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13.4 </w:t>
      </w:r>
      <w:r>
        <w:rPr>
          <w:rFonts w:hint="eastAsia" w:ascii="宋体" w:hAnsi="宋体" w:eastAsia="宋体" w:cs="宋体"/>
          <w:b/>
          <w:color w:val="000000" w:themeColor="text1"/>
          <w:sz w:val="30"/>
          <w:szCs w:val="30"/>
          <w:highlight w:val="none"/>
          <w14:textFill>
            <w14:solidFill>
              <w14:schemeClr w14:val="tx1"/>
            </w14:solidFill>
          </w14:textFill>
        </w:rPr>
        <w:t>投标产品技术性能说明</w:t>
      </w:r>
    </w:p>
    <w:p>
      <w:pPr>
        <w:pStyle w:val="18"/>
        <w:spacing w:beforeLines="0" w:afterLines="0" w:line="240" w:lineRule="auto"/>
        <w:ind w:right="0" w:rightChars="0" w:firstLine="420" w:firstLineChars="200"/>
        <w:jc w:val="left"/>
        <w:rPr>
          <w:rFonts w:hint="eastAsia" w:ascii="宋体" w:hAnsi="宋体" w:eastAsia="宋体" w:cs="宋体"/>
          <w:b w:val="0"/>
          <w:color w:val="000000" w:themeColor="text1"/>
          <w:kern w:val="0"/>
          <w:sz w:val="21"/>
          <w:szCs w:val="21"/>
          <w:highlight w:val="none"/>
          <w:lang w:val="en-US"/>
          <w14:textFill>
            <w14:solidFill>
              <w14:schemeClr w14:val="tx1"/>
            </w14:solidFill>
          </w14:textFill>
        </w:rPr>
      </w:pPr>
      <w:r>
        <w:rPr>
          <w:rFonts w:hint="eastAsia" w:ascii="宋体" w:hAnsi="宋体" w:eastAsia="宋体" w:cs="宋体"/>
          <w:b w:val="0"/>
          <w:color w:val="000000" w:themeColor="text1"/>
          <w:kern w:val="0"/>
          <w:sz w:val="21"/>
          <w:szCs w:val="21"/>
          <w:highlight w:val="none"/>
          <w:lang w:val="en-US"/>
          <w14:textFill>
            <w14:solidFill>
              <w14:schemeClr w14:val="tx1"/>
            </w14:solidFill>
          </w14:textFill>
        </w:rPr>
        <w:t>要求投标人提供投标产品的规格、技术性能、功能等详细说明。</w:t>
      </w:r>
    </w:p>
    <w:p>
      <w:pPr>
        <w:pStyle w:val="18"/>
        <w:spacing w:line="360" w:lineRule="auto"/>
        <w:ind w:rightChars="-11" w:firstLine="420" w:firstLineChars="200"/>
        <w:jc w:val="left"/>
        <w:rPr>
          <w:rFonts w:hint="eastAsia" w:ascii="宋体" w:hAnsi="宋体" w:eastAsia="宋体" w:cs="宋体"/>
          <w:b w:val="0"/>
          <w:color w:val="000000" w:themeColor="text1"/>
          <w:sz w:val="21"/>
          <w:szCs w:val="21"/>
          <w:highlight w:val="none"/>
          <w:lang w:val="en-US"/>
          <w14:textFill>
            <w14:solidFill>
              <w14:schemeClr w14:val="tx1"/>
            </w14:solidFill>
          </w14:textFill>
        </w:rPr>
      </w:pPr>
    </w:p>
    <w:p>
      <w:pPr>
        <w:pStyle w:val="18"/>
        <w:spacing w:line="360" w:lineRule="auto"/>
        <w:ind w:rightChars="-11" w:firstLine="420" w:firstLineChars="200"/>
        <w:jc w:val="left"/>
        <w:rPr>
          <w:rFonts w:hint="eastAsia" w:ascii="宋体" w:hAnsi="宋体" w:eastAsia="宋体" w:cs="宋体"/>
          <w:b w:val="0"/>
          <w:color w:val="000000" w:themeColor="text1"/>
          <w:sz w:val="21"/>
          <w:szCs w:val="21"/>
          <w:highlight w:val="none"/>
          <w:lang w:val="en-US"/>
          <w14:textFill>
            <w14:solidFill>
              <w14:schemeClr w14:val="tx1"/>
            </w14:solidFill>
          </w14:textFill>
        </w:rPr>
      </w:pPr>
      <w:r>
        <w:rPr>
          <w:rFonts w:hint="eastAsia" w:ascii="宋体" w:hAnsi="宋体" w:eastAsia="宋体" w:cs="宋体"/>
          <w:b w:val="0"/>
          <w:color w:val="000000" w:themeColor="text1"/>
          <w:sz w:val="21"/>
          <w:szCs w:val="21"/>
          <w:highlight w:val="none"/>
          <w:lang w:val="en-US"/>
          <w14:textFill>
            <w14:solidFill>
              <w14:schemeClr w14:val="tx1"/>
            </w14:solidFill>
          </w14:textFill>
        </w:rPr>
        <w:t>说明：投标人自行提供书面说明和资料，其中应包含投标产品性能说明书或其他能体现投标产品性能的证明材料。</w:t>
      </w:r>
    </w:p>
    <w:p>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pPr>
        <w:tabs>
          <w:tab w:val="left" w:pos="567"/>
        </w:tabs>
        <w:spacing w:line="360" w:lineRule="auto"/>
        <w:outlineLvl w:val="2"/>
        <w:rPr>
          <w:rFonts w:hint="eastAsia" w:ascii="宋体" w:hAnsi="宋体" w:eastAsia="宋体" w:cs="宋体"/>
          <w:b/>
          <w:color w:val="000000" w:themeColor="text1"/>
          <w:sz w:val="30"/>
          <w:szCs w:val="30"/>
          <w:highlight w:val="none"/>
          <w14:textFill>
            <w14:solidFill>
              <w14:schemeClr w14:val="tx1"/>
            </w14:solidFill>
          </w14:textFill>
        </w:rPr>
      </w:pPr>
      <w:bookmarkStart w:id="616" w:name="_Toc1572"/>
      <w:bookmarkStart w:id="617" w:name="_Toc4749"/>
      <w:bookmarkStart w:id="618" w:name="_Toc30890"/>
      <w:bookmarkStart w:id="619" w:name="_Toc31572"/>
      <w:bookmarkStart w:id="620" w:name="_Toc770"/>
      <w:bookmarkStart w:id="621" w:name="_Toc1222"/>
      <w:r>
        <w:rPr>
          <w:rFonts w:hint="eastAsia" w:ascii="宋体" w:hAnsi="宋体" w:eastAsia="宋体" w:cs="宋体"/>
          <w:b/>
          <w:color w:val="000000" w:themeColor="text1"/>
          <w:sz w:val="30"/>
          <w:szCs w:val="30"/>
          <w:highlight w:val="none"/>
          <w:lang w:val="en-US" w:eastAsia="zh-CN"/>
          <w14:textFill>
            <w14:solidFill>
              <w14:schemeClr w14:val="tx1"/>
            </w14:solidFill>
          </w14:textFill>
        </w:rPr>
        <w:t>13</w:t>
      </w:r>
      <w:r>
        <w:rPr>
          <w:rFonts w:hint="eastAsia" w:ascii="宋体" w:hAnsi="宋体" w:eastAsia="宋体" w:cs="宋体"/>
          <w:b/>
          <w:color w:val="000000" w:themeColor="text1"/>
          <w:sz w:val="30"/>
          <w:szCs w:val="30"/>
          <w:highlight w:val="none"/>
          <w14:textFill>
            <w14:solidFill>
              <w14:schemeClr w14:val="tx1"/>
            </w14:solidFill>
          </w14:textFill>
        </w:rPr>
        <w:t>.5 供货、安装计划及进度保证措施</w:t>
      </w:r>
      <w:bookmarkEnd w:id="616"/>
      <w:bookmarkEnd w:id="617"/>
      <w:bookmarkEnd w:id="618"/>
      <w:bookmarkEnd w:id="619"/>
    </w:p>
    <w:p>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说明：投标人自行提供书面说明和资料。</w:t>
      </w:r>
    </w:p>
    <w:p>
      <w:pPr>
        <w:spacing w:line="240" w:lineRule="auto"/>
        <w:outlineLvl w:val="9"/>
        <w:rPr>
          <w:rFonts w:hint="eastAsia"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bookmarkStart w:id="622" w:name="_Toc8172"/>
      <w:bookmarkStart w:id="623" w:name="_Toc424"/>
      <w:bookmarkStart w:id="624" w:name="_Toc29856"/>
      <w:bookmarkStart w:id="625" w:name="_Toc27402"/>
      <w:r>
        <w:rPr>
          <w:rFonts w:hint="eastAsia" w:ascii="宋体" w:hAnsi="宋体" w:eastAsia="宋体" w:cs="宋体"/>
          <w:b/>
          <w:color w:val="000000" w:themeColor="text1"/>
          <w:sz w:val="30"/>
          <w:szCs w:val="30"/>
          <w:highlight w:val="none"/>
          <w:lang w:val="en-US" w:eastAsia="zh-CN"/>
          <w14:textFill>
            <w14:solidFill>
              <w14:schemeClr w14:val="tx1"/>
            </w14:solidFill>
          </w14:textFill>
        </w:rPr>
        <w:t>13</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ascii="宋体" w:hAnsi="宋体" w:eastAsia="宋体" w:cs="宋体"/>
          <w:b/>
          <w:color w:val="000000" w:themeColor="text1"/>
          <w:sz w:val="30"/>
          <w:szCs w:val="30"/>
          <w:highlight w:val="none"/>
          <w:lang w:val="en-US" w:eastAsia="zh-CN"/>
          <w14:textFill>
            <w14:solidFill>
              <w14:schemeClr w14:val="tx1"/>
            </w14:solidFill>
          </w14:textFill>
        </w:rPr>
        <w:t xml:space="preserve">6 </w:t>
      </w:r>
      <w:r>
        <w:rPr>
          <w:rFonts w:hint="eastAsia" w:ascii="宋体" w:hAnsi="宋体" w:eastAsia="宋体" w:cs="宋体"/>
          <w:b/>
          <w:color w:val="000000" w:themeColor="text1"/>
          <w:sz w:val="30"/>
          <w:szCs w:val="30"/>
          <w:highlight w:val="none"/>
          <w14:textFill>
            <w14:solidFill>
              <w14:schemeClr w14:val="tx1"/>
            </w14:solidFill>
          </w14:textFill>
        </w:rPr>
        <w:t>安装时间、维修响应时间承诺表</w:t>
      </w:r>
      <w:bookmarkEnd w:id="622"/>
      <w:bookmarkEnd w:id="623"/>
      <w:bookmarkEnd w:id="624"/>
      <w:bookmarkEnd w:id="625"/>
    </w:p>
    <w:p>
      <w:pPr>
        <w:jc w:val="center"/>
        <w:rPr>
          <w:rFonts w:hint="eastAsia" w:ascii="宋体" w:hAnsi="宋体" w:eastAsia="宋体" w:cs="宋体"/>
          <w:b/>
          <w:color w:val="000000" w:themeColor="text1"/>
          <w:sz w:val="28"/>
          <w:szCs w:val="30"/>
          <w:highlight w:val="none"/>
          <w14:textFill>
            <w14:solidFill>
              <w14:schemeClr w14:val="tx1"/>
            </w14:solidFill>
          </w14:textFill>
        </w:rPr>
      </w:pPr>
    </w:p>
    <w:p>
      <w:pPr>
        <w:jc w:val="center"/>
        <w:rPr>
          <w:rFonts w:hint="eastAsia" w:ascii="宋体" w:hAnsi="宋体" w:eastAsia="宋体" w:cs="宋体"/>
          <w:b/>
          <w:color w:val="000000" w:themeColor="text1"/>
          <w:sz w:val="28"/>
          <w:szCs w:val="30"/>
          <w:highlight w:val="none"/>
          <w14:textFill>
            <w14:solidFill>
              <w14:schemeClr w14:val="tx1"/>
            </w14:solidFill>
          </w14:textFill>
        </w:rPr>
      </w:pPr>
      <w:r>
        <w:rPr>
          <w:rFonts w:hint="eastAsia" w:ascii="宋体" w:hAnsi="宋体" w:eastAsia="宋体" w:cs="宋体"/>
          <w:b/>
          <w:color w:val="000000" w:themeColor="text1"/>
          <w:sz w:val="28"/>
          <w:szCs w:val="30"/>
          <w:highlight w:val="none"/>
          <w14:textFill>
            <w14:solidFill>
              <w14:schemeClr w14:val="tx1"/>
            </w14:solidFill>
          </w14:textFill>
        </w:rPr>
        <w:t>安装时间、维修响应时间承诺表</w:t>
      </w:r>
    </w:p>
    <w:tbl>
      <w:tblPr>
        <w:tblStyle w:val="36"/>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pPr>
              <w:spacing w:line="360" w:lineRule="auto"/>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序号</w:t>
            </w:r>
          </w:p>
        </w:tc>
        <w:tc>
          <w:tcPr>
            <w:tcW w:w="9115" w:type="dxa"/>
            <w:noWrap w:val="0"/>
            <w:vAlign w:val="center"/>
          </w:tcPr>
          <w:p>
            <w:pPr>
              <w:spacing w:line="360" w:lineRule="auto"/>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pPr>
              <w:spacing w:line="360" w:lineRule="auto"/>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1</w:t>
            </w:r>
          </w:p>
        </w:tc>
        <w:tc>
          <w:tcPr>
            <w:tcW w:w="9115" w:type="dxa"/>
            <w:noWrap w:val="0"/>
            <w:vAlign w:val="center"/>
          </w:tcPr>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我方承诺于在接到招标人书面通知之日起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日内完成生化池清淤、现有曝气系统拆卸、新购置曝气系统设备安装及调试等工作。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pPr>
              <w:spacing w:line="360" w:lineRule="auto"/>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w:t>
            </w:r>
          </w:p>
        </w:tc>
        <w:tc>
          <w:tcPr>
            <w:tcW w:w="9115" w:type="dxa"/>
            <w:noWrap w:val="0"/>
            <w:vAlign w:val="center"/>
          </w:tcPr>
          <w:p>
            <w:pPr>
              <w:spacing w:line="360" w:lineRule="auto"/>
              <w:rPr>
                <w:rFonts w:hint="eastAsia" w:ascii="宋体" w:hAnsi="宋体" w:eastAsia="宋体" w:cs="宋体"/>
                <w:b/>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我方承诺在合同规定的质保期内，在接到招标人的故障通知后</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小时</w:t>
            </w:r>
            <w:r>
              <w:rPr>
                <w:rFonts w:hint="eastAsia" w:ascii="宋体" w:hAnsi="宋体" w:eastAsia="宋体" w:cs="宋体"/>
                <w:color w:val="000000" w:themeColor="text1"/>
                <w:sz w:val="21"/>
                <w:szCs w:val="21"/>
                <w:highlight w:val="none"/>
                <w14:textFill>
                  <w14:solidFill>
                    <w14:schemeClr w14:val="tx1"/>
                  </w14:solidFill>
                </w14:textFill>
              </w:rPr>
              <w:t>内响应，</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小时</w:t>
            </w:r>
            <w:r>
              <w:rPr>
                <w:rFonts w:hint="eastAsia" w:ascii="宋体" w:hAnsi="宋体" w:eastAsia="宋体" w:cs="宋体"/>
                <w:color w:val="000000" w:themeColor="text1"/>
                <w:sz w:val="21"/>
                <w:szCs w:val="21"/>
                <w:highlight w:val="none"/>
                <w14:textFill>
                  <w14:solidFill>
                    <w14:schemeClr w14:val="tx1"/>
                  </w14:solidFill>
                </w14:textFill>
              </w:rPr>
              <w:t>内到达项目现场进行维修等服务。</w:t>
            </w:r>
          </w:p>
        </w:tc>
      </w:tr>
    </w:tbl>
    <w:p>
      <w:pPr>
        <w:spacing w:line="360" w:lineRule="auto"/>
        <w:ind w:left="360" w:right="420" w:firstLine="3255" w:firstLineChars="1550"/>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pPr>
        <w:spacing w:line="360" w:lineRule="auto"/>
        <w:ind w:firstLine="424" w:firstLineChars="201"/>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626" w:name="_Toc4059"/>
      <w:r>
        <w:rPr>
          <w:rFonts w:hint="eastAsia" w:ascii="宋体" w:hAnsi="宋体" w:eastAsia="宋体" w:cs="宋体"/>
          <w:b/>
          <w:color w:val="000000" w:themeColor="text1"/>
          <w:sz w:val="21"/>
          <w:szCs w:val="21"/>
          <w:highlight w:val="none"/>
          <w14:textFill>
            <w14:solidFill>
              <w14:schemeClr w14:val="tx1"/>
            </w14:solidFill>
          </w14:textFill>
        </w:rPr>
        <w:t>1.本表承诺事项若未填或漏填的，视为投标人按用户需求书响应。</w:t>
      </w:r>
      <w:bookmarkEnd w:id="626"/>
    </w:p>
    <w:p>
      <w:pPr>
        <w:spacing w:line="360" w:lineRule="auto"/>
        <w:ind w:firstLine="424" w:firstLineChars="20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2.本表承诺事项若与投标文件其他地方表述不一致的，以本承诺表为准。</w:t>
      </w:r>
    </w:p>
    <w:p>
      <w:pPr>
        <w:spacing w:line="360" w:lineRule="auto"/>
        <w:ind w:left="360" w:right="420" w:firstLine="3255" w:firstLineChars="1550"/>
        <w:rPr>
          <w:rFonts w:hint="eastAsia" w:ascii="宋体" w:hAnsi="宋体" w:eastAsia="宋体" w:cs="宋体"/>
          <w:color w:val="000000" w:themeColor="text1"/>
          <w:kern w:val="3"/>
          <w:highlight w:val="none"/>
          <w14:textFill>
            <w14:solidFill>
              <w14:schemeClr w14:val="tx1"/>
            </w14:solidFill>
          </w14:textFill>
        </w:rPr>
      </w:pPr>
    </w:p>
    <w:p>
      <w:pPr>
        <w:spacing w:line="360" w:lineRule="auto"/>
        <w:ind w:firstLine="4200" w:firstLineChars="2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3"/>
          <w:sz w:val="21"/>
          <w:szCs w:val="21"/>
          <w:highlight w:val="none"/>
          <w14:textFill>
            <w14:solidFill>
              <w14:schemeClr w14:val="tx1"/>
            </w14:solidFill>
          </w14:textFill>
        </w:rPr>
        <w:t>投 标 人（加盖投标人法人公章）：</w:t>
      </w:r>
      <w:r>
        <w:rPr>
          <w:rFonts w:hint="eastAsia" w:ascii="宋体" w:hAnsi="宋体" w:eastAsia="宋体" w:cs="宋体"/>
          <w:color w:val="000000" w:themeColor="text1"/>
          <w:kern w:val="3"/>
          <w:sz w:val="21"/>
          <w:szCs w:val="21"/>
          <w:highlight w:val="none"/>
          <w:u w:val="single"/>
          <w14:textFill>
            <w14:solidFill>
              <w14:schemeClr w14:val="tx1"/>
            </w14:solidFill>
          </w14:textFill>
        </w:rPr>
        <w:t xml:space="preserve">               </w:t>
      </w:r>
    </w:p>
    <w:p>
      <w:pPr>
        <w:spacing w:line="360" w:lineRule="auto"/>
        <w:ind w:firstLine="4200" w:firstLineChars="2000"/>
        <w:rPr>
          <w:rFonts w:hint="eastAsia" w:ascii="宋体" w:hAnsi="宋体" w:eastAsia="宋体" w:cs="宋体"/>
          <w:color w:val="000000" w:themeColor="text1"/>
          <w:kern w:val="3"/>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pPr>
        <w:pStyle w:val="4"/>
        <w:rPr>
          <w:rFonts w:hint="eastAsia" w:hAnsi="宋体" w:cs="宋体"/>
          <w:b/>
          <w:color w:val="000000" w:themeColor="text1"/>
          <w:sz w:val="30"/>
          <w:szCs w:val="30"/>
          <w:highlight w:val="none"/>
          <w14:textFill>
            <w14:solidFill>
              <w14:schemeClr w14:val="tx1"/>
            </w14:solidFill>
          </w14:textFill>
        </w:rPr>
      </w:pPr>
      <w:bookmarkStart w:id="627" w:name="_Toc7196"/>
      <w:bookmarkStart w:id="628" w:name="_Toc29951"/>
      <w:bookmarkStart w:id="629" w:name="_Toc23063"/>
      <w:bookmarkStart w:id="630" w:name="_Toc18327"/>
      <w:r>
        <w:rPr>
          <w:rFonts w:hint="eastAsia" w:hAnsi="宋体" w:cs="宋体"/>
          <w:b/>
          <w:color w:val="000000" w:themeColor="text1"/>
          <w:sz w:val="30"/>
          <w:szCs w:val="30"/>
          <w:highlight w:val="none"/>
          <w:lang w:val="en-US" w:eastAsia="zh-CN"/>
          <w14:textFill>
            <w14:solidFill>
              <w14:schemeClr w14:val="tx1"/>
            </w14:solidFill>
          </w14:textFill>
        </w:rPr>
        <w:t>13</w:t>
      </w:r>
      <w:r>
        <w:rPr>
          <w:rFonts w:hint="eastAsia" w:hAnsi="宋体" w:cs="宋体"/>
          <w:b/>
          <w:color w:val="000000" w:themeColor="text1"/>
          <w:sz w:val="30"/>
          <w:szCs w:val="30"/>
          <w:highlight w:val="none"/>
          <w14:textFill>
            <w14:solidFill>
              <w14:schemeClr w14:val="tx1"/>
            </w14:solidFill>
          </w14:textFill>
        </w:rPr>
        <w:t>.</w:t>
      </w:r>
      <w:r>
        <w:rPr>
          <w:rFonts w:hint="eastAsia" w:hAnsi="宋体" w:cs="宋体"/>
          <w:b/>
          <w:color w:val="000000" w:themeColor="text1"/>
          <w:sz w:val="30"/>
          <w:szCs w:val="30"/>
          <w:highlight w:val="none"/>
          <w:lang w:val="en-US" w:eastAsia="zh-CN"/>
          <w14:textFill>
            <w14:solidFill>
              <w14:schemeClr w14:val="tx1"/>
            </w14:solidFill>
          </w14:textFill>
        </w:rPr>
        <w:t>7</w:t>
      </w:r>
      <w:r>
        <w:rPr>
          <w:rFonts w:hint="eastAsia" w:hAnsi="宋体" w:cs="宋体"/>
          <w:b/>
          <w:color w:val="000000" w:themeColor="text1"/>
          <w:sz w:val="30"/>
          <w:szCs w:val="30"/>
          <w:highlight w:val="none"/>
          <w14:textFill>
            <w14:solidFill>
              <w14:schemeClr w14:val="tx1"/>
            </w14:solidFill>
          </w14:textFill>
        </w:rPr>
        <w:t xml:space="preserve"> 用户需求要求提交的其他技术资料</w:t>
      </w:r>
      <w:bookmarkEnd w:id="627"/>
      <w:bookmarkEnd w:id="628"/>
      <w:bookmarkEnd w:id="629"/>
      <w:bookmarkEnd w:id="630"/>
    </w:p>
    <w:p>
      <w:pPr>
        <w:pStyle w:val="18"/>
        <w:spacing w:before="120" w:beforeLines="50" w:line="360" w:lineRule="auto"/>
        <w:ind w:right="0" w:firstLine="420" w:firstLineChars="200"/>
        <w:jc w:val="left"/>
        <w:rPr>
          <w:rFonts w:hint="eastAsia"/>
          <w:b w:val="0"/>
          <w:color w:val="000000" w:themeColor="text1"/>
          <w:sz w:val="21"/>
          <w:szCs w:val="21"/>
          <w:highlight w:val="none"/>
          <w:lang w:val="en-US"/>
          <w14:textFill>
            <w14:solidFill>
              <w14:schemeClr w14:val="tx1"/>
            </w14:solidFill>
          </w14:textFill>
        </w:rPr>
      </w:pPr>
      <w:r>
        <w:rPr>
          <w:rFonts w:hint="eastAsia"/>
          <w:b w:val="0"/>
          <w:color w:val="000000" w:themeColor="text1"/>
          <w:sz w:val="21"/>
          <w:szCs w:val="21"/>
          <w:highlight w:val="none"/>
          <w:lang w:val="en-US"/>
          <w14:textFill>
            <w14:solidFill>
              <w14:schemeClr w14:val="tx1"/>
            </w14:solidFill>
          </w14:textFill>
        </w:rPr>
        <w:t>说明：投标人自行编写，格式不限，投标人按用户需求的要求，提供反映产品性能的技术支持资料相关证明材料，包括但不限于：</w:t>
      </w:r>
    </w:p>
    <w:p>
      <w:pPr>
        <w:pStyle w:val="18"/>
        <w:spacing w:before="120" w:beforeLines="50" w:line="360" w:lineRule="auto"/>
        <w:ind w:right="0" w:firstLine="420" w:firstLineChars="200"/>
        <w:jc w:val="left"/>
        <w:rPr>
          <w:rFonts w:hint="eastAsia"/>
          <w:b w:val="0"/>
          <w:color w:val="000000" w:themeColor="text1"/>
          <w:sz w:val="21"/>
          <w:szCs w:val="21"/>
          <w:highlight w:val="none"/>
          <w:lang w:val="en-US"/>
          <w14:textFill>
            <w14:solidFill>
              <w14:schemeClr w14:val="tx1"/>
            </w14:solidFill>
          </w14:textFill>
        </w:rPr>
      </w:pPr>
      <w:r>
        <w:rPr>
          <w:rFonts w:hint="eastAsia"/>
          <w:b w:val="0"/>
          <w:color w:val="000000" w:themeColor="text1"/>
          <w:sz w:val="21"/>
          <w:szCs w:val="21"/>
          <w:highlight w:val="none"/>
          <w:lang w:val="en-US"/>
          <w14:textFill>
            <w14:solidFill>
              <w14:schemeClr w14:val="tx1"/>
            </w14:solidFill>
          </w14:textFill>
        </w:rPr>
        <w:t>1、★投标人提供管式微孔曝气器设备的详细设计计算书；</w:t>
      </w:r>
    </w:p>
    <w:p>
      <w:pPr>
        <w:pStyle w:val="18"/>
        <w:spacing w:before="120" w:beforeLines="50" w:line="360" w:lineRule="auto"/>
        <w:ind w:right="0" w:firstLine="420" w:firstLineChars="200"/>
        <w:jc w:val="left"/>
        <w:rPr>
          <w:rFonts w:hint="eastAsia"/>
          <w:b w:val="0"/>
          <w:color w:val="000000" w:themeColor="text1"/>
          <w:sz w:val="21"/>
          <w:szCs w:val="21"/>
          <w:highlight w:val="none"/>
          <w:lang w:val="en-US"/>
          <w14:textFill>
            <w14:solidFill>
              <w14:schemeClr w14:val="tx1"/>
            </w14:solidFill>
          </w14:textFill>
        </w:rPr>
      </w:pPr>
      <w:r>
        <w:rPr>
          <w:rFonts w:hint="eastAsia"/>
          <w:b w:val="0"/>
          <w:color w:val="000000" w:themeColor="text1"/>
          <w:sz w:val="21"/>
          <w:szCs w:val="21"/>
          <w:highlight w:val="none"/>
          <w:lang w:val="en-US"/>
          <w14:textFill>
            <w14:solidFill>
              <w14:schemeClr w14:val="tx1"/>
            </w14:solidFill>
          </w14:textFill>
        </w:rPr>
        <w:t>2、★投标人所选用的膜片管式微孔曝气器，须依据《水处理用橡胶膜微孔曝气器》（CJ/T264-2018）或《微孔曝气器清水氧传质性能测定》（CJ/T475-2015），在标准通气量</w:t>
      </w:r>
      <w:r>
        <w:rPr>
          <w:rFonts w:hint="eastAsia"/>
          <w:b w:val="0"/>
          <w:color w:val="000000" w:themeColor="text1"/>
          <w:sz w:val="21"/>
          <w:szCs w:val="21"/>
          <w:highlight w:val="none"/>
          <w:lang w:val="en-US" w:eastAsia="zh-CN"/>
          <w14:textFill>
            <w14:solidFill>
              <w14:schemeClr w14:val="tx1"/>
            </w14:solidFill>
          </w14:textFill>
        </w:rPr>
        <w:t>7</w:t>
      </w:r>
      <w:r>
        <w:rPr>
          <w:rFonts w:hint="eastAsia"/>
          <w:b w:val="0"/>
          <w:color w:val="000000" w:themeColor="text1"/>
          <w:sz w:val="21"/>
          <w:szCs w:val="21"/>
          <w:highlight w:val="none"/>
          <w:lang w:val="en-US"/>
          <w14:textFill>
            <w14:solidFill>
              <w14:schemeClr w14:val="tx1"/>
            </w14:solidFill>
          </w14:textFill>
        </w:rPr>
        <w:t>.0m³/h·根，水深6m的测试条件下，单个曝气器满足以下指标要求：① 标准曝气效率：≥8.2kg/(kW·h)；② 标准氧传质速率(充氧能力)：≥0.4kg/h；③ 标准氧传质效率(氧利用率)：≥35%；④ 阻力损失：≤3000Pa；</w:t>
      </w:r>
    </w:p>
    <w:p>
      <w:pPr>
        <w:pStyle w:val="18"/>
        <w:spacing w:before="120" w:beforeLines="50" w:line="360" w:lineRule="auto"/>
        <w:ind w:right="0" w:firstLine="420" w:firstLineChars="200"/>
        <w:jc w:val="left"/>
        <w:outlineLvl w:val="0"/>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631" w:name="_Toc8181"/>
      <w:r>
        <w:rPr>
          <w:rFonts w:hint="eastAsia"/>
          <w:b w:val="0"/>
          <w:color w:val="000000" w:themeColor="text1"/>
          <w:sz w:val="21"/>
          <w:szCs w:val="21"/>
          <w:highlight w:val="none"/>
          <w:lang w:val="en-US"/>
          <w14:textFill>
            <w14:solidFill>
              <w14:schemeClr w14:val="tx1"/>
            </w14:solidFill>
          </w14:textFill>
        </w:rPr>
        <w:t>3、投标人认为有必要提供的其它技术资料（不做强制要求）</w:t>
      </w:r>
      <w:r>
        <w:rPr>
          <w:rFonts w:hint="eastAsia" w:hAnsi="宋体"/>
          <w:b w:val="0"/>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bookmarkEnd w:id="631"/>
    </w:p>
    <w:p>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13.8 </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608"/>
      <w:bookmarkEnd w:id="609"/>
      <w:bookmarkEnd w:id="610"/>
      <w:bookmarkEnd w:id="611"/>
      <w:bookmarkEnd w:id="612"/>
      <w:bookmarkEnd w:id="620"/>
      <w:bookmarkEnd w:id="621"/>
    </w:p>
    <w:p>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632" w:name="_Toc28845"/>
      <w:bookmarkStart w:id="633" w:name="_Toc142508390"/>
      <w:bookmarkStart w:id="634" w:name="_Toc26677"/>
      <w:bookmarkStart w:id="635" w:name="_Toc522047402"/>
      <w:bookmarkStart w:id="636" w:name="_Toc521918141"/>
      <w:bookmarkStart w:id="637" w:name="_Toc2260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632"/>
      <w:bookmarkEnd w:id="633"/>
      <w:bookmarkEnd w:id="634"/>
    </w:p>
    <w:p>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pPr>
        <w:autoSpaceDE w:val="0"/>
        <w:autoSpaceDN w:val="0"/>
        <w:adjustRightInd w:val="0"/>
        <w:spacing w:line="360" w:lineRule="auto"/>
        <w:jc w:val="center"/>
        <w:rPr>
          <w:rFonts w:hint="eastAsia" w:ascii="宋体" w:hAnsi="宋体" w:eastAsia="宋体" w:cs="宋体"/>
          <w:b/>
          <w:bCs/>
          <w:color w:val="000000" w:themeColor="text1"/>
          <w:sz w:val="40"/>
          <w:szCs w:val="36"/>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东莞市石鼓净水有限公司石碣二期生化池曝气系统重置</w:t>
      </w:r>
    </w:p>
    <w:p>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采购项目（重新招标）</w:t>
      </w:r>
    </w:p>
    <w:p>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638"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（招标编号：0832-SFCX24DG138A-1）</w:t>
      </w:r>
      <w:bookmarkEnd w:id="638"/>
    </w:p>
    <w:p>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639"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639"/>
    </w:p>
    <w:p>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三方诚信招标有限公司</w:t>
      </w:r>
    </w:p>
    <w:p>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640"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640"/>
    </w:p>
    <w:p>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41"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641"/>
    </w:p>
    <w:p>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42"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642"/>
    </w:p>
    <w:p>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43"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643"/>
    </w:p>
    <w:p>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44"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644"/>
    </w:p>
    <w:p>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45"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645"/>
    </w:p>
    <w:p>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46"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646"/>
    </w:p>
    <w:p>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47"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647"/>
    </w:p>
    <w:p>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648"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648"/>
    </w:p>
    <w:p>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000000" w:themeColor="text1"/>
          <w:szCs w:val="24"/>
          <w:highlight w:val="none"/>
          <w:lang w:val="zh-CN"/>
          <w14:textFill>
            <w14:solidFill>
              <w14:schemeClr w14:val="tx1"/>
            </w14:solidFill>
          </w14:textFill>
        </w:rPr>
      </w:pPr>
      <w:bookmarkStart w:id="649" w:name="_Toc12665"/>
      <w:r>
        <w:rPr>
          <w:rFonts w:hint="eastAsia" w:ascii="宋体" w:hAnsi="宋体" w:eastAsia="宋体" w:cs="宋体"/>
          <w:b/>
          <w:bCs/>
          <w:color w:val="000000" w:themeColor="text1"/>
          <w:szCs w:val="24"/>
          <w:highlight w:val="none"/>
          <w:lang w:val="zh-CN"/>
          <w14:textFill>
            <w14:solidFill>
              <w14:schemeClr w14:val="tx1"/>
            </w14:solidFill>
          </w14:textFill>
        </w:rPr>
        <w:t>1、一般规定</w:t>
      </w:r>
      <w:bookmarkEnd w:id="649"/>
    </w:p>
    <w:p>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东莞市石鼓净水有限公司石碣二期生化池曝气系统重置采购项目（重新招标）</w:t>
      </w:r>
      <w:r>
        <w:rPr>
          <w:rFonts w:hint="eastAsia" w:ascii="宋体" w:hAnsi="宋体" w:eastAsia="宋体" w:cs="宋体"/>
          <w:color w:val="000000" w:themeColor="text1"/>
          <w:szCs w:val="21"/>
          <w:highlight w:val="none"/>
          <w:lang w:val="zh-CN"/>
          <w14:textFill>
            <w14:solidFill>
              <w14:schemeClr w14:val="tx1"/>
            </w14:solidFill>
          </w14:textFill>
        </w:rPr>
        <w:t>(招标编号：0832-SFCX24DG138A-1</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三方诚信招标有限公司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pPr>
        <w:numPr>
          <w:ilvl w:val="1"/>
          <w:numId w:val="5"/>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000000" w:themeColor="text1"/>
          <w:szCs w:val="24"/>
          <w:highlight w:val="none"/>
          <w:lang w:val="zh-CN"/>
          <w14:textFill>
            <w14:solidFill>
              <w14:schemeClr w14:val="tx1"/>
            </w14:solidFill>
          </w14:textFill>
        </w:rPr>
      </w:pPr>
      <w:bookmarkStart w:id="650" w:name="_Toc3220"/>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bookmarkEnd w:id="650"/>
    </w:p>
    <w:p>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pPr>
        <w:autoSpaceDE w:val="0"/>
        <w:autoSpaceDN w:val="0"/>
        <w:adjustRightInd w:val="0"/>
        <w:spacing w:line="360" w:lineRule="auto"/>
        <w:outlineLvl w:val="0"/>
        <w:rPr>
          <w:rFonts w:ascii="宋体" w:hAnsi="宋体" w:eastAsia="宋体" w:cs="宋体"/>
          <w:color w:val="000000" w:themeColor="text1"/>
          <w:sz w:val="24"/>
          <w:szCs w:val="24"/>
          <w:highlight w:val="none"/>
          <w:lang w:val="zh-CN"/>
          <w14:textFill>
            <w14:solidFill>
              <w14:schemeClr w14:val="tx1"/>
            </w14:solidFill>
          </w14:textFill>
        </w:rPr>
      </w:pPr>
      <w:bookmarkStart w:id="651" w:name="_Toc16315"/>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bookmarkEnd w:id="651"/>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pPr>
        <w:tabs>
          <w:tab w:val="left" w:pos="720"/>
        </w:tabs>
        <w:autoSpaceDE w:val="0"/>
        <w:autoSpaceDN w:val="0"/>
        <w:adjustRightInd w:val="0"/>
        <w:spacing w:line="360" w:lineRule="auto"/>
        <w:outlineLvl w:val="0"/>
        <w:rPr>
          <w:rFonts w:ascii="宋体" w:hAnsi="宋体" w:eastAsia="宋体" w:cs="宋体"/>
          <w:b/>
          <w:bCs/>
          <w:color w:val="000000" w:themeColor="text1"/>
          <w:szCs w:val="21"/>
          <w:highlight w:val="none"/>
          <w:lang w:val="zh-CN"/>
          <w14:textFill>
            <w14:solidFill>
              <w14:schemeClr w14:val="tx1"/>
            </w14:solidFill>
          </w14:textFill>
        </w:rPr>
      </w:pPr>
      <w:bookmarkStart w:id="652" w:name="_Toc23892"/>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bookmarkEnd w:id="652"/>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pPr>
        <w:tabs>
          <w:tab w:val="left" w:pos="1547"/>
        </w:tabs>
        <w:autoSpaceDE w:val="0"/>
        <w:autoSpaceDN w:val="0"/>
        <w:adjustRightInd w:val="0"/>
        <w:spacing w:line="360" w:lineRule="auto"/>
        <w:outlineLvl w:val="0"/>
        <w:rPr>
          <w:rFonts w:ascii="宋体" w:hAnsi="宋体" w:eastAsia="宋体" w:cs="Times New Roman"/>
          <w:b/>
          <w:color w:val="000000" w:themeColor="text1"/>
          <w:szCs w:val="24"/>
          <w:highlight w:val="none"/>
          <w:lang w:val="zh-CN"/>
          <w14:textFill>
            <w14:solidFill>
              <w14:schemeClr w14:val="tx1"/>
            </w14:solidFill>
          </w14:textFill>
        </w:rPr>
      </w:pPr>
      <w:bookmarkStart w:id="653" w:name="_Toc4626"/>
      <w:r>
        <w:rPr>
          <w:rFonts w:hint="eastAsia" w:ascii="宋体" w:hAnsi="宋体" w:eastAsia="宋体" w:cs="宋体"/>
          <w:b/>
          <w:bCs/>
          <w:color w:val="000000" w:themeColor="text1"/>
          <w:szCs w:val="21"/>
          <w:highlight w:val="none"/>
          <w:lang w:val="zh-CN"/>
          <w14:textFill>
            <w14:solidFill>
              <w14:schemeClr w14:val="tx1"/>
            </w14:solidFill>
          </w14:textFill>
        </w:rPr>
        <w:t>5、评审程序</w:t>
      </w:r>
      <w:bookmarkEnd w:id="653"/>
    </w:p>
    <w:p>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A．公开招标：</w:t>
      </w:r>
    </w:p>
    <w:p>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ascii="宋体" w:hAnsi="宋体" w:eastAsia="宋体" w:cs="Times New Roman"/>
          <w:b/>
          <w:color w:val="000000" w:themeColor="text1"/>
          <w:szCs w:val="24"/>
          <w:highlight w:val="none"/>
          <w:lang w:val="zh-CN"/>
          <w14:textFill>
            <w14:solidFill>
              <w14:schemeClr w14:val="tx1"/>
            </w14:solidFill>
          </w14:textFill>
        </w:rPr>
        <w:t>B</w:t>
      </w:r>
      <w:r>
        <w:rPr>
          <w:rFonts w:hint="eastAsia" w:ascii="宋体" w:hAnsi="宋体" w:eastAsia="宋体" w:cs="Times New Roman"/>
          <w:b/>
          <w:color w:val="000000" w:themeColor="text1"/>
          <w:szCs w:val="24"/>
          <w:highlight w:val="none"/>
          <w:lang w:val="zh-CN"/>
          <w14:textFill>
            <w14:solidFill>
              <w14:schemeClr w14:val="tx1"/>
            </w14:solidFill>
          </w14:textFill>
        </w:rPr>
        <w:t>．竞争性谈判：</w:t>
      </w:r>
    </w:p>
    <w:p>
      <w:pPr>
        <w:autoSpaceDE w:val="0"/>
        <w:autoSpaceDN w:val="0"/>
        <w:adjustRightInd w:val="0"/>
        <w:spacing w:line="360" w:lineRule="auto"/>
        <w:ind w:left="518" w:hanging="518"/>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4"/>
          <w:highlight w:val="none"/>
          <w:lang w:val="zh-CN"/>
          <w14:textFill>
            <w14:solidFill>
              <w14:schemeClr w14:val="tx1"/>
            </w14:solidFill>
          </w14:textFill>
        </w:rPr>
        <w:t>5.8</w:t>
      </w:r>
      <w:r>
        <w:rPr>
          <w:rFonts w:ascii="宋体" w:hAnsi="宋体" w:eastAsia="宋体" w:cs="Times New Roman"/>
          <w:bCs/>
          <w:color w:val="000000" w:themeColor="text1"/>
          <w:szCs w:val="24"/>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当有效</w:t>
      </w:r>
      <w:r>
        <w:rPr>
          <w:rFonts w:hint="eastAsia" w:ascii="宋体" w:hAnsi="宋体" w:eastAsia="宋体" w:cs="Times New Roman"/>
          <w:color w:val="000000" w:themeColor="text1"/>
          <w:szCs w:val="21"/>
          <w:highlight w:val="none"/>
          <w:lang w:val="zh-CN"/>
          <w14:textFill>
            <w14:solidFill>
              <w14:schemeClr w14:val="tx1"/>
            </w14:solidFill>
          </w14:textFill>
        </w:rPr>
        <w:t>投标人只有2个时，终止公开招标采购，经评标委员会论证，采购文件没有不合理条款、采购程序符合规定，现场经招标人代表和作出实质性响应的投标人代表同意后，现场更改为竞争性谈判的方式继续采购。</w:t>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评审首先由评标委员会对投标人的投标文件做</w:t>
      </w:r>
      <w:r>
        <w:rPr>
          <w:rFonts w:hint="eastAsia" w:ascii="宋体" w:hAnsi="宋体" w:eastAsia="宋体" w:cs="Times New Roman"/>
          <w:color w:val="000000" w:themeColor="text1"/>
          <w:szCs w:val="21"/>
          <w:highlight w:val="none"/>
          <w:lang w:val="zh-CN"/>
          <w14:textFill>
            <w14:solidFill>
              <w14:schemeClr w14:val="tx1"/>
            </w14:solidFill>
          </w14:textFill>
        </w:rPr>
        <w:t>初审</w:t>
      </w:r>
      <w:r>
        <w:rPr>
          <w:rFonts w:hint="eastAsia" w:ascii="宋体" w:hAnsi="宋体" w:eastAsia="宋体" w:cs="Times New Roman"/>
          <w:bCs/>
          <w:color w:val="000000" w:themeColor="text1"/>
          <w:szCs w:val="24"/>
          <w:highlight w:val="none"/>
          <w:lang w:val="zh-CN"/>
          <w14:textFill>
            <w14:solidFill>
              <w14:schemeClr w14:val="tx1"/>
            </w14:solidFill>
          </w14:textFill>
        </w:rPr>
        <w:t>，对未能通过初审的投标文件不再进入下一阶段评审。</w:t>
      </w:r>
    </w:p>
    <w:p>
      <w:pPr>
        <w:autoSpaceDE w:val="0"/>
        <w:autoSpaceDN w:val="0"/>
        <w:adjustRightInd w:val="0"/>
        <w:spacing w:line="360" w:lineRule="auto"/>
        <w:ind w:left="518" w:hanging="518"/>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5.9</w:t>
      </w:r>
      <w:r>
        <w:rPr>
          <w:rFonts w:ascii="宋体" w:hAnsi="宋体" w:eastAsia="宋体" w:cs="Times New Roman"/>
          <w:color w:val="000000" w:themeColor="text1"/>
          <w:szCs w:val="24"/>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评标委员会将集中按递交投标文件的先后顺序逐一与合格的投标人</w:t>
      </w:r>
      <w:r>
        <w:rPr>
          <w:rFonts w:hint="eastAsia" w:ascii="宋体" w:hAnsi="宋体" w:eastAsia="宋体" w:cs="Times New Roman"/>
          <w:color w:val="000000" w:themeColor="text1"/>
          <w:kern w:val="0"/>
          <w:szCs w:val="21"/>
          <w:highlight w:val="none"/>
          <w14:textFill>
            <w14:solidFill>
              <w14:schemeClr w14:val="tx1"/>
            </w14:solidFill>
          </w14:textFill>
        </w:rPr>
        <w:t>进行相同轮次（一个或多个回合）谈判</w:t>
      </w:r>
      <w:r>
        <w:rPr>
          <w:rFonts w:hint="eastAsia" w:ascii="宋体" w:hAnsi="宋体" w:eastAsia="宋体" w:cs="Times New Roman"/>
          <w:color w:val="000000" w:themeColor="text1"/>
          <w:szCs w:val="21"/>
          <w:highlight w:val="none"/>
          <w:lang w:val="zh-CN"/>
          <w14:textFill>
            <w14:solidFill>
              <w14:schemeClr w14:val="tx1"/>
            </w14:solidFill>
          </w14:textFill>
        </w:rPr>
        <w:t>，并给予所有参加谈判的响应投标人平等的谈判机会。</w:t>
      </w:r>
      <w:r>
        <w:rPr>
          <w:rFonts w:hint="eastAsia" w:ascii="宋体" w:hAnsi="宋体" w:eastAsia="宋体" w:cs="Times New Roman"/>
          <w:color w:val="000000" w:themeColor="text1"/>
          <w:szCs w:val="24"/>
          <w:highlight w:val="none"/>
          <w:lang w:val="zh-CN"/>
          <w14:textFill>
            <w14:solidFill>
              <w14:schemeClr w14:val="tx1"/>
            </w14:solidFill>
          </w14:textFill>
        </w:rPr>
        <w:t>如需要，进行必要的澄清工作。</w:t>
      </w:r>
      <w:r>
        <w:rPr>
          <w:rFonts w:hint="eastAsia" w:ascii="宋体" w:hAnsi="宋体" w:eastAsia="宋体" w:cs="Times New Roman"/>
          <w:color w:val="000000" w:themeColor="text1"/>
          <w:kern w:val="0"/>
          <w:szCs w:val="21"/>
          <w:highlight w:val="none"/>
          <w14:textFill>
            <w14:solidFill>
              <w14:schemeClr w14:val="tx1"/>
            </w14:solidFill>
          </w14:textFill>
        </w:rPr>
        <w:t>在谈判中，谈判的任何一方不得透露与谈判有关的其他投标人的技术资料、报价和其他信息。</w:t>
      </w:r>
    </w:p>
    <w:p>
      <w:pPr>
        <w:autoSpaceDE w:val="0"/>
        <w:autoSpaceDN w:val="0"/>
        <w:adjustRightInd w:val="0"/>
        <w:spacing w:line="360" w:lineRule="auto"/>
        <w:ind w:left="518" w:hanging="518"/>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w:t>
      </w:r>
      <w:r>
        <w:rPr>
          <w:rFonts w:ascii="宋体" w:hAnsi="宋体" w:eastAsia="宋体" w:cs="Times New Roman"/>
          <w:color w:val="000000" w:themeColor="text1"/>
          <w:szCs w:val="24"/>
          <w:highlight w:val="none"/>
          <w:lang w:val="zh-CN"/>
          <w14:textFill>
            <w14:solidFill>
              <w14:schemeClr w14:val="tx1"/>
            </w14:solidFill>
          </w14:textFill>
        </w:rPr>
        <w:t>10</w:t>
      </w:r>
      <w:r>
        <w:rPr>
          <w:rFonts w:ascii="宋体" w:hAnsi="宋体" w:eastAsia="宋体" w:cs="Times New Roman"/>
          <w:color w:val="000000" w:themeColor="text1"/>
          <w:szCs w:val="24"/>
          <w:highlight w:val="none"/>
          <w14:textFill>
            <w14:solidFill>
              <w14:schemeClr w14:val="tx1"/>
            </w14:solidFill>
          </w14:textFill>
        </w:rPr>
        <w:t xml:space="preserve"> </w:t>
      </w:r>
      <w:r>
        <w:rPr>
          <w:rFonts w:hint="eastAsia" w:ascii="宋体" w:hAnsi="宋体" w:eastAsia="宋体" w:cs="Times New Roman"/>
          <w:color w:val="000000" w:themeColor="text1"/>
          <w:szCs w:val="24"/>
          <w:highlight w:val="none"/>
          <w14:textFill>
            <w14:solidFill>
              <w14:schemeClr w14:val="tx1"/>
            </w14:solidFill>
          </w14:textFill>
        </w:rPr>
        <w:t>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pPr>
        <w:autoSpaceDE w:val="0"/>
        <w:autoSpaceDN w:val="0"/>
        <w:adjustRightInd w:val="0"/>
        <w:spacing w:line="360" w:lineRule="auto"/>
        <w:ind w:left="518" w:hanging="518"/>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5.</w:t>
      </w:r>
      <w:r>
        <w:rPr>
          <w:rFonts w:ascii="宋体" w:hAnsi="宋体" w:eastAsia="宋体" w:cs="Times New Roman"/>
          <w:color w:val="000000" w:themeColor="text1"/>
          <w:szCs w:val="24"/>
          <w:highlight w:val="none"/>
          <w14:textFill>
            <w14:solidFill>
              <w14:schemeClr w14:val="tx1"/>
            </w14:solidFill>
          </w14:textFill>
        </w:rPr>
        <w:t xml:space="preserve">11 </w:t>
      </w:r>
      <w:r>
        <w:rPr>
          <w:rFonts w:hint="eastAsia" w:ascii="宋体" w:hAnsi="宋体" w:eastAsia="宋体" w:cs="Times New Roman"/>
          <w:color w:val="000000" w:themeColor="text1"/>
          <w:szCs w:val="24"/>
          <w:highlight w:val="none"/>
          <w14:textFill>
            <w14:solidFill>
              <w14:schemeClr w14:val="tx1"/>
            </w14:solidFill>
          </w14:textFill>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autoSpaceDE w:val="0"/>
        <w:autoSpaceDN w:val="0"/>
        <w:adjustRightInd w:val="0"/>
        <w:spacing w:line="360" w:lineRule="auto"/>
        <w:ind w:left="518" w:hanging="51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5.</w:t>
      </w:r>
      <w:r>
        <w:rPr>
          <w:rFonts w:ascii="宋体" w:hAnsi="宋体" w:eastAsia="宋体" w:cs="Times New Roman"/>
          <w:color w:val="000000" w:themeColor="text1"/>
          <w:szCs w:val="24"/>
          <w:highlight w:val="none"/>
          <w14:textFill>
            <w14:solidFill>
              <w14:schemeClr w14:val="tx1"/>
            </w14:solidFill>
          </w14:textFill>
        </w:rPr>
        <w:t xml:space="preserve">12 </w:t>
      </w:r>
      <w:r>
        <w:rPr>
          <w:rFonts w:hint="eastAsia" w:ascii="宋体" w:hAnsi="宋体" w:eastAsia="宋体" w:cs="Times New Roman"/>
          <w:color w:val="000000" w:themeColor="text1"/>
          <w:szCs w:val="24"/>
          <w:highlight w:val="none"/>
          <w14:textFill>
            <w14:solidFill>
              <w14:schemeClr w14:val="tx1"/>
            </w14:solidFill>
          </w14:textFill>
        </w:rPr>
        <w:t>招标文件能够详细列明采购标的的技术、服务要求的，</w:t>
      </w:r>
      <w:r>
        <w:rPr>
          <w:rFonts w:hint="eastAsia" w:ascii="宋体" w:hAnsi="宋体" w:eastAsia="宋体" w:cs="Times New Roman"/>
          <w:color w:val="000000" w:themeColor="text1"/>
          <w:szCs w:val="21"/>
          <w:highlight w:val="none"/>
          <w:lang w:val="zh-CN"/>
          <w14:textFill>
            <w14:solidFill>
              <w14:schemeClr w14:val="tx1"/>
            </w14:solidFill>
          </w14:textFill>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Times New Roman"/>
          <w:b/>
          <w:color w:val="000000" w:themeColor="text1"/>
          <w:szCs w:val="21"/>
          <w:highlight w:val="none"/>
          <w:lang w:val="zh-CN"/>
          <w14:textFill>
            <w14:solidFill>
              <w14:schemeClr w14:val="tx1"/>
            </w14:solidFill>
          </w14:textFill>
        </w:rPr>
        <w:t>如在谈判中评标委员会没有对本招标文件作实质性变动增加新的需求，后一轮报价不得高于前一轮报价。</w:t>
      </w:r>
    </w:p>
    <w:p>
      <w:pPr>
        <w:tabs>
          <w:tab w:val="left" w:pos="567"/>
        </w:tabs>
        <w:autoSpaceDE w:val="0"/>
        <w:autoSpaceDN w:val="0"/>
        <w:adjustRightInd w:val="0"/>
        <w:spacing w:line="360" w:lineRule="auto"/>
        <w:ind w:left="525" w:hanging="525" w:hangingChars="250"/>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5.13</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b/>
          <w:color w:val="000000" w:themeColor="text1"/>
          <w:szCs w:val="24"/>
          <w:highlight w:val="none"/>
          <w14:textFill>
            <w14:solidFill>
              <w14:schemeClr w14:val="tx1"/>
            </w14:solidFill>
          </w14:textFill>
        </w:rPr>
        <w:t>投标</w:t>
      </w:r>
      <w:r>
        <w:rPr>
          <w:rFonts w:ascii="宋体" w:hAnsi="宋体" w:eastAsia="宋体" w:cs="Times New Roman"/>
          <w:b/>
          <w:color w:val="000000" w:themeColor="text1"/>
          <w:szCs w:val="21"/>
          <w:highlight w:val="none"/>
          <w:lang w:val="zh-CN"/>
          <w14:textFill>
            <w14:solidFill>
              <w14:schemeClr w14:val="tx1"/>
            </w14:solidFill>
          </w14:textFill>
        </w:rPr>
        <w:t>人不得违反标准规范规定，通过降低</w:t>
      </w:r>
      <w:r>
        <w:rPr>
          <w:rFonts w:hint="eastAsia" w:ascii="宋体" w:hAnsi="宋体" w:eastAsia="宋体" w:cs="Times New Roman"/>
          <w:b/>
          <w:color w:val="000000" w:themeColor="text1"/>
          <w:szCs w:val="21"/>
          <w:highlight w:val="none"/>
          <w:lang w:val="zh-CN"/>
          <w14:textFill>
            <w14:solidFill>
              <w14:schemeClr w14:val="tx1"/>
            </w14:solidFill>
          </w14:textFill>
        </w:rPr>
        <w:t>货物或</w:t>
      </w:r>
      <w:r>
        <w:rPr>
          <w:rFonts w:ascii="宋体" w:hAnsi="宋体" w:eastAsia="宋体" w:cs="Times New Roman"/>
          <w:b/>
          <w:color w:val="000000" w:themeColor="text1"/>
          <w:szCs w:val="21"/>
          <w:highlight w:val="none"/>
          <w:lang w:val="zh-CN"/>
          <w14:textFill>
            <w14:solidFill>
              <w14:schemeClr w14:val="tx1"/>
            </w14:solidFill>
          </w14:textFill>
        </w:rPr>
        <w:t>服务质量、减少服务内容等手段进行恶性竞争，扰乱正常市场秩序。</w:t>
      </w:r>
      <w:r>
        <w:rPr>
          <w:rFonts w:hint="eastAsia" w:ascii="宋体" w:hAnsi="宋体" w:eastAsia="宋体" w:cs="Times New Roman"/>
          <w:b/>
          <w:color w:val="000000" w:themeColor="text1"/>
          <w:szCs w:val="24"/>
          <w:highlight w:val="none"/>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人不得以低于成本的报价竞标。如果评标委员会发现</w:t>
      </w:r>
      <w:r>
        <w:rPr>
          <w:rFonts w:hint="eastAsia" w:ascii="宋体" w:hAnsi="宋体" w:eastAsia="宋体" w:cs="Times New Roman"/>
          <w:b/>
          <w:color w:val="000000" w:themeColor="text1"/>
          <w:szCs w:val="24"/>
          <w:highlight w:val="none"/>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人的最后报价明显低于其他投标人的最后报价，使得其报价可能低于其自身成本的，将要求该投标人作出书面说明并提供相关证明材料。投标人不能合理说明或不能提供相关证明材料的，评标委员会将认定其投标报价低于成本，同时否决其</w:t>
      </w:r>
      <w:r>
        <w:rPr>
          <w:rFonts w:hint="eastAsia" w:ascii="宋体" w:hAnsi="宋体" w:eastAsia="宋体" w:cs="Times New Roman"/>
          <w:b/>
          <w:color w:val="000000" w:themeColor="text1"/>
          <w:szCs w:val="21"/>
          <w:highlight w:val="none"/>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w:t>
      </w:r>
    </w:p>
    <w:p>
      <w:pPr>
        <w:tabs>
          <w:tab w:val="left" w:pos="567"/>
        </w:tabs>
        <w:autoSpaceDE w:val="0"/>
        <w:autoSpaceDN w:val="0"/>
        <w:adjustRightInd w:val="0"/>
        <w:spacing w:line="360" w:lineRule="auto"/>
        <w:ind w:left="525" w:hanging="525" w:hangingChars="25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 xml:space="preserve">5.14 </w:t>
      </w:r>
      <w:r>
        <w:rPr>
          <w:rFonts w:hint="eastAsia" w:ascii="宋体" w:hAnsi="宋体" w:eastAsia="宋体" w:cs="Times New Roman"/>
          <w:color w:val="000000" w:themeColor="text1"/>
          <w:kern w:val="0"/>
          <w:szCs w:val="21"/>
          <w:highlight w:val="none"/>
          <w14:textFill>
            <w14:solidFill>
              <w14:schemeClr w14:val="tx1"/>
            </w14:solidFill>
          </w14:textFill>
        </w:rPr>
        <w:t>参与竞争性谈判的投标人，在提交最</w:t>
      </w:r>
      <w:r>
        <w:rPr>
          <w:rFonts w:hint="eastAsia" w:ascii="宋体" w:hAnsi="宋体" w:eastAsia="宋体" w:cs="Times New Roman"/>
          <w:color w:val="000000" w:themeColor="text1"/>
          <w:szCs w:val="21"/>
          <w:highlight w:val="none"/>
          <w:lang w:val="zh-CN"/>
          <w14:textFill>
            <w14:solidFill>
              <w14:schemeClr w14:val="tx1"/>
            </w14:solidFill>
          </w14:textFill>
        </w:rPr>
        <w:t>后</w:t>
      </w:r>
      <w:r>
        <w:rPr>
          <w:rFonts w:hint="eastAsia" w:ascii="宋体" w:hAnsi="宋体" w:eastAsia="宋体" w:cs="Times New Roman"/>
          <w:color w:val="000000" w:themeColor="text1"/>
          <w:kern w:val="0"/>
          <w:szCs w:val="21"/>
          <w:highlight w:val="none"/>
          <w14:textFill>
            <w14:solidFill>
              <w14:schemeClr w14:val="tx1"/>
            </w14:solidFill>
          </w14:textFill>
        </w:rPr>
        <w:t>报价之前，可以根据谈判情况退出谈判，招标人将退还其投标保证金。</w:t>
      </w:r>
    </w:p>
    <w:p>
      <w:pPr>
        <w:autoSpaceDE w:val="0"/>
        <w:autoSpaceDN w:val="0"/>
        <w:adjustRightInd w:val="0"/>
        <w:spacing w:line="360" w:lineRule="auto"/>
        <w:ind w:left="518" w:hanging="518"/>
        <w:rPr>
          <w:rFonts w:ascii="宋体" w:hAnsi="宋体" w:eastAsia="宋体" w:cs="Times New Roman"/>
          <w:color w:val="000000" w:themeColor="text1"/>
          <w:kern w:val="0"/>
          <w:szCs w:val="21"/>
          <w:highlight w:val="none"/>
          <w:u w:val="single"/>
          <w14:textFill>
            <w14:solidFill>
              <w14:schemeClr w14:val="tx1"/>
            </w14:solidFill>
          </w14:textFill>
        </w:rPr>
      </w:pPr>
      <w:r>
        <w:rPr>
          <w:rFonts w:hint="eastAsia" w:ascii="宋体" w:hAnsi="宋体" w:eastAsia="宋体" w:cs="Arial"/>
          <w:color w:val="000000" w:themeColor="text1"/>
          <w:szCs w:val="24"/>
          <w:highlight w:val="none"/>
          <w:lang w:val="zh-CN"/>
          <w14:textFill>
            <w14:solidFill>
              <w14:schemeClr w14:val="tx1"/>
            </w14:solidFill>
          </w14:textFill>
        </w:rPr>
        <w:t>5.</w:t>
      </w:r>
      <w:r>
        <w:rPr>
          <w:rFonts w:ascii="宋体" w:hAnsi="宋体" w:eastAsia="宋体" w:cs="Arial"/>
          <w:color w:val="000000" w:themeColor="text1"/>
          <w:szCs w:val="24"/>
          <w:highlight w:val="none"/>
          <w:lang w:val="zh-CN"/>
          <w14:textFill>
            <w14:solidFill>
              <w14:schemeClr w14:val="tx1"/>
            </w14:solidFill>
          </w14:textFill>
        </w:rPr>
        <w:t>15</w:t>
      </w:r>
      <w:r>
        <w:rPr>
          <w:rFonts w:ascii="宋体" w:hAnsi="宋体" w:eastAsia="宋体" w:cs="Arial"/>
          <w:color w:val="000000" w:themeColor="text1"/>
          <w:szCs w:val="24"/>
          <w:highlight w:val="none"/>
          <w14:textFill>
            <w14:solidFill>
              <w14:schemeClr w14:val="tx1"/>
            </w14:solidFill>
          </w14:textFill>
        </w:rPr>
        <w:t xml:space="preserve"> </w:t>
      </w:r>
      <w:r>
        <w:rPr>
          <w:rFonts w:hint="eastAsia" w:ascii="宋体" w:hAnsi="宋体" w:eastAsia="宋体" w:cs="Arial"/>
          <w:color w:val="000000" w:themeColor="text1"/>
          <w:szCs w:val="24"/>
          <w:highlight w:val="none"/>
          <w:lang w:val="zh-CN"/>
          <w14:textFill>
            <w14:solidFill>
              <w14:schemeClr w14:val="tx1"/>
            </w14:solidFill>
          </w14:textFill>
        </w:rPr>
        <w:t>评标委员会将从质量和服务均能满足招标文件实质性响应要求的供应商中，按照最后报价由低到高的顺序向招标人推荐最后报价最低的投标人为第一成交候选人，推荐最后报价次低的投标人为第二成交候选人。如出现两个相同报价，则由评标委员会组织上述供应商进行第三轮或多轮报价，直至上述供应商报出不同报价，并按上述原则确定第一、第二成交候选人</w:t>
      </w:r>
      <w:r>
        <w:rPr>
          <w:rFonts w:hint="eastAsia" w:ascii="宋体" w:hAnsi="宋体" w:eastAsia="宋体" w:cs="Times New Roman"/>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518" w:hanging="518"/>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6</w:t>
      </w:r>
      <w:r>
        <w:rPr>
          <w:rFonts w:ascii="宋体" w:hAnsi="宋体" w:eastAsia="宋体" w:cs="Times New Roman"/>
          <w:color w:val="000000" w:themeColor="text1"/>
          <w:szCs w:val="24"/>
          <w:highlight w:val="none"/>
          <w14:textFill>
            <w14:solidFill>
              <w14:schemeClr w14:val="tx1"/>
            </w14:solidFill>
          </w14:textFill>
        </w:rPr>
        <w:t xml:space="preserve"> </w:t>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根据评审结果编写评审报告。</w:t>
      </w:r>
    </w:p>
    <w:p>
      <w:pPr>
        <w:autoSpaceDE w:val="0"/>
        <w:autoSpaceDN w:val="0"/>
        <w:adjustRightInd w:val="0"/>
        <w:spacing w:line="360" w:lineRule="auto"/>
        <w:ind w:left="518" w:hanging="518"/>
        <w:rPr>
          <w:rFonts w:ascii="宋体" w:hAnsi="宋体" w:eastAsia="宋体" w:cs="Times New Roman"/>
          <w:color w:val="000000" w:themeColor="text1"/>
          <w:szCs w:val="21"/>
          <w:highlight w:val="none"/>
          <w14:textFill>
            <w14:solidFill>
              <w14:schemeClr w14:val="tx1"/>
            </w14:solidFill>
          </w14:textFill>
        </w:rPr>
      </w:pPr>
    </w:p>
    <w:p>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ascii="宋体" w:hAnsi="宋体" w:eastAsia="宋体" w:cs="Times New Roman"/>
          <w:b/>
          <w:color w:val="000000" w:themeColor="text1"/>
          <w:szCs w:val="24"/>
          <w:highlight w:val="none"/>
          <w:lang w:val="zh-CN"/>
          <w14:textFill>
            <w14:solidFill>
              <w14:schemeClr w14:val="tx1"/>
            </w14:solidFill>
          </w14:textFill>
        </w:rPr>
        <w:t>C</w:t>
      </w:r>
      <w:r>
        <w:rPr>
          <w:rFonts w:hint="eastAsia" w:ascii="宋体" w:hAnsi="宋体" w:eastAsia="宋体" w:cs="Times New Roman"/>
          <w:b/>
          <w:color w:val="000000" w:themeColor="text1"/>
          <w:szCs w:val="24"/>
          <w:highlight w:val="none"/>
          <w:lang w:val="zh-CN"/>
          <w14:textFill>
            <w14:solidFill>
              <w14:schemeClr w14:val="tx1"/>
            </w14:solidFill>
          </w14:textFill>
        </w:rPr>
        <w:t>．单一来源：</w:t>
      </w:r>
    </w:p>
    <w:p>
      <w:pPr>
        <w:autoSpaceDE w:val="0"/>
        <w:autoSpaceDN w:val="0"/>
        <w:adjustRightInd w:val="0"/>
        <w:spacing w:line="360" w:lineRule="auto"/>
        <w:ind w:left="518" w:hanging="518"/>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5.1</w:t>
      </w:r>
      <w:r>
        <w:rPr>
          <w:rFonts w:ascii="宋体" w:hAnsi="宋体" w:eastAsia="宋体" w:cs="Times New Roman"/>
          <w:color w:val="000000" w:themeColor="text1"/>
          <w:szCs w:val="21"/>
          <w:highlight w:val="none"/>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 xml:space="preserve"> 当</w:t>
      </w:r>
      <w:r>
        <w:rPr>
          <w:rFonts w:hint="eastAsia" w:ascii="宋体" w:hAnsi="宋体" w:eastAsia="宋体" w:cs="Times New Roman"/>
          <w:color w:val="000000" w:themeColor="text1"/>
          <w:szCs w:val="21"/>
          <w:highlight w:val="none"/>
          <w:lang w:val="zh-CN"/>
          <w14:textFill>
            <w14:solidFill>
              <w14:schemeClr w14:val="tx1"/>
            </w14:solidFill>
          </w14:textFill>
        </w:rPr>
        <w:t>有效的投标人只有1个时，终止公开招标采购，经</w:t>
      </w:r>
      <w:r>
        <w:rPr>
          <w:rFonts w:hint="eastAsia" w:ascii="宋体" w:hAnsi="宋体" w:eastAsia="宋体" w:cs="Times New Roman"/>
          <w:color w:val="000000" w:themeColor="text1"/>
          <w:szCs w:val="21"/>
          <w:highlight w:val="none"/>
          <w14:textFill>
            <w14:solidFill>
              <w14:schemeClr w14:val="tx1"/>
            </w14:solidFill>
          </w14:textFill>
        </w:rPr>
        <w:t>评标委员会</w:t>
      </w:r>
      <w:r>
        <w:rPr>
          <w:rFonts w:hint="eastAsia" w:ascii="宋体" w:hAnsi="宋体" w:eastAsia="宋体" w:cs="Times New Roman"/>
          <w:color w:val="000000" w:themeColor="text1"/>
          <w:szCs w:val="21"/>
          <w:highlight w:val="none"/>
          <w:lang w:val="zh-CN"/>
          <w14:textFill>
            <w14:solidFill>
              <w14:schemeClr w14:val="tx1"/>
            </w14:solidFill>
          </w14:textFill>
        </w:rPr>
        <w:t>论证，采购文件没有不合理条款、采购程序符合规定，现场经招标人代表和作出实质性响应的投标人代表同意后，更改为单一来源的方式继续采购。</w:t>
      </w:r>
      <w:r>
        <w:rPr>
          <w:rFonts w:hint="eastAsia" w:ascii="宋体" w:hAnsi="宋体" w:eastAsia="宋体" w:cs="Times New Roman"/>
          <w:bCs/>
          <w:color w:val="000000" w:themeColor="text1"/>
          <w:szCs w:val="24"/>
          <w:highlight w:val="none"/>
          <w:lang w:val="zh-CN"/>
          <w14:textFill>
            <w14:solidFill>
              <w14:schemeClr w14:val="tx1"/>
            </w14:solidFill>
          </w14:textFill>
        </w:rPr>
        <w:t>由评标委员会按照本评标工作大纲总则内的5.1</w:t>
      </w:r>
      <w:r>
        <w:rPr>
          <w:rFonts w:ascii="宋体" w:hAnsi="宋体" w:eastAsia="宋体" w:cs="Times New Roman"/>
          <w:bCs/>
          <w:color w:val="000000" w:themeColor="text1"/>
          <w:szCs w:val="24"/>
          <w:highlight w:val="none"/>
          <w:lang w:val="zh-CN"/>
          <w14:textFill>
            <w14:solidFill>
              <w14:schemeClr w14:val="tx1"/>
            </w14:solidFill>
          </w14:textFill>
        </w:rPr>
        <w:t>8</w:t>
      </w:r>
      <w:r>
        <w:rPr>
          <w:rFonts w:hint="eastAsia" w:ascii="宋体" w:hAnsi="宋体" w:eastAsia="宋体" w:cs="Times New Roman"/>
          <w:bCs/>
          <w:color w:val="000000" w:themeColor="text1"/>
          <w:szCs w:val="24"/>
          <w:highlight w:val="none"/>
          <w:lang w:val="zh-CN"/>
          <w14:textFill>
            <w14:solidFill>
              <w14:schemeClr w14:val="tx1"/>
            </w14:solidFill>
          </w14:textFill>
        </w:rPr>
        <w:t>款至5.</w:t>
      </w:r>
      <w:r>
        <w:rPr>
          <w:rFonts w:ascii="宋体" w:hAnsi="宋体" w:eastAsia="宋体" w:cs="Times New Roman"/>
          <w:bCs/>
          <w:color w:val="000000" w:themeColor="text1"/>
          <w:szCs w:val="24"/>
          <w:highlight w:val="none"/>
          <w:lang w:val="zh-CN"/>
          <w14:textFill>
            <w14:solidFill>
              <w14:schemeClr w14:val="tx1"/>
            </w14:solidFill>
          </w14:textFill>
        </w:rPr>
        <w:t>22</w:t>
      </w:r>
      <w:r>
        <w:rPr>
          <w:rFonts w:hint="eastAsia" w:ascii="宋体" w:hAnsi="宋体" w:eastAsia="宋体" w:cs="Times New Roman"/>
          <w:bCs/>
          <w:color w:val="000000" w:themeColor="text1"/>
          <w:szCs w:val="24"/>
          <w:highlight w:val="none"/>
          <w:lang w:val="zh-CN"/>
          <w14:textFill>
            <w14:solidFill>
              <w14:schemeClr w14:val="tx1"/>
            </w14:solidFill>
          </w14:textFill>
        </w:rPr>
        <w:t>款的约定直接与投标人在保证采购质量的前提下商定合理的成交价格。</w:t>
      </w:r>
    </w:p>
    <w:p>
      <w:pPr>
        <w:autoSpaceDE w:val="0"/>
        <w:autoSpaceDN w:val="0"/>
        <w:adjustRightInd w:val="0"/>
        <w:spacing w:line="360" w:lineRule="auto"/>
        <w:ind w:left="518" w:hanging="518"/>
        <w:rPr>
          <w:rFonts w:ascii="宋体" w:hAnsi="宋体" w:eastAsia="宋体" w:cs="Times New Roman"/>
          <w:bCs/>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5.1</w:t>
      </w:r>
      <w:r>
        <w:rPr>
          <w:rFonts w:ascii="宋体" w:hAnsi="宋体" w:eastAsia="宋体" w:cs="Times New Roman"/>
          <w:color w:val="000000" w:themeColor="text1"/>
          <w:szCs w:val="21"/>
          <w:highlight w:val="none"/>
          <w:lang w:val="zh-CN"/>
          <w14:textFill>
            <w14:solidFill>
              <w14:schemeClr w14:val="tx1"/>
            </w14:solidFill>
          </w14:textFill>
        </w:rPr>
        <w:t>8</w:t>
      </w:r>
      <w:r>
        <w:rPr>
          <w:rFonts w:hint="eastAsia" w:ascii="宋体" w:hAnsi="宋体" w:eastAsia="宋体" w:cs="Times New Roman"/>
          <w:bCs/>
          <w:color w:val="000000" w:themeColor="text1"/>
          <w:szCs w:val="24"/>
          <w:highlight w:val="none"/>
          <w:lang w:val="zh-CN"/>
          <w14:textFill>
            <w14:solidFill>
              <w14:schemeClr w14:val="tx1"/>
            </w14:solidFill>
          </w14:textFill>
        </w:rPr>
        <w:t xml:space="preserve"> 评标委员会直接与</w:t>
      </w:r>
      <w:r>
        <w:rPr>
          <w:rFonts w:hint="eastAsia" w:ascii="宋体" w:hAnsi="宋体" w:eastAsia="宋体" w:cs="Times New Roman"/>
          <w:color w:val="000000" w:themeColor="text1"/>
          <w:szCs w:val="24"/>
          <w:highlight w:val="none"/>
          <w:lang w:val="zh-CN"/>
          <w14:textFill>
            <w14:solidFill>
              <w14:schemeClr w14:val="tx1"/>
            </w14:solidFill>
          </w14:textFill>
        </w:rPr>
        <w:t>投标人进行谈判协商，然后对最终报价及投标文件进行审查，得出评审结果，编写评审报告（含协商情况记录）及推荐成交候选人。</w:t>
      </w:r>
    </w:p>
    <w:p>
      <w:pPr>
        <w:autoSpaceDE w:val="0"/>
        <w:autoSpaceDN w:val="0"/>
        <w:adjustRightInd w:val="0"/>
        <w:spacing w:line="360" w:lineRule="auto"/>
        <w:ind w:left="518" w:hanging="518"/>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bCs/>
          <w:color w:val="000000" w:themeColor="text1"/>
          <w:szCs w:val="24"/>
          <w:highlight w:val="none"/>
          <w:lang w:val="zh-CN"/>
          <w14:textFill>
            <w14:solidFill>
              <w14:schemeClr w14:val="tx1"/>
            </w14:solidFill>
          </w14:textFill>
        </w:rPr>
        <w:t>5.</w:t>
      </w:r>
      <w:r>
        <w:rPr>
          <w:rFonts w:ascii="宋体" w:hAnsi="宋体" w:eastAsia="宋体" w:cs="Times New Roman"/>
          <w:bCs/>
          <w:color w:val="000000" w:themeColor="text1"/>
          <w:szCs w:val="24"/>
          <w:highlight w:val="none"/>
          <w:lang w:val="zh-CN"/>
          <w14:textFill>
            <w14:solidFill>
              <w14:schemeClr w14:val="tx1"/>
            </w14:solidFill>
          </w14:textFill>
        </w:rPr>
        <w:t xml:space="preserve">19 </w:t>
      </w:r>
      <w:r>
        <w:rPr>
          <w:rFonts w:hint="eastAsia" w:ascii="宋体" w:hAnsi="宋体" w:eastAsia="宋体" w:cs="Times New Roman"/>
          <w:color w:val="000000" w:themeColor="text1"/>
          <w:szCs w:val="24"/>
          <w:highlight w:val="none"/>
          <w14:textFill>
            <w14:solidFill>
              <w14:schemeClr w14:val="tx1"/>
            </w14:solidFill>
          </w14:textFill>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pPr>
        <w:autoSpaceDE w:val="0"/>
        <w:autoSpaceDN w:val="0"/>
        <w:adjustRightInd w:val="0"/>
        <w:spacing w:line="360" w:lineRule="auto"/>
        <w:ind w:left="518" w:hanging="518"/>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5.</w:t>
      </w:r>
      <w:r>
        <w:rPr>
          <w:rFonts w:ascii="宋体" w:hAnsi="宋体" w:eastAsia="宋体" w:cs="Times New Roman"/>
          <w:color w:val="000000" w:themeColor="text1"/>
          <w:szCs w:val="24"/>
          <w:highlight w:val="none"/>
          <w14:textFill>
            <w14:solidFill>
              <w14:schemeClr w14:val="tx1"/>
            </w14:solidFill>
          </w14:textFill>
        </w:rPr>
        <w:t xml:space="preserve">20 </w:t>
      </w:r>
      <w:r>
        <w:rPr>
          <w:rFonts w:hint="eastAsia" w:ascii="宋体" w:hAnsi="宋体" w:eastAsia="宋体" w:cs="Times New Roman"/>
          <w:color w:val="000000" w:themeColor="text1"/>
          <w:szCs w:val="24"/>
          <w:highlight w:val="none"/>
          <w14:textFill>
            <w14:solidFill>
              <w14:schemeClr w14:val="tx1"/>
            </w14:solidFill>
          </w14:textFill>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pPr>
        <w:autoSpaceDE w:val="0"/>
        <w:autoSpaceDN w:val="0"/>
        <w:adjustRightInd w:val="0"/>
        <w:spacing w:line="360" w:lineRule="auto"/>
        <w:ind w:left="518" w:hanging="51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5.</w:t>
      </w:r>
      <w:r>
        <w:rPr>
          <w:rFonts w:ascii="宋体" w:hAnsi="宋体" w:eastAsia="宋体" w:cs="Times New Roman"/>
          <w:color w:val="000000" w:themeColor="text1"/>
          <w:szCs w:val="24"/>
          <w:highlight w:val="none"/>
          <w14:textFill>
            <w14:solidFill>
              <w14:schemeClr w14:val="tx1"/>
            </w14:solidFill>
          </w14:textFill>
        </w:rPr>
        <w:t xml:space="preserve">21 </w:t>
      </w:r>
      <w:r>
        <w:rPr>
          <w:rFonts w:hint="eastAsia" w:ascii="宋体" w:hAnsi="宋体" w:eastAsia="宋体" w:cs="Times New Roman"/>
          <w:color w:val="000000" w:themeColor="text1"/>
          <w:szCs w:val="24"/>
          <w:highlight w:val="none"/>
          <w14:textFill>
            <w14:solidFill>
              <w14:schemeClr w14:val="tx1"/>
            </w14:solidFill>
          </w14:textFill>
        </w:rPr>
        <w:t>招标文件能够详细列明采购标的的技术、服务要求的，协商</w:t>
      </w:r>
      <w:r>
        <w:rPr>
          <w:rFonts w:hint="eastAsia" w:ascii="宋体" w:hAnsi="宋体" w:eastAsia="宋体" w:cs="Times New Roman"/>
          <w:color w:val="000000" w:themeColor="text1"/>
          <w:szCs w:val="21"/>
          <w:highlight w:val="none"/>
          <w:lang w:val="zh-CN"/>
          <w14:textFill>
            <w14:solidFill>
              <w14:schemeClr w14:val="tx1"/>
            </w14:solidFill>
          </w14:textFill>
        </w:rPr>
        <w:t>结束后，投标人应在规定的时间内提交二次报价（即最终报价，最终报价时间视协商进程由评标委员会决定），最终报价是投标人投标文件的有效组成部分。</w:t>
      </w:r>
      <w:r>
        <w:rPr>
          <w:rFonts w:hint="eastAsia" w:ascii="宋体" w:hAnsi="宋体" w:eastAsia="宋体" w:cs="Times New Roman"/>
          <w:b/>
          <w:color w:val="000000" w:themeColor="text1"/>
          <w:szCs w:val="21"/>
          <w:highlight w:val="none"/>
          <w:lang w:val="zh-CN"/>
          <w14:textFill>
            <w14:solidFill>
              <w14:schemeClr w14:val="tx1"/>
            </w14:solidFill>
          </w14:textFill>
        </w:rPr>
        <w:t>如在协商中评标委员会没有对本招标文件作实质性变动增加新的需求，后一轮报价不得高于前一轮报价。</w:t>
      </w:r>
    </w:p>
    <w:p>
      <w:pPr>
        <w:autoSpaceDE w:val="0"/>
        <w:autoSpaceDN w:val="0"/>
        <w:adjustRightInd w:val="0"/>
        <w:spacing w:line="360" w:lineRule="auto"/>
        <w:ind w:left="518" w:hanging="518"/>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5.2</w:t>
      </w:r>
      <w:r>
        <w:rPr>
          <w:rFonts w:ascii="宋体" w:hAnsi="宋体" w:eastAsia="宋体" w:cs="Times New Roman"/>
          <w:b/>
          <w:color w:val="000000" w:themeColor="text1"/>
          <w:szCs w:val="24"/>
          <w:highlight w:val="none"/>
          <w:lang w:val="zh-CN"/>
          <w14:textFill>
            <w14:solidFill>
              <w14:schemeClr w14:val="tx1"/>
            </w14:solidFill>
          </w14:textFill>
        </w:rPr>
        <w:t>2</w:t>
      </w:r>
      <w:r>
        <w:rPr>
          <w:rFonts w:hint="eastAsia" w:ascii="宋体" w:hAnsi="宋体" w:eastAsia="宋体" w:cs="Times New Roman"/>
          <w:b/>
          <w:color w:val="000000" w:themeColor="text1"/>
          <w:szCs w:val="24"/>
          <w:highlight w:val="none"/>
          <w:lang w:val="zh-CN"/>
          <w14:textFill>
            <w14:solidFill>
              <w14:schemeClr w14:val="tx1"/>
            </w14:solidFill>
          </w14:textFill>
        </w:rPr>
        <w:t xml:space="preserve"> 单一来源采购过程中，当出现下列情形之一的，评标委员会应当终止采购活动：</w:t>
      </w:r>
    </w:p>
    <w:p>
      <w:pPr>
        <w:autoSpaceDE w:val="0"/>
        <w:autoSpaceDN w:val="0"/>
        <w:adjustRightInd w:val="0"/>
        <w:spacing w:line="360" w:lineRule="auto"/>
        <w:ind w:left="708" w:hanging="708" w:hangingChars="336"/>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5.2</w:t>
      </w:r>
      <w:r>
        <w:rPr>
          <w:rFonts w:ascii="宋体" w:hAnsi="宋体" w:eastAsia="宋体" w:cs="Times New Roman"/>
          <w:b/>
          <w:color w:val="000000" w:themeColor="text1"/>
          <w:szCs w:val="24"/>
          <w:highlight w:val="none"/>
          <w:lang w:val="zh-CN"/>
          <w14:textFill>
            <w14:solidFill>
              <w14:schemeClr w14:val="tx1"/>
            </w14:solidFill>
          </w14:textFill>
        </w:rPr>
        <w:t>2</w:t>
      </w:r>
      <w:r>
        <w:rPr>
          <w:rFonts w:hint="eastAsia" w:ascii="宋体" w:hAnsi="宋体" w:eastAsia="宋体" w:cs="Times New Roman"/>
          <w:b/>
          <w:color w:val="000000" w:themeColor="text1"/>
          <w:szCs w:val="24"/>
          <w:highlight w:val="none"/>
          <w:lang w:val="zh-CN"/>
          <w14:textFill>
            <w14:solidFill>
              <w14:schemeClr w14:val="tx1"/>
            </w14:solidFill>
          </w14:textFill>
        </w:rPr>
        <w:t>.1</w:t>
      </w:r>
      <w:r>
        <w:rPr>
          <w:rFonts w:ascii="宋体" w:hAnsi="宋体" w:eastAsia="宋体" w:cs="Times New Roman"/>
          <w:b/>
          <w:color w:val="000000" w:themeColor="text1"/>
          <w:szCs w:val="24"/>
          <w:highlight w:val="none"/>
          <w14:textFill>
            <w14:solidFill>
              <w14:schemeClr w14:val="tx1"/>
            </w14:solidFill>
          </w14:textFill>
        </w:rPr>
        <w:t xml:space="preserve"> </w:t>
      </w:r>
      <w:r>
        <w:rPr>
          <w:rFonts w:hint="eastAsia" w:ascii="宋体" w:hAnsi="宋体" w:eastAsia="宋体" w:cs="Times New Roman"/>
          <w:b/>
          <w:color w:val="000000" w:themeColor="text1"/>
          <w:szCs w:val="24"/>
          <w:highlight w:val="none"/>
          <w:lang w:val="zh-CN"/>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（含其不具有独立法人资格的分支机构）被列入“信用中国”网站失信被执行人、重大税收违法失信主体、政府采购严重违法失信行为记录名单（处罚期限届满的除外）的；</w:t>
      </w:r>
    </w:p>
    <w:p>
      <w:pPr>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5.2</w:t>
      </w:r>
      <w:r>
        <w:rPr>
          <w:rFonts w:ascii="宋体" w:hAnsi="宋体" w:eastAsia="宋体" w:cs="Times New Roman"/>
          <w:b/>
          <w:color w:val="000000" w:themeColor="text1"/>
          <w:szCs w:val="24"/>
          <w:highlight w:val="none"/>
          <w:lang w:val="zh-CN"/>
          <w14:textFill>
            <w14:solidFill>
              <w14:schemeClr w14:val="tx1"/>
            </w14:solidFill>
          </w14:textFill>
        </w:rPr>
        <w:t>2</w:t>
      </w:r>
      <w:r>
        <w:rPr>
          <w:rFonts w:hint="eastAsia" w:ascii="宋体" w:hAnsi="宋体" w:eastAsia="宋体" w:cs="Times New Roman"/>
          <w:b/>
          <w:color w:val="000000" w:themeColor="text1"/>
          <w:szCs w:val="24"/>
          <w:highlight w:val="none"/>
          <w:lang w:val="zh-CN"/>
          <w14:textFill>
            <w14:solidFill>
              <w14:schemeClr w14:val="tx1"/>
            </w14:solidFill>
          </w14:textFill>
        </w:rPr>
        <w:t>.</w:t>
      </w:r>
      <w:r>
        <w:rPr>
          <w:rFonts w:ascii="宋体" w:hAnsi="宋体" w:eastAsia="宋体" w:cs="Times New Roman"/>
          <w:b/>
          <w:color w:val="000000" w:themeColor="text1"/>
          <w:szCs w:val="24"/>
          <w:highlight w:val="none"/>
          <w:lang w:val="zh-CN"/>
          <w14:textFill>
            <w14:solidFill>
              <w14:schemeClr w14:val="tx1"/>
            </w14:solidFill>
          </w14:textFill>
        </w:rPr>
        <w:t>2</w:t>
      </w:r>
      <w:r>
        <w:rPr>
          <w:rFonts w:hint="eastAsia" w:ascii="宋体" w:hAnsi="宋体" w:eastAsia="宋体" w:cs="Times New Roman"/>
          <w:b/>
          <w:color w:val="000000" w:themeColor="text1"/>
          <w:szCs w:val="24"/>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1"/>
          <w:highlight w:val="none"/>
          <w14:textFill>
            <w14:solidFill>
              <w14:schemeClr w14:val="tx1"/>
            </w14:solidFill>
          </w14:textFill>
        </w:rPr>
        <w:t>投标文件中的投标报价高于最高投标限价的</w:t>
      </w:r>
      <w:r>
        <w:rPr>
          <w:rFonts w:hint="eastAsia" w:ascii="宋体" w:hAnsi="宋体" w:eastAsia="宋体" w:cs="Times New Roman"/>
          <w:b/>
          <w:bCs/>
          <w:color w:val="000000" w:themeColor="text1"/>
          <w:kern w:val="0"/>
          <w:szCs w:val="21"/>
          <w:highlight w:val="none"/>
          <w14:textFill>
            <w14:solidFill>
              <w14:schemeClr w14:val="tx1"/>
            </w14:solidFill>
          </w14:textFill>
        </w:rPr>
        <w:t>（根据项目具体要求调整）</w:t>
      </w:r>
      <w:r>
        <w:rPr>
          <w:rFonts w:hint="eastAsia" w:ascii="宋体" w:hAnsi="宋体" w:eastAsia="宋体" w:cs="宋体"/>
          <w:b/>
          <w:bCs/>
          <w:color w:val="000000" w:themeColor="text1"/>
          <w:kern w:val="0"/>
          <w:szCs w:val="21"/>
          <w:highlight w:val="none"/>
          <w14:textFill>
            <w14:solidFill>
              <w14:schemeClr w14:val="tx1"/>
            </w14:solidFill>
          </w14:textFill>
        </w:rPr>
        <w:t>；</w:t>
      </w:r>
    </w:p>
    <w:p>
      <w:pPr>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5.2</w:t>
      </w:r>
      <w:r>
        <w:rPr>
          <w:rFonts w:ascii="宋体" w:hAnsi="宋体" w:eastAsia="宋体" w:cs="Times New Roman"/>
          <w:b/>
          <w:color w:val="000000" w:themeColor="text1"/>
          <w:szCs w:val="24"/>
          <w:highlight w:val="none"/>
          <w:lang w:val="zh-CN"/>
          <w14:textFill>
            <w14:solidFill>
              <w14:schemeClr w14:val="tx1"/>
            </w14:solidFill>
          </w14:textFill>
        </w:rPr>
        <w:t>2</w:t>
      </w:r>
      <w:r>
        <w:rPr>
          <w:rFonts w:hint="eastAsia" w:ascii="宋体" w:hAnsi="宋体" w:eastAsia="宋体" w:cs="Times New Roman"/>
          <w:b/>
          <w:color w:val="000000" w:themeColor="text1"/>
          <w:szCs w:val="24"/>
          <w:highlight w:val="none"/>
          <w:lang w:val="zh-CN"/>
          <w14:textFill>
            <w14:solidFill>
              <w14:schemeClr w14:val="tx1"/>
            </w14:solidFill>
          </w14:textFill>
        </w:rPr>
        <w:t>.</w:t>
      </w:r>
      <w:r>
        <w:rPr>
          <w:rFonts w:ascii="宋体" w:hAnsi="宋体" w:eastAsia="宋体" w:cs="Times New Roman"/>
          <w:b/>
          <w:color w:val="000000" w:themeColor="text1"/>
          <w:szCs w:val="24"/>
          <w:highlight w:val="none"/>
          <w:lang w:val="zh-CN"/>
          <w14:textFill>
            <w14:solidFill>
              <w14:schemeClr w14:val="tx1"/>
            </w14:solidFill>
          </w14:textFill>
        </w:rPr>
        <w:t xml:space="preserve">3 </w:t>
      </w:r>
      <w:r>
        <w:rPr>
          <w:rFonts w:hint="eastAsia" w:ascii="宋体" w:hAnsi="宋体" w:eastAsia="宋体" w:cs="Times New Roman"/>
          <w:b/>
          <w:color w:val="000000" w:themeColor="text1"/>
          <w:szCs w:val="24"/>
          <w:highlight w:val="none"/>
          <w:lang w:val="zh-CN"/>
          <w14:textFill>
            <w14:solidFill>
              <w14:schemeClr w14:val="tx1"/>
            </w14:solidFill>
          </w14:textFill>
        </w:rPr>
        <w:t>投标人未能与评标委员会商定出合理的价格的；</w:t>
      </w:r>
    </w:p>
    <w:p>
      <w:pPr>
        <w:autoSpaceDE w:val="0"/>
        <w:autoSpaceDN w:val="0"/>
        <w:adjustRightInd w:val="0"/>
        <w:spacing w:line="360" w:lineRule="auto"/>
        <w:ind w:left="738" w:hanging="738" w:hangingChars="3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5.2</w:t>
      </w:r>
      <w:r>
        <w:rPr>
          <w:rFonts w:ascii="宋体" w:hAnsi="宋体" w:eastAsia="宋体" w:cs="Times New Roman"/>
          <w:b/>
          <w:color w:val="000000" w:themeColor="text1"/>
          <w:szCs w:val="24"/>
          <w:highlight w:val="none"/>
          <w:lang w:val="zh-CN"/>
          <w14:textFill>
            <w14:solidFill>
              <w14:schemeClr w14:val="tx1"/>
            </w14:solidFill>
          </w14:textFill>
        </w:rPr>
        <w:t>2</w:t>
      </w:r>
      <w:r>
        <w:rPr>
          <w:rFonts w:hint="eastAsia" w:ascii="宋体" w:hAnsi="宋体" w:eastAsia="宋体" w:cs="Times New Roman"/>
          <w:b/>
          <w:color w:val="000000" w:themeColor="text1"/>
          <w:szCs w:val="24"/>
          <w:highlight w:val="none"/>
          <w:lang w:val="zh-CN"/>
          <w14:textFill>
            <w14:solidFill>
              <w14:schemeClr w14:val="tx1"/>
            </w14:solidFill>
          </w14:textFill>
        </w:rPr>
        <w:t>.</w:t>
      </w:r>
      <w:r>
        <w:rPr>
          <w:rFonts w:ascii="宋体" w:hAnsi="宋体" w:eastAsia="宋体" w:cs="Times New Roman"/>
          <w:b/>
          <w:color w:val="000000" w:themeColor="text1"/>
          <w:szCs w:val="24"/>
          <w:highlight w:val="none"/>
          <w:lang w:val="zh-CN"/>
          <w14:textFill>
            <w14:solidFill>
              <w14:schemeClr w14:val="tx1"/>
            </w14:solidFill>
          </w14:textFill>
        </w:rPr>
        <w:t xml:space="preserve">4 </w:t>
      </w:r>
      <w:r>
        <w:rPr>
          <w:rFonts w:hint="eastAsia" w:ascii="宋体" w:hAnsi="宋体" w:eastAsia="宋体" w:cs="Times New Roman"/>
          <w:b/>
          <w:color w:val="000000" w:themeColor="text1"/>
          <w:szCs w:val="24"/>
          <w:highlight w:val="none"/>
          <w:lang w:val="zh-CN"/>
          <w14:textFill>
            <w14:solidFill>
              <w14:schemeClr w14:val="tx1"/>
            </w14:solidFill>
          </w14:textFill>
        </w:rPr>
        <w:t>评标委员会认定投标人最终的投标文件存在影响采购项目质量，</w:t>
      </w:r>
      <w:r>
        <w:rPr>
          <w:rFonts w:hint="eastAsia" w:ascii="宋体" w:hAnsi="宋体" w:eastAsia="宋体" w:cs="Times New Roman"/>
          <w:b/>
          <w:color w:val="000000" w:themeColor="text1"/>
          <w:kern w:val="0"/>
          <w:szCs w:val="21"/>
          <w:highlight w:val="none"/>
          <w:lang w:val="zh-CN"/>
          <w14:textFill>
            <w14:solidFill>
              <w14:schemeClr w14:val="tx1"/>
            </w14:solidFill>
          </w14:textFill>
        </w:rPr>
        <w:t>且投标人不能合理说明或不能提供相关证明材料</w:t>
      </w:r>
      <w:r>
        <w:rPr>
          <w:rFonts w:hint="eastAsia" w:ascii="宋体" w:hAnsi="宋体" w:eastAsia="宋体" w:cs="Times New Roman"/>
          <w:b/>
          <w:color w:val="000000" w:themeColor="text1"/>
          <w:szCs w:val="24"/>
          <w:highlight w:val="none"/>
          <w:lang w:val="zh-CN"/>
          <w14:textFill>
            <w14:solidFill>
              <w14:schemeClr w14:val="tx1"/>
            </w14:solidFill>
          </w14:textFill>
        </w:rPr>
        <w:t>。</w:t>
      </w:r>
    </w:p>
    <w:p>
      <w:pPr>
        <w:tabs>
          <w:tab w:val="left" w:pos="1140"/>
        </w:tabs>
        <w:autoSpaceDE w:val="0"/>
        <w:autoSpaceDN w:val="0"/>
        <w:adjustRightInd w:val="0"/>
        <w:spacing w:line="360" w:lineRule="auto"/>
        <w:jc w:val="center"/>
        <w:rPr>
          <w:rFonts w:hint="eastAsia" w:ascii="宋体" w:hAnsi="宋体" w:eastAsia="宋体" w:cs="宋体"/>
          <w:b/>
          <w:bCs/>
          <w:color w:val="000000" w:themeColor="text1"/>
          <w:sz w:val="28"/>
          <w:szCs w:val="28"/>
          <w:highlight w:val="none"/>
          <w:lang w:val="zh-CN"/>
          <w14:textFill>
            <w14:solidFill>
              <w14:schemeClr w14:val="tx1"/>
            </w14:solidFill>
          </w14:textFill>
        </w:rPr>
      </w:pPr>
      <w:bookmarkStart w:id="654" w:name="_Toc19435_WPSOffice_Level1"/>
    </w:p>
    <w:p>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654"/>
    </w:p>
    <w:p>
      <w:pPr>
        <w:autoSpaceDE w:val="0"/>
        <w:autoSpaceDN w:val="0"/>
        <w:adjustRightInd w:val="0"/>
        <w:spacing w:line="360" w:lineRule="auto"/>
        <w:outlineLvl w:val="0"/>
        <w:rPr>
          <w:rFonts w:ascii="宋体" w:hAnsi="宋体" w:eastAsia="宋体" w:cs="宋体"/>
          <w:b/>
          <w:color w:val="000000" w:themeColor="text1"/>
          <w:szCs w:val="24"/>
          <w:highlight w:val="none"/>
          <w:lang w:val="zh-CN"/>
          <w14:textFill>
            <w14:solidFill>
              <w14:schemeClr w14:val="tx1"/>
            </w14:solidFill>
          </w14:textFill>
        </w:rPr>
      </w:pPr>
      <w:bookmarkStart w:id="655" w:name="_Toc29483"/>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bookmarkEnd w:id="655"/>
    </w:p>
    <w:p>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000000" w:themeColor="text1"/>
          <w:szCs w:val="24"/>
          <w:highlight w:val="none"/>
          <w:lang w:val="en-US" w:eastAsia="zh-CN"/>
          <w14:textFill>
            <w14:solidFill>
              <w14:schemeClr w14:val="tx1"/>
            </w14:solidFill>
          </w14:textFill>
        </w:rPr>
        <w:t>供货及</w:t>
      </w:r>
      <w:r>
        <w:rPr>
          <w:rFonts w:hint="eastAsia" w:ascii="宋体" w:hAnsi="宋体" w:eastAsia="宋体" w:cs="宋体"/>
          <w:color w:val="000000" w:themeColor="text1"/>
          <w:szCs w:val="24"/>
          <w:highlight w:val="none"/>
          <w:lang w:val="zh-CN"/>
          <w14:textFill>
            <w14:solidFill>
              <w14:schemeClr w14:val="tx1"/>
            </w14:solidFill>
          </w14:textFill>
        </w:rPr>
        <w:t>服务范围、质量</w:t>
      </w:r>
      <w:r>
        <w:rPr>
          <w:rFonts w:hint="eastAsia" w:ascii="宋体" w:hAnsi="宋体" w:eastAsia="宋体" w:cs="宋体"/>
          <w:color w:val="000000" w:themeColor="text1"/>
          <w:szCs w:val="24"/>
          <w:highlight w:val="none"/>
          <w:lang w:val="en-US" w:eastAsia="zh-CN"/>
          <w14:textFill>
            <w14:solidFill>
              <w14:schemeClr w14:val="tx1"/>
            </w14:solidFill>
          </w14:textFill>
        </w:rPr>
        <w:t>和性能</w:t>
      </w:r>
      <w:r>
        <w:rPr>
          <w:rFonts w:hint="eastAsia" w:ascii="宋体" w:hAnsi="宋体" w:eastAsia="宋体" w:cs="宋体"/>
          <w:color w:val="000000" w:themeColor="text1"/>
          <w:szCs w:val="24"/>
          <w:highlight w:val="none"/>
          <w:lang w:val="zh-CN"/>
          <w14:textFill>
            <w14:solidFill>
              <w14:schemeClr w14:val="tx1"/>
            </w14:solidFill>
          </w14:textFill>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pPr>
        <w:autoSpaceDE w:val="0"/>
        <w:autoSpaceDN w:val="0"/>
        <w:adjustRightInd w:val="0"/>
        <w:spacing w:line="360" w:lineRule="auto"/>
        <w:outlineLvl w:val="0"/>
        <w:rPr>
          <w:rFonts w:ascii="宋体" w:hAnsi="宋体" w:eastAsia="宋体" w:cs="宋体"/>
          <w:b/>
          <w:color w:val="000000" w:themeColor="text1"/>
          <w:szCs w:val="21"/>
          <w:highlight w:val="none"/>
          <w:lang w:val="zh-CN"/>
          <w14:textFill>
            <w14:solidFill>
              <w14:schemeClr w14:val="tx1"/>
            </w14:solidFill>
          </w14:textFill>
        </w:rPr>
      </w:pPr>
      <w:bookmarkStart w:id="656" w:name="_Toc6674"/>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bookmarkEnd w:id="656"/>
    </w:p>
    <w:p>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hAnsi="宋体" w:eastAsia="宋体" w:cs="宋体"/>
          <w:b/>
          <w:color w:val="000000" w:themeColor="text1"/>
          <w:kern w:val="0"/>
          <w:szCs w:val="21"/>
          <w:highlight w:val="none"/>
          <w14:textFill>
            <w14:solidFill>
              <w14:schemeClr w14:val="tx1"/>
            </w14:solidFill>
          </w14:textFill>
        </w:rPr>
        <w:t>投标文件中的投标报价高于不含税最高投标限价的</w:t>
      </w:r>
      <w:r>
        <w:rPr>
          <w:rFonts w:hint="eastAsia" w:ascii="宋体" w:hAnsi="宋体" w:eastAsia="宋体" w:cs="宋体"/>
          <w:b/>
          <w:bCs/>
          <w:color w:val="000000" w:themeColor="text1"/>
          <w:kern w:val="0"/>
          <w:szCs w:val="21"/>
          <w:highlight w:val="none"/>
          <w14:textFill>
            <w14:solidFill>
              <w14:schemeClr w14:val="tx1"/>
            </w14:solidFill>
          </w14:textFill>
        </w:rPr>
        <w:t>；</w:t>
      </w:r>
    </w:p>
    <w:p>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pPr>
        <w:spacing w:line="360" w:lineRule="auto"/>
        <w:ind w:left="413" w:hanging="413" w:hangingChars="196"/>
        <w:rPr>
          <w:rFonts w:hint="eastAsia" w:ascii="宋体" w:hAnsi="宋体" w:eastAsia="宋体" w:cs="Times New Roman"/>
          <w:b/>
          <w:color w:val="000000" w:themeColor="text1"/>
          <w:kern w:val="0"/>
          <w:szCs w:val="21"/>
          <w:highlight w:val="none"/>
          <w:lang w:eastAsia="zh-CN"/>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w:t>
      </w:r>
    </w:p>
    <w:p>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2</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所投管式微孔曝气器产品的制造商及其就本次投标独家授权的经销商同时参与本项目投标的。</w:t>
      </w:r>
    </w:p>
    <w:p>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657"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657"/>
    </w:p>
    <w:p>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pPr>
        <w:autoSpaceDE/>
        <w:autoSpaceDN/>
        <w:adjustRightInd/>
        <w:spacing w:line="360" w:lineRule="auto"/>
        <w:ind w:left="0" w:firstLine="420" w:firstLineChars="20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A</w:t>
      </w: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）当以数字表示的金额与以文字表示的金额不一致时，以文字表示的金额为准；</w:t>
      </w:r>
    </w:p>
    <w:p>
      <w:pPr>
        <w:autoSpaceDE/>
        <w:autoSpaceDN/>
        <w:adjustRightInd/>
        <w:spacing w:line="360" w:lineRule="auto"/>
        <w:ind w:left="420" w:leftChars="200" w:firstLine="0" w:firstLineChars="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B</w:t>
      </w:r>
      <w:r>
        <w:rPr>
          <w:rFonts w:hint="eastAsia" w:ascii="宋体" w:hAnsi="宋体" w:eastAsia="宋体" w:cs="宋体"/>
          <w:color w:val="000000" w:themeColor="text1"/>
          <w:kern w:val="0"/>
          <w:szCs w:val="21"/>
          <w:highlight w:val="none"/>
          <w:lang w:val="zh-CN"/>
          <w14:textFill>
            <w14:solidFill>
              <w14:schemeClr w14:val="tx1"/>
            </w14:solidFill>
          </w14:textFill>
        </w:rPr>
        <w:t>）当开标一览表(投标报价表)内总报价金额与按综合单价计算的总价不一致的，以综合单价计算结果为准，单项金额小数点有明显错位的，应以总价为准，并修正综合单价金额；</w:t>
      </w:r>
    </w:p>
    <w:p>
      <w:pPr>
        <w:autoSpaceDE/>
        <w:autoSpaceDN/>
        <w:adjustRightInd/>
        <w:spacing w:line="360" w:lineRule="auto"/>
        <w:ind w:left="420" w:leftChars="200" w:firstLine="0" w:firstLineChars="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C</w:t>
      </w:r>
      <w:r>
        <w:rPr>
          <w:rFonts w:hint="eastAsia" w:ascii="宋体" w:hAnsi="宋体" w:eastAsia="宋体" w:cs="宋体"/>
          <w:color w:val="000000" w:themeColor="text1"/>
          <w:kern w:val="0"/>
          <w:szCs w:val="21"/>
          <w:highlight w:val="none"/>
          <w:lang w:val="zh-CN"/>
          <w14:textFill>
            <w14:solidFill>
              <w14:schemeClr w14:val="tx1"/>
            </w14:solidFill>
          </w14:textFill>
        </w:rPr>
        <w:t>）当分项报价明细表内累计与投标报价表内报价不符时，以投标报价表（开标一览表）为准，修正分项报价明细表内的各分项报价；</w:t>
      </w:r>
    </w:p>
    <w:p>
      <w:pPr>
        <w:autoSpaceDE/>
        <w:autoSpaceDN/>
        <w:adjustRightInd/>
        <w:spacing w:line="360" w:lineRule="auto"/>
        <w:ind w:left="0"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D</w:t>
      </w:r>
      <w:r>
        <w:rPr>
          <w:rFonts w:hint="eastAsia" w:ascii="宋体" w:hAnsi="宋体" w:eastAsia="宋体" w:cs="宋体"/>
          <w:color w:val="000000" w:themeColor="text1"/>
          <w:kern w:val="0"/>
          <w:szCs w:val="21"/>
          <w:highlight w:val="none"/>
          <w:lang w:val="zh-CN"/>
          <w14:textFill>
            <w14:solidFill>
              <w14:schemeClr w14:val="tx1"/>
            </w14:solidFill>
          </w14:textFill>
        </w:rPr>
        <w:t>）按前述修正原则排序依次进行修正至唯一值后的报价表经双方确认后，作为合同文件的组成部分。</w:t>
      </w:r>
    </w:p>
    <w:p>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 w:val="0"/>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658" w:name="_Toc8518_WPSOffice_Level1"/>
    </w:p>
    <w:p>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658"/>
    </w:p>
    <w:p>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pPr>
        <w:tabs>
          <w:tab w:val="left" w:pos="1701"/>
        </w:tabs>
        <w:autoSpaceDE w:val="0"/>
        <w:autoSpaceDN w:val="0"/>
        <w:adjustRightInd w:val="0"/>
        <w:spacing w:line="360" w:lineRule="auto"/>
        <w:outlineLvl w:val="0"/>
        <w:rPr>
          <w:rFonts w:ascii="宋体" w:hAnsi="宋体" w:eastAsia="宋体" w:cs="宋体"/>
          <w:b/>
          <w:color w:val="000000" w:themeColor="text1"/>
          <w:szCs w:val="24"/>
          <w:highlight w:val="none"/>
          <w:lang w:val="zh-CN"/>
          <w14:textFill>
            <w14:solidFill>
              <w14:schemeClr w14:val="tx1"/>
            </w14:solidFill>
          </w14:textFill>
        </w:rPr>
      </w:pPr>
      <w:bookmarkStart w:id="659" w:name="_Toc11828"/>
      <w:r>
        <w:rPr>
          <w:rFonts w:hint="eastAsia" w:ascii="宋体" w:hAnsi="宋体" w:eastAsia="宋体" w:cs="宋体"/>
          <w:b/>
          <w:color w:val="000000" w:themeColor="text1"/>
          <w:szCs w:val="24"/>
          <w:highlight w:val="none"/>
          <w:lang w:val="zh-CN"/>
          <w14:textFill>
            <w14:solidFill>
              <w14:schemeClr w14:val="tx1"/>
            </w14:solidFill>
          </w14:textFill>
        </w:rPr>
        <w:t>11、评委打分办法</w:t>
      </w:r>
      <w:bookmarkEnd w:id="659"/>
    </w:p>
    <w:p>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pPr>
        <w:tabs>
          <w:tab w:val="left" w:pos="1701"/>
        </w:tabs>
        <w:autoSpaceDE w:val="0"/>
        <w:autoSpaceDN w:val="0"/>
        <w:adjustRightInd w:val="0"/>
        <w:spacing w:line="360" w:lineRule="auto"/>
        <w:outlineLvl w:val="0"/>
        <w:rPr>
          <w:rFonts w:ascii="宋体" w:hAnsi="宋体" w:eastAsia="宋体" w:cs="宋体"/>
          <w:b/>
          <w:color w:val="000000" w:themeColor="text1"/>
          <w:szCs w:val="24"/>
          <w:highlight w:val="none"/>
          <w:lang w:val="zh-CN"/>
          <w14:textFill>
            <w14:solidFill>
              <w14:schemeClr w14:val="tx1"/>
            </w14:solidFill>
          </w14:textFill>
        </w:rPr>
      </w:pPr>
      <w:bookmarkStart w:id="660" w:name="_Toc24827"/>
      <w:r>
        <w:rPr>
          <w:rFonts w:hint="eastAsia" w:ascii="宋体" w:hAnsi="宋体" w:eastAsia="宋体" w:cs="宋体"/>
          <w:b/>
          <w:color w:val="000000" w:themeColor="text1"/>
          <w:szCs w:val="24"/>
          <w:highlight w:val="none"/>
          <w:lang w:val="zh-CN"/>
          <w14:textFill>
            <w14:solidFill>
              <w14:schemeClr w14:val="tx1"/>
            </w14:solidFill>
          </w14:textFill>
        </w:rPr>
        <w:t>12、评分因素及分值</w:t>
      </w:r>
      <w:bookmarkEnd w:id="660"/>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20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50</w:t>
            </w:r>
            <w:r>
              <w:rPr>
                <w:rFonts w:hint="eastAsia" w:ascii="宋体" w:hAnsi="宋体" w:eastAsia="宋体" w:cs="宋体"/>
                <w:b/>
                <w:color w:val="000000" w:themeColor="text1"/>
                <w:szCs w:val="21"/>
                <w:highlight w:val="none"/>
                <w:lang w:val="zh-CN"/>
                <w14:textFill>
                  <w14:solidFill>
                    <w14:schemeClr w14:val="tx1"/>
                  </w14:solidFill>
                </w14:textFill>
              </w:rPr>
              <w:t>分</w:t>
            </w:r>
          </w:p>
        </w:tc>
      </w:tr>
    </w:tbl>
    <w:p>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661" w:name="_Toc18349_WPSOffice_Level2"/>
    </w:p>
    <w:bookmarkEnd w:id="661"/>
    <w:p>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20</w:t>
      </w:r>
      <w:r>
        <w:rPr>
          <w:rFonts w:hint="eastAsia" w:ascii="宋体" w:hAnsi="宋体" w:eastAsia="宋体" w:cs="宋体"/>
          <w:b/>
          <w:color w:val="000000" w:themeColor="text1"/>
          <w:szCs w:val="21"/>
          <w:highlight w:val="none"/>
          <w:lang w:val="zh-CN"/>
          <w14:textFill>
            <w14:solidFill>
              <w14:schemeClr w14:val="tx1"/>
            </w14:solidFill>
          </w14:textFill>
        </w:rPr>
        <w:t>分</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33"/>
        <w:gridCol w:w="765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2"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1133"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7658"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33"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jc w:val="center"/>
              <w:rPr>
                <w:rFonts w:hint="eastAsia" w:ascii="宋体" w:hAnsi="宋体" w:eastAsia="宋体" w:cs="宋体"/>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财务状况</w:t>
            </w:r>
          </w:p>
        </w:tc>
        <w:tc>
          <w:tcPr>
            <w:tcW w:w="7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pacing w:line="4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2021</w:t>
            </w:r>
            <w:r>
              <w:rPr>
                <w:rFonts w:hint="eastAsia" w:ascii="宋体" w:hAnsi="宋体" w:eastAsia="宋体" w:cs="宋体"/>
                <w:color w:val="000000" w:themeColor="text1"/>
                <w:sz w:val="21"/>
                <w:szCs w:val="21"/>
                <w:highlight w:val="none"/>
                <w14:textFill>
                  <w14:solidFill>
                    <w14:schemeClr w14:val="tx1"/>
                  </w14:solidFill>
                </w14:textFill>
              </w:rPr>
              <w:t>年-202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年三个年度，每具有1个年度</w:t>
            </w:r>
            <w:r>
              <w:rPr>
                <w:rFonts w:hint="eastAsia" w:ascii="宋体" w:hAnsi="宋体" w:eastAsia="宋体" w:cs="宋体"/>
                <w:color w:val="000000" w:themeColor="text1"/>
                <w:sz w:val="21"/>
                <w:szCs w:val="21"/>
                <w:highlight w:val="none"/>
                <w:lang w:val="en-US" w:eastAsia="zh-CN"/>
                <w14:textFill>
                  <w14:solidFill>
                    <w14:schemeClr w14:val="tx1"/>
                  </w14:solidFill>
                </w14:textFill>
              </w:rPr>
              <w:t>盈利</w:t>
            </w:r>
            <w:r>
              <w:rPr>
                <w:rFonts w:hint="eastAsia" w:ascii="宋体" w:hAnsi="宋体" w:eastAsia="宋体" w:cs="宋体"/>
                <w:color w:val="000000" w:themeColor="text1"/>
                <w:sz w:val="21"/>
                <w:szCs w:val="21"/>
                <w:highlight w:val="none"/>
                <w14:textFill>
                  <w14:solidFill>
                    <w14:schemeClr w14:val="tx1"/>
                  </w14:solidFill>
                </w14:textFill>
              </w:rPr>
              <w:t>的得1分，满分3分。</w:t>
            </w:r>
          </w:p>
          <w:p>
            <w:pPr>
              <w:pStyle w:val="18"/>
              <w:keepNext w:val="0"/>
              <w:keepLines w:val="0"/>
              <w:pageBreakBefore w:val="0"/>
              <w:widowControl w:val="0"/>
              <w:kinsoku/>
              <w:wordWrap/>
              <w:overflowPunct/>
              <w:topLinePunct w:val="0"/>
              <w:bidi w:val="0"/>
              <w:adjustRightInd/>
              <w:spacing w:line="400" w:lineRule="exact"/>
              <w:ind w:right="-26" w:rightChars="0" w:firstLine="422" w:firstLineChars="200"/>
              <w:jc w:val="left"/>
              <w:textAlignment w:val="auto"/>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备注：</w:t>
            </w:r>
            <w:r>
              <w:rPr>
                <w:rFonts w:hint="eastAsia" w:ascii="宋体" w:hAnsi="宋体" w:eastAsia="宋体"/>
                <w:b/>
                <w:color w:val="000000" w:themeColor="text1"/>
                <w:sz w:val="21"/>
                <w:szCs w:val="21"/>
                <w:highlight w:val="none"/>
                <w:lang w:val="en-US" w:eastAsia="zh-CN"/>
                <w14:textFill>
                  <w14:solidFill>
                    <w14:schemeClr w14:val="tx1"/>
                  </w14:solidFill>
                </w14:textFill>
              </w:rPr>
              <w:t>盈利指净利润为正数（非零、非负数），</w:t>
            </w:r>
            <w:r>
              <w:rPr>
                <w:rFonts w:hint="eastAsia" w:ascii="宋体" w:hAnsi="宋体" w:eastAsia="宋体" w:cs="宋体"/>
                <w:b/>
                <w:bCs w:val="0"/>
                <w:color w:val="000000" w:themeColor="text1"/>
                <w:sz w:val="21"/>
                <w:szCs w:val="21"/>
                <w:highlight w:val="none"/>
                <w14:textFill>
                  <w14:solidFill>
                    <w14:schemeClr w14:val="tx1"/>
                  </w14:solidFill>
                </w14:textFill>
              </w:rPr>
              <w:t>投标人应提供202</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sz w:val="21"/>
                <w:szCs w:val="21"/>
                <w:highlight w:val="none"/>
                <w14:textFill>
                  <w14:solidFill>
                    <w14:schemeClr w14:val="tx1"/>
                  </w14:solidFill>
                </w14:textFill>
              </w:rPr>
              <w:t>年、202</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 w:val="21"/>
                <w:szCs w:val="21"/>
                <w:highlight w:val="none"/>
                <w14:textFill>
                  <w14:solidFill>
                    <w14:schemeClr w14:val="tx1"/>
                  </w14:solidFill>
                </w14:textFill>
              </w:rPr>
              <w:t>年、202</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val="0"/>
                <w:color w:val="000000" w:themeColor="text1"/>
                <w:sz w:val="21"/>
                <w:szCs w:val="21"/>
                <w:highlight w:val="none"/>
                <w14:textFill>
                  <w14:solidFill>
                    <w14:schemeClr w14:val="tx1"/>
                  </w14:solidFill>
                </w14:textFill>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bookmarkStart w:id="662" w:name="_Hlk104987354"/>
            <w:bookmarkStart w:id="663" w:name="_Toc11639_WPSOffice_Level2"/>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133" w:type="dxa"/>
            <w:vMerge w:val="restart"/>
            <w:tcBorders>
              <w:top w:val="single" w:color="auto" w:sz="4" w:space="0"/>
              <w:left w:val="single" w:color="auto" w:sz="4" w:space="0"/>
              <w:right w:val="single" w:color="auto" w:sz="4" w:space="0"/>
            </w:tcBorders>
            <w:vAlign w:val="center"/>
          </w:tcPr>
          <w:p>
            <w:pPr>
              <w:autoSpaceDE/>
              <w:autoSpaceDN/>
              <w:adjustRightInd/>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p>
        </w:tc>
        <w:tc>
          <w:tcPr>
            <w:tcW w:w="765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投标人</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b/>
                <w:color w:val="000000" w:themeColor="text1"/>
                <w:sz w:val="21"/>
                <w:szCs w:val="21"/>
                <w:highlight w:val="none"/>
                <w14:textFill>
                  <w14:solidFill>
                    <w14:schemeClr w14:val="tx1"/>
                  </w14:solidFill>
                </w14:textFill>
              </w:rPr>
              <w:t>的投标品牌设备业绩</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年1月1日</w:t>
            </w:r>
            <w:r>
              <w:rPr>
                <w:rFonts w:hint="eastAsia" w:ascii="宋体" w:hAnsi="宋体" w:eastAsia="宋体" w:cs="宋体"/>
                <w:color w:val="000000" w:themeColor="text1"/>
                <w:szCs w:val="21"/>
                <w:highlight w:val="none"/>
                <w:lang w:bidi="ar"/>
                <w14:textFill>
                  <w14:solidFill>
                    <w14:schemeClr w14:val="tx1"/>
                  </w14:solidFill>
                </w14:textFill>
              </w:rPr>
              <w:t>（合同签订日期为202</w:t>
            </w: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年1月1日或以后）</w:t>
            </w:r>
            <w:r>
              <w:rPr>
                <w:rFonts w:hint="eastAsia" w:ascii="宋体" w:hAnsi="宋体" w:eastAsia="宋体" w:cs="宋体"/>
                <w:color w:val="000000" w:themeColor="text1"/>
                <w:sz w:val="21"/>
                <w:szCs w:val="21"/>
                <w:highlight w:val="none"/>
                <w14:textFill>
                  <w14:solidFill>
                    <w14:schemeClr w14:val="tx1"/>
                  </w14:solidFill>
                </w14:textFill>
              </w:rPr>
              <w:t>至今投标人在国内</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的投标品牌的</w:t>
            </w:r>
            <w:r>
              <w:rPr>
                <w:rFonts w:hint="eastAsia" w:ascii="宋体" w:hAnsi="宋体" w:eastAsia="宋体" w:cs="宋体"/>
                <w:b/>
                <w:color w:val="000000" w:themeColor="text1"/>
                <w:sz w:val="21"/>
                <w:szCs w:val="21"/>
                <w:highlight w:val="none"/>
                <w:lang w:eastAsia="zh-CN"/>
                <w14:textFill>
                  <w14:solidFill>
                    <w14:schemeClr w14:val="tx1"/>
                  </w14:solidFill>
                </w14:textFill>
              </w:rPr>
              <w:t>管式微孔曝气器</w:t>
            </w:r>
            <w:r>
              <w:rPr>
                <w:rFonts w:hint="eastAsia" w:ascii="宋体" w:hAnsi="宋体" w:eastAsia="宋体" w:cs="宋体"/>
                <w:color w:val="000000" w:themeColor="text1"/>
                <w:sz w:val="21"/>
                <w:szCs w:val="21"/>
                <w:highlight w:val="none"/>
                <w14:textFill>
                  <w14:solidFill>
                    <w14:schemeClr w14:val="tx1"/>
                  </w14:solidFill>
                </w14:textFill>
              </w:rPr>
              <w:t>设备供货业绩</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本分项满分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万元的前述业绩的（但已在其他类型业绩评分中获得了得分的业绩除外），每提供一个得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万元的前述业绩的（但已在其他类型业绩评分中获得了得分的业绩除外）每提供一个得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
                <w:color w:val="000000" w:themeColor="text1"/>
                <w:sz w:val="21"/>
                <w:szCs w:val="21"/>
                <w:highlight w:val="none"/>
                <w14:textFill>
                  <w14:solidFill>
                    <w14:schemeClr w14:val="tx1"/>
                  </w14:solidFill>
                </w14:textFill>
              </w:rPr>
              <w:t>本子项满分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万元的前述业绩的（但已在其他类型业绩评分中获得了得分的业绩除外）每提供一个得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
                <w:color w:val="000000" w:themeColor="text1"/>
                <w:sz w:val="21"/>
                <w:szCs w:val="21"/>
                <w:highlight w:val="none"/>
                <w14:textFill>
                  <w14:solidFill>
                    <w14:schemeClr w14:val="tx1"/>
                  </w14:solidFill>
                </w14:textFill>
              </w:rPr>
              <w:t>本子项满分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分</w:t>
            </w:r>
            <w:r>
              <w:rPr>
                <w:rFonts w:hint="eastAsia" w:ascii="宋体" w:hAnsi="宋体" w:eastAsia="宋体" w:cs="宋体"/>
                <w:b/>
                <w:bCs/>
                <w:color w:val="000000" w:themeColor="text1"/>
                <w:sz w:val="21"/>
                <w:szCs w:val="21"/>
                <w:highlight w:val="none"/>
                <w14:textFill>
                  <w14:solidFill>
                    <w14:schemeClr w14:val="tx1"/>
                  </w14:solidFill>
                </w14:textFill>
              </w:rPr>
              <w:t>。</w:t>
            </w:r>
          </w:p>
          <w:p>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①业绩须附合同复印件，否则不得分（当本次投标人为投标品牌设备的制造商时，合同卖方可为投标人，也可为投标品牌设备的代理商/经销商；当本次投标人为经销商时，合同的卖方必须为本项目的投标人）；</w:t>
            </w:r>
          </w:p>
          <w:p>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②若合同无法反映评分条件（合同签订日期为</w:t>
            </w:r>
            <w:r>
              <w:rPr>
                <w:rFonts w:hint="eastAsia" w:ascii="宋体" w:hAnsi="宋体" w:eastAsia="宋体" w:cs="宋体"/>
                <w:b/>
                <w:color w:val="000000" w:themeColor="text1"/>
                <w:sz w:val="21"/>
                <w:szCs w:val="21"/>
                <w:highlight w:val="none"/>
                <w:lang w:eastAsia="zh-CN"/>
                <w14:textFill>
                  <w14:solidFill>
                    <w14:schemeClr w14:val="tx1"/>
                  </w14:solidFill>
                </w14:textFill>
              </w:rPr>
              <w:t>202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lang w:eastAsia="zh-CN"/>
                <w14:textFill>
                  <w14:solidFill>
                    <w14:schemeClr w14:val="tx1"/>
                  </w14:solidFill>
                </w14:textFill>
              </w:rPr>
              <w:t>年1月1日</w:t>
            </w:r>
            <w:r>
              <w:rPr>
                <w:rFonts w:hint="eastAsia" w:ascii="宋体" w:hAnsi="宋体" w:eastAsia="宋体" w:cs="宋体"/>
                <w:b/>
                <w:color w:val="000000" w:themeColor="text1"/>
                <w:sz w:val="21"/>
                <w:szCs w:val="21"/>
                <w:highlight w:val="none"/>
                <w14:textFill>
                  <w14:solidFill>
                    <w14:schemeClr w14:val="tx1"/>
                  </w14:solidFill>
                </w14:textFill>
              </w:rPr>
              <w:t>或以后，合同标的必须包含投标品牌的</w:t>
            </w:r>
            <w:r>
              <w:rPr>
                <w:rFonts w:hint="eastAsia" w:ascii="宋体" w:hAnsi="宋体" w:eastAsia="宋体" w:cs="宋体"/>
                <w:b/>
                <w:color w:val="000000" w:themeColor="text1"/>
                <w:sz w:val="21"/>
                <w:szCs w:val="21"/>
                <w:highlight w:val="none"/>
                <w:lang w:eastAsia="zh-CN"/>
                <w14:textFill>
                  <w14:solidFill>
                    <w14:schemeClr w14:val="tx1"/>
                  </w14:solidFill>
                </w14:textFill>
              </w:rPr>
              <w:t>管式微孔曝气器</w:t>
            </w:r>
            <w:r>
              <w:rPr>
                <w:rFonts w:hint="eastAsia" w:ascii="宋体" w:hAnsi="宋体" w:eastAsia="宋体" w:cs="宋体"/>
                <w:b/>
                <w:color w:val="000000" w:themeColor="text1"/>
                <w:sz w:val="21"/>
                <w:szCs w:val="21"/>
                <w:highlight w:val="none"/>
                <w14:textFill>
                  <w14:solidFill>
                    <w14:schemeClr w14:val="tx1"/>
                  </w14:solidFill>
                </w14:textFill>
              </w:rPr>
              <w:t>设备，合同金额满足评分要求）的，还需提供产品购买方出具的书面补充说明文件复印件作为辅助证明（补充说明文件复印件能显示购买方公章），否则不得分；</w:t>
            </w:r>
          </w:p>
          <w:p>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③未按上述要求提供证明材料的业绩，或所附材料无法证明填报项目符合本项评分要求的业绩，在评标时将不予考虑。</w:t>
            </w:r>
          </w:p>
          <w:p>
            <w:pPr>
              <w:pStyle w:val="15"/>
              <w:keepNext w:val="0"/>
              <w:keepLines w:val="0"/>
              <w:pageBreakBefore w:val="0"/>
              <w:widowControl w:val="0"/>
              <w:kinsoku/>
              <w:wordWrap/>
              <w:overflowPunct/>
              <w:topLinePunct w:val="0"/>
              <w:bidi w:val="0"/>
              <w:adjustRightInd w:val="0"/>
              <w:snapToGrid w:val="0"/>
              <w:spacing w:before="0"/>
              <w:ind w:firstLine="422" w:firstLineChars="200"/>
              <w:textAlignment w:val="auto"/>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tc>
        <w:tc>
          <w:tcPr>
            <w:tcW w:w="907"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33" w:type="dxa"/>
            <w:vMerge w:val="continue"/>
            <w:tcBorders>
              <w:left w:val="single" w:color="auto" w:sz="4" w:space="0"/>
              <w:bottom w:val="single" w:color="auto" w:sz="4" w:space="0"/>
              <w:right w:val="single" w:color="auto" w:sz="4" w:space="0"/>
            </w:tcBorders>
            <w:vAlign w:val="center"/>
          </w:tcPr>
          <w:p>
            <w:pPr>
              <w:autoSpaceDE/>
              <w:autoSpaceDN/>
              <w:adjustRightInd/>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5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投标品牌设备业绩</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年1月1日</w:t>
            </w:r>
            <w:r>
              <w:rPr>
                <w:rFonts w:hint="eastAsia" w:ascii="宋体" w:hAnsi="宋体" w:eastAsia="宋体" w:cs="宋体"/>
                <w:color w:val="000000" w:themeColor="text1"/>
                <w:szCs w:val="21"/>
                <w:highlight w:val="none"/>
                <w:lang w:bidi="ar"/>
                <w14:textFill>
                  <w14:solidFill>
                    <w14:schemeClr w14:val="tx1"/>
                  </w14:solidFill>
                </w14:textFill>
              </w:rPr>
              <w:t>（合同签订日期为202</w:t>
            </w: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年1月1日或以后）</w:t>
            </w:r>
            <w:r>
              <w:rPr>
                <w:rFonts w:hint="eastAsia" w:ascii="宋体" w:hAnsi="宋体" w:eastAsia="宋体" w:cs="宋体"/>
                <w:color w:val="000000" w:themeColor="text1"/>
                <w:sz w:val="21"/>
                <w:szCs w:val="21"/>
                <w:highlight w:val="none"/>
                <w14:textFill>
                  <w14:solidFill>
                    <w14:schemeClr w14:val="tx1"/>
                  </w14:solidFill>
                </w14:textFill>
              </w:rPr>
              <w:t>至今投标品牌的</w:t>
            </w:r>
            <w:r>
              <w:rPr>
                <w:rFonts w:hint="eastAsia" w:ascii="宋体" w:hAnsi="宋体" w:eastAsia="宋体" w:cs="宋体"/>
                <w:b/>
                <w:color w:val="000000" w:themeColor="text1"/>
                <w:sz w:val="21"/>
                <w:szCs w:val="21"/>
                <w:highlight w:val="none"/>
                <w:lang w:eastAsia="zh-CN"/>
                <w14:textFill>
                  <w14:solidFill>
                    <w14:schemeClr w14:val="tx1"/>
                  </w14:solidFill>
                </w14:textFill>
              </w:rPr>
              <w:t>管式微孔曝气器</w:t>
            </w:r>
            <w:r>
              <w:rPr>
                <w:rFonts w:hint="eastAsia" w:ascii="宋体" w:hAnsi="宋体" w:eastAsia="宋体" w:cs="宋体"/>
                <w:color w:val="000000" w:themeColor="text1"/>
                <w:sz w:val="21"/>
                <w:szCs w:val="21"/>
                <w:highlight w:val="none"/>
                <w14:textFill>
                  <w14:solidFill>
                    <w14:schemeClr w14:val="tx1"/>
                  </w14:solidFill>
                </w14:textFill>
              </w:rPr>
              <w:t>设备在国内</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的供货业绩</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本分项满分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万元的前述业绩的（但已在其他类型业绩评分中获得了得分的业绩除外），每提供一个得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万元的前述业绩的（但已在其他类型业绩评分中获得了得分的业绩除外）每提供一个得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
                <w:color w:val="000000" w:themeColor="text1"/>
                <w:sz w:val="21"/>
                <w:szCs w:val="21"/>
                <w:highlight w:val="none"/>
                <w14:textFill>
                  <w14:solidFill>
                    <w14:schemeClr w14:val="tx1"/>
                  </w14:solidFill>
                </w14:textFill>
              </w:rPr>
              <w:t>本子项满分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pPr>
              <w:pStyle w:val="15"/>
              <w:keepNext w:val="0"/>
              <w:keepLines w:val="0"/>
              <w:pageBreakBefore w:val="0"/>
              <w:widowControl w:val="0"/>
              <w:kinsoku/>
              <w:wordWrap/>
              <w:overflowPunct/>
              <w:topLinePunct w:val="0"/>
              <w:bidi w:val="0"/>
              <w:adjustRightInd w:val="0"/>
              <w:snapToGrid w:val="0"/>
              <w:spacing w:before="0"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万元的前述业绩的（但已在其他类型业绩评分中获得了得分的业绩除外）每提供一个得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
                <w:color w:val="000000" w:themeColor="text1"/>
                <w:sz w:val="21"/>
                <w:szCs w:val="21"/>
                <w:highlight w:val="none"/>
                <w14:textFill>
                  <w14:solidFill>
                    <w14:schemeClr w14:val="tx1"/>
                  </w14:solidFill>
                </w14:textFill>
              </w:rPr>
              <w:t>本子项满分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①业绩须附合同复印件，否则不得分（合同卖方可为投标品牌设备的制造商，也可为投标品牌设备的代理商/经销商）；</w:t>
            </w:r>
          </w:p>
          <w:p>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②若合同无法反映评分条件（合同签订日期为</w:t>
            </w:r>
            <w:r>
              <w:rPr>
                <w:rFonts w:hint="eastAsia" w:ascii="宋体" w:hAnsi="宋体" w:eastAsia="宋体" w:cs="宋体"/>
                <w:b/>
                <w:color w:val="000000" w:themeColor="text1"/>
                <w:sz w:val="21"/>
                <w:szCs w:val="21"/>
                <w:highlight w:val="none"/>
                <w:lang w:eastAsia="zh-CN"/>
                <w14:textFill>
                  <w14:solidFill>
                    <w14:schemeClr w14:val="tx1"/>
                  </w14:solidFill>
                </w14:textFill>
              </w:rPr>
              <w:t>202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lang w:eastAsia="zh-CN"/>
                <w14:textFill>
                  <w14:solidFill>
                    <w14:schemeClr w14:val="tx1"/>
                  </w14:solidFill>
                </w14:textFill>
              </w:rPr>
              <w:t>年1月1日</w:t>
            </w:r>
            <w:r>
              <w:rPr>
                <w:rFonts w:hint="eastAsia" w:ascii="宋体" w:hAnsi="宋体" w:eastAsia="宋体" w:cs="宋体"/>
                <w:b/>
                <w:color w:val="000000" w:themeColor="text1"/>
                <w:sz w:val="21"/>
                <w:szCs w:val="21"/>
                <w:highlight w:val="none"/>
                <w14:textFill>
                  <w14:solidFill>
                    <w14:schemeClr w14:val="tx1"/>
                  </w14:solidFill>
                </w14:textFill>
              </w:rPr>
              <w:t>或以后，合同标的必须包含投标品牌的</w:t>
            </w:r>
            <w:r>
              <w:rPr>
                <w:rFonts w:hint="eastAsia" w:ascii="宋体" w:hAnsi="宋体" w:eastAsia="宋体" w:cs="宋体"/>
                <w:b/>
                <w:color w:val="000000" w:themeColor="text1"/>
                <w:sz w:val="21"/>
                <w:szCs w:val="21"/>
                <w:highlight w:val="none"/>
                <w:lang w:eastAsia="zh-CN"/>
                <w14:textFill>
                  <w14:solidFill>
                    <w14:schemeClr w14:val="tx1"/>
                  </w14:solidFill>
                </w14:textFill>
              </w:rPr>
              <w:t>管式微孔曝气器</w:t>
            </w:r>
            <w:r>
              <w:rPr>
                <w:rFonts w:hint="eastAsia" w:ascii="宋体" w:hAnsi="宋体" w:eastAsia="宋体" w:cs="宋体"/>
                <w:b/>
                <w:color w:val="000000" w:themeColor="text1"/>
                <w:sz w:val="21"/>
                <w:szCs w:val="21"/>
                <w:highlight w:val="none"/>
                <w14:textFill>
                  <w14:solidFill>
                    <w14:schemeClr w14:val="tx1"/>
                  </w14:solidFill>
                </w14:textFill>
              </w:rPr>
              <w:t>设备，合同金额满足评分要求）的，</w:t>
            </w:r>
            <w:r>
              <w:rPr>
                <w:rFonts w:hint="eastAsia" w:ascii="宋体" w:hAnsi="宋体" w:eastAsia="宋体" w:cs="宋体"/>
                <w:b/>
                <w:color w:val="000000" w:themeColor="text1"/>
                <w:kern w:val="2"/>
                <w:sz w:val="21"/>
                <w:highlight w:val="none"/>
                <w:lang w:val="zh-CN"/>
                <w14:textFill>
                  <w14:solidFill>
                    <w14:schemeClr w14:val="tx1"/>
                  </w14:solidFill>
                </w14:textFill>
              </w:rPr>
              <w:t>还需提供</w:t>
            </w:r>
            <w:r>
              <w:rPr>
                <w:rFonts w:hint="eastAsia" w:ascii="宋体" w:hAnsi="宋体" w:eastAsia="宋体" w:cs="宋体"/>
                <w:b/>
                <w:bCs/>
                <w:color w:val="000000" w:themeColor="text1"/>
                <w:sz w:val="21"/>
                <w:szCs w:val="21"/>
                <w:highlight w:val="none"/>
                <w14:textFill>
                  <w14:solidFill>
                    <w14:schemeClr w14:val="tx1"/>
                  </w14:solidFill>
                </w14:textFill>
              </w:rPr>
              <w:t>产品购买方出具的书面补充说明文件复印件作为辅助证明（补充说明文件复印件能显示购买方公章），否则不得分；</w:t>
            </w:r>
          </w:p>
          <w:p>
            <w:pPr>
              <w:pStyle w:val="15"/>
              <w:keepNext w:val="0"/>
              <w:keepLines w:val="0"/>
              <w:pageBreakBefore w:val="0"/>
              <w:widowControl w:val="0"/>
              <w:kinsoku/>
              <w:wordWrap/>
              <w:overflowPunct/>
              <w:topLinePunct w:val="0"/>
              <w:bidi w:val="0"/>
              <w:adjustRightInd w:val="0"/>
              <w:snapToGrid w:val="0"/>
              <w:spacing w:before="0" w:line="360" w:lineRule="auto"/>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③未按上述要求提供证明材料的业绩，或所附材料无法证明填报项目符合本项评分要求的业绩，在评标时将不予考虑。</w:t>
            </w:r>
          </w:p>
          <w:p>
            <w:pPr>
              <w:pStyle w:val="15"/>
              <w:keepNext w:val="0"/>
              <w:keepLines w:val="0"/>
              <w:pageBreakBefore w:val="0"/>
              <w:widowControl w:val="0"/>
              <w:kinsoku/>
              <w:wordWrap/>
              <w:overflowPunct/>
              <w:topLinePunct w:val="0"/>
              <w:bidi w:val="0"/>
              <w:adjustRightInd w:val="0"/>
              <w:snapToGrid w:val="0"/>
              <w:spacing w:before="0"/>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tc>
        <w:tc>
          <w:tcPr>
            <w:tcW w:w="907"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bookmarkEnd w:id="662"/>
    </w:tbl>
    <w:p>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p>
    <w:p>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663"/>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33"/>
        <w:gridCol w:w="7661"/>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664"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76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用户需求的响应程度</w:t>
            </w:r>
          </w:p>
        </w:tc>
        <w:tc>
          <w:tcPr>
            <w:tcW w:w="7661"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根据用户需求偏离表的偏离情况进行评审计分，完全满足用户需求的要求得满分，每一处负偏离，扣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所投产品曝气器的性能</w:t>
            </w:r>
          </w:p>
        </w:tc>
        <w:tc>
          <w:tcPr>
            <w:tcW w:w="7661"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对投标产品曝气器的膜片有效直径、单盘通气量、材质、微孔技术，以及密闭性能、耐腐蚀、耐老化能力、寿命、拉伸强度、</w:t>
            </w:r>
            <w:r>
              <w:rPr>
                <w:rFonts w:hint="default" w:ascii="宋体" w:hAnsi="宋体" w:eastAsia="宋体" w:cs="宋体"/>
                <w:color w:val="000000" w:themeColor="text1"/>
                <w:sz w:val="21"/>
                <w:szCs w:val="21"/>
                <w:highlight w:val="none"/>
                <w14:textFill>
                  <w14:solidFill>
                    <w14:schemeClr w14:val="tx1"/>
                  </w14:solidFill>
                </w14:textFill>
              </w:rPr>
              <w:t>压</w:t>
            </w:r>
            <w:r>
              <w:rPr>
                <w:rFonts w:hint="eastAsia" w:ascii="宋体" w:hAnsi="宋体" w:eastAsia="宋体" w:cs="宋体"/>
                <w:color w:val="000000" w:themeColor="text1"/>
                <w:sz w:val="21"/>
                <w:szCs w:val="21"/>
                <w:highlight w:val="none"/>
                <w14:textFill>
                  <w14:solidFill>
                    <w14:schemeClr w14:val="tx1"/>
                  </w14:solidFill>
                </w14:textFill>
              </w:rPr>
              <w:t>力损失、标准曝气效率、标准氧传质速率(充氧能力)、曝气器设备标准氧传质效率(氧利用率)、阻力损失等技术参数、技术性能进行对比</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所投产品曝气器参数、技术性能先进、稳定可靠的，得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所投产品曝气器参数、技术性能</w:t>
            </w:r>
            <w:r>
              <w:rPr>
                <w:rFonts w:hint="eastAsia" w:ascii="宋体" w:hAnsi="宋体" w:eastAsia="宋体" w:cs="宋体"/>
                <w:color w:val="000000" w:themeColor="text1"/>
                <w:sz w:val="21"/>
                <w:szCs w:val="21"/>
                <w:highlight w:val="none"/>
                <w14:textFill>
                  <w14:solidFill>
                    <w14:schemeClr w14:val="tx1"/>
                  </w14:solidFill>
                </w14:textFill>
              </w:rPr>
              <w:t>能够保证产品的稳定性</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所投产品曝气器参数、技术性能一般的，得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00" w:lineRule="exact"/>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所投产品曝气器参数、技术性能差的，得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-0]分。</w:t>
            </w:r>
          </w:p>
          <w:p>
            <w:pPr>
              <w:spacing w:line="400" w:lineRule="exact"/>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pPr>
              <w:spacing w:line="400" w:lineRule="exact"/>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（1）投标人未按用户需求书的要求提供设计计算书的，本项不得分。</w:t>
            </w:r>
          </w:p>
          <w:p>
            <w:pPr>
              <w:adjustRightInd/>
              <w:spacing w:line="400" w:lineRule="exact"/>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（2）投标人必须提供投标产品性能说明书或其他能体现投标产品性能的证明材料</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以投标人提供的上述资料作为依据进行评审，未按要求提供上述资料的本项不得分。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安装附件配件</w:t>
            </w:r>
          </w:p>
        </w:tc>
        <w:tc>
          <w:tcPr>
            <w:tcW w:w="7661" w:type="dxa"/>
            <w:tcBorders>
              <w:top w:val="single" w:color="auto" w:sz="4" w:space="0"/>
              <w:left w:val="single" w:color="auto" w:sz="4" w:space="0"/>
              <w:bottom w:val="single" w:color="auto" w:sz="4" w:space="0"/>
              <w:right w:val="single" w:color="auto" w:sz="4" w:space="0"/>
            </w:tcBorders>
            <w:vAlign w:val="center"/>
          </w:tcPr>
          <w:p>
            <w:pPr>
              <w:adjustRightInd/>
              <w:spacing w:line="400" w:lineRule="exact"/>
              <w:ind w:firstLine="1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对安装附件配件的材质、耐腐蚀、耐老化能力、牢固、稳定等技术参数、性能，以及连接方式、技术先进性、成熟性</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进行评审：</w:t>
            </w:r>
          </w:p>
          <w:p>
            <w:pPr>
              <w:adjustRightInd/>
              <w:spacing w:line="400" w:lineRule="exact"/>
              <w:ind w:firstLine="1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安装附配件的技术参数、性能先进、稳定可靠的，连接方式、技术先进性、成熟性高的，得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adjustRightInd/>
              <w:spacing w:line="400" w:lineRule="exact"/>
              <w:ind w:firstLine="1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lang w:eastAsia="zh-CN"/>
                <w14:textFill>
                  <w14:solidFill>
                    <w14:schemeClr w14:val="tx1"/>
                  </w14:solidFill>
                </w14:textFill>
              </w:rPr>
              <w:t>：安装附配件的技术参数、性能</w:t>
            </w:r>
            <w:r>
              <w:rPr>
                <w:rFonts w:hint="eastAsia" w:ascii="宋体" w:hAnsi="宋体" w:eastAsia="宋体" w:cs="宋体"/>
                <w:color w:val="000000" w:themeColor="text1"/>
                <w:sz w:val="21"/>
                <w:szCs w:val="21"/>
                <w:highlight w:val="none"/>
                <w14:textFill>
                  <w14:solidFill>
                    <w14:schemeClr w14:val="tx1"/>
                  </w14:solidFill>
                </w14:textFill>
              </w:rPr>
              <w:t>能够保证产品的稳定性</w:t>
            </w:r>
            <w:r>
              <w:rPr>
                <w:rFonts w:hint="eastAsia" w:ascii="宋体" w:hAnsi="宋体" w:eastAsia="宋体" w:cs="宋体"/>
                <w:color w:val="000000" w:themeColor="text1"/>
                <w:sz w:val="21"/>
                <w:szCs w:val="21"/>
                <w:highlight w:val="none"/>
                <w:lang w:eastAsia="zh-CN"/>
                <w14:textFill>
                  <w14:solidFill>
                    <w14:schemeClr w14:val="tx1"/>
                  </w14:solidFill>
                </w14:textFill>
              </w:rPr>
              <w:t>，连接方式、技术先进性、成熟性</w:t>
            </w:r>
            <w:r>
              <w:rPr>
                <w:rFonts w:hint="eastAsia" w:ascii="宋体" w:hAnsi="宋体" w:eastAsia="宋体" w:cs="宋体"/>
                <w:color w:val="000000" w:themeColor="text1"/>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sz w:val="21"/>
                <w:szCs w:val="21"/>
                <w:highlight w:val="none"/>
                <w:lang w:eastAsia="zh-CN"/>
                <w14:textFill>
                  <w14:solidFill>
                    <w14:schemeClr w14:val="tx1"/>
                  </w14:solidFill>
                </w14:textFill>
              </w:rPr>
              <w:t>高的，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adjustRightInd/>
              <w:spacing w:line="400" w:lineRule="exact"/>
              <w:ind w:firstLine="1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安装附配件的技术参数、性能一般，连接方式、技术先进性、成熟性一般的，得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adjustRightInd/>
              <w:spacing w:line="400" w:lineRule="exact"/>
              <w:ind w:firstLine="1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安装附配件的技术参数、性能差，连接方式、技术先进性、成熟性低的，得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14:textFill>
                  <w14:solidFill>
                    <w14:schemeClr w14:val="tx1"/>
                  </w14:solidFill>
                </w14:textFill>
              </w:rPr>
              <w:t>-0]分。</w:t>
            </w:r>
          </w:p>
          <w:p>
            <w:pPr>
              <w:spacing w:line="400" w:lineRule="exact"/>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备注：投标人必须提供投标产品性能说明书或其他能体现投标产品性能的证明材料，以投标人提供的上述资料作为依据进行评审，未按要求提供上述资料的本项不得分。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管式微孔曝气器</w:t>
            </w:r>
            <w:r>
              <w:rPr>
                <w:rFonts w:hint="eastAsia" w:ascii="宋体" w:hAnsi="宋体" w:eastAsia="宋体" w:cs="宋体"/>
                <w:color w:val="000000" w:themeColor="text1"/>
                <w:sz w:val="21"/>
                <w:szCs w:val="21"/>
                <w:highlight w:val="none"/>
                <w14:textFill>
                  <w14:solidFill>
                    <w14:schemeClr w14:val="tx1"/>
                  </w14:solidFill>
                </w14:textFill>
              </w:rPr>
              <w:t>系统性能</w:t>
            </w:r>
          </w:p>
        </w:tc>
        <w:tc>
          <w:tcPr>
            <w:tcW w:w="7661"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对曝气系统的总通气量、运行能耗、阻力损失、使用寿命、设计布置的科学性、均匀性、稳定性等整体技术性能，以及与本项目适用性进行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曝气系统整体技术性能稳定可靠，设计布置科学、合理，与本项目适用性高的，得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default"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曝气系统整体技术性能比较稳定，设计布置相对合理，与本项目适用性较高的，得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曝气系统整体技术性能一般，设计布置一般，与本项目适用性一般的，得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曝气系统整体技术性能差，设计布置不合理，与本项目适用性低的，得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-0]分。</w:t>
            </w:r>
          </w:p>
          <w:p>
            <w:pPr>
              <w:spacing w:line="400" w:lineRule="exact"/>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pPr>
              <w:spacing w:line="400" w:lineRule="exact"/>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（1）投标人未按用户需求书的要求提供设计计算书的，本项不得分。</w:t>
            </w:r>
          </w:p>
          <w:p>
            <w:pPr>
              <w:spacing w:line="400" w:lineRule="exact"/>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（2）投标人必须提供投标产品性能说明书或其他能体现投标产品性能的证明材料，以投标人提供的上述资料作为依据进行评审，未按要求提供上述资料的本项不得分。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133"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供货、安装计划及进度保证措施</w:t>
            </w:r>
          </w:p>
        </w:tc>
        <w:tc>
          <w:tcPr>
            <w:tcW w:w="7661"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1、对各投标人所提供的供货、安装计划是否实质性满足或优于本项目需求，对生化池清淤、现有曝气系统拆卸、新购置曝气系统设备安装及调试等相关的进度保证措施具体、可行性进行横向比较</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00" w:lineRule="exact"/>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优：</w:t>
            </w:r>
            <w:r>
              <w:rPr>
                <w:rFonts w:hint="eastAsia" w:ascii="宋体" w:hAnsi="宋体" w:eastAsia="宋体" w:cs="宋体"/>
                <w:color w:val="000000" w:themeColor="text1"/>
                <w:sz w:val="21"/>
                <w:szCs w:val="21"/>
                <w:highlight w:val="none"/>
                <w14:textFill>
                  <w14:solidFill>
                    <w14:schemeClr w14:val="tx1"/>
                  </w14:solidFill>
                </w14:textFill>
              </w:rPr>
              <w:t>供货、安装计划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具体详细，考虑完善，进度保证措施具体、可行性强的，得</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spacing w:line="400" w:lineRule="exact"/>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良：</w:t>
            </w:r>
            <w:r>
              <w:rPr>
                <w:rFonts w:hint="eastAsia" w:ascii="宋体" w:hAnsi="宋体" w:eastAsia="宋体" w:cs="宋体"/>
                <w:color w:val="000000" w:themeColor="text1"/>
                <w:sz w:val="21"/>
                <w:szCs w:val="21"/>
                <w:highlight w:val="none"/>
                <w14:textFill>
                  <w14:solidFill>
                    <w14:schemeClr w14:val="tx1"/>
                  </w14:solidFill>
                </w14:textFill>
              </w:rPr>
              <w:t>供货、安装计划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比较详细，相对完善，进度保证措施较具体、可行性较强的，得</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spacing w:line="400" w:lineRule="exact"/>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供货、安装计划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有基本内容，进度保证措施一般、可行性一般的，得</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lang w:val="zh-CN"/>
                <w14:textFill>
                  <w14:solidFill>
                    <w14:schemeClr w14:val="tx1"/>
                  </w14:solidFill>
                </w14:textFill>
              </w:rPr>
              <w:t>]分；</w:t>
            </w:r>
          </w:p>
          <w:p>
            <w:pPr>
              <w:spacing w:line="400" w:lineRule="exact"/>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差：</w:t>
            </w:r>
            <w:r>
              <w:rPr>
                <w:rFonts w:hint="eastAsia" w:ascii="宋体" w:hAnsi="宋体" w:eastAsia="宋体" w:cs="宋体"/>
                <w:color w:val="000000" w:themeColor="text1"/>
                <w:sz w:val="21"/>
                <w:szCs w:val="21"/>
                <w:highlight w:val="none"/>
                <w14:textFill>
                  <w14:solidFill>
                    <w14:schemeClr w14:val="tx1"/>
                  </w14:solidFill>
                </w14:textFill>
              </w:rPr>
              <w:t>供货、安装计划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内容缺失，进度保证措施不足、可行性差的，得</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lang w:val="zh-CN"/>
                <w14:textFill>
                  <w14:solidFill>
                    <w14:schemeClr w14:val="tx1"/>
                  </w14:solidFill>
                </w14:textFill>
              </w:rPr>
              <w:t>-0]分。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133"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661"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2、承诺接到招标人书面通知之日起完成生化池清淤、现有曝气系统拆卸、新购置曝气系统设备安装及调试等工作的时间≤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日，得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400" w:lineRule="exact"/>
              <w:jc w:val="both"/>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备注：根据《安装时间、维修响应时间承诺表》进行评审。</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restart"/>
            <w:tcBorders>
              <w:left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p>
        </w:tc>
        <w:tc>
          <w:tcPr>
            <w:tcW w:w="1133" w:type="dxa"/>
            <w:vMerge w:val="restart"/>
            <w:tcBorders>
              <w:left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售后服务方案</w:t>
            </w:r>
          </w:p>
        </w:tc>
        <w:tc>
          <w:tcPr>
            <w:tcW w:w="76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管式微孔曝气器</w:t>
            </w:r>
            <w:r>
              <w:rPr>
                <w:rFonts w:hint="eastAsia" w:ascii="宋体" w:hAnsi="宋体" w:eastAsia="宋体" w:cs="宋体"/>
                <w:color w:val="000000" w:themeColor="text1"/>
                <w:sz w:val="21"/>
                <w:szCs w:val="21"/>
                <w:highlight w:val="none"/>
                <w14:textFill>
                  <w14:solidFill>
                    <w14:schemeClr w14:val="tx1"/>
                  </w14:solidFill>
                </w14:textFill>
              </w:rPr>
              <w:t>制造商承诺的质保期进行评审：</w:t>
            </w:r>
          </w:p>
          <w:p>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t>个月≤承诺对所投设备的质保期＜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48</w:t>
            </w:r>
            <w:r>
              <w:rPr>
                <w:rFonts w:hint="eastAsia" w:ascii="宋体" w:hAnsi="宋体" w:eastAsia="宋体" w:cs="宋体"/>
                <w:color w:val="000000" w:themeColor="text1"/>
                <w:sz w:val="21"/>
                <w:szCs w:val="21"/>
                <w:highlight w:val="none"/>
                <w14:textFill>
                  <w14:solidFill>
                    <w14:schemeClr w14:val="tx1"/>
                  </w14:solidFill>
                </w14:textFill>
              </w:rPr>
              <w:t>个月，得1分；</w:t>
            </w:r>
          </w:p>
          <w:p>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48</w:t>
            </w:r>
            <w:r>
              <w:rPr>
                <w:rFonts w:hint="eastAsia" w:ascii="宋体" w:hAnsi="宋体" w:eastAsia="宋体" w:cs="宋体"/>
                <w:color w:val="000000" w:themeColor="text1"/>
                <w:sz w:val="21"/>
                <w:szCs w:val="21"/>
                <w:highlight w:val="none"/>
                <w14:textFill>
                  <w14:solidFill>
                    <w14:schemeClr w14:val="tx1"/>
                  </w14:solidFill>
                </w14:textFill>
              </w:rPr>
              <w:t>个月≤承诺对所投设备的质保期＜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个月，得2分；</w:t>
            </w:r>
          </w:p>
          <w:p>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③承诺对所投设备的质保期≥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个月，得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400" w:lineRule="exact"/>
              <w:jc w:val="both"/>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备注：根据《制造商售后服务承诺函》或《制造商独家授权书》进行评审。</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133"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76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根据投标人承诺的维修响应时间进行评审：</w:t>
            </w:r>
          </w:p>
          <w:p>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①承诺在接到招标人的故障报警后3小时内响应，16小时内到达项目现场进行维修等服务的，得1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②承诺在接到招标人的故障报警后2小时内响应，8小时内到达项目现场进行维修等服务的，得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spacing w:line="400" w:lineRule="exact"/>
              <w:jc w:val="both"/>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备注：根据《安装时间、维修响应时间承诺表》进行评审。</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tc>
      </w:tr>
      <w:bookmarkEnd w:id="664"/>
    </w:tbl>
    <w:p>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③上述“评分项目”中按“优、良、中、差”区间评审的，若低于该项满分分值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b/>
          <w:color w:val="000000" w:themeColor="text1"/>
          <w:szCs w:val="24"/>
          <w:highlight w:val="none"/>
          <w:lang w:val="en-US" w:eastAsia="zh-CN"/>
          <w14:textFill>
            <w14:solidFill>
              <w14:schemeClr w14:val="tx1"/>
            </w14:solidFill>
          </w14:textFill>
        </w:rPr>
      </w:pPr>
      <w:r>
        <w:rPr>
          <w:rFonts w:hint="eastAsia" w:ascii="宋体" w:hAnsi="宋体" w:eastAsia="宋体" w:cs="宋体"/>
          <w:b/>
          <w:color w:val="000000" w:themeColor="text1"/>
          <w:szCs w:val="24"/>
          <w:highlight w:val="none"/>
          <w:lang w:val="en-US" w:eastAsia="zh-CN"/>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确定该项的评分。</w:t>
      </w:r>
    </w:p>
    <w:p>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pPr>
        <w:autoSpaceDE w:val="0"/>
        <w:autoSpaceDN w:val="0"/>
        <w:adjustRightInd w:val="0"/>
        <w:spacing w:line="360" w:lineRule="auto"/>
        <w:ind w:left="420" w:leftChars="200" w:firstLine="420" w:firstLineChars="200"/>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pPr>
        <w:autoSpaceDN w:val="0"/>
        <w:adjustRightInd w:val="0"/>
        <w:snapToGrid w:val="0"/>
        <w:spacing w:line="360" w:lineRule="auto"/>
        <w:ind w:left="420" w:leftChars="100" w:hanging="210" w:hangingChars="1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A、根据有效投标人的投标报价，最低价作为基准价（Y）。投标人报价（X）等于基准价的得满分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价格得分=(基准价／投标报价)×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p>
    <w:p>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665"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665"/>
    </w:p>
    <w:p>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666"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666"/>
      <w:r>
        <w:rPr>
          <w:rFonts w:hint="eastAsia" w:ascii="宋体" w:hAnsi="宋体" w:eastAsia="宋体" w:cs="宋体"/>
          <w:color w:val="000000" w:themeColor="text1"/>
          <w:kern w:val="0"/>
          <w:szCs w:val="21"/>
          <w:highlight w:val="none"/>
          <w14:textFill>
            <w14:solidFill>
              <w14:schemeClr w14:val="tx1"/>
            </w14:solidFill>
          </w14:textFill>
        </w:rPr>
        <w:t>。</w:t>
      </w:r>
    </w:p>
    <w:p>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667"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667"/>
    </w:p>
    <w:p>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668"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668"/>
    </w:p>
    <w:p>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669"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669"/>
    </w:p>
    <w:p>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p>
    <w:bookmarkEnd w:id="613"/>
    <w:bookmarkEnd w:id="635"/>
    <w:bookmarkEnd w:id="636"/>
    <w:bookmarkEnd w:id="637"/>
    <w:p>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p>
    <w:p>
      <w:pPr>
        <w:tabs>
          <w:tab w:val="left" w:pos="1080"/>
        </w:tabs>
        <w:autoSpaceDE w:val="0"/>
        <w:autoSpaceDN w:val="0"/>
        <w:adjustRightInd w:val="0"/>
        <w:spacing w:line="360" w:lineRule="auto"/>
        <w:jc w:val="left"/>
        <w:outlineLvl w:val="0"/>
        <w:rPr>
          <w:rFonts w:hint="default" w:ascii="宋体" w:hAnsi="宋体" w:eastAsia="宋体" w:cs="宋体"/>
          <w:b/>
          <w:bCs/>
          <w:color w:val="000000" w:themeColor="text1"/>
          <w:kern w:val="44"/>
          <w:sz w:val="32"/>
          <w:szCs w:val="32"/>
          <w:highlight w:val="none"/>
          <w:lang w:val="en-US" w:eastAsia="zh-CN"/>
          <w14:textFill>
            <w14:solidFill>
              <w14:schemeClr w14:val="tx1"/>
            </w14:solidFill>
          </w14:textFill>
        </w:rPr>
      </w:pPr>
      <w:bookmarkStart w:id="670" w:name="_Toc21370"/>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w:t>
      </w: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二</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w:t>
      </w: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图纸目录</w:t>
      </w:r>
      <w:bookmarkEnd w:id="670"/>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101"/>
        <w:gridCol w:w="3394"/>
        <w:gridCol w:w="1197"/>
        <w:gridCol w:w="1147"/>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序号</w:t>
            </w:r>
          </w:p>
        </w:tc>
        <w:tc>
          <w:tcPr>
            <w:tcW w:w="1013" w:type="pct"/>
            <w:shd w:val="clear" w:color="auto" w:fill="auto"/>
            <w:vAlign w:val="center"/>
          </w:tcPr>
          <w:p>
            <w:pPr>
              <w:jc w:val="center"/>
              <w:rPr>
                <w:rFonts w:hint="default" w:ascii="宋体" w:hAnsi="宋体" w:eastAsia="宋体" w:cs="宋体"/>
                <w:color w:val="000000" w:themeColor="text1"/>
                <w:kern w:val="2"/>
                <w:sz w:val="21"/>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图号</w:t>
            </w:r>
          </w:p>
        </w:tc>
        <w:tc>
          <w:tcPr>
            <w:tcW w:w="1636"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图纸名称</w:t>
            </w:r>
          </w:p>
        </w:tc>
        <w:tc>
          <w:tcPr>
            <w:tcW w:w="577"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页数</w:t>
            </w:r>
          </w:p>
        </w:tc>
        <w:tc>
          <w:tcPr>
            <w:tcW w:w="553"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版本</w:t>
            </w:r>
          </w:p>
        </w:tc>
        <w:tc>
          <w:tcPr>
            <w:tcW w:w="863" w:type="pct"/>
            <w:vAlign w:val="center"/>
          </w:tcPr>
          <w:p>
            <w:pPr>
              <w:jc w:val="center"/>
              <w:rPr>
                <w:rFonts w:hint="default"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出图日期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pPr>
              <w:jc w:val="center"/>
              <w:rPr>
                <w:rFonts w:hint="eastAsia" w:ascii="宋体" w:hAnsi="宋体" w:eastAsia="宋体" w:cs="宋体"/>
                <w:color w:val="000000" w:themeColor="text1"/>
                <w:kern w:val="2"/>
                <w:sz w:val="21"/>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1013" w:type="pct"/>
            <w:shd w:val="clear" w:color="auto" w:fill="auto"/>
            <w:vAlign w:val="center"/>
          </w:tcPr>
          <w:p>
            <w:pPr>
              <w:jc w:val="center"/>
              <w:rPr>
                <w:rFonts w:hint="default" w:ascii="宋体" w:hAnsi="宋体" w:eastAsia="宋体" w:cs="宋体"/>
                <w:color w:val="000000" w:themeColor="text1"/>
                <w:kern w:val="2"/>
                <w:sz w:val="21"/>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00-001</w:t>
            </w:r>
          </w:p>
        </w:tc>
        <w:tc>
          <w:tcPr>
            <w:tcW w:w="1636"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MSBR池图纸目录</w:t>
            </w:r>
          </w:p>
        </w:tc>
        <w:tc>
          <w:tcPr>
            <w:tcW w:w="577" w:type="pct"/>
            <w:vAlign w:val="center"/>
          </w:tcPr>
          <w:p>
            <w:pPr>
              <w:jc w:val="center"/>
              <w:rPr>
                <w:rFonts w:hint="eastAsia" w:ascii="宋体" w:hAnsi="宋体" w:eastAsia="宋体" w:cs="宋体"/>
                <w:color w:val="000000" w:themeColor="text1"/>
                <w:kern w:val="2"/>
                <w:sz w:val="21"/>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53" w:type="pct"/>
            <w:vAlign w:val="center"/>
          </w:tcPr>
          <w:p>
            <w:pPr>
              <w:jc w:val="center"/>
              <w:rPr>
                <w:rFonts w:hint="eastAsia" w:ascii="宋体" w:hAnsi="宋体" w:eastAsia="宋体" w:cs="宋体"/>
                <w:color w:val="000000" w:themeColor="text1"/>
                <w:kern w:val="2"/>
                <w:sz w:val="21"/>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c>
          <w:tcPr>
            <w:tcW w:w="863" w:type="pct"/>
            <w:vAlign w:val="center"/>
          </w:tcPr>
          <w:p>
            <w:pPr>
              <w:jc w:val="center"/>
              <w:rPr>
                <w:rFonts w:hint="eastAsia" w:ascii="宋体" w:hAnsi="宋体" w:eastAsia="宋体" w:cs="宋体"/>
                <w:color w:val="000000" w:themeColor="text1"/>
                <w:kern w:val="2"/>
                <w:sz w:val="21"/>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2013.08.20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pPr>
              <w:jc w:val="center"/>
              <w:rPr>
                <w:rFonts w:hint="eastAsia" w:ascii="宋体" w:hAnsi="宋体" w:eastAsia="宋体" w:cs="宋体"/>
                <w:color w:val="000000" w:themeColor="text1"/>
                <w:kern w:val="2"/>
                <w:sz w:val="21"/>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w:t>
            </w:r>
          </w:p>
        </w:tc>
        <w:tc>
          <w:tcPr>
            <w:tcW w:w="1013" w:type="pct"/>
            <w:shd w:val="clear" w:color="auto" w:fill="auto"/>
            <w:vAlign w:val="center"/>
          </w:tcPr>
          <w:p>
            <w:pPr>
              <w:jc w:val="center"/>
              <w:rPr>
                <w:rFonts w:hint="default" w:ascii="宋体" w:hAnsi="宋体" w:eastAsia="宋体" w:cs="宋体"/>
                <w:color w:val="000000" w:themeColor="text1"/>
                <w:kern w:val="2"/>
                <w:sz w:val="21"/>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60-001</w:t>
            </w:r>
          </w:p>
        </w:tc>
        <w:tc>
          <w:tcPr>
            <w:tcW w:w="1636"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MSBR池工艺设计图(一)</w:t>
            </w:r>
          </w:p>
        </w:tc>
        <w:tc>
          <w:tcPr>
            <w:tcW w:w="577"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53"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c>
          <w:tcPr>
            <w:tcW w:w="863" w:type="pct"/>
            <w:vAlign w:val="center"/>
          </w:tcPr>
          <w:p>
            <w:pPr>
              <w:jc w:val="center"/>
              <w:rPr>
                <w:rFonts w:hint="default"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2013.08.20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pPr>
              <w:jc w:val="center"/>
              <w:rPr>
                <w:rFonts w:hint="eastAsia" w:ascii="宋体" w:hAnsi="宋体" w:eastAsia="宋体" w:cs="宋体"/>
                <w:color w:val="000000" w:themeColor="text1"/>
                <w:kern w:val="2"/>
                <w:sz w:val="21"/>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3</w:t>
            </w:r>
          </w:p>
        </w:tc>
        <w:tc>
          <w:tcPr>
            <w:tcW w:w="1013" w:type="pct"/>
            <w:shd w:val="clear" w:color="auto" w:fill="auto"/>
            <w:vAlign w:val="center"/>
          </w:tcPr>
          <w:p>
            <w:pPr>
              <w:jc w:val="center"/>
              <w:rPr>
                <w:rFonts w:hint="eastAsia" w:ascii="宋体" w:hAnsi="宋体" w:eastAsia="宋体" w:cs="宋体"/>
                <w:color w:val="000000" w:themeColor="text1"/>
                <w:kern w:val="2"/>
                <w:sz w:val="21"/>
                <w:szCs w:val="22"/>
                <w:highlight w:val="none"/>
                <w:vertAlign w:val="baseline"/>
                <w:lang w:val="zh-CN"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60-002</w:t>
            </w:r>
          </w:p>
        </w:tc>
        <w:tc>
          <w:tcPr>
            <w:tcW w:w="1636"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MSBR池工艺设计图(二)</w:t>
            </w:r>
          </w:p>
        </w:tc>
        <w:tc>
          <w:tcPr>
            <w:tcW w:w="577"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53"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c>
          <w:tcPr>
            <w:tcW w:w="863" w:type="pct"/>
            <w:vAlign w:val="center"/>
          </w:tcPr>
          <w:p>
            <w:pPr>
              <w:jc w:val="center"/>
              <w:rPr>
                <w:rFonts w:hint="eastAsia" w:ascii="宋体" w:hAnsi="宋体" w:eastAsia="宋体" w:cs="宋体"/>
                <w:color w:val="000000" w:themeColor="text1"/>
                <w:highlight w:val="none"/>
                <w:vertAlign w:val="baseline"/>
                <w:lang w:val="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2013.08.20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pPr>
              <w:jc w:val="center"/>
              <w:rPr>
                <w:rFonts w:hint="eastAsia" w:ascii="宋体" w:hAnsi="宋体" w:eastAsia="宋体" w:cs="宋体"/>
                <w:color w:val="000000" w:themeColor="text1"/>
                <w:kern w:val="2"/>
                <w:sz w:val="21"/>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4</w:t>
            </w:r>
          </w:p>
        </w:tc>
        <w:tc>
          <w:tcPr>
            <w:tcW w:w="1013" w:type="pct"/>
            <w:shd w:val="clear" w:color="auto" w:fill="auto"/>
            <w:vAlign w:val="center"/>
          </w:tcPr>
          <w:p>
            <w:pPr>
              <w:jc w:val="center"/>
              <w:rPr>
                <w:rFonts w:hint="eastAsia" w:ascii="宋体" w:hAnsi="宋体" w:eastAsia="宋体" w:cs="宋体"/>
                <w:color w:val="000000" w:themeColor="text1"/>
                <w:kern w:val="2"/>
                <w:sz w:val="21"/>
                <w:szCs w:val="22"/>
                <w:highlight w:val="none"/>
                <w:vertAlign w:val="baseline"/>
                <w:lang w:val="zh-CN"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60-003</w:t>
            </w:r>
          </w:p>
        </w:tc>
        <w:tc>
          <w:tcPr>
            <w:tcW w:w="1636"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MSBR池工艺设计图(三)</w:t>
            </w:r>
          </w:p>
        </w:tc>
        <w:tc>
          <w:tcPr>
            <w:tcW w:w="577"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53"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c>
          <w:tcPr>
            <w:tcW w:w="863" w:type="pct"/>
            <w:vAlign w:val="center"/>
          </w:tcPr>
          <w:p>
            <w:pPr>
              <w:jc w:val="center"/>
              <w:rPr>
                <w:rFonts w:hint="eastAsia" w:ascii="宋体" w:hAnsi="宋体" w:eastAsia="宋体" w:cs="宋体"/>
                <w:color w:val="000000" w:themeColor="text1"/>
                <w:highlight w:val="none"/>
                <w:vertAlign w:val="baseline"/>
                <w:lang w:val="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2013.08.20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pPr>
              <w:jc w:val="center"/>
              <w:rPr>
                <w:rFonts w:hint="eastAsia" w:ascii="宋体" w:hAnsi="宋体" w:eastAsia="宋体" w:cs="宋体"/>
                <w:color w:val="000000" w:themeColor="text1"/>
                <w:kern w:val="2"/>
                <w:sz w:val="21"/>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5</w:t>
            </w:r>
          </w:p>
        </w:tc>
        <w:tc>
          <w:tcPr>
            <w:tcW w:w="1013" w:type="pct"/>
            <w:shd w:val="clear" w:color="auto" w:fill="auto"/>
            <w:vAlign w:val="center"/>
          </w:tcPr>
          <w:p>
            <w:pPr>
              <w:jc w:val="center"/>
              <w:rPr>
                <w:rFonts w:hint="eastAsia" w:ascii="宋体" w:hAnsi="宋体" w:eastAsia="宋体" w:cs="宋体"/>
                <w:color w:val="000000" w:themeColor="text1"/>
                <w:kern w:val="2"/>
                <w:sz w:val="21"/>
                <w:szCs w:val="22"/>
                <w:highlight w:val="none"/>
                <w:vertAlign w:val="baseline"/>
                <w:lang w:val="zh-CN"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61-001</w:t>
            </w:r>
          </w:p>
        </w:tc>
        <w:tc>
          <w:tcPr>
            <w:tcW w:w="1636"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MSBR池工艺设计图(四)</w:t>
            </w:r>
          </w:p>
        </w:tc>
        <w:tc>
          <w:tcPr>
            <w:tcW w:w="577"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53"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c>
          <w:tcPr>
            <w:tcW w:w="863" w:type="pct"/>
            <w:vAlign w:val="center"/>
          </w:tcPr>
          <w:p>
            <w:pPr>
              <w:jc w:val="center"/>
              <w:rPr>
                <w:rFonts w:hint="eastAsia" w:ascii="宋体" w:hAnsi="宋体" w:eastAsia="宋体" w:cs="宋体"/>
                <w:color w:val="000000" w:themeColor="text1"/>
                <w:highlight w:val="none"/>
                <w:vertAlign w:val="baseline"/>
                <w:lang w:val="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2013.08.20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pPr>
              <w:jc w:val="center"/>
              <w:rPr>
                <w:rFonts w:hint="default"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w:t>
            </w:r>
          </w:p>
        </w:tc>
        <w:tc>
          <w:tcPr>
            <w:tcW w:w="1013" w:type="pct"/>
            <w:shd w:val="clear" w:color="auto" w:fill="auto"/>
            <w:vAlign w:val="center"/>
          </w:tcPr>
          <w:p>
            <w:pPr>
              <w:jc w:val="center"/>
              <w:rPr>
                <w:rFonts w:hint="eastAsia" w:ascii="宋体" w:hAnsi="宋体" w:eastAsia="宋体" w:cs="宋体"/>
                <w:color w:val="000000" w:themeColor="text1"/>
                <w:kern w:val="2"/>
                <w:sz w:val="21"/>
                <w:szCs w:val="22"/>
                <w:highlight w:val="none"/>
                <w:vertAlign w:val="baseline"/>
                <w:lang w:val="zh-CN"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61-002</w:t>
            </w:r>
          </w:p>
        </w:tc>
        <w:tc>
          <w:tcPr>
            <w:tcW w:w="1636"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MSBR池工艺设计图(五)</w:t>
            </w:r>
          </w:p>
        </w:tc>
        <w:tc>
          <w:tcPr>
            <w:tcW w:w="577"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53"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c>
          <w:tcPr>
            <w:tcW w:w="863" w:type="pct"/>
            <w:vAlign w:val="center"/>
          </w:tcPr>
          <w:p>
            <w:pPr>
              <w:jc w:val="center"/>
              <w:rPr>
                <w:rFonts w:hint="eastAsia" w:ascii="宋体" w:hAnsi="宋体" w:eastAsia="宋体" w:cs="宋体"/>
                <w:color w:val="000000" w:themeColor="text1"/>
                <w:highlight w:val="none"/>
                <w:vertAlign w:val="baseline"/>
                <w:lang w:val="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2013.08.20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pPr>
              <w:jc w:val="center"/>
              <w:rPr>
                <w:rFonts w:hint="default"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7</w:t>
            </w:r>
          </w:p>
        </w:tc>
        <w:tc>
          <w:tcPr>
            <w:tcW w:w="1013" w:type="pct"/>
            <w:shd w:val="clear" w:color="auto" w:fill="auto"/>
            <w:vAlign w:val="center"/>
          </w:tcPr>
          <w:p>
            <w:pPr>
              <w:jc w:val="center"/>
              <w:rPr>
                <w:rFonts w:hint="eastAsia" w:ascii="宋体" w:hAnsi="宋体" w:eastAsia="宋体" w:cs="宋体"/>
                <w:color w:val="000000" w:themeColor="text1"/>
                <w:kern w:val="2"/>
                <w:sz w:val="21"/>
                <w:szCs w:val="22"/>
                <w:highlight w:val="none"/>
                <w:vertAlign w:val="baseline"/>
                <w:lang w:val="zh-CN"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61-003</w:t>
            </w:r>
          </w:p>
        </w:tc>
        <w:tc>
          <w:tcPr>
            <w:tcW w:w="1636"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MSBR池工艺设计图(六)</w:t>
            </w:r>
          </w:p>
        </w:tc>
        <w:tc>
          <w:tcPr>
            <w:tcW w:w="577"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53"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c>
          <w:tcPr>
            <w:tcW w:w="863"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2013.08.20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vAlign w:val="center"/>
          </w:tcPr>
          <w:p>
            <w:pPr>
              <w:jc w:val="center"/>
              <w:rPr>
                <w:rFonts w:hint="default"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8</w:t>
            </w:r>
          </w:p>
        </w:tc>
        <w:tc>
          <w:tcPr>
            <w:tcW w:w="1013" w:type="pct"/>
            <w:shd w:val="clear" w:color="auto" w:fill="auto"/>
            <w:vAlign w:val="center"/>
          </w:tcPr>
          <w:p>
            <w:pPr>
              <w:jc w:val="center"/>
              <w:rPr>
                <w:rFonts w:hint="eastAsia" w:ascii="宋体" w:hAnsi="宋体" w:eastAsia="宋体" w:cs="宋体"/>
                <w:color w:val="000000" w:themeColor="text1"/>
                <w:kern w:val="2"/>
                <w:sz w:val="21"/>
                <w:szCs w:val="22"/>
                <w:highlight w:val="none"/>
                <w:vertAlign w:val="baseline"/>
                <w:lang w:val="zh-CN"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63-001</w:t>
            </w:r>
          </w:p>
        </w:tc>
        <w:tc>
          <w:tcPr>
            <w:tcW w:w="1636"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MSBR池工艺设计图(七)</w:t>
            </w:r>
          </w:p>
        </w:tc>
        <w:tc>
          <w:tcPr>
            <w:tcW w:w="577"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w:t>
            </w:r>
          </w:p>
        </w:tc>
        <w:tc>
          <w:tcPr>
            <w:tcW w:w="553"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w:t>
            </w:r>
          </w:p>
        </w:tc>
        <w:tc>
          <w:tcPr>
            <w:tcW w:w="863" w:type="pct"/>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2013.08.20</w:t>
            </w:r>
          </w:p>
        </w:tc>
      </w:tr>
    </w:tbl>
    <w:p>
      <w:pPr>
        <w:widowControl/>
        <w:jc w:val="left"/>
        <w:rPr>
          <w:rFonts w:ascii="宋体" w:hAnsi="宋体" w:eastAsia="宋体" w:cs="宋体"/>
          <w:color w:val="000000" w:themeColor="text1"/>
          <w:szCs w:val="24"/>
          <w:highlight w:val="none"/>
          <w:lang w:val="zh-CN"/>
          <w14:textFill>
            <w14:solidFill>
              <w14:schemeClr w14:val="tx1"/>
            </w14:solidFill>
          </w14:textFill>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96711"/>
    <w:multiLevelType w:val="singleLevel"/>
    <w:tmpl w:val="C4596711"/>
    <w:lvl w:ilvl="0" w:tentative="0">
      <w:start w:val="17"/>
      <w:numFmt w:val="decimal"/>
      <w:suff w:val="nothing"/>
      <w:lvlText w:val="%1、"/>
      <w:lvlJc w:val="left"/>
    </w:lvl>
  </w:abstractNum>
  <w:abstractNum w:abstractNumId="1">
    <w:nsid w:val="E4B2F378"/>
    <w:multiLevelType w:val="singleLevel"/>
    <w:tmpl w:val="E4B2F378"/>
    <w:lvl w:ilvl="0" w:tentative="0">
      <w:start w:val="6"/>
      <w:numFmt w:val="chineseCounting"/>
      <w:suff w:val="space"/>
      <w:lvlText w:val="第%1条"/>
      <w:lvlJc w:val="left"/>
      <w:rPr>
        <w:rFonts w:hint="eastAsia"/>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YjU3ZWI0MDdlMjA5MGM2NmM2YWIwZWE0NzlkZmUifQ=="/>
    <w:docVar w:name="KSO_WPS_MARK_KEY" w:val="d84b9123-899d-49cb-8e88-63fe1c8faa3c"/>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17CAF"/>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800398"/>
    <w:rsid w:val="01934B69"/>
    <w:rsid w:val="021A27AB"/>
    <w:rsid w:val="028C7619"/>
    <w:rsid w:val="02FE5AC7"/>
    <w:rsid w:val="058F7720"/>
    <w:rsid w:val="06447858"/>
    <w:rsid w:val="06A75D00"/>
    <w:rsid w:val="08C143C0"/>
    <w:rsid w:val="09350E0A"/>
    <w:rsid w:val="09786B5E"/>
    <w:rsid w:val="0A4D74BB"/>
    <w:rsid w:val="0A6B7CDF"/>
    <w:rsid w:val="0CF103CF"/>
    <w:rsid w:val="0D6B4A79"/>
    <w:rsid w:val="0E0B27FE"/>
    <w:rsid w:val="0F241091"/>
    <w:rsid w:val="109B7C86"/>
    <w:rsid w:val="114E36FA"/>
    <w:rsid w:val="12EA2A05"/>
    <w:rsid w:val="130F4A87"/>
    <w:rsid w:val="1AB41161"/>
    <w:rsid w:val="1B0940FF"/>
    <w:rsid w:val="1D2F2047"/>
    <w:rsid w:val="1E2471AC"/>
    <w:rsid w:val="1EAF1392"/>
    <w:rsid w:val="1F682713"/>
    <w:rsid w:val="1F693899"/>
    <w:rsid w:val="200F7270"/>
    <w:rsid w:val="2040014D"/>
    <w:rsid w:val="207A1985"/>
    <w:rsid w:val="221B28A3"/>
    <w:rsid w:val="24F45147"/>
    <w:rsid w:val="28307D48"/>
    <w:rsid w:val="286E02B3"/>
    <w:rsid w:val="28CD7B64"/>
    <w:rsid w:val="28DA73F5"/>
    <w:rsid w:val="28FB47F4"/>
    <w:rsid w:val="29514108"/>
    <w:rsid w:val="2C6F395B"/>
    <w:rsid w:val="2C85114F"/>
    <w:rsid w:val="2CFC2BFE"/>
    <w:rsid w:val="2D8639BE"/>
    <w:rsid w:val="2DB11966"/>
    <w:rsid w:val="2F2A29C8"/>
    <w:rsid w:val="2F717487"/>
    <w:rsid w:val="2FBA1A78"/>
    <w:rsid w:val="314D028A"/>
    <w:rsid w:val="329462A9"/>
    <w:rsid w:val="32E50778"/>
    <w:rsid w:val="355530AA"/>
    <w:rsid w:val="35EA3A54"/>
    <w:rsid w:val="364631D7"/>
    <w:rsid w:val="368928C2"/>
    <w:rsid w:val="38AD2620"/>
    <w:rsid w:val="397A6507"/>
    <w:rsid w:val="3B1F29B6"/>
    <w:rsid w:val="3B8E088C"/>
    <w:rsid w:val="3B9971A7"/>
    <w:rsid w:val="3C9452BE"/>
    <w:rsid w:val="3DF37D79"/>
    <w:rsid w:val="3ED00D9F"/>
    <w:rsid w:val="3F5B255F"/>
    <w:rsid w:val="43B50E83"/>
    <w:rsid w:val="44A02DC8"/>
    <w:rsid w:val="47545FAD"/>
    <w:rsid w:val="4ACF1F09"/>
    <w:rsid w:val="4F0A4599"/>
    <w:rsid w:val="4FCD1AFA"/>
    <w:rsid w:val="50345DAD"/>
    <w:rsid w:val="52F80915"/>
    <w:rsid w:val="53572C4F"/>
    <w:rsid w:val="53EE1575"/>
    <w:rsid w:val="541758FB"/>
    <w:rsid w:val="54C47921"/>
    <w:rsid w:val="568802DB"/>
    <w:rsid w:val="56B37004"/>
    <w:rsid w:val="5874712B"/>
    <w:rsid w:val="59633BAD"/>
    <w:rsid w:val="5A1522A3"/>
    <w:rsid w:val="5B2C62AD"/>
    <w:rsid w:val="5BBF1179"/>
    <w:rsid w:val="5BE12FA3"/>
    <w:rsid w:val="5C5E4F22"/>
    <w:rsid w:val="5D8866EC"/>
    <w:rsid w:val="5EBF421E"/>
    <w:rsid w:val="5F7A43ED"/>
    <w:rsid w:val="5F930CBD"/>
    <w:rsid w:val="5FD01B68"/>
    <w:rsid w:val="60A305BA"/>
    <w:rsid w:val="62B13874"/>
    <w:rsid w:val="63672753"/>
    <w:rsid w:val="645779AB"/>
    <w:rsid w:val="65CB72E1"/>
    <w:rsid w:val="65E62E7A"/>
    <w:rsid w:val="67BB5990"/>
    <w:rsid w:val="68535BAB"/>
    <w:rsid w:val="6AAD178D"/>
    <w:rsid w:val="6AE606B8"/>
    <w:rsid w:val="6BD42CB3"/>
    <w:rsid w:val="6C315445"/>
    <w:rsid w:val="6C537A3A"/>
    <w:rsid w:val="6CC649E7"/>
    <w:rsid w:val="6D1E377D"/>
    <w:rsid w:val="6EC4708B"/>
    <w:rsid w:val="6F5F71DE"/>
    <w:rsid w:val="6F6F261D"/>
    <w:rsid w:val="6F8A1598"/>
    <w:rsid w:val="6FFC017F"/>
    <w:rsid w:val="71AE2E75"/>
    <w:rsid w:val="71D1732D"/>
    <w:rsid w:val="72925BF1"/>
    <w:rsid w:val="72A03F09"/>
    <w:rsid w:val="72CD5045"/>
    <w:rsid w:val="73EB0218"/>
    <w:rsid w:val="743D7CF2"/>
    <w:rsid w:val="746B04EB"/>
    <w:rsid w:val="7503531D"/>
    <w:rsid w:val="76C058E1"/>
    <w:rsid w:val="76F51BBB"/>
    <w:rsid w:val="7A3267E8"/>
    <w:rsid w:val="7A70178D"/>
    <w:rsid w:val="7BF659CC"/>
    <w:rsid w:val="7D6457E7"/>
    <w:rsid w:val="7F92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0"/>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8"/>
    <w:qFormat/>
    <w:uiPriority w:val="0"/>
    <w:rPr>
      <w:rFonts w:ascii="宋体" w:hAnsi="Courier New" w:eastAsia="宋体"/>
    </w:rPr>
  </w:style>
  <w:style w:type="paragraph" w:styleId="23">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qFormat/>
    <w:uiPriority w:val="0"/>
    <w:rPr>
      <w:rFonts w:ascii="Times New Roman" w:hAnsi="Times New Roman" w:eastAsia="宋体" w:cs="Times New Roman"/>
      <w:sz w:val="18"/>
      <w:szCs w:val="18"/>
    </w:rPr>
  </w:style>
  <w:style w:type="paragraph" w:styleId="26">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3"/>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5"/>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9"/>
    <w:qFormat/>
    <w:uiPriority w:val="9"/>
    <w:rPr>
      <w:rFonts w:ascii="Times New Roman" w:hAnsi="Calibri" w:eastAsia="黑体" w:cs="Times New Roman"/>
      <w:b/>
      <w:bCs/>
      <w:kern w:val="0"/>
      <w:sz w:val="28"/>
      <w:szCs w:val="24"/>
    </w:rPr>
  </w:style>
  <w:style w:type="character" w:customStyle="1" w:styleId="52">
    <w:name w:val="标题 8 Char"/>
    <w:basedOn w:val="38"/>
    <w:link w:val="10"/>
    <w:qFormat/>
    <w:uiPriority w:val="9"/>
    <w:rPr>
      <w:rFonts w:ascii="Times New Roman" w:hAnsi="Calibri" w:eastAsia="黑体" w:cs="Times New Roman"/>
      <w:b/>
      <w:kern w:val="0"/>
      <w:sz w:val="28"/>
      <w:szCs w:val="24"/>
    </w:rPr>
  </w:style>
  <w:style w:type="character" w:customStyle="1" w:styleId="53">
    <w:name w:val="标题 9 Char"/>
    <w:basedOn w:val="38"/>
    <w:link w:val="11"/>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4"/>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5"/>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6"/>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3"/>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2"/>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4"/>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0"/>
    <w:qFormat/>
    <w:uiPriority w:val="0"/>
    <w:rPr>
      <w:rFonts w:ascii="Times New Roman" w:hAnsi="Times New Roman" w:eastAsia="宋体" w:cs="Times New Roman"/>
      <w:szCs w:val="20"/>
    </w:rPr>
  </w:style>
  <w:style w:type="character" w:customStyle="1" w:styleId="91">
    <w:name w:val="普通(网站) Char1"/>
    <w:link w:val="33"/>
    <w:qFormat/>
    <w:locked/>
    <w:uiPriority w:val="0"/>
    <w:rPr>
      <w:rFonts w:ascii="宋体" w:hAnsi="宋体"/>
      <w:sz w:val="15"/>
      <w:szCs w:val="15"/>
    </w:rPr>
  </w:style>
  <w:style w:type="character" w:customStyle="1" w:styleId="92">
    <w:name w:val="模板正文 Char"/>
    <w:link w:val="8"/>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2"/>
    <w:qFormat/>
    <w:uiPriority w:val="0"/>
    <w:rPr>
      <w:rFonts w:ascii="宋体" w:hAnsi="Courier New" w:eastAsia="宋体"/>
    </w:rPr>
  </w:style>
  <w:style w:type="character" w:customStyle="1" w:styleId="99">
    <w:name w:val="正文文本缩进 2 Char"/>
    <w:link w:val="24"/>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5"/>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7"/>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6"/>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7"/>
    <w:qFormat/>
    <w:uiPriority w:val="9"/>
    <w:rPr>
      <w:rFonts w:ascii="Times New Roman" w:hAnsi="Calibri" w:eastAsia="黑体" w:cs="Times New Roman"/>
      <w:b/>
      <w:bCs/>
      <w:kern w:val="0"/>
      <w:sz w:val="28"/>
      <w:szCs w:val="24"/>
    </w:rPr>
  </w:style>
  <w:style w:type="character" w:customStyle="1" w:styleId="141">
    <w:name w:val="正文文本 2 Char"/>
    <w:link w:val="31"/>
    <w:qFormat/>
    <w:uiPriority w:val="0"/>
    <w:rPr>
      <w:rFonts w:ascii="Arial" w:hAnsi="Arial" w:eastAsia="宋体" w:cs="Times New Roman"/>
      <w:color w:val="000000"/>
      <w:szCs w:val="24"/>
    </w:rPr>
  </w:style>
  <w:style w:type="character" w:customStyle="1" w:styleId="142">
    <w:name w:val="标题 3 Char"/>
    <w:link w:val="4"/>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2"/>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0"/>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19"/>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75787</Words>
  <Characters>79174</Characters>
  <Lines>314</Lines>
  <Paragraphs>88</Paragraphs>
  <TotalTime>9</TotalTime>
  <ScaleCrop>false</ScaleCrop>
  <LinksUpToDate>false</LinksUpToDate>
  <CharactersWithSpaces>86012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penguin</cp:lastModifiedBy>
  <cp:lastPrinted>2025-02-18T07:05:00Z</cp:lastPrinted>
  <dcterms:modified xsi:type="dcterms:W3CDTF">2025-02-18T09:13:52Z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74571156814E49A0AF812B3E490AFA3A_13</vt:lpwstr>
  </property>
  <property fmtid="{D5CDD505-2E9C-101B-9397-08002B2CF9AE}" pid="4" name="KSOTemplateDocerSaveRecord">
    <vt:lpwstr>eyJoZGlkIjoiNTYxOWU3MTY4MWY3ZjU3NmY2MzU2ZmJmNDZkZDYzZGUiLCJ1c2VySWQiOiIxNjM0MTI4NzI2In0=</vt:lpwstr>
  </property>
</Properties>
</file>