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96DC95">
      <w:pPr>
        <w:autoSpaceDE w:val="0"/>
        <w:autoSpaceDN w:val="0"/>
        <w:adjustRightInd w:val="0"/>
        <w:spacing w:line="276" w:lineRule="auto"/>
        <w:ind w:left="357" w:leftChars="170" w:right="-23" w:rightChars="-11"/>
        <w:jc w:val="center"/>
        <w:rPr>
          <w:rFonts w:hint="eastAsia" w:ascii="宋体" w:hAnsi="宋体" w:eastAsia="宋体" w:cs="宋体"/>
          <w:b/>
          <w:bCs/>
          <w:color w:val="auto"/>
          <w:kern w:val="0"/>
          <w:sz w:val="52"/>
          <w:szCs w:val="52"/>
          <w:lang w:val="zh-CN"/>
        </w:rPr>
      </w:pPr>
    </w:p>
    <w:p w14:paraId="0B40A4B9">
      <w:pPr>
        <w:autoSpaceDE w:val="0"/>
        <w:autoSpaceDN w:val="0"/>
        <w:adjustRightInd w:val="0"/>
        <w:spacing w:line="276" w:lineRule="auto"/>
        <w:ind w:left="357" w:leftChars="170" w:right="-23" w:rightChars="-11"/>
        <w:jc w:val="center"/>
        <w:rPr>
          <w:rFonts w:ascii="宋体" w:hAnsi="宋体" w:eastAsia="宋体" w:cs="宋体"/>
          <w:b/>
          <w:bCs/>
          <w:color w:val="auto"/>
          <w:kern w:val="0"/>
          <w:sz w:val="60"/>
          <w:szCs w:val="60"/>
          <w:lang w:val="zh-CN"/>
        </w:rPr>
      </w:pPr>
      <w:r>
        <w:rPr>
          <w:rFonts w:hint="eastAsia" w:ascii="宋体" w:hAnsi="宋体" w:eastAsia="宋体" w:cs="宋体"/>
          <w:b/>
          <w:bCs/>
          <w:color w:val="auto"/>
          <w:kern w:val="0"/>
          <w:sz w:val="60"/>
          <w:szCs w:val="60"/>
          <w:lang w:val="zh-CN"/>
        </w:rPr>
        <w:t>东莞市水务集团有限公司2025年安全及劳保物资采购项目</w:t>
      </w:r>
    </w:p>
    <w:p w14:paraId="3C8A3980">
      <w:pPr>
        <w:autoSpaceDE w:val="0"/>
        <w:autoSpaceDN w:val="0"/>
        <w:adjustRightInd w:val="0"/>
        <w:spacing w:line="276" w:lineRule="auto"/>
        <w:ind w:left="357" w:leftChars="170" w:right="-23" w:rightChars="-11"/>
        <w:jc w:val="center"/>
        <w:rPr>
          <w:rFonts w:ascii="宋体" w:hAnsi="宋体" w:eastAsia="宋体" w:cs="宋体"/>
          <w:b/>
          <w:bCs/>
          <w:color w:val="auto"/>
          <w:kern w:val="0"/>
          <w:sz w:val="44"/>
          <w:szCs w:val="44"/>
          <w:lang w:val="zh-CN"/>
        </w:rPr>
      </w:pPr>
    </w:p>
    <w:p w14:paraId="7A5060AC">
      <w:pPr>
        <w:autoSpaceDE w:val="0"/>
        <w:autoSpaceDN w:val="0"/>
        <w:adjustRightInd w:val="0"/>
        <w:ind w:right="-23" w:rightChars="-11"/>
        <w:jc w:val="left"/>
        <w:rPr>
          <w:rFonts w:ascii="宋体" w:hAnsi="宋体" w:eastAsia="宋体" w:cs="宋体"/>
          <w:b/>
          <w:bCs/>
          <w:color w:val="auto"/>
          <w:sz w:val="44"/>
          <w:szCs w:val="44"/>
          <w:lang w:val="zh-CN"/>
        </w:rPr>
      </w:pPr>
    </w:p>
    <w:p w14:paraId="00EB4F57">
      <w:pPr>
        <w:autoSpaceDE w:val="0"/>
        <w:autoSpaceDN w:val="0"/>
        <w:adjustRightInd w:val="0"/>
        <w:ind w:right="-23" w:rightChars="-11"/>
        <w:jc w:val="center"/>
        <w:rPr>
          <w:rFonts w:ascii="宋体" w:hAnsi="宋体" w:eastAsia="宋体" w:cs="Times New Roman"/>
          <w:b/>
          <w:bCs/>
          <w:color w:val="auto"/>
          <w:sz w:val="72"/>
          <w:szCs w:val="72"/>
        </w:rPr>
      </w:pPr>
    </w:p>
    <w:p w14:paraId="5802518C">
      <w:pPr>
        <w:autoSpaceDE w:val="0"/>
        <w:autoSpaceDN w:val="0"/>
        <w:adjustRightInd w:val="0"/>
        <w:ind w:right="-23" w:rightChars="-11"/>
        <w:jc w:val="center"/>
        <w:rPr>
          <w:rFonts w:ascii="宋体" w:hAnsi="宋体" w:eastAsia="宋体" w:cs="Times New Roman"/>
          <w:b/>
          <w:bCs/>
          <w:color w:val="auto"/>
          <w:sz w:val="72"/>
          <w:szCs w:val="72"/>
          <w:lang w:val="zh-CN"/>
        </w:rPr>
      </w:pPr>
      <w:r>
        <w:rPr>
          <w:rFonts w:hint="eastAsia" w:ascii="宋体" w:hAnsi="宋体" w:eastAsia="宋体" w:cs="Times New Roman"/>
          <w:b/>
          <w:bCs/>
          <w:color w:val="auto"/>
          <w:sz w:val="72"/>
          <w:szCs w:val="72"/>
          <w:lang w:val="zh-CN"/>
        </w:rPr>
        <w:t>招</w:t>
      </w:r>
      <w:r>
        <w:rPr>
          <w:rFonts w:hint="eastAsia" w:ascii="宋体" w:hAnsi="宋体" w:eastAsia="宋体" w:cs="Times New Roman"/>
          <w:b/>
          <w:bCs/>
          <w:color w:val="auto"/>
          <w:sz w:val="72"/>
          <w:szCs w:val="72"/>
        </w:rPr>
        <w:t xml:space="preserve"> </w:t>
      </w:r>
      <w:r>
        <w:rPr>
          <w:rFonts w:hint="eastAsia" w:ascii="宋体" w:hAnsi="宋体" w:eastAsia="宋体" w:cs="Times New Roman"/>
          <w:b/>
          <w:bCs/>
          <w:color w:val="auto"/>
          <w:sz w:val="72"/>
          <w:szCs w:val="72"/>
          <w:lang w:val="zh-CN"/>
        </w:rPr>
        <w:t>标</w:t>
      </w:r>
      <w:r>
        <w:rPr>
          <w:rFonts w:hint="eastAsia" w:ascii="宋体" w:hAnsi="宋体" w:eastAsia="宋体" w:cs="Times New Roman"/>
          <w:b/>
          <w:bCs/>
          <w:color w:val="auto"/>
          <w:sz w:val="72"/>
          <w:szCs w:val="72"/>
        </w:rPr>
        <w:t xml:space="preserve"> </w:t>
      </w:r>
      <w:r>
        <w:rPr>
          <w:rFonts w:hint="eastAsia" w:ascii="宋体" w:hAnsi="宋体" w:eastAsia="宋体" w:cs="Times New Roman"/>
          <w:b/>
          <w:bCs/>
          <w:color w:val="auto"/>
          <w:sz w:val="72"/>
          <w:szCs w:val="72"/>
          <w:lang w:val="zh-CN"/>
        </w:rPr>
        <w:t>文</w:t>
      </w:r>
      <w:r>
        <w:rPr>
          <w:rFonts w:hint="eastAsia" w:ascii="宋体" w:hAnsi="宋体" w:eastAsia="宋体" w:cs="Times New Roman"/>
          <w:b/>
          <w:bCs/>
          <w:color w:val="auto"/>
          <w:sz w:val="72"/>
          <w:szCs w:val="72"/>
        </w:rPr>
        <w:t xml:space="preserve"> </w:t>
      </w:r>
      <w:r>
        <w:rPr>
          <w:rFonts w:hint="eastAsia" w:ascii="宋体" w:hAnsi="宋体" w:eastAsia="宋体" w:cs="Times New Roman"/>
          <w:b/>
          <w:bCs/>
          <w:color w:val="auto"/>
          <w:sz w:val="72"/>
          <w:szCs w:val="72"/>
          <w:lang w:val="zh-CN"/>
        </w:rPr>
        <w:t>件</w:t>
      </w:r>
    </w:p>
    <w:p w14:paraId="71E5D5CE">
      <w:pPr>
        <w:autoSpaceDE w:val="0"/>
        <w:autoSpaceDN w:val="0"/>
        <w:adjustRightInd w:val="0"/>
        <w:ind w:right="-23" w:rightChars="-11"/>
        <w:jc w:val="center"/>
        <w:rPr>
          <w:rFonts w:ascii="宋体" w:hAnsi="宋体" w:eastAsia="宋体" w:cs="宋体"/>
          <w:b/>
          <w:bCs/>
          <w:color w:val="auto"/>
          <w:sz w:val="32"/>
          <w:szCs w:val="32"/>
          <w:lang w:val="zh-CN"/>
        </w:rPr>
      </w:pPr>
    </w:p>
    <w:p w14:paraId="0C10589F">
      <w:pPr>
        <w:autoSpaceDE w:val="0"/>
        <w:autoSpaceDN w:val="0"/>
        <w:adjustRightInd w:val="0"/>
        <w:ind w:right="-23" w:rightChars="-11"/>
        <w:jc w:val="center"/>
        <w:rPr>
          <w:rFonts w:ascii="宋体" w:hAnsi="宋体" w:eastAsia="宋体" w:cs="宋体"/>
          <w:b/>
          <w:bCs/>
          <w:color w:val="auto"/>
          <w:sz w:val="44"/>
          <w:szCs w:val="44"/>
          <w:lang w:val="zh-CN"/>
        </w:rPr>
      </w:pPr>
    </w:p>
    <w:p w14:paraId="34CC318F">
      <w:pPr>
        <w:autoSpaceDE w:val="0"/>
        <w:autoSpaceDN w:val="0"/>
        <w:adjustRightInd w:val="0"/>
        <w:ind w:right="-23" w:rightChars="-11"/>
        <w:jc w:val="left"/>
        <w:rPr>
          <w:rFonts w:ascii="宋体" w:hAnsi="宋体" w:eastAsia="宋体" w:cs="宋体"/>
          <w:b/>
          <w:bCs/>
          <w:color w:val="auto"/>
          <w:sz w:val="32"/>
          <w:szCs w:val="32"/>
          <w:u w:val="single"/>
          <w:lang w:val="zh-CN"/>
        </w:rPr>
      </w:pPr>
    </w:p>
    <w:p w14:paraId="1900D4BB">
      <w:pPr>
        <w:tabs>
          <w:tab w:val="left" w:pos="9240"/>
        </w:tabs>
        <w:autoSpaceDE w:val="0"/>
        <w:autoSpaceDN w:val="0"/>
        <w:adjustRightInd w:val="0"/>
        <w:spacing w:line="700" w:lineRule="exact"/>
        <w:ind w:right="-23" w:rightChars="-11"/>
        <w:jc w:val="left"/>
        <w:rPr>
          <w:rFonts w:ascii="宋体" w:hAnsi="宋体" w:eastAsia="宋体" w:cs="宋体"/>
          <w:b/>
          <w:bCs/>
          <w:color w:val="auto"/>
          <w:sz w:val="32"/>
          <w:szCs w:val="32"/>
          <w:lang w:val="zh-CN"/>
        </w:rPr>
      </w:pPr>
    </w:p>
    <w:p w14:paraId="48392C28">
      <w:pPr>
        <w:autoSpaceDE w:val="0"/>
        <w:autoSpaceDN w:val="0"/>
        <w:adjustRightInd w:val="0"/>
        <w:spacing w:line="480" w:lineRule="auto"/>
        <w:ind w:left="1842" w:leftChars="877" w:firstLine="19" w:firstLineChars="6"/>
        <w:jc w:val="left"/>
        <w:rPr>
          <w:rFonts w:ascii="宋体" w:hAnsi="宋体" w:eastAsia="宋体" w:cs="Times New Roman"/>
          <w:b/>
          <w:bCs/>
          <w:color w:val="auto"/>
          <w:sz w:val="32"/>
          <w:szCs w:val="32"/>
        </w:rPr>
      </w:pPr>
      <w:r>
        <w:rPr>
          <w:rFonts w:hint="eastAsia" w:ascii="宋体" w:hAnsi="宋体" w:eastAsia="宋体" w:cs="Times New Roman"/>
          <w:b/>
          <w:bCs/>
          <w:color w:val="auto"/>
          <w:sz w:val="32"/>
          <w:szCs w:val="32"/>
          <w:lang w:val="zh-CN"/>
        </w:rPr>
        <w:t>招</w:t>
      </w:r>
      <w:r>
        <w:rPr>
          <w:rFonts w:hint="eastAsia" w:ascii="宋体" w:hAnsi="宋体" w:eastAsia="宋体" w:cs="Times New Roman"/>
          <w:b/>
          <w:bCs/>
          <w:color w:val="auto"/>
          <w:sz w:val="32"/>
          <w:szCs w:val="32"/>
        </w:rPr>
        <w:t xml:space="preserve"> </w:t>
      </w:r>
      <w:r>
        <w:rPr>
          <w:rFonts w:hint="eastAsia" w:ascii="宋体" w:hAnsi="宋体" w:eastAsia="宋体" w:cs="Times New Roman"/>
          <w:b/>
          <w:bCs/>
          <w:color w:val="auto"/>
          <w:sz w:val="32"/>
          <w:szCs w:val="32"/>
          <w:lang w:val="zh-CN"/>
        </w:rPr>
        <w:t>标</w:t>
      </w:r>
      <w:r>
        <w:rPr>
          <w:rFonts w:hint="eastAsia" w:ascii="宋体" w:hAnsi="宋体" w:eastAsia="宋体" w:cs="Times New Roman"/>
          <w:b/>
          <w:bCs/>
          <w:color w:val="auto"/>
          <w:sz w:val="32"/>
          <w:szCs w:val="32"/>
        </w:rPr>
        <w:t xml:space="preserve"> </w:t>
      </w:r>
      <w:r>
        <w:rPr>
          <w:rFonts w:hint="eastAsia" w:ascii="宋体" w:hAnsi="宋体" w:eastAsia="宋体" w:cs="Times New Roman"/>
          <w:b/>
          <w:bCs/>
          <w:color w:val="auto"/>
          <w:sz w:val="32"/>
          <w:szCs w:val="32"/>
          <w:lang w:val="zh-CN"/>
        </w:rPr>
        <w:t>编</w:t>
      </w:r>
      <w:r>
        <w:rPr>
          <w:rFonts w:hint="eastAsia" w:ascii="宋体" w:hAnsi="宋体" w:eastAsia="宋体" w:cs="Times New Roman"/>
          <w:b/>
          <w:bCs/>
          <w:color w:val="auto"/>
          <w:sz w:val="32"/>
          <w:szCs w:val="32"/>
        </w:rPr>
        <w:t xml:space="preserve"> </w:t>
      </w:r>
      <w:r>
        <w:rPr>
          <w:rFonts w:hint="eastAsia" w:ascii="宋体" w:hAnsi="宋体" w:eastAsia="宋体" w:cs="Times New Roman"/>
          <w:b/>
          <w:bCs/>
          <w:color w:val="auto"/>
          <w:sz w:val="32"/>
          <w:szCs w:val="32"/>
          <w:lang w:val="zh-CN"/>
        </w:rPr>
        <w:t>号：DGDS2024-079</w:t>
      </w:r>
    </w:p>
    <w:p w14:paraId="0517E4E6">
      <w:pPr>
        <w:autoSpaceDE w:val="0"/>
        <w:autoSpaceDN w:val="0"/>
        <w:adjustRightInd w:val="0"/>
        <w:spacing w:line="480" w:lineRule="auto"/>
        <w:ind w:left="1842" w:leftChars="877" w:firstLine="19" w:firstLineChars="6"/>
        <w:jc w:val="left"/>
        <w:rPr>
          <w:rFonts w:ascii="宋体" w:hAnsi="宋体" w:eastAsia="宋体" w:cs="Times New Roman"/>
          <w:b/>
          <w:bCs/>
          <w:color w:val="auto"/>
          <w:sz w:val="32"/>
          <w:szCs w:val="32"/>
          <w:lang w:val="zh-CN"/>
        </w:rPr>
      </w:pPr>
      <w:r>
        <w:rPr>
          <w:rFonts w:hint="eastAsia" w:ascii="宋体" w:hAnsi="宋体" w:eastAsia="宋体" w:cs="Times New Roman"/>
          <w:b/>
          <w:bCs/>
          <w:color w:val="auto"/>
          <w:sz w:val="32"/>
          <w:szCs w:val="32"/>
          <w:lang w:val="zh-CN"/>
        </w:rPr>
        <w:t>招</w:t>
      </w:r>
      <w:r>
        <w:rPr>
          <w:rFonts w:hint="eastAsia" w:ascii="宋体" w:hAnsi="宋体" w:eastAsia="宋体" w:cs="Times New Roman"/>
          <w:b/>
          <w:bCs/>
          <w:color w:val="auto"/>
          <w:sz w:val="32"/>
          <w:szCs w:val="32"/>
        </w:rPr>
        <w:t xml:space="preserve"> </w:t>
      </w:r>
      <w:r>
        <w:rPr>
          <w:rFonts w:hint="eastAsia" w:ascii="宋体" w:hAnsi="宋体" w:eastAsia="宋体" w:cs="Times New Roman"/>
          <w:b/>
          <w:bCs/>
          <w:color w:val="auto"/>
          <w:sz w:val="32"/>
          <w:szCs w:val="32"/>
          <w:lang w:val="zh-CN"/>
        </w:rPr>
        <w:t>标</w:t>
      </w:r>
      <w:r>
        <w:rPr>
          <w:rFonts w:hint="eastAsia" w:ascii="宋体" w:hAnsi="宋体" w:eastAsia="宋体" w:cs="Times New Roman"/>
          <w:b/>
          <w:bCs/>
          <w:color w:val="auto"/>
          <w:sz w:val="32"/>
          <w:szCs w:val="32"/>
        </w:rPr>
        <w:t xml:space="preserve"> </w:t>
      </w:r>
      <w:r>
        <w:rPr>
          <w:rFonts w:hint="eastAsia" w:ascii="宋体" w:hAnsi="宋体" w:eastAsia="宋体" w:cs="Times New Roman"/>
          <w:b/>
          <w:bCs/>
          <w:color w:val="auto"/>
          <w:sz w:val="32"/>
          <w:szCs w:val="32"/>
          <w:lang w:val="zh-CN"/>
        </w:rPr>
        <w:t>人：东莞市水务集团有限公司</w:t>
      </w:r>
    </w:p>
    <w:p w14:paraId="6A4F462B">
      <w:pPr>
        <w:autoSpaceDE w:val="0"/>
        <w:autoSpaceDN w:val="0"/>
        <w:adjustRightInd w:val="0"/>
        <w:spacing w:line="480" w:lineRule="auto"/>
        <w:ind w:left="1842" w:leftChars="877" w:firstLine="19" w:firstLineChars="6"/>
        <w:jc w:val="left"/>
        <w:rPr>
          <w:rFonts w:ascii="宋体" w:hAnsi="宋体" w:eastAsia="宋体" w:cs="Times New Roman"/>
          <w:b/>
          <w:bCs/>
          <w:color w:val="auto"/>
          <w:sz w:val="32"/>
          <w:szCs w:val="32"/>
          <w:lang w:val="zh-CN"/>
        </w:rPr>
      </w:pPr>
      <w:r>
        <w:rPr>
          <w:rFonts w:hint="eastAsia" w:ascii="宋体" w:hAnsi="宋体" w:eastAsia="宋体" w:cs="Times New Roman"/>
          <w:b/>
          <w:bCs/>
          <w:color w:val="auto"/>
          <w:sz w:val="32"/>
          <w:szCs w:val="32"/>
          <w:lang w:val="zh-CN"/>
        </w:rPr>
        <w:t>招标代理机构：东莞市达盛招标代理有限公司</w:t>
      </w:r>
    </w:p>
    <w:p w14:paraId="7953CA36">
      <w:pPr>
        <w:autoSpaceDE w:val="0"/>
        <w:autoSpaceDN w:val="0"/>
        <w:adjustRightInd w:val="0"/>
        <w:ind w:right="-23" w:rightChars="-11"/>
        <w:jc w:val="left"/>
        <w:rPr>
          <w:rFonts w:ascii="宋体" w:hAnsi="宋体" w:eastAsia="宋体" w:cs="Times New Roman"/>
          <w:b/>
          <w:bCs/>
          <w:color w:val="auto"/>
          <w:kern w:val="0"/>
          <w:sz w:val="32"/>
          <w:szCs w:val="32"/>
          <w:lang w:val="zh-CN"/>
        </w:rPr>
      </w:pPr>
    </w:p>
    <w:p w14:paraId="06C1EBE8">
      <w:pPr>
        <w:autoSpaceDE w:val="0"/>
        <w:autoSpaceDN w:val="0"/>
        <w:adjustRightInd w:val="0"/>
        <w:ind w:right="-23" w:rightChars="-11"/>
        <w:jc w:val="center"/>
        <w:rPr>
          <w:rFonts w:ascii="宋体" w:hAnsi="宋体" w:eastAsia="宋体" w:cs="Times New Roman"/>
          <w:b/>
          <w:bCs/>
          <w:color w:val="auto"/>
          <w:kern w:val="0"/>
          <w:sz w:val="84"/>
          <w:szCs w:val="84"/>
          <w:lang w:val="zh-CN"/>
        </w:rPr>
      </w:pPr>
    </w:p>
    <w:p w14:paraId="3E2A522D">
      <w:pPr>
        <w:autoSpaceDE w:val="0"/>
        <w:autoSpaceDN w:val="0"/>
        <w:adjustRightInd w:val="0"/>
        <w:spacing w:line="360" w:lineRule="auto"/>
        <w:ind w:left="357" w:leftChars="170" w:right="-23" w:rightChars="-11" w:firstLine="321" w:firstLineChars="100"/>
        <w:jc w:val="center"/>
        <w:rPr>
          <w:rFonts w:ascii="宋体" w:hAnsi="宋体" w:eastAsia="宋体" w:cs="宋体"/>
          <w:b/>
          <w:bCs/>
          <w:color w:val="auto"/>
          <w:kern w:val="0"/>
          <w:sz w:val="52"/>
          <w:szCs w:val="52"/>
        </w:rPr>
      </w:pPr>
      <w:r>
        <w:rPr>
          <w:rFonts w:hint="eastAsia" w:ascii="宋体" w:hAnsi="宋体" w:eastAsia="宋体" w:cs="宋体"/>
          <w:b/>
          <w:bCs/>
          <w:color w:val="auto"/>
          <w:sz w:val="32"/>
          <w:szCs w:val="32"/>
          <w:lang w:val="en-US" w:eastAsia="zh-CN"/>
        </w:rPr>
        <w:t xml:space="preserve">2024 </w:t>
      </w:r>
      <w:r>
        <w:rPr>
          <w:rFonts w:hint="eastAsia" w:ascii="宋体" w:hAnsi="宋体" w:eastAsia="宋体" w:cs="宋体"/>
          <w:b/>
          <w:bCs/>
          <w:color w:val="auto"/>
          <w:sz w:val="32"/>
          <w:szCs w:val="32"/>
          <w:lang w:val="zh-CN"/>
        </w:rPr>
        <w:t>年</w:t>
      </w:r>
      <w:r>
        <w:rPr>
          <w:rFonts w:hint="eastAsia" w:ascii="宋体" w:hAnsi="宋体" w:eastAsia="宋体" w:cs="宋体"/>
          <w:b/>
          <w:bCs/>
          <w:color w:val="auto"/>
          <w:sz w:val="32"/>
          <w:szCs w:val="32"/>
        </w:rPr>
        <w:t xml:space="preserve"> </w:t>
      </w:r>
      <w:r>
        <w:rPr>
          <w:rFonts w:hint="eastAsia" w:ascii="宋体" w:hAnsi="宋体" w:eastAsia="宋体" w:cs="宋体"/>
          <w:b/>
          <w:bCs/>
          <w:color w:val="auto"/>
          <w:sz w:val="32"/>
          <w:szCs w:val="32"/>
          <w:lang w:val="en-US" w:eastAsia="zh-CN"/>
        </w:rPr>
        <w:t xml:space="preserve"> 12</w:t>
      </w:r>
      <w:r>
        <w:rPr>
          <w:rFonts w:hint="eastAsia" w:ascii="宋体" w:hAnsi="宋体" w:eastAsia="宋体" w:cs="宋体"/>
          <w:b/>
          <w:bCs/>
          <w:color w:val="auto"/>
          <w:sz w:val="32"/>
          <w:szCs w:val="32"/>
        </w:rPr>
        <w:t xml:space="preserve"> </w:t>
      </w:r>
      <w:r>
        <w:rPr>
          <w:rFonts w:hint="eastAsia" w:ascii="宋体" w:hAnsi="宋体" w:eastAsia="宋体" w:cs="宋体"/>
          <w:b/>
          <w:bCs/>
          <w:color w:val="auto"/>
          <w:sz w:val="32"/>
          <w:szCs w:val="32"/>
          <w:lang w:val="zh-CN"/>
        </w:rPr>
        <w:t>月</w:t>
      </w:r>
      <w:r>
        <w:rPr>
          <w:rFonts w:hint="eastAsia" w:ascii="宋体" w:hAnsi="宋体" w:eastAsia="宋体" w:cs="宋体"/>
          <w:b/>
          <w:bCs/>
          <w:color w:val="auto"/>
          <w:sz w:val="32"/>
          <w:szCs w:val="32"/>
        </w:rPr>
        <w:t xml:space="preserve"> </w:t>
      </w:r>
      <w:r>
        <w:rPr>
          <w:rFonts w:hint="eastAsia" w:ascii="宋体" w:hAnsi="宋体" w:eastAsia="宋体" w:cs="宋体"/>
          <w:b/>
          <w:bCs/>
          <w:color w:val="auto"/>
          <w:sz w:val="32"/>
          <w:szCs w:val="32"/>
          <w:lang w:val="en-US" w:eastAsia="zh-CN"/>
        </w:rPr>
        <w:t xml:space="preserve">30 </w:t>
      </w:r>
      <w:r>
        <w:rPr>
          <w:rFonts w:hint="eastAsia" w:ascii="宋体" w:hAnsi="宋体" w:eastAsia="宋体" w:cs="宋体"/>
          <w:b/>
          <w:bCs/>
          <w:color w:val="auto"/>
          <w:sz w:val="32"/>
          <w:szCs w:val="32"/>
          <w:lang w:val="zh-CN"/>
        </w:rPr>
        <w:t>日</w:t>
      </w:r>
    </w:p>
    <w:p w14:paraId="08DBCA29">
      <w:pPr>
        <w:tabs>
          <w:tab w:val="left" w:pos="9923"/>
          <w:tab w:val="left" w:pos="10206"/>
        </w:tabs>
        <w:autoSpaceDE w:val="0"/>
        <w:autoSpaceDN w:val="0"/>
        <w:adjustRightInd w:val="0"/>
        <w:spacing w:line="360" w:lineRule="auto"/>
        <w:jc w:val="center"/>
        <w:rPr>
          <w:rFonts w:ascii="宋体" w:hAnsi="宋体" w:eastAsia="宋体" w:cs="Times New Roman"/>
          <w:b/>
          <w:color w:val="auto"/>
          <w:kern w:val="0"/>
          <w:sz w:val="24"/>
          <w:szCs w:val="24"/>
        </w:rPr>
      </w:pPr>
      <w:bookmarkStart w:id="0" w:name="_Toc29891_WPSOffice_Type3"/>
      <w:r>
        <w:rPr>
          <w:rFonts w:ascii="宋体" w:hAnsi="宋体" w:eastAsia="宋体" w:cs="Times New Roman"/>
          <w:b/>
          <w:color w:val="auto"/>
          <w:kern w:val="0"/>
          <w:szCs w:val="21"/>
        </w:rPr>
        <w:br w:type="page"/>
      </w:r>
      <w:r>
        <w:rPr>
          <w:rFonts w:ascii="宋体" w:hAnsi="宋体" w:eastAsia="宋体" w:cs="Times New Roman"/>
          <w:b/>
          <w:color w:val="auto"/>
          <w:kern w:val="0"/>
          <w:sz w:val="24"/>
          <w:szCs w:val="24"/>
        </w:rPr>
        <w:t>目</w:t>
      </w:r>
      <w:r>
        <w:rPr>
          <w:rFonts w:hint="eastAsia" w:ascii="宋体" w:hAnsi="宋体" w:eastAsia="宋体" w:cs="Times New Roman"/>
          <w:b/>
          <w:color w:val="auto"/>
          <w:kern w:val="0"/>
          <w:sz w:val="24"/>
          <w:szCs w:val="24"/>
        </w:rPr>
        <w:t xml:space="preserve"> </w:t>
      </w:r>
      <w:r>
        <w:rPr>
          <w:rFonts w:ascii="宋体" w:hAnsi="宋体" w:eastAsia="宋体" w:cs="Times New Roman"/>
          <w:b/>
          <w:color w:val="auto"/>
          <w:kern w:val="0"/>
          <w:sz w:val="24"/>
          <w:szCs w:val="24"/>
        </w:rPr>
        <w:t>录</w:t>
      </w:r>
    </w:p>
    <w:p w14:paraId="2EB135F2">
      <w:pPr>
        <w:pStyle w:val="30"/>
        <w:tabs>
          <w:tab w:val="right" w:leader="dot" w:pos="10154"/>
          <w:tab w:val="clear" w:pos="10144"/>
        </w:tabs>
        <w:spacing w:line="480" w:lineRule="auto"/>
      </w:pPr>
      <w:r>
        <w:rPr>
          <w:rFonts w:ascii="宋体" w:hAnsi="宋体" w:eastAsia="宋体" w:cs="Times New Roman"/>
          <w:color w:val="auto"/>
          <w:szCs w:val="21"/>
        </w:rPr>
        <w:fldChar w:fldCharType="begin"/>
      </w:r>
      <w:r>
        <w:rPr>
          <w:rFonts w:ascii="宋体" w:hAnsi="宋体" w:eastAsia="宋体" w:cs="Times New Roman"/>
          <w:color w:val="auto"/>
          <w:szCs w:val="21"/>
        </w:rPr>
        <w:instrText xml:space="preserve">TOC \o "1-3" \h \u </w:instrText>
      </w:r>
      <w:r>
        <w:rPr>
          <w:rFonts w:ascii="宋体" w:hAnsi="宋体" w:eastAsia="宋体" w:cs="Times New Roman"/>
          <w:color w:val="auto"/>
          <w:szCs w:val="21"/>
        </w:rPr>
        <w:fldChar w:fldCharType="separate"/>
      </w:r>
      <w:r>
        <w:rPr>
          <w:rFonts w:ascii="宋体" w:hAnsi="宋体" w:eastAsia="宋体" w:cs="Times New Roman"/>
          <w:color w:val="auto"/>
          <w:szCs w:val="21"/>
        </w:rPr>
        <w:fldChar w:fldCharType="begin"/>
      </w:r>
      <w:r>
        <w:rPr>
          <w:rFonts w:ascii="宋体" w:hAnsi="宋体" w:eastAsia="宋体" w:cs="Times New Roman"/>
          <w:szCs w:val="21"/>
        </w:rPr>
        <w:instrText xml:space="preserve"> HYPERLINK \l _Toc5788 </w:instrText>
      </w:r>
      <w:r>
        <w:rPr>
          <w:rFonts w:ascii="宋体" w:hAnsi="宋体" w:eastAsia="宋体" w:cs="Times New Roman"/>
          <w:szCs w:val="21"/>
        </w:rPr>
        <w:fldChar w:fldCharType="separate"/>
      </w:r>
      <w:r>
        <w:rPr>
          <w:rFonts w:ascii="宋体" w:hAnsi="宋体" w:eastAsia="宋体" w:cs="Times New Roman"/>
          <w:bCs/>
          <w:kern w:val="44"/>
          <w:szCs w:val="32"/>
          <w:lang w:val="zh-CN"/>
        </w:rPr>
        <w:t>第一篇 招标公告</w:t>
      </w:r>
      <w:r>
        <w:tab/>
      </w:r>
      <w:r>
        <w:fldChar w:fldCharType="begin"/>
      </w:r>
      <w:r>
        <w:instrText xml:space="preserve"> PAGEREF _Toc5788 \h </w:instrText>
      </w:r>
      <w:r>
        <w:fldChar w:fldCharType="separate"/>
      </w:r>
      <w:r>
        <w:t>5</w:t>
      </w:r>
      <w:r>
        <w:fldChar w:fldCharType="end"/>
      </w:r>
      <w:r>
        <w:rPr>
          <w:rFonts w:ascii="宋体" w:hAnsi="宋体" w:eastAsia="宋体" w:cs="Times New Roman"/>
          <w:color w:val="auto"/>
          <w:szCs w:val="21"/>
        </w:rPr>
        <w:fldChar w:fldCharType="end"/>
      </w:r>
    </w:p>
    <w:p w14:paraId="185A35C0">
      <w:pPr>
        <w:pStyle w:val="30"/>
        <w:tabs>
          <w:tab w:val="right" w:leader="dot" w:pos="10154"/>
          <w:tab w:val="clear" w:pos="10144"/>
        </w:tabs>
        <w:spacing w:line="480" w:lineRule="auto"/>
      </w:pPr>
      <w:r>
        <w:rPr>
          <w:rFonts w:ascii="宋体" w:hAnsi="宋体" w:eastAsia="宋体" w:cs="Times New Roman"/>
          <w:color w:val="auto"/>
          <w:szCs w:val="21"/>
        </w:rPr>
        <w:fldChar w:fldCharType="begin"/>
      </w:r>
      <w:r>
        <w:rPr>
          <w:rFonts w:ascii="宋体" w:hAnsi="宋体" w:eastAsia="宋体" w:cs="Times New Roman"/>
          <w:szCs w:val="21"/>
        </w:rPr>
        <w:instrText xml:space="preserve"> HYPERLINK \l _Toc11715 </w:instrText>
      </w:r>
      <w:r>
        <w:rPr>
          <w:rFonts w:ascii="宋体" w:hAnsi="宋体" w:eastAsia="宋体" w:cs="Times New Roman"/>
          <w:szCs w:val="21"/>
        </w:rPr>
        <w:fldChar w:fldCharType="separate"/>
      </w:r>
      <w:r>
        <w:rPr>
          <w:rFonts w:hint="eastAsia" w:ascii="宋体" w:hAnsi="宋体" w:eastAsia="宋体" w:cs="宋体"/>
          <w:bCs/>
          <w:kern w:val="44"/>
          <w:szCs w:val="32"/>
          <w:lang w:val="zh-CN"/>
        </w:rPr>
        <w:t>第二篇</w:t>
      </w:r>
      <w:r>
        <w:rPr>
          <w:rFonts w:ascii="宋体" w:hAnsi="宋体" w:eastAsia="宋体" w:cs="宋体"/>
          <w:bCs/>
          <w:kern w:val="44"/>
          <w:szCs w:val="32"/>
        </w:rPr>
        <w:t xml:space="preserve"> </w:t>
      </w:r>
      <w:r>
        <w:rPr>
          <w:rFonts w:hint="eastAsia" w:ascii="宋体" w:hAnsi="宋体" w:eastAsia="宋体" w:cs="宋体"/>
          <w:bCs/>
          <w:kern w:val="44"/>
          <w:szCs w:val="32"/>
          <w:lang w:val="zh-CN"/>
        </w:rPr>
        <w:t>投标人须知</w:t>
      </w:r>
      <w:r>
        <w:tab/>
      </w:r>
      <w:r>
        <w:fldChar w:fldCharType="begin"/>
      </w:r>
      <w:r>
        <w:instrText xml:space="preserve"> PAGEREF _Toc11715 \h </w:instrText>
      </w:r>
      <w:r>
        <w:fldChar w:fldCharType="separate"/>
      </w:r>
      <w:r>
        <w:t>7</w:t>
      </w:r>
      <w:r>
        <w:fldChar w:fldCharType="end"/>
      </w:r>
      <w:r>
        <w:rPr>
          <w:rFonts w:ascii="宋体" w:hAnsi="宋体" w:eastAsia="宋体" w:cs="Times New Roman"/>
          <w:color w:val="auto"/>
          <w:szCs w:val="21"/>
        </w:rPr>
        <w:fldChar w:fldCharType="end"/>
      </w:r>
    </w:p>
    <w:p w14:paraId="5E98C894">
      <w:pPr>
        <w:pStyle w:val="30"/>
        <w:tabs>
          <w:tab w:val="right" w:leader="dot" w:pos="10154"/>
          <w:tab w:val="clear" w:pos="10144"/>
        </w:tabs>
        <w:spacing w:line="480" w:lineRule="auto"/>
      </w:pPr>
      <w:r>
        <w:rPr>
          <w:rFonts w:ascii="宋体" w:hAnsi="宋体" w:eastAsia="宋体" w:cs="Times New Roman"/>
          <w:color w:val="auto"/>
          <w:szCs w:val="21"/>
        </w:rPr>
        <w:fldChar w:fldCharType="begin"/>
      </w:r>
      <w:r>
        <w:rPr>
          <w:rFonts w:ascii="宋体" w:hAnsi="宋体" w:eastAsia="宋体" w:cs="Times New Roman"/>
          <w:szCs w:val="21"/>
        </w:rPr>
        <w:instrText xml:space="preserve"> HYPERLINK \l _Toc29050 </w:instrText>
      </w:r>
      <w:r>
        <w:rPr>
          <w:rFonts w:ascii="宋体" w:hAnsi="宋体" w:eastAsia="宋体" w:cs="Times New Roman"/>
          <w:szCs w:val="21"/>
        </w:rPr>
        <w:fldChar w:fldCharType="separate"/>
      </w:r>
      <w:r>
        <w:rPr>
          <w:rFonts w:hint="eastAsia" w:ascii="宋体" w:hAnsi="宋体" w:eastAsia="宋体" w:cs="宋体"/>
          <w:bCs/>
          <w:kern w:val="44"/>
          <w:szCs w:val="21"/>
          <w:lang w:val="zh-CN"/>
        </w:rPr>
        <w:t>一、总则</w:t>
      </w:r>
      <w:r>
        <w:tab/>
      </w:r>
      <w:r>
        <w:fldChar w:fldCharType="begin"/>
      </w:r>
      <w:r>
        <w:instrText xml:space="preserve"> PAGEREF _Toc29050 \h </w:instrText>
      </w:r>
      <w:r>
        <w:fldChar w:fldCharType="separate"/>
      </w:r>
      <w:r>
        <w:t>7</w:t>
      </w:r>
      <w:r>
        <w:fldChar w:fldCharType="end"/>
      </w:r>
      <w:r>
        <w:rPr>
          <w:rFonts w:ascii="宋体" w:hAnsi="宋体" w:eastAsia="宋体" w:cs="Times New Roman"/>
          <w:color w:val="auto"/>
          <w:szCs w:val="21"/>
        </w:rPr>
        <w:fldChar w:fldCharType="end"/>
      </w:r>
    </w:p>
    <w:p w14:paraId="08C82276">
      <w:pPr>
        <w:pStyle w:val="22"/>
        <w:tabs>
          <w:tab w:val="right" w:leader="dot" w:pos="10154"/>
          <w:tab w:val="clear" w:pos="10144"/>
        </w:tabs>
        <w:spacing w:line="480" w:lineRule="auto"/>
      </w:pPr>
      <w:r>
        <w:rPr>
          <w:rFonts w:ascii="宋体" w:hAnsi="宋体" w:eastAsia="宋体" w:cs="Times New Roman"/>
          <w:color w:val="auto"/>
          <w:szCs w:val="21"/>
        </w:rPr>
        <w:fldChar w:fldCharType="begin"/>
      </w:r>
      <w:r>
        <w:rPr>
          <w:rFonts w:ascii="宋体" w:hAnsi="宋体" w:eastAsia="宋体" w:cs="Times New Roman"/>
          <w:szCs w:val="21"/>
        </w:rPr>
        <w:instrText xml:space="preserve"> HYPERLINK \l _Toc13055 </w:instrText>
      </w:r>
      <w:r>
        <w:rPr>
          <w:rFonts w:ascii="宋体" w:hAnsi="宋体" w:eastAsia="宋体" w:cs="Times New Roman"/>
          <w:szCs w:val="21"/>
        </w:rPr>
        <w:fldChar w:fldCharType="separate"/>
      </w:r>
      <w:r>
        <w:rPr>
          <w:rFonts w:hint="eastAsia" w:ascii="宋体" w:hAnsi="宋体" w:eastAsia="宋体" w:cs="宋体"/>
          <w:szCs w:val="21"/>
          <w:lang w:val="zh-CN"/>
        </w:rPr>
        <w:t>1</w:t>
      </w:r>
      <w:r>
        <w:rPr>
          <w:rFonts w:ascii="宋体" w:hAnsi="宋体" w:eastAsia="宋体" w:cs="宋体"/>
          <w:szCs w:val="21"/>
          <w:lang w:val="zh-CN"/>
        </w:rPr>
        <w:t xml:space="preserve"> </w:t>
      </w:r>
      <w:r>
        <w:rPr>
          <w:rFonts w:hint="eastAsia" w:ascii="宋体" w:hAnsi="宋体" w:eastAsia="宋体" w:cs="宋体"/>
          <w:szCs w:val="21"/>
          <w:lang w:val="zh-CN"/>
        </w:rPr>
        <w:t>资金来源：企业自筹资金。</w:t>
      </w:r>
      <w:r>
        <w:tab/>
      </w:r>
      <w:r>
        <w:fldChar w:fldCharType="begin"/>
      </w:r>
      <w:r>
        <w:instrText xml:space="preserve"> PAGEREF _Toc13055 \h </w:instrText>
      </w:r>
      <w:r>
        <w:fldChar w:fldCharType="separate"/>
      </w:r>
      <w:r>
        <w:t>7</w:t>
      </w:r>
      <w:r>
        <w:fldChar w:fldCharType="end"/>
      </w:r>
      <w:r>
        <w:rPr>
          <w:rFonts w:ascii="宋体" w:hAnsi="宋体" w:eastAsia="宋体" w:cs="Times New Roman"/>
          <w:color w:val="auto"/>
          <w:szCs w:val="21"/>
        </w:rPr>
        <w:fldChar w:fldCharType="end"/>
      </w:r>
    </w:p>
    <w:p w14:paraId="73D8D955">
      <w:pPr>
        <w:pStyle w:val="22"/>
        <w:tabs>
          <w:tab w:val="right" w:leader="dot" w:pos="10154"/>
          <w:tab w:val="clear" w:pos="10144"/>
        </w:tabs>
        <w:spacing w:line="480" w:lineRule="auto"/>
      </w:pPr>
      <w:r>
        <w:rPr>
          <w:rFonts w:ascii="宋体" w:hAnsi="宋体" w:eastAsia="宋体" w:cs="Times New Roman"/>
          <w:color w:val="auto"/>
          <w:szCs w:val="21"/>
        </w:rPr>
        <w:fldChar w:fldCharType="begin"/>
      </w:r>
      <w:r>
        <w:rPr>
          <w:rFonts w:ascii="宋体" w:hAnsi="宋体" w:eastAsia="宋体" w:cs="Times New Roman"/>
          <w:szCs w:val="21"/>
        </w:rPr>
        <w:instrText xml:space="preserve"> HYPERLINK \l _Toc4064 </w:instrText>
      </w:r>
      <w:r>
        <w:rPr>
          <w:rFonts w:ascii="宋体" w:hAnsi="宋体" w:eastAsia="宋体" w:cs="Times New Roman"/>
          <w:szCs w:val="21"/>
        </w:rPr>
        <w:fldChar w:fldCharType="separate"/>
      </w:r>
      <w:r>
        <w:rPr>
          <w:rFonts w:hint="eastAsia" w:ascii="宋体" w:hAnsi="宋体" w:eastAsia="宋体" w:cs="宋体"/>
          <w:szCs w:val="21"/>
          <w:lang w:val="zh-CN"/>
        </w:rPr>
        <w:t>2</w:t>
      </w:r>
      <w:r>
        <w:rPr>
          <w:rFonts w:ascii="宋体" w:hAnsi="宋体" w:eastAsia="宋体" w:cs="宋体"/>
          <w:szCs w:val="21"/>
          <w:lang w:val="zh-CN"/>
        </w:rPr>
        <w:t xml:space="preserve"> </w:t>
      </w:r>
      <w:r>
        <w:rPr>
          <w:rFonts w:hint="eastAsia" w:ascii="宋体" w:hAnsi="宋体" w:eastAsia="宋体" w:cs="宋体"/>
          <w:szCs w:val="21"/>
          <w:lang w:val="zh-CN"/>
        </w:rPr>
        <w:t>合格的投标人</w:t>
      </w:r>
      <w:r>
        <w:tab/>
      </w:r>
      <w:r>
        <w:fldChar w:fldCharType="begin"/>
      </w:r>
      <w:r>
        <w:instrText xml:space="preserve"> PAGEREF _Toc4064 \h </w:instrText>
      </w:r>
      <w:r>
        <w:fldChar w:fldCharType="separate"/>
      </w:r>
      <w:r>
        <w:t>7</w:t>
      </w:r>
      <w:r>
        <w:fldChar w:fldCharType="end"/>
      </w:r>
      <w:r>
        <w:rPr>
          <w:rFonts w:ascii="宋体" w:hAnsi="宋体" w:eastAsia="宋体" w:cs="Times New Roman"/>
          <w:color w:val="auto"/>
          <w:szCs w:val="21"/>
        </w:rPr>
        <w:fldChar w:fldCharType="end"/>
      </w:r>
    </w:p>
    <w:p w14:paraId="2ABE5F7E">
      <w:pPr>
        <w:pStyle w:val="22"/>
        <w:tabs>
          <w:tab w:val="right" w:leader="dot" w:pos="10154"/>
          <w:tab w:val="clear" w:pos="10144"/>
        </w:tabs>
        <w:spacing w:line="480" w:lineRule="auto"/>
      </w:pPr>
      <w:r>
        <w:rPr>
          <w:rFonts w:ascii="宋体" w:hAnsi="宋体" w:eastAsia="宋体" w:cs="Times New Roman"/>
          <w:color w:val="auto"/>
          <w:szCs w:val="21"/>
        </w:rPr>
        <w:fldChar w:fldCharType="begin"/>
      </w:r>
      <w:r>
        <w:rPr>
          <w:rFonts w:ascii="宋体" w:hAnsi="宋体" w:eastAsia="宋体" w:cs="Times New Roman"/>
          <w:szCs w:val="21"/>
        </w:rPr>
        <w:instrText xml:space="preserve"> HYPERLINK \l _Toc32415 </w:instrText>
      </w:r>
      <w:r>
        <w:rPr>
          <w:rFonts w:ascii="宋体" w:hAnsi="宋体" w:eastAsia="宋体" w:cs="Times New Roman"/>
          <w:szCs w:val="21"/>
        </w:rPr>
        <w:fldChar w:fldCharType="separate"/>
      </w:r>
      <w:r>
        <w:rPr>
          <w:rFonts w:hint="eastAsia" w:ascii="宋体" w:hAnsi="宋体" w:eastAsia="宋体" w:cs="宋体"/>
          <w:szCs w:val="21"/>
          <w:lang w:val="zh-CN"/>
        </w:rPr>
        <w:t>3</w:t>
      </w:r>
      <w:r>
        <w:rPr>
          <w:rFonts w:ascii="宋体" w:hAnsi="宋体" w:eastAsia="宋体" w:cs="宋体"/>
          <w:szCs w:val="21"/>
          <w:lang w:val="zh-CN"/>
        </w:rPr>
        <w:t xml:space="preserve"> </w:t>
      </w:r>
      <w:r>
        <w:rPr>
          <w:rFonts w:hint="eastAsia" w:ascii="宋体" w:hAnsi="宋体" w:eastAsia="宋体" w:cs="宋体"/>
          <w:szCs w:val="21"/>
          <w:lang w:val="zh-CN"/>
        </w:rPr>
        <w:t>合格的货物</w:t>
      </w:r>
      <w:r>
        <w:tab/>
      </w:r>
      <w:r>
        <w:fldChar w:fldCharType="begin"/>
      </w:r>
      <w:r>
        <w:instrText xml:space="preserve"> PAGEREF _Toc32415 \h </w:instrText>
      </w:r>
      <w:r>
        <w:fldChar w:fldCharType="separate"/>
      </w:r>
      <w:r>
        <w:t>7</w:t>
      </w:r>
      <w:r>
        <w:fldChar w:fldCharType="end"/>
      </w:r>
      <w:r>
        <w:rPr>
          <w:rFonts w:ascii="宋体" w:hAnsi="宋体" w:eastAsia="宋体" w:cs="Times New Roman"/>
          <w:color w:val="auto"/>
          <w:szCs w:val="21"/>
        </w:rPr>
        <w:fldChar w:fldCharType="end"/>
      </w:r>
    </w:p>
    <w:p w14:paraId="60803C49">
      <w:pPr>
        <w:pStyle w:val="22"/>
        <w:tabs>
          <w:tab w:val="right" w:leader="dot" w:pos="10154"/>
          <w:tab w:val="clear" w:pos="10144"/>
        </w:tabs>
        <w:spacing w:line="480" w:lineRule="auto"/>
      </w:pPr>
      <w:r>
        <w:rPr>
          <w:rFonts w:ascii="宋体" w:hAnsi="宋体" w:eastAsia="宋体" w:cs="Times New Roman"/>
          <w:color w:val="auto"/>
          <w:szCs w:val="21"/>
        </w:rPr>
        <w:fldChar w:fldCharType="begin"/>
      </w:r>
      <w:r>
        <w:rPr>
          <w:rFonts w:ascii="宋体" w:hAnsi="宋体" w:eastAsia="宋体" w:cs="Times New Roman"/>
          <w:szCs w:val="21"/>
        </w:rPr>
        <w:instrText xml:space="preserve"> HYPERLINK \l _Toc9511 </w:instrText>
      </w:r>
      <w:r>
        <w:rPr>
          <w:rFonts w:ascii="宋体" w:hAnsi="宋体" w:eastAsia="宋体" w:cs="Times New Roman"/>
          <w:szCs w:val="21"/>
        </w:rPr>
        <w:fldChar w:fldCharType="separate"/>
      </w:r>
      <w:r>
        <w:rPr>
          <w:rFonts w:hint="eastAsia" w:ascii="宋体" w:hAnsi="宋体" w:eastAsia="宋体" w:cs="宋体"/>
          <w:szCs w:val="21"/>
          <w:lang w:val="zh-CN"/>
        </w:rPr>
        <w:t>4</w:t>
      </w:r>
      <w:r>
        <w:rPr>
          <w:rFonts w:ascii="宋体" w:hAnsi="宋体" w:eastAsia="宋体" w:cs="宋体"/>
          <w:szCs w:val="21"/>
          <w:lang w:val="zh-CN"/>
        </w:rPr>
        <w:t xml:space="preserve"> </w:t>
      </w:r>
      <w:r>
        <w:rPr>
          <w:rFonts w:hint="eastAsia" w:ascii="宋体" w:hAnsi="宋体" w:eastAsia="宋体" w:cs="宋体"/>
          <w:szCs w:val="21"/>
          <w:lang w:val="zh-CN"/>
        </w:rPr>
        <w:t>其它说明</w:t>
      </w:r>
      <w:r>
        <w:tab/>
      </w:r>
      <w:r>
        <w:fldChar w:fldCharType="begin"/>
      </w:r>
      <w:r>
        <w:instrText xml:space="preserve"> PAGEREF _Toc9511 \h </w:instrText>
      </w:r>
      <w:r>
        <w:fldChar w:fldCharType="separate"/>
      </w:r>
      <w:r>
        <w:t>8</w:t>
      </w:r>
      <w:r>
        <w:fldChar w:fldCharType="end"/>
      </w:r>
      <w:r>
        <w:rPr>
          <w:rFonts w:ascii="宋体" w:hAnsi="宋体" w:eastAsia="宋体" w:cs="Times New Roman"/>
          <w:color w:val="auto"/>
          <w:szCs w:val="21"/>
        </w:rPr>
        <w:fldChar w:fldCharType="end"/>
      </w:r>
    </w:p>
    <w:p w14:paraId="75648A74">
      <w:pPr>
        <w:pStyle w:val="30"/>
        <w:tabs>
          <w:tab w:val="right" w:leader="dot" w:pos="10154"/>
          <w:tab w:val="clear" w:pos="10144"/>
        </w:tabs>
        <w:spacing w:line="480" w:lineRule="auto"/>
      </w:pPr>
      <w:r>
        <w:rPr>
          <w:rFonts w:ascii="宋体" w:hAnsi="宋体" w:eastAsia="宋体" w:cs="Times New Roman"/>
          <w:color w:val="auto"/>
          <w:szCs w:val="21"/>
        </w:rPr>
        <w:fldChar w:fldCharType="begin"/>
      </w:r>
      <w:r>
        <w:rPr>
          <w:rFonts w:ascii="宋体" w:hAnsi="宋体" w:eastAsia="宋体" w:cs="Times New Roman"/>
          <w:szCs w:val="21"/>
        </w:rPr>
        <w:instrText xml:space="preserve"> HYPERLINK \l _Toc4213 </w:instrText>
      </w:r>
      <w:r>
        <w:rPr>
          <w:rFonts w:ascii="宋体" w:hAnsi="宋体" w:eastAsia="宋体" w:cs="Times New Roman"/>
          <w:szCs w:val="21"/>
        </w:rPr>
        <w:fldChar w:fldCharType="separate"/>
      </w:r>
      <w:r>
        <w:rPr>
          <w:rFonts w:hint="eastAsia" w:ascii="宋体" w:hAnsi="宋体" w:eastAsia="宋体" w:cs="宋体"/>
          <w:bCs/>
          <w:kern w:val="44"/>
          <w:szCs w:val="21"/>
          <w:lang w:val="zh-CN"/>
        </w:rPr>
        <w:t>二、招标文件</w:t>
      </w:r>
      <w:r>
        <w:tab/>
      </w:r>
      <w:r>
        <w:fldChar w:fldCharType="begin"/>
      </w:r>
      <w:r>
        <w:instrText xml:space="preserve"> PAGEREF _Toc4213 \h </w:instrText>
      </w:r>
      <w:r>
        <w:fldChar w:fldCharType="separate"/>
      </w:r>
      <w:r>
        <w:t>9</w:t>
      </w:r>
      <w:r>
        <w:fldChar w:fldCharType="end"/>
      </w:r>
      <w:r>
        <w:rPr>
          <w:rFonts w:ascii="宋体" w:hAnsi="宋体" w:eastAsia="宋体" w:cs="Times New Roman"/>
          <w:color w:val="auto"/>
          <w:szCs w:val="21"/>
        </w:rPr>
        <w:fldChar w:fldCharType="end"/>
      </w:r>
    </w:p>
    <w:p w14:paraId="14C1EB67">
      <w:pPr>
        <w:pStyle w:val="22"/>
        <w:tabs>
          <w:tab w:val="right" w:leader="dot" w:pos="10154"/>
          <w:tab w:val="clear" w:pos="10144"/>
        </w:tabs>
        <w:spacing w:line="480" w:lineRule="auto"/>
      </w:pPr>
      <w:r>
        <w:rPr>
          <w:rFonts w:ascii="宋体" w:hAnsi="宋体" w:eastAsia="宋体" w:cs="Times New Roman"/>
          <w:color w:val="auto"/>
          <w:szCs w:val="21"/>
        </w:rPr>
        <w:fldChar w:fldCharType="begin"/>
      </w:r>
      <w:r>
        <w:rPr>
          <w:rFonts w:ascii="宋体" w:hAnsi="宋体" w:eastAsia="宋体" w:cs="Times New Roman"/>
          <w:szCs w:val="21"/>
        </w:rPr>
        <w:instrText xml:space="preserve"> HYPERLINK \l _Toc19535 </w:instrText>
      </w:r>
      <w:r>
        <w:rPr>
          <w:rFonts w:ascii="宋体" w:hAnsi="宋体" w:eastAsia="宋体" w:cs="Times New Roman"/>
          <w:szCs w:val="21"/>
        </w:rPr>
        <w:fldChar w:fldCharType="separate"/>
      </w:r>
      <w:r>
        <w:rPr>
          <w:rFonts w:hint="eastAsia" w:ascii="宋体" w:hAnsi="宋体" w:eastAsia="宋体" w:cs="宋体"/>
          <w:szCs w:val="21"/>
          <w:lang w:val="zh-CN"/>
        </w:rPr>
        <w:t>5</w:t>
      </w:r>
      <w:r>
        <w:rPr>
          <w:rFonts w:ascii="宋体" w:hAnsi="宋体" w:eastAsia="宋体" w:cs="宋体"/>
          <w:szCs w:val="21"/>
          <w:lang w:val="zh-CN"/>
        </w:rPr>
        <w:t xml:space="preserve"> </w:t>
      </w:r>
      <w:r>
        <w:rPr>
          <w:rFonts w:hint="eastAsia" w:ascii="宋体" w:hAnsi="宋体" w:eastAsia="宋体" w:cs="宋体"/>
          <w:szCs w:val="21"/>
          <w:lang w:val="zh-CN"/>
        </w:rPr>
        <w:t>招标文件的构成</w:t>
      </w:r>
      <w:r>
        <w:tab/>
      </w:r>
      <w:r>
        <w:fldChar w:fldCharType="begin"/>
      </w:r>
      <w:r>
        <w:instrText xml:space="preserve"> PAGEREF _Toc19535 \h </w:instrText>
      </w:r>
      <w:r>
        <w:fldChar w:fldCharType="separate"/>
      </w:r>
      <w:r>
        <w:t>9</w:t>
      </w:r>
      <w:r>
        <w:fldChar w:fldCharType="end"/>
      </w:r>
      <w:r>
        <w:rPr>
          <w:rFonts w:ascii="宋体" w:hAnsi="宋体" w:eastAsia="宋体" w:cs="Times New Roman"/>
          <w:color w:val="auto"/>
          <w:szCs w:val="21"/>
        </w:rPr>
        <w:fldChar w:fldCharType="end"/>
      </w:r>
    </w:p>
    <w:p w14:paraId="48015514">
      <w:pPr>
        <w:pStyle w:val="22"/>
        <w:tabs>
          <w:tab w:val="right" w:leader="dot" w:pos="10154"/>
          <w:tab w:val="clear" w:pos="10144"/>
        </w:tabs>
        <w:spacing w:line="480" w:lineRule="auto"/>
      </w:pPr>
      <w:r>
        <w:rPr>
          <w:rFonts w:ascii="宋体" w:hAnsi="宋体" w:eastAsia="宋体" w:cs="Times New Roman"/>
          <w:color w:val="auto"/>
          <w:szCs w:val="21"/>
        </w:rPr>
        <w:fldChar w:fldCharType="begin"/>
      </w:r>
      <w:r>
        <w:rPr>
          <w:rFonts w:ascii="宋体" w:hAnsi="宋体" w:eastAsia="宋体" w:cs="Times New Roman"/>
          <w:szCs w:val="21"/>
        </w:rPr>
        <w:instrText xml:space="preserve"> HYPERLINK \l _Toc4130 </w:instrText>
      </w:r>
      <w:r>
        <w:rPr>
          <w:rFonts w:ascii="宋体" w:hAnsi="宋体" w:eastAsia="宋体" w:cs="Times New Roman"/>
          <w:szCs w:val="21"/>
        </w:rPr>
        <w:fldChar w:fldCharType="separate"/>
      </w:r>
      <w:r>
        <w:rPr>
          <w:rFonts w:hint="eastAsia" w:ascii="宋体" w:hAnsi="宋体" w:eastAsia="宋体" w:cs="宋体"/>
          <w:szCs w:val="21"/>
          <w:lang w:val="zh-CN"/>
        </w:rPr>
        <w:t>6</w:t>
      </w:r>
      <w:r>
        <w:rPr>
          <w:rFonts w:ascii="宋体" w:hAnsi="宋体" w:eastAsia="宋体" w:cs="宋体"/>
          <w:szCs w:val="21"/>
          <w:lang w:val="zh-CN"/>
        </w:rPr>
        <w:t xml:space="preserve"> </w:t>
      </w:r>
      <w:r>
        <w:rPr>
          <w:rFonts w:hint="eastAsia" w:ascii="宋体" w:hAnsi="宋体" w:eastAsia="宋体" w:cs="宋体"/>
          <w:szCs w:val="21"/>
          <w:lang w:val="zh-CN"/>
        </w:rPr>
        <w:t>招标文件的异议</w:t>
      </w:r>
      <w:r>
        <w:tab/>
      </w:r>
      <w:r>
        <w:fldChar w:fldCharType="begin"/>
      </w:r>
      <w:r>
        <w:instrText xml:space="preserve"> PAGEREF _Toc4130 \h </w:instrText>
      </w:r>
      <w:r>
        <w:fldChar w:fldCharType="separate"/>
      </w:r>
      <w:r>
        <w:t>10</w:t>
      </w:r>
      <w:r>
        <w:fldChar w:fldCharType="end"/>
      </w:r>
      <w:r>
        <w:rPr>
          <w:rFonts w:ascii="宋体" w:hAnsi="宋体" w:eastAsia="宋体" w:cs="Times New Roman"/>
          <w:color w:val="auto"/>
          <w:szCs w:val="21"/>
        </w:rPr>
        <w:fldChar w:fldCharType="end"/>
      </w:r>
    </w:p>
    <w:p w14:paraId="5250218A">
      <w:pPr>
        <w:pStyle w:val="22"/>
        <w:tabs>
          <w:tab w:val="right" w:leader="dot" w:pos="10154"/>
          <w:tab w:val="clear" w:pos="10144"/>
        </w:tabs>
        <w:spacing w:line="480" w:lineRule="auto"/>
      </w:pPr>
      <w:r>
        <w:rPr>
          <w:rFonts w:ascii="宋体" w:hAnsi="宋体" w:eastAsia="宋体" w:cs="Times New Roman"/>
          <w:color w:val="auto"/>
          <w:szCs w:val="21"/>
        </w:rPr>
        <w:fldChar w:fldCharType="begin"/>
      </w:r>
      <w:r>
        <w:rPr>
          <w:rFonts w:ascii="宋体" w:hAnsi="宋体" w:eastAsia="宋体" w:cs="Times New Roman"/>
          <w:szCs w:val="21"/>
        </w:rPr>
        <w:instrText xml:space="preserve"> HYPERLINK \l _Toc19569 </w:instrText>
      </w:r>
      <w:r>
        <w:rPr>
          <w:rFonts w:ascii="宋体" w:hAnsi="宋体" w:eastAsia="宋体" w:cs="Times New Roman"/>
          <w:szCs w:val="21"/>
        </w:rPr>
        <w:fldChar w:fldCharType="separate"/>
      </w:r>
      <w:r>
        <w:rPr>
          <w:rFonts w:hint="eastAsia" w:ascii="宋体" w:hAnsi="宋体" w:eastAsia="宋体" w:cs="宋体"/>
          <w:szCs w:val="21"/>
          <w:lang w:val="zh-CN"/>
        </w:rPr>
        <w:t>7</w:t>
      </w:r>
      <w:r>
        <w:rPr>
          <w:rFonts w:ascii="宋体" w:hAnsi="宋体" w:eastAsia="宋体" w:cs="宋体"/>
          <w:szCs w:val="21"/>
          <w:lang w:val="zh-CN"/>
        </w:rPr>
        <w:t xml:space="preserve"> </w:t>
      </w:r>
      <w:r>
        <w:rPr>
          <w:rFonts w:hint="eastAsia" w:ascii="宋体" w:hAnsi="宋体" w:eastAsia="宋体" w:cs="宋体"/>
          <w:szCs w:val="21"/>
          <w:lang w:val="zh-CN"/>
        </w:rPr>
        <w:t>招标文件的澄清及修改</w:t>
      </w:r>
      <w:r>
        <w:tab/>
      </w:r>
      <w:r>
        <w:fldChar w:fldCharType="begin"/>
      </w:r>
      <w:r>
        <w:instrText xml:space="preserve"> PAGEREF _Toc19569 \h </w:instrText>
      </w:r>
      <w:r>
        <w:fldChar w:fldCharType="separate"/>
      </w:r>
      <w:r>
        <w:t>10</w:t>
      </w:r>
      <w:r>
        <w:fldChar w:fldCharType="end"/>
      </w:r>
      <w:r>
        <w:rPr>
          <w:rFonts w:ascii="宋体" w:hAnsi="宋体" w:eastAsia="宋体" w:cs="Times New Roman"/>
          <w:color w:val="auto"/>
          <w:szCs w:val="21"/>
        </w:rPr>
        <w:fldChar w:fldCharType="end"/>
      </w:r>
    </w:p>
    <w:p w14:paraId="0B3CFABA">
      <w:pPr>
        <w:pStyle w:val="30"/>
        <w:tabs>
          <w:tab w:val="right" w:leader="dot" w:pos="10154"/>
          <w:tab w:val="clear" w:pos="10144"/>
        </w:tabs>
        <w:spacing w:line="480" w:lineRule="auto"/>
      </w:pPr>
      <w:r>
        <w:rPr>
          <w:rFonts w:ascii="宋体" w:hAnsi="宋体" w:eastAsia="宋体" w:cs="Times New Roman"/>
          <w:color w:val="auto"/>
          <w:szCs w:val="21"/>
        </w:rPr>
        <w:fldChar w:fldCharType="begin"/>
      </w:r>
      <w:r>
        <w:rPr>
          <w:rFonts w:ascii="宋体" w:hAnsi="宋体" w:eastAsia="宋体" w:cs="Times New Roman"/>
          <w:szCs w:val="21"/>
        </w:rPr>
        <w:instrText xml:space="preserve"> HYPERLINK \l _Toc30300 </w:instrText>
      </w:r>
      <w:r>
        <w:rPr>
          <w:rFonts w:ascii="宋体" w:hAnsi="宋体" w:eastAsia="宋体" w:cs="Times New Roman"/>
          <w:szCs w:val="21"/>
        </w:rPr>
        <w:fldChar w:fldCharType="separate"/>
      </w:r>
      <w:r>
        <w:rPr>
          <w:rFonts w:hint="eastAsia" w:ascii="宋体" w:hAnsi="宋体" w:eastAsia="宋体" w:cs="宋体"/>
          <w:bCs/>
          <w:kern w:val="44"/>
          <w:szCs w:val="21"/>
          <w:lang w:val="zh-CN"/>
        </w:rPr>
        <w:t>三、投标文件的编制</w:t>
      </w:r>
      <w:r>
        <w:tab/>
      </w:r>
      <w:r>
        <w:fldChar w:fldCharType="begin"/>
      </w:r>
      <w:r>
        <w:instrText xml:space="preserve"> PAGEREF _Toc30300 \h </w:instrText>
      </w:r>
      <w:r>
        <w:fldChar w:fldCharType="separate"/>
      </w:r>
      <w:r>
        <w:t>10</w:t>
      </w:r>
      <w:r>
        <w:fldChar w:fldCharType="end"/>
      </w:r>
      <w:r>
        <w:rPr>
          <w:rFonts w:ascii="宋体" w:hAnsi="宋体" w:eastAsia="宋体" w:cs="Times New Roman"/>
          <w:color w:val="auto"/>
          <w:szCs w:val="21"/>
        </w:rPr>
        <w:fldChar w:fldCharType="end"/>
      </w:r>
    </w:p>
    <w:p w14:paraId="52B5291A">
      <w:pPr>
        <w:pStyle w:val="22"/>
        <w:tabs>
          <w:tab w:val="right" w:leader="dot" w:pos="10154"/>
          <w:tab w:val="clear" w:pos="10144"/>
        </w:tabs>
        <w:spacing w:line="480" w:lineRule="auto"/>
      </w:pPr>
      <w:r>
        <w:rPr>
          <w:rFonts w:ascii="宋体" w:hAnsi="宋体" w:eastAsia="宋体" w:cs="Times New Roman"/>
          <w:color w:val="auto"/>
          <w:szCs w:val="21"/>
        </w:rPr>
        <w:fldChar w:fldCharType="begin"/>
      </w:r>
      <w:r>
        <w:rPr>
          <w:rFonts w:ascii="宋体" w:hAnsi="宋体" w:eastAsia="宋体" w:cs="Times New Roman"/>
          <w:szCs w:val="21"/>
        </w:rPr>
        <w:instrText xml:space="preserve"> HYPERLINK \l _Toc14722 </w:instrText>
      </w:r>
      <w:r>
        <w:rPr>
          <w:rFonts w:ascii="宋体" w:hAnsi="宋体" w:eastAsia="宋体" w:cs="Times New Roman"/>
          <w:szCs w:val="21"/>
        </w:rPr>
        <w:fldChar w:fldCharType="separate"/>
      </w:r>
      <w:r>
        <w:rPr>
          <w:rFonts w:hint="eastAsia" w:ascii="宋体" w:hAnsi="宋体" w:eastAsia="宋体" w:cs="宋体"/>
          <w:szCs w:val="21"/>
          <w:lang w:val="zh-CN"/>
        </w:rPr>
        <w:t>8</w:t>
      </w:r>
      <w:r>
        <w:rPr>
          <w:rFonts w:ascii="宋体" w:hAnsi="宋体" w:eastAsia="宋体" w:cs="宋体"/>
          <w:szCs w:val="21"/>
          <w:lang w:val="zh-CN"/>
        </w:rPr>
        <w:t xml:space="preserve"> </w:t>
      </w:r>
      <w:r>
        <w:rPr>
          <w:rFonts w:hint="eastAsia" w:ascii="宋体" w:hAnsi="宋体" w:eastAsia="宋体" w:cs="宋体"/>
          <w:szCs w:val="21"/>
          <w:lang w:val="zh-CN"/>
        </w:rPr>
        <w:t>投标使用的文字及度量衡单位</w:t>
      </w:r>
      <w:r>
        <w:tab/>
      </w:r>
      <w:r>
        <w:fldChar w:fldCharType="begin"/>
      </w:r>
      <w:r>
        <w:instrText xml:space="preserve"> PAGEREF _Toc14722 \h </w:instrText>
      </w:r>
      <w:r>
        <w:fldChar w:fldCharType="separate"/>
      </w:r>
      <w:r>
        <w:t>10</w:t>
      </w:r>
      <w:r>
        <w:fldChar w:fldCharType="end"/>
      </w:r>
      <w:r>
        <w:rPr>
          <w:rFonts w:ascii="宋体" w:hAnsi="宋体" w:eastAsia="宋体" w:cs="Times New Roman"/>
          <w:color w:val="auto"/>
          <w:szCs w:val="21"/>
        </w:rPr>
        <w:fldChar w:fldCharType="end"/>
      </w:r>
    </w:p>
    <w:p w14:paraId="5253FF3C">
      <w:pPr>
        <w:pStyle w:val="22"/>
        <w:tabs>
          <w:tab w:val="right" w:leader="dot" w:pos="10154"/>
          <w:tab w:val="clear" w:pos="10144"/>
        </w:tabs>
        <w:spacing w:line="480" w:lineRule="auto"/>
      </w:pPr>
      <w:r>
        <w:rPr>
          <w:rFonts w:ascii="宋体" w:hAnsi="宋体" w:eastAsia="宋体" w:cs="Times New Roman"/>
          <w:color w:val="auto"/>
          <w:szCs w:val="21"/>
        </w:rPr>
        <w:fldChar w:fldCharType="begin"/>
      </w:r>
      <w:r>
        <w:rPr>
          <w:rFonts w:ascii="宋体" w:hAnsi="宋体" w:eastAsia="宋体" w:cs="Times New Roman"/>
          <w:szCs w:val="21"/>
        </w:rPr>
        <w:instrText xml:space="preserve"> HYPERLINK \l _Toc21774 </w:instrText>
      </w:r>
      <w:r>
        <w:rPr>
          <w:rFonts w:ascii="宋体" w:hAnsi="宋体" w:eastAsia="宋体" w:cs="Times New Roman"/>
          <w:szCs w:val="21"/>
        </w:rPr>
        <w:fldChar w:fldCharType="separate"/>
      </w:r>
      <w:r>
        <w:rPr>
          <w:rFonts w:hint="eastAsia" w:ascii="宋体" w:hAnsi="宋体" w:eastAsia="宋体" w:cs="宋体"/>
          <w:szCs w:val="21"/>
          <w:lang w:val="zh-CN"/>
        </w:rPr>
        <w:t>9</w:t>
      </w:r>
      <w:r>
        <w:rPr>
          <w:rFonts w:ascii="宋体" w:hAnsi="宋体" w:eastAsia="宋体" w:cs="宋体"/>
          <w:szCs w:val="24"/>
          <w:lang w:val="zh-CN"/>
        </w:rPr>
        <w:t xml:space="preserve"> </w:t>
      </w:r>
      <w:r>
        <w:rPr>
          <w:rFonts w:hint="eastAsia" w:ascii="宋体" w:hAnsi="宋体" w:eastAsia="宋体" w:cs="宋体"/>
          <w:szCs w:val="21"/>
          <w:lang w:val="zh-CN"/>
        </w:rPr>
        <w:t>投标文件的组成</w:t>
      </w:r>
      <w:r>
        <w:tab/>
      </w:r>
      <w:r>
        <w:fldChar w:fldCharType="begin"/>
      </w:r>
      <w:r>
        <w:instrText xml:space="preserve"> PAGEREF _Toc21774 \h </w:instrText>
      </w:r>
      <w:r>
        <w:fldChar w:fldCharType="separate"/>
      </w:r>
      <w:r>
        <w:t>10</w:t>
      </w:r>
      <w:r>
        <w:fldChar w:fldCharType="end"/>
      </w:r>
      <w:r>
        <w:rPr>
          <w:rFonts w:ascii="宋体" w:hAnsi="宋体" w:eastAsia="宋体" w:cs="Times New Roman"/>
          <w:color w:val="auto"/>
          <w:szCs w:val="21"/>
        </w:rPr>
        <w:fldChar w:fldCharType="end"/>
      </w:r>
    </w:p>
    <w:p w14:paraId="2462E384">
      <w:pPr>
        <w:pStyle w:val="22"/>
        <w:tabs>
          <w:tab w:val="right" w:leader="dot" w:pos="10154"/>
          <w:tab w:val="clear" w:pos="10144"/>
        </w:tabs>
        <w:spacing w:line="480" w:lineRule="auto"/>
      </w:pPr>
      <w:r>
        <w:rPr>
          <w:rFonts w:ascii="宋体" w:hAnsi="宋体" w:eastAsia="宋体" w:cs="Times New Roman"/>
          <w:color w:val="auto"/>
          <w:szCs w:val="21"/>
        </w:rPr>
        <w:fldChar w:fldCharType="begin"/>
      </w:r>
      <w:r>
        <w:rPr>
          <w:rFonts w:ascii="宋体" w:hAnsi="宋体" w:eastAsia="宋体" w:cs="Times New Roman"/>
          <w:szCs w:val="21"/>
        </w:rPr>
        <w:instrText xml:space="preserve"> HYPERLINK \l _Toc7265 </w:instrText>
      </w:r>
      <w:r>
        <w:rPr>
          <w:rFonts w:ascii="宋体" w:hAnsi="宋体" w:eastAsia="宋体" w:cs="Times New Roman"/>
          <w:szCs w:val="21"/>
        </w:rPr>
        <w:fldChar w:fldCharType="separate"/>
      </w:r>
      <w:r>
        <w:rPr>
          <w:rFonts w:hint="eastAsia" w:ascii="宋体" w:hAnsi="宋体" w:eastAsia="宋体" w:cs="宋体"/>
          <w:szCs w:val="21"/>
          <w:lang w:val="zh-CN"/>
        </w:rPr>
        <w:t>10</w:t>
      </w:r>
      <w:r>
        <w:rPr>
          <w:rFonts w:ascii="宋体" w:hAnsi="宋体" w:eastAsia="宋体" w:cs="宋体"/>
          <w:szCs w:val="21"/>
          <w:lang w:val="zh-CN"/>
        </w:rPr>
        <w:t xml:space="preserve"> </w:t>
      </w:r>
      <w:r>
        <w:rPr>
          <w:rFonts w:hint="eastAsia" w:ascii="宋体" w:hAnsi="宋体" w:eastAsia="宋体" w:cs="宋体"/>
          <w:szCs w:val="21"/>
          <w:lang w:val="zh-CN"/>
        </w:rPr>
        <w:t>投标函</w:t>
      </w:r>
      <w:r>
        <w:tab/>
      </w:r>
      <w:r>
        <w:fldChar w:fldCharType="begin"/>
      </w:r>
      <w:r>
        <w:instrText xml:space="preserve"> PAGEREF _Toc7265 \h </w:instrText>
      </w:r>
      <w:r>
        <w:fldChar w:fldCharType="separate"/>
      </w:r>
      <w:r>
        <w:t>12</w:t>
      </w:r>
      <w:r>
        <w:fldChar w:fldCharType="end"/>
      </w:r>
      <w:r>
        <w:rPr>
          <w:rFonts w:ascii="宋体" w:hAnsi="宋体" w:eastAsia="宋体" w:cs="Times New Roman"/>
          <w:color w:val="auto"/>
          <w:szCs w:val="21"/>
        </w:rPr>
        <w:fldChar w:fldCharType="end"/>
      </w:r>
    </w:p>
    <w:p w14:paraId="30E39B2A">
      <w:pPr>
        <w:pStyle w:val="22"/>
        <w:tabs>
          <w:tab w:val="right" w:leader="dot" w:pos="10154"/>
          <w:tab w:val="clear" w:pos="10144"/>
        </w:tabs>
        <w:spacing w:line="480" w:lineRule="auto"/>
      </w:pPr>
      <w:r>
        <w:rPr>
          <w:rFonts w:ascii="宋体" w:hAnsi="宋体" w:eastAsia="宋体" w:cs="Times New Roman"/>
          <w:color w:val="auto"/>
          <w:szCs w:val="21"/>
        </w:rPr>
        <w:fldChar w:fldCharType="begin"/>
      </w:r>
      <w:r>
        <w:rPr>
          <w:rFonts w:ascii="宋体" w:hAnsi="宋体" w:eastAsia="宋体" w:cs="Times New Roman"/>
          <w:szCs w:val="21"/>
        </w:rPr>
        <w:instrText xml:space="preserve"> HYPERLINK \l _Toc23985 </w:instrText>
      </w:r>
      <w:r>
        <w:rPr>
          <w:rFonts w:ascii="宋体" w:hAnsi="宋体" w:eastAsia="宋体" w:cs="Times New Roman"/>
          <w:szCs w:val="21"/>
        </w:rPr>
        <w:fldChar w:fldCharType="separate"/>
      </w:r>
      <w:r>
        <w:rPr>
          <w:rFonts w:hint="eastAsia" w:ascii="宋体" w:hAnsi="宋体" w:eastAsia="宋体" w:cs="宋体"/>
          <w:szCs w:val="21"/>
          <w:lang w:val="zh-CN"/>
        </w:rPr>
        <w:t>11</w:t>
      </w:r>
      <w:r>
        <w:rPr>
          <w:rFonts w:ascii="宋体" w:hAnsi="宋体" w:eastAsia="宋体" w:cs="宋体"/>
          <w:szCs w:val="21"/>
          <w:lang w:val="zh-CN"/>
        </w:rPr>
        <w:t xml:space="preserve"> </w:t>
      </w:r>
      <w:r>
        <w:rPr>
          <w:rFonts w:hint="eastAsia" w:ascii="宋体" w:hAnsi="宋体" w:eastAsia="宋体" w:cs="宋体"/>
          <w:szCs w:val="21"/>
          <w:lang w:val="zh-CN"/>
        </w:rPr>
        <w:t>投标报价</w:t>
      </w:r>
      <w:r>
        <w:tab/>
      </w:r>
      <w:r>
        <w:fldChar w:fldCharType="begin"/>
      </w:r>
      <w:r>
        <w:instrText xml:space="preserve"> PAGEREF _Toc23985 \h </w:instrText>
      </w:r>
      <w:r>
        <w:fldChar w:fldCharType="separate"/>
      </w:r>
      <w:r>
        <w:t>12</w:t>
      </w:r>
      <w:r>
        <w:fldChar w:fldCharType="end"/>
      </w:r>
      <w:r>
        <w:rPr>
          <w:rFonts w:ascii="宋体" w:hAnsi="宋体" w:eastAsia="宋体" w:cs="Times New Roman"/>
          <w:color w:val="auto"/>
          <w:szCs w:val="21"/>
        </w:rPr>
        <w:fldChar w:fldCharType="end"/>
      </w:r>
    </w:p>
    <w:p w14:paraId="68121BBA">
      <w:pPr>
        <w:pStyle w:val="22"/>
        <w:tabs>
          <w:tab w:val="right" w:leader="dot" w:pos="10154"/>
          <w:tab w:val="clear" w:pos="10144"/>
        </w:tabs>
        <w:spacing w:line="480" w:lineRule="auto"/>
      </w:pPr>
      <w:r>
        <w:rPr>
          <w:rFonts w:ascii="宋体" w:hAnsi="宋体" w:eastAsia="宋体" w:cs="Times New Roman"/>
          <w:color w:val="auto"/>
          <w:szCs w:val="21"/>
        </w:rPr>
        <w:fldChar w:fldCharType="begin"/>
      </w:r>
      <w:r>
        <w:rPr>
          <w:rFonts w:ascii="宋体" w:hAnsi="宋体" w:eastAsia="宋体" w:cs="Times New Roman"/>
          <w:szCs w:val="21"/>
        </w:rPr>
        <w:instrText xml:space="preserve"> HYPERLINK \l _Toc25685 </w:instrText>
      </w:r>
      <w:r>
        <w:rPr>
          <w:rFonts w:ascii="宋体" w:hAnsi="宋体" w:eastAsia="宋体" w:cs="Times New Roman"/>
          <w:szCs w:val="21"/>
        </w:rPr>
        <w:fldChar w:fldCharType="separate"/>
      </w:r>
      <w:r>
        <w:rPr>
          <w:rFonts w:hint="eastAsia" w:ascii="宋体" w:hAnsi="宋体" w:eastAsia="宋体" w:cs="宋体"/>
          <w:szCs w:val="21"/>
          <w:lang w:val="zh-CN"/>
        </w:rPr>
        <w:t>12</w:t>
      </w:r>
      <w:r>
        <w:rPr>
          <w:rFonts w:ascii="宋体" w:hAnsi="宋体" w:eastAsia="宋体" w:cs="宋体"/>
          <w:szCs w:val="21"/>
          <w:lang w:val="zh-CN"/>
        </w:rPr>
        <w:t xml:space="preserve"> </w:t>
      </w:r>
      <w:r>
        <w:rPr>
          <w:rFonts w:hint="eastAsia" w:ascii="宋体" w:hAnsi="宋体" w:eastAsia="宋体" w:cs="宋体"/>
          <w:szCs w:val="21"/>
          <w:lang w:val="zh-CN"/>
        </w:rPr>
        <w:t>投标报价货币</w:t>
      </w:r>
      <w:r>
        <w:tab/>
      </w:r>
      <w:r>
        <w:fldChar w:fldCharType="begin"/>
      </w:r>
      <w:r>
        <w:instrText xml:space="preserve"> PAGEREF _Toc25685 \h </w:instrText>
      </w:r>
      <w:r>
        <w:fldChar w:fldCharType="separate"/>
      </w:r>
      <w:r>
        <w:t>13</w:t>
      </w:r>
      <w:r>
        <w:fldChar w:fldCharType="end"/>
      </w:r>
      <w:r>
        <w:rPr>
          <w:rFonts w:ascii="宋体" w:hAnsi="宋体" w:eastAsia="宋体" w:cs="Times New Roman"/>
          <w:color w:val="auto"/>
          <w:szCs w:val="21"/>
        </w:rPr>
        <w:fldChar w:fldCharType="end"/>
      </w:r>
    </w:p>
    <w:p w14:paraId="3A97A28D">
      <w:pPr>
        <w:pStyle w:val="22"/>
        <w:tabs>
          <w:tab w:val="right" w:leader="dot" w:pos="10154"/>
          <w:tab w:val="clear" w:pos="10144"/>
        </w:tabs>
        <w:spacing w:line="480" w:lineRule="auto"/>
      </w:pPr>
      <w:r>
        <w:rPr>
          <w:rFonts w:ascii="宋体" w:hAnsi="宋体" w:eastAsia="宋体" w:cs="Times New Roman"/>
          <w:color w:val="auto"/>
          <w:szCs w:val="21"/>
        </w:rPr>
        <w:fldChar w:fldCharType="begin"/>
      </w:r>
      <w:r>
        <w:rPr>
          <w:rFonts w:ascii="宋体" w:hAnsi="宋体" w:eastAsia="宋体" w:cs="Times New Roman"/>
          <w:szCs w:val="21"/>
        </w:rPr>
        <w:instrText xml:space="preserve"> HYPERLINK \l _Toc32605 </w:instrText>
      </w:r>
      <w:r>
        <w:rPr>
          <w:rFonts w:ascii="宋体" w:hAnsi="宋体" w:eastAsia="宋体" w:cs="Times New Roman"/>
          <w:szCs w:val="21"/>
        </w:rPr>
        <w:fldChar w:fldCharType="separate"/>
      </w:r>
      <w:r>
        <w:rPr>
          <w:rFonts w:hint="eastAsia" w:ascii="宋体" w:hAnsi="宋体" w:eastAsia="宋体" w:cs="宋体"/>
          <w:szCs w:val="21"/>
          <w:lang w:val="zh-CN"/>
        </w:rPr>
        <w:t>13</w:t>
      </w:r>
      <w:r>
        <w:rPr>
          <w:rFonts w:ascii="宋体" w:hAnsi="宋体" w:eastAsia="宋体" w:cs="宋体"/>
          <w:szCs w:val="21"/>
          <w:lang w:val="zh-CN"/>
        </w:rPr>
        <w:t xml:space="preserve"> </w:t>
      </w:r>
      <w:r>
        <w:rPr>
          <w:rFonts w:hint="eastAsia" w:ascii="宋体" w:hAnsi="宋体" w:eastAsia="宋体" w:cs="宋体"/>
          <w:szCs w:val="21"/>
          <w:lang w:val="zh-CN"/>
        </w:rPr>
        <w:t>证明投标人的合格性和资格的声明文件</w:t>
      </w:r>
      <w:r>
        <w:tab/>
      </w:r>
      <w:r>
        <w:fldChar w:fldCharType="begin"/>
      </w:r>
      <w:r>
        <w:instrText xml:space="preserve"> PAGEREF _Toc32605 \h </w:instrText>
      </w:r>
      <w:r>
        <w:fldChar w:fldCharType="separate"/>
      </w:r>
      <w:r>
        <w:t>13</w:t>
      </w:r>
      <w:r>
        <w:fldChar w:fldCharType="end"/>
      </w:r>
      <w:r>
        <w:rPr>
          <w:rFonts w:ascii="宋体" w:hAnsi="宋体" w:eastAsia="宋体" w:cs="Times New Roman"/>
          <w:color w:val="auto"/>
          <w:szCs w:val="21"/>
        </w:rPr>
        <w:fldChar w:fldCharType="end"/>
      </w:r>
    </w:p>
    <w:p w14:paraId="2C7FCD47">
      <w:pPr>
        <w:pStyle w:val="22"/>
        <w:tabs>
          <w:tab w:val="right" w:leader="dot" w:pos="10154"/>
          <w:tab w:val="clear" w:pos="10144"/>
        </w:tabs>
        <w:spacing w:line="480" w:lineRule="auto"/>
      </w:pPr>
      <w:r>
        <w:rPr>
          <w:rFonts w:ascii="宋体" w:hAnsi="宋体" w:eastAsia="宋体" w:cs="Times New Roman"/>
          <w:color w:val="auto"/>
          <w:szCs w:val="21"/>
        </w:rPr>
        <w:fldChar w:fldCharType="begin"/>
      </w:r>
      <w:r>
        <w:rPr>
          <w:rFonts w:ascii="宋体" w:hAnsi="宋体" w:eastAsia="宋体" w:cs="Times New Roman"/>
          <w:szCs w:val="21"/>
        </w:rPr>
        <w:instrText xml:space="preserve"> HYPERLINK \l _Toc13658 </w:instrText>
      </w:r>
      <w:r>
        <w:rPr>
          <w:rFonts w:ascii="宋体" w:hAnsi="宋体" w:eastAsia="宋体" w:cs="Times New Roman"/>
          <w:szCs w:val="21"/>
        </w:rPr>
        <w:fldChar w:fldCharType="separate"/>
      </w:r>
      <w:r>
        <w:rPr>
          <w:rFonts w:hint="eastAsia" w:ascii="宋体" w:hAnsi="宋体" w:eastAsia="宋体" w:cs="宋体"/>
          <w:szCs w:val="21"/>
          <w:lang w:val="zh-CN"/>
        </w:rPr>
        <w:t>14</w:t>
      </w:r>
      <w:r>
        <w:rPr>
          <w:rFonts w:ascii="宋体" w:hAnsi="宋体" w:eastAsia="宋体" w:cs="宋体"/>
          <w:szCs w:val="21"/>
          <w:lang w:val="zh-CN"/>
        </w:rPr>
        <w:t xml:space="preserve"> </w:t>
      </w:r>
      <w:r>
        <w:rPr>
          <w:rFonts w:hint="eastAsia" w:ascii="宋体" w:hAnsi="宋体" w:eastAsia="宋体" w:cs="宋体"/>
          <w:szCs w:val="21"/>
          <w:lang w:val="zh-CN"/>
        </w:rPr>
        <w:t>证明货物的合格性并符合招标文件规定的声明文件</w:t>
      </w:r>
      <w:r>
        <w:tab/>
      </w:r>
      <w:r>
        <w:fldChar w:fldCharType="begin"/>
      </w:r>
      <w:r>
        <w:instrText xml:space="preserve"> PAGEREF _Toc13658 \h </w:instrText>
      </w:r>
      <w:r>
        <w:fldChar w:fldCharType="separate"/>
      </w:r>
      <w:r>
        <w:t>13</w:t>
      </w:r>
      <w:r>
        <w:fldChar w:fldCharType="end"/>
      </w:r>
      <w:r>
        <w:rPr>
          <w:rFonts w:ascii="宋体" w:hAnsi="宋体" w:eastAsia="宋体" w:cs="Times New Roman"/>
          <w:color w:val="auto"/>
          <w:szCs w:val="21"/>
        </w:rPr>
        <w:fldChar w:fldCharType="end"/>
      </w:r>
    </w:p>
    <w:p w14:paraId="2F2AAE0A">
      <w:pPr>
        <w:pStyle w:val="22"/>
        <w:tabs>
          <w:tab w:val="right" w:leader="dot" w:pos="10154"/>
          <w:tab w:val="clear" w:pos="10144"/>
        </w:tabs>
        <w:spacing w:line="480" w:lineRule="auto"/>
      </w:pPr>
      <w:r>
        <w:rPr>
          <w:rFonts w:ascii="宋体" w:hAnsi="宋体" w:eastAsia="宋体" w:cs="Times New Roman"/>
          <w:color w:val="auto"/>
          <w:szCs w:val="21"/>
        </w:rPr>
        <w:fldChar w:fldCharType="begin"/>
      </w:r>
      <w:r>
        <w:rPr>
          <w:rFonts w:ascii="宋体" w:hAnsi="宋体" w:eastAsia="宋体" w:cs="Times New Roman"/>
          <w:szCs w:val="21"/>
        </w:rPr>
        <w:instrText xml:space="preserve"> HYPERLINK \l _Toc599 </w:instrText>
      </w:r>
      <w:r>
        <w:rPr>
          <w:rFonts w:ascii="宋体" w:hAnsi="宋体" w:eastAsia="宋体" w:cs="Times New Roman"/>
          <w:szCs w:val="21"/>
        </w:rPr>
        <w:fldChar w:fldCharType="separate"/>
      </w:r>
      <w:r>
        <w:rPr>
          <w:rFonts w:hint="eastAsia" w:ascii="宋体" w:hAnsi="宋体" w:eastAsia="宋体" w:cs="宋体"/>
          <w:szCs w:val="21"/>
          <w:lang w:val="zh-CN"/>
        </w:rPr>
        <w:t>15</w:t>
      </w:r>
      <w:r>
        <w:rPr>
          <w:rFonts w:ascii="宋体" w:hAnsi="宋体" w:eastAsia="宋体" w:cs="宋体"/>
          <w:szCs w:val="21"/>
          <w:lang w:val="zh-CN"/>
        </w:rPr>
        <w:t xml:space="preserve"> </w:t>
      </w:r>
      <w:r>
        <w:rPr>
          <w:rFonts w:hint="eastAsia" w:ascii="宋体" w:hAnsi="宋体" w:eastAsia="宋体" w:cs="宋体"/>
          <w:szCs w:val="21"/>
          <w:lang w:val="zh-CN"/>
        </w:rPr>
        <w:t>投标保证金</w:t>
      </w:r>
      <w:r>
        <w:tab/>
      </w:r>
      <w:r>
        <w:fldChar w:fldCharType="begin"/>
      </w:r>
      <w:r>
        <w:instrText xml:space="preserve"> PAGEREF _Toc599 \h </w:instrText>
      </w:r>
      <w:r>
        <w:fldChar w:fldCharType="separate"/>
      </w:r>
      <w:r>
        <w:t>14</w:t>
      </w:r>
      <w:r>
        <w:fldChar w:fldCharType="end"/>
      </w:r>
      <w:r>
        <w:rPr>
          <w:rFonts w:ascii="宋体" w:hAnsi="宋体" w:eastAsia="宋体" w:cs="Times New Roman"/>
          <w:color w:val="auto"/>
          <w:szCs w:val="21"/>
        </w:rPr>
        <w:fldChar w:fldCharType="end"/>
      </w:r>
    </w:p>
    <w:p w14:paraId="66C77048">
      <w:pPr>
        <w:pStyle w:val="22"/>
        <w:tabs>
          <w:tab w:val="right" w:leader="dot" w:pos="10154"/>
          <w:tab w:val="clear" w:pos="10144"/>
        </w:tabs>
        <w:spacing w:line="480" w:lineRule="auto"/>
      </w:pPr>
      <w:r>
        <w:rPr>
          <w:rFonts w:ascii="宋体" w:hAnsi="宋体" w:eastAsia="宋体" w:cs="Times New Roman"/>
          <w:color w:val="auto"/>
          <w:szCs w:val="21"/>
        </w:rPr>
        <w:fldChar w:fldCharType="begin"/>
      </w:r>
      <w:r>
        <w:rPr>
          <w:rFonts w:ascii="宋体" w:hAnsi="宋体" w:eastAsia="宋体" w:cs="Times New Roman"/>
          <w:szCs w:val="21"/>
        </w:rPr>
        <w:instrText xml:space="preserve"> HYPERLINK \l _Toc494 </w:instrText>
      </w:r>
      <w:r>
        <w:rPr>
          <w:rFonts w:ascii="宋体" w:hAnsi="宋体" w:eastAsia="宋体" w:cs="Times New Roman"/>
          <w:szCs w:val="21"/>
        </w:rPr>
        <w:fldChar w:fldCharType="separate"/>
      </w:r>
      <w:r>
        <w:rPr>
          <w:rFonts w:hint="eastAsia" w:ascii="宋体" w:hAnsi="宋体" w:eastAsia="宋体" w:cs="宋体"/>
          <w:szCs w:val="21"/>
          <w:lang w:val="zh-CN"/>
        </w:rPr>
        <w:t>16</w:t>
      </w:r>
      <w:r>
        <w:rPr>
          <w:rFonts w:ascii="宋体" w:hAnsi="宋体" w:eastAsia="宋体" w:cs="宋体"/>
          <w:szCs w:val="21"/>
          <w:lang w:val="zh-CN"/>
        </w:rPr>
        <w:t xml:space="preserve"> </w:t>
      </w:r>
      <w:r>
        <w:rPr>
          <w:rFonts w:hint="eastAsia" w:ascii="宋体" w:hAnsi="宋体" w:eastAsia="宋体" w:cs="宋体"/>
          <w:szCs w:val="21"/>
          <w:lang w:val="zh-CN"/>
        </w:rPr>
        <w:t>投标有效期</w:t>
      </w:r>
      <w:r>
        <w:tab/>
      </w:r>
      <w:r>
        <w:fldChar w:fldCharType="begin"/>
      </w:r>
      <w:r>
        <w:instrText xml:space="preserve"> PAGEREF _Toc494 \h </w:instrText>
      </w:r>
      <w:r>
        <w:fldChar w:fldCharType="separate"/>
      </w:r>
      <w:r>
        <w:t>14</w:t>
      </w:r>
      <w:r>
        <w:fldChar w:fldCharType="end"/>
      </w:r>
      <w:r>
        <w:rPr>
          <w:rFonts w:ascii="宋体" w:hAnsi="宋体" w:eastAsia="宋体" w:cs="Times New Roman"/>
          <w:color w:val="auto"/>
          <w:szCs w:val="21"/>
        </w:rPr>
        <w:fldChar w:fldCharType="end"/>
      </w:r>
    </w:p>
    <w:p w14:paraId="543DC40A">
      <w:pPr>
        <w:pStyle w:val="22"/>
        <w:tabs>
          <w:tab w:val="right" w:leader="dot" w:pos="10154"/>
          <w:tab w:val="clear" w:pos="10144"/>
        </w:tabs>
        <w:spacing w:line="480" w:lineRule="auto"/>
      </w:pPr>
      <w:r>
        <w:rPr>
          <w:rFonts w:ascii="宋体" w:hAnsi="宋体" w:eastAsia="宋体" w:cs="Times New Roman"/>
          <w:color w:val="auto"/>
          <w:szCs w:val="21"/>
        </w:rPr>
        <w:fldChar w:fldCharType="begin"/>
      </w:r>
      <w:r>
        <w:rPr>
          <w:rFonts w:ascii="宋体" w:hAnsi="宋体" w:eastAsia="宋体" w:cs="Times New Roman"/>
          <w:szCs w:val="21"/>
        </w:rPr>
        <w:instrText xml:space="preserve"> HYPERLINK \l _Toc30001 </w:instrText>
      </w:r>
      <w:r>
        <w:rPr>
          <w:rFonts w:ascii="宋体" w:hAnsi="宋体" w:eastAsia="宋体" w:cs="Times New Roman"/>
          <w:szCs w:val="21"/>
        </w:rPr>
        <w:fldChar w:fldCharType="separate"/>
      </w:r>
      <w:r>
        <w:rPr>
          <w:rFonts w:hint="eastAsia" w:ascii="宋体" w:hAnsi="宋体" w:eastAsia="宋体" w:cs="宋体"/>
          <w:szCs w:val="21"/>
          <w:lang w:val="zh-CN"/>
        </w:rPr>
        <w:t>17</w:t>
      </w:r>
      <w:r>
        <w:rPr>
          <w:rFonts w:ascii="宋体" w:hAnsi="宋体" w:eastAsia="宋体" w:cs="宋体"/>
          <w:szCs w:val="21"/>
          <w:lang w:val="zh-CN"/>
        </w:rPr>
        <w:t xml:space="preserve"> </w:t>
      </w:r>
      <w:r>
        <w:rPr>
          <w:rFonts w:hint="eastAsia" w:ascii="宋体" w:hAnsi="宋体" w:eastAsia="宋体" w:cs="宋体"/>
          <w:szCs w:val="21"/>
          <w:lang w:val="zh-CN"/>
        </w:rPr>
        <w:t>投标文件的式样和签署</w:t>
      </w:r>
      <w:r>
        <w:tab/>
      </w:r>
      <w:r>
        <w:fldChar w:fldCharType="begin"/>
      </w:r>
      <w:r>
        <w:instrText xml:space="preserve"> PAGEREF _Toc30001 \h </w:instrText>
      </w:r>
      <w:r>
        <w:fldChar w:fldCharType="separate"/>
      </w:r>
      <w:r>
        <w:t>15</w:t>
      </w:r>
      <w:r>
        <w:fldChar w:fldCharType="end"/>
      </w:r>
      <w:r>
        <w:rPr>
          <w:rFonts w:ascii="宋体" w:hAnsi="宋体" w:eastAsia="宋体" w:cs="Times New Roman"/>
          <w:color w:val="auto"/>
          <w:szCs w:val="21"/>
        </w:rPr>
        <w:fldChar w:fldCharType="end"/>
      </w:r>
    </w:p>
    <w:p w14:paraId="425BB052">
      <w:pPr>
        <w:pStyle w:val="30"/>
        <w:tabs>
          <w:tab w:val="right" w:leader="dot" w:pos="10154"/>
          <w:tab w:val="clear" w:pos="10144"/>
        </w:tabs>
        <w:spacing w:line="480" w:lineRule="auto"/>
      </w:pPr>
      <w:r>
        <w:rPr>
          <w:rFonts w:ascii="宋体" w:hAnsi="宋体" w:eastAsia="宋体" w:cs="Times New Roman"/>
          <w:color w:val="auto"/>
          <w:szCs w:val="21"/>
        </w:rPr>
        <w:fldChar w:fldCharType="begin"/>
      </w:r>
      <w:r>
        <w:rPr>
          <w:rFonts w:ascii="宋体" w:hAnsi="宋体" w:eastAsia="宋体" w:cs="Times New Roman"/>
          <w:szCs w:val="21"/>
        </w:rPr>
        <w:instrText xml:space="preserve"> HYPERLINK \l _Toc5186 </w:instrText>
      </w:r>
      <w:r>
        <w:rPr>
          <w:rFonts w:ascii="宋体" w:hAnsi="宋体" w:eastAsia="宋体" w:cs="Times New Roman"/>
          <w:szCs w:val="21"/>
        </w:rPr>
        <w:fldChar w:fldCharType="separate"/>
      </w:r>
      <w:r>
        <w:rPr>
          <w:rFonts w:hint="eastAsia" w:ascii="宋体" w:hAnsi="宋体" w:eastAsia="宋体" w:cs="宋体"/>
          <w:bCs/>
          <w:kern w:val="44"/>
          <w:szCs w:val="21"/>
          <w:lang w:val="zh-CN"/>
        </w:rPr>
        <w:t>四、投标文件的递交</w:t>
      </w:r>
      <w:r>
        <w:tab/>
      </w:r>
      <w:r>
        <w:fldChar w:fldCharType="begin"/>
      </w:r>
      <w:r>
        <w:instrText xml:space="preserve"> PAGEREF _Toc5186 \h </w:instrText>
      </w:r>
      <w:r>
        <w:fldChar w:fldCharType="separate"/>
      </w:r>
      <w:r>
        <w:t>15</w:t>
      </w:r>
      <w:r>
        <w:fldChar w:fldCharType="end"/>
      </w:r>
      <w:r>
        <w:rPr>
          <w:rFonts w:ascii="宋体" w:hAnsi="宋体" w:eastAsia="宋体" w:cs="Times New Roman"/>
          <w:color w:val="auto"/>
          <w:szCs w:val="21"/>
        </w:rPr>
        <w:fldChar w:fldCharType="end"/>
      </w:r>
    </w:p>
    <w:p w14:paraId="4F9283CB">
      <w:pPr>
        <w:pStyle w:val="22"/>
        <w:tabs>
          <w:tab w:val="right" w:leader="dot" w:pos="10154"/>
          <w:tab w:val="clear" w:pos="10144"/>
        </w:tabs>
        <w:spacing w:line="480" w:lineRule="auto"/>
      </w:pPr>
      <w:r>
        <w:rPr>
          <w:rFonts w:ascii="宋体" w:hAnsi="宋体" w:eastAsia="宋体" w:cs="Times New Roman"/>
          <w:color w:val="auto"/>
          <w:szCs w:val="21"/>
        </w:rPr>
        <w:fldChar w:fldCharType="begin"/>
      </w:r>
      <w:r>
        <w:rPr>
          <w:rFonts w:ascii="宋体" w:hAnsi="宋体" w:eastAsia="宋体" w:cs="Times New Roman"/>
          <w:szCs w:val="21"/>
        </w:rPr>
        <w:instrText xml:space="preserve"> HYPERLINK \l _Toc8111 </w:instrText>
      </w:r>
      <w:r>
        <w:rPr>
          <w:rFonts w:ascii="宋体" w:hAnsi="宋体" w:eastAsia="宋体" w:cs="Times New Roman"/>
          <w:szCs w:val="21"/>
        </w:rPr>
        <w:fldChar w:fldCharType="separate"/>
      </w:r>
      <w:r>
        <w:rPr>
          <w:rFonts w:hint="eastAsia" w:ascii="宋体" w:hAnsi="宋体" w:eastAsia="宋体" w:cs="宋体"/>
          <w:szCs w:val="21"/>
          <w:lang w:val="zh-CN"/>
        </w:rPr>
        <w:t>18</w:t>
      </w:r>
      <w:r>
        <w:rPr>
          <w:rFonts w:ascii="宋体" w:hAnsi="宋体" w:eastAsia="宋体" w:cs="宋体"/>
          <w:szCs w:val="21"/>
          <w:lang w:val="zh-CN"/>
        </w:rPr>
        <w:t xml:space="preserve"> </w:t>
      </w:r>
      <w:r>
        <w:rPr>
          <w:rFonts w:hint="eastAsia" w:ascii="宋体" w:hAnsi="宋体" w:eastAsia="宋体" w:cs="宋体"/>
          <w:szCs w:val="21"/>
          <w:lang w:val="zh-CN"/>
        </w:rPr>
        <w:t>投标文件的密封和标记</w:t>
      </w:r>
      <w:r>
        <w:tab/>
      </w:r>
      <w:r>
        <w:fldChar w:fldCharType="begin"/>
      </w:r>
      <w:r>
        <w:instrText xml:space="preserve"> PAGEREF _Toc8111 \h </w:instrText>
      </w:r>
      <w:r>
        <w:fldChar w:fldCharType="separate"/>
      </w:r>
      <w:r>
        <w:t>15</w:t>
      </w:r>
      <w:r>
        <w:fldChar w:fldCharType="end"/>
      </w:r>
      <w:r>
        <w:rPr>
          <w:rFonts w:ascii="宋体" w:hAnsi="宋体" w:eastAsia="宋体" w:cs="Times New Roman"/>
          <w:color w:val="auto"/>
          <w:szCs w:val="21"/>
        </w:rPr>
        <w:fldChar w:fldCharType="end"/>
      </w:r>
    </w:p>
    <w:p w14:paraId="595E8637">
      <w:pPr>
        <w:pStyle w:val="22"/>
        <w:tabs>
          <w:tab w:val="right" w:leader="dot" w:pos="10154"/>
          <w:tab w:val="clear" w:pos="10144"/>
        </w:tabs>
        <w:spacing w:line="480" w:lineRule="auto"/>
      </w:pPr>
      <w:r>
        <w:rPr>
          <w:rFonts w:ascii="宋体" w:hAnsi="宋体" w:eastAsia="宋体" w:cs="Times New Roman"/>
          <w:color w:val="auto"/>
          <w:szCs w:val="21"/>
        </w:rPr>
        <w:fldChar w:fldCharType="begin"/>
      </w:r>
      <w:r>
        <w:rPr>
          <w:rFonts w:ascii="宋体" w:hAnsi="宋体" w:eastAsia="宋体" w:cs="Times New Roman"/>
          <w:szCs w:val="21"/>
        </w:rPr>
        <w:instrText xml:space="preserve"> HYPERLINK \l _Toc2555 </w:instrText>
      </w:r>
      <w:r>
        <w:rPr>
          <w:rFonts w:ascii="宋体" w:hAnsi="宋体" w:eastAsia="宋体" w:cs="Times New Roman"/>
          <w:szCs w:val="21"/>
        </w:rPr>
        <w:fldChar w:fldCharType="separate"/>
      </w:r>
      <w:r>
        <w:rPr>
          <w:rFonts w:hint="eastAsia" w:ascii="宋体" w:hAnsi="宋体" w:eastAsia="宋体" w:cs="宋体"/>
          <w:szCs w:val="21"/>
          <w:lang w:val="zh-CN"/>
        </w:rPr>
        <w:t>19</w:t>
      </w:r>
      <w:r>
        <w:rPr>
          <w:rFonts w:ascii="宋体" w:hAnsi="宋体" w:eastAsia="宋体" w:cs="宋体"/>
          <w:szCs w:val="21"/>
          <w:lang w:val="zh-CN"/>
        </w:rPr>
        <w:t xml:space="preserve"> </w:t>
      </w:r>
      <w:r>
        <w:rPr>
          <w:rFonts w:hint="eastAsia" w:ascii="宋体" w:hAnsi="宋体" w:eastAsia="宋体" w:cs="宋体"/>
          <w:szCs w:val="21"/>
          <w:lang w:val="zh-CN"/>
        </w:rPr>
        <w:t>递交投标文件的截止日期</w:t>
      </w:r>
      <w:r>
        <w:tab/>
      </w:r>
      <w:r>
        <w:fldChar w:fldCharType="begin"/>
      </w:r>
      <w:r>
        <w:instrText xml:space="preserve"> PAGEREF _Toc2555 \h </w:instrText>
      </w:r>
      <w:r>
        <w:fldChar w:fldCharType="separate"/>
      </w:r>
      <w:r>
        <w:t>15</w:t>
      </w:r>
      <w:r>
        <w:fldChar w:fldCharType="end"/>
      </w:r>
      <w:r>
        <w:rPr>
          <w:rFonts w:ascii="宋体" w:hAnsi="宋体" w:eastAsia="宋体" w:cs="Times New Roman"/>
          <w:color w:val="auto"/>
          <w:szCs w:val="21"/>
        </w:rPr>
        <w:fldChar w:fldCharType="end"/>
      </w:r>
    </w:p>
    <w:p w14:paraId="69C56C5B">
      <w:pPr>
        <w:pStyle w:val="22"/>
        <w:tabs>
          <w:tab w:val="right" w:leader="dot" w:pos="10154"/>
          <w:tab w:val="clear" w:pos="10144"/>
        </w:tabs>
        <w:spacing w:line="480" w:lineRule="auto"/>
      </w:pPr>
      <w:r>
        <w:rPr>
          <w:rFonts w:ascii="宋体" w:hAnsi="宋体" w:eastAsia="宋体" w:cs="Times New Roman"/>
          <w:color w:val="auto"/>
          <w:szCs w:val="21"/>
        </w:rPr>
        <w:fldChar w:fldCharType="begin"/>
      </w:r>
      <w:r>
        <w:rPr>
          <w:rFonts w:ascii="宋体" w:hAnsi="宋体" w:eastAsia="宋体" w:cs="Times New Roman"/>
          <w:szCs w:val="21"/>
        </w:rPr>
        <w:instrText xml:space="preserve"> HYPERLINK \l _Toc4622 </w:instrText>
      </w:r>
      <w:r>
        <w:rPr>
          <w:rFonts w:ascii="宋体" w:hAnsi="宋体" w:eastAsia="宋体" w:cs="Times New Roman"/>
          <w:szCs w:val="21"/>
        </w:rPr>
        <w:fldChar w:fldCharType="separate"/>
      </w:r>
      <w:r>
        <w:rPr>
          <w:rFonts w:hint="eastAsia" w:ascii="宋体" w:hAnsi="宋体" w:eastAsia="宋体" w:cs="宋体"/>
          <w:szCs w:val="21"/>
          <w:lang w:val="zh-CN"/>
        </w:rPr>
        <w:t>20 迟交的投标文件</w:t>
      </w:r>
      <w:r>
        <w:tab/>
      </w:r>
      <w:r>
        <w:fldChar w:fldCharType="begin"/>
      </w:r>
      <w:r>
        <w:instrText xml:space="preserve"> PAGEREF _Toc4622 \h </w:instrText>
      </w:r>
      <w:r>
        <w:fldChar w:fldCharType="separate"/>
      </w:r>
      <w:r>
        <w:t>16</w:t>
      </w:r>
      <w:r>
        <w:fldChar w:fldCharType="end"/>
      </w:r>
      <w:r>
        <w:rPr>
          <w:rFonts w:ascii="宋体" w:hAnsi="宋体" w:eastAsia="宋体" w:cs="Times New Roman"/>
          <w:color w:val="auto"/>
          <w:szCs w:val="21"/>
        </w:rPr>
        <w:fldChar w:fldCharType="end"/>
      </w:r>
    </w:p>
    <w:p w14:paraId="48C30B34">
      <w:pPr>
        <w:pStyle w:val="22"/>
        <w:tabs>
          <w:tab w:val="right" w:leader="dot" w:pos="10154"/>
          <w:tab w:val="clear" w:pos="10144"/>
        </w:tabs>
        <w:spacing w:line="480" w:lineRule="auto"/>
      </w:pPr>
      <w:r>
        <w:rPr>
          <w:rFonts w:ascii="宋体" w:hAnsi="宋体" w:eastAsia="宋体" w:cs="Times New Roman"/>
          <w:color w:val="auto"/>
          <w:szCs w:val="21"/>
        </w:rPr>
        <w:fldChar w:fldCharType="begin"/>
      </w:r>
      <w:r>
        <w:rPr>
          <w:rFonts w:ascii="宋体" w:hAnsi="宋体" w:eastAsia="宋体" w:cs="Times New Roman"/>
          <w:szCs w:val="21"/>
        </w:rPr>
        <w:instrText xml:space="preserve"> HYPERLINK \l _Toc7906 </w:instrText>
      </w:r>
      <w:r>
        <w:rPr>
          <w:rFonts w:ascii="宋体" w:hAnsi="宋体" w:eastAsia="宋体" w:cs="Times New Roman"/>
          <w:szCs w:val="21"/>
        </w:rPr>
        <w:fldChar w:fldCharType="separate"/>
      </w:r>
      <w:r>
        <w:rPr>
          <w:rFonts w:hint="eastAsia" w:ascii="宋体" w:hAnsi="宋体" w:eastAsia="宋体" w:cs="宋体"/>
          <w:szCs w:val="21"/>
          <w:lang w:val="zh-CN"/>
        </w:rPr>
        <w:t>21</w:t>
      </w:r>
      <w:r>
        <w:rPr>
          <w:rFonts w:ascii="宋体" w:hAnsi="宋体" w:eastAsia="宋体" w:cs="宋体"/>
          <w:szCs w:val="21"/>
          <w:lang w:val="zh-CN"/>
        </w:rPr>
        <w:t xml:space="preserve"> </w:t>
      </w:r>
      <w:r>
        <w:rPr>
          <w:rFonts w:hint="eastAsia" w:ascii="宋体" w:hAnsi="宋体" w:eastAsia="宋体" w:cs="宋体"/>
          <w:szCs w:val="21"/>
          <w:lang w:val="zh-CN"/>
        </w:rPr>
        <w:t>投标文件的修改和撤回</w:t>
      </w:r>
      <w:r>
        <w:tab/>
      </w:r>
      <w:r>
        <w:fldChar w:fldCharType="begin"/>
      </w:r>
      <w:r>
        <w:instrText xml:space="preserve"> PAGEREF _Toc7906 \h </w:instrText>
      </w:r>
      <w:r>
        <w:fldChar w:fldCharType="separate"/>
      </w:r>
      <w:r>
        <w:t>16</w:t>
      </w:r>
      <w:r>
        <w:fldChar w:fldCharType="end"/>
      </w:r>
      <w:r>
        <w:rPr>
          <w:rFonts w:ascii="宋体" w:hAnsi="宋体" w:eastAsia="宋体" w:cs="Times New Roman"/>
          <w:color w:val="auto"/>
          <w:szCs w:val="21"/>
        </w:rPr>
        <w:fldChar w:fldCharType="end"/>
      </w:r>
    </w:p>
    <w:p w14:paraId="11901928">
      <w:pPr>
        <w:pStyle w:val="30"/>
        <w:tabs>
          <w:tab w:val="right" w:leader="dot" w:pos="10154"/>
          <w:tab w:val="clear" w:pos="10144"/>
        </w:tabs>
        <w:spacing w:line="480" w:lineRule="auto"/>
      </w:pPr>
      <w:r>
        <w:rPr>
          <w:rFonts w:ascii="宋体" w:hAnsi="宋体" w:eastAsia="宋体" w:cs="Times New Roman"/>
          <w:color w:val="auto"/>
          <w:szCs w:val="21"/>
        </w:rPr>
        <w:fldChar w:fldCharType="begin"/>
      </w:r>
      <w:r>
        <w:rPr>
          <w:rFonts w:ascii="宋体" w:hAnsi="宋体" w:eastAsia="宋体" w:cs="Times New Roman"/>
          <w:szCs w:val="21"/>
        </w:rPr>
        <w:instrText xml:space="preserve"> HYPERLINK \l _Toc23401 </w:instrText>
      </w:r>
      <w:r>
        <w:rPr>
          <w:rFonts w:ascii="宋体" w:hAnsi="宋体" w:eastAsia="宋体" w:cs="Times New Roman"/>
          <w:szCs w:val="21"/>
        </w:rPr>
        <w:fldChar w:fldCharType="separate"/>
      </w:r>
      <w:r>
        <w:rPr>
          <w:rFonts w:hint="eastAsia" w:ascii="宋体" w:hAnsi="宋体" w:eastAsia="宋体" w:cs="宋体"/>
          <w:bCs/>
          <w:kern w:val="44"/>
          <w:szCs w:val="21"/>
          <w:lang w:val="zh-CN"/>
        </w:rPr>
        <w:t>五、开标与评标</w:t>
      </w:r>
      <w:r>
        <w:tab/>
      </w:r>
      <w:r>
        <w:fldChar w:fldCharType="begin"/>
      </w:r>
      <w:r>
        <w:instrText xml:space="preserve"> PAGEREF _Toc23401 \h </w:instrText>
      </w:r>
      <w:r>
        <w:fldChar w:fldCharType="separate"/>
      </w:r>
      <w:r>
        <w:t>16</w:t>
      </w:r>
      <w:r>
        <w:fldChar w:fldCharType="end"/>
      </w:r>
      <w:r>
        <w:rPr>
          <w:rFonts w:ascii="宋体" w:hAnsi="宋体" w:eastAsia="宋体" w:cs="Times New Roman"/>
          <w:color w:val="auto"/>
          <w:szCs w:val="21"/>
        </w:rPr>
        <w:fldChar w:fldCharType="end"/>
      </w:r>
    </w:p>
    <w:p w14:paraId="22EA767C">
      <w:pPr>
        <w:pStyle w:val="22"/>
        <w:tabs>
          <w:tab w:val="right" w:leader="dot" w:pos="10154"/>
          <w:tab w:val="clear" w:pos="10144"/>
        </w:tabs>
        <w:spacing w:line="480" w:lineRule="auto"/>
      </w:pPr>
      <w:r>
        <w:rPr>
          <w:rFonts w:ascii="宋体" w:hAnsi="宋体" w:eastAsia="宋体" w:cs="Times New Roman"/>
          <w:color w:val="auto"/>
          <w:szCs w:val="21"/>
        </w:rPr>
        <w:fldChar w:fldCharType="begin"/>
      </w:r>
      <w:r>
        <w:rPr>
          <w:rFonts w:ascii="宋体" w:hAnsi="宋体" w:eastAsia="宋体" w:cs="Times New Roman"/>
          <w:szCs w:val="21"/>
        </w:rPr>
        <w:instrText xml:space="preserve"> HYPERLINK \l _Toc17978 </w:instrText>
      </w:r>
      <w:r>
        <w:rPr>
          <w:rFonts w:ascii="宋体" w:hAnsi="宋体" w:eastAsia="宋体" w:cs="Times New Roman"/>
          <w:szCs w:val="21"/>
        </w:rPr>
        <w:fldChar w:fldCharType="separate"/>
      </w:r>
      <w:r>
        <w:rPr>
          <w:rFonts w:hint="eastAsia" w:ascii="宋体" w:hAnsi="宋体" w:eastAsia="宋体" w:cs="宋体"/>
          <w:szCs w:val="21"/>
          <w:lang w:val="zh-CN"/>
        </w:rPr>
        <w:t>22</w:t>
      </w:r>
      <w:r>
        <w:rPr>
          <w:rFonts w:ascii="宋体" w:hAnsi="宋体" w:eastAsia="宋体" w:cs="宋体"/>
          <w:szCs w:val="21"/>
          <w:lang w:val="zh-CN"/>
        </w:rPr>
        <w:t xml:space="preserve"> </w:t>
      </w:r>
      <w:r>
        <w:rPr>
          <w:rFonts w:hint="eastAsia" w:ascii="宋体" w:hAnsi="宋体" w:eastAsia="宋体" w:cs="宋体"/>
          <w:szCs w:val="21"/>
          <w:lang w:val="zh-CN"/>
        </w:rPr>
        <w:t>开标</w:t>
      </w:r>
      <w:r>
        <w:tab/>
      </w:r>
      <w:r>
        <w:fldChar w:fldCharType="begin"/>
      </w:r>
      <w:r>
        <w:instrText xml:space="preserve"> PAGEREF _Toc17978 \h </w:instrText>
      </w:r>
      <w:r>
        <w:fldChar w:fldCharType="separate"/>
      </w:r>
      <w:r>
        <w:t>16</w:t>
      </w:r>
      <w:r>
        <w:fldChar w:fldCharType="end"/>
      </w:r>
      <w:r>
        <w:rPr>
          <w:rFonts w:ascii="宋体" w:hAnsi="宋体" w:eastAsia="宋体" w:cs="Times New Roman"/>
          <w:color w:val="auto"/>
          <w:szCs w:val="21"/>
        </w:rPr>
        <w:fldChar w:fldCharType="end"/>
      </w:r>
    </w:p>
    <w:p w14:paraId="7853BB06">
      <w:pPr>
        <w:pStyle w:val="22"/>
        <w:tabs>
          <w:tab w:val="right" w:leader="dot" w:pos="10154"/>
          <w:tab w:val="clear" w:pos="10144"/>
        </w:tabs>
        <w:spacing w:line="480" w:lineRule="auto"/>
      </w:pPr>
      <w:r>
        <w:rPr>
          <w:rFonts w:ascii="宋体" w:hAnsi="宋体" w:eastAsia="宋体" w:cs="Times New Roman"/>
          <w:color w:val="auto"/>
          <w:szCs w:val="21"/>
        </w:rPr>
        <w:fldChar w:fldCharType="begin"/>
      </w:r>
      <w:r>
        <w:rPr>
          <w:rFonts w:ascii="宋体" w:hAnsi="宋体" w:eastAsia="宋体" w:cs="Times New Roman"/>
          <w:szCs w:val="21"/>
        </w:rPr>
        <w:instrText xml:space="preserve"> HYPERLINK \l _Toc2119 </w:instrText>
      </w:r>
      <w:r>
        <w:rPr>
          <w:rFonts w:ascii="宋体" w:hAnsi="宋体" w:eastAsia="宋体" w:cs="Times New Roman"/>
          <w:szCs w:val="21"/>
        </w:rPr>
        <w:fldChar w:fldCharType="separate"/>
      </w:r>
      <w:r>
        <w:rPr>
          <w:rFonts w:hint="eastAsia" w:ascii="宋体" w:hAnsi="宋体" w:eastAsia="宋体" w:cs="宋体"/>
          <w:szCs w:val="21"/>
          <w:lang w:val="zh-CN"/>
        </w:rPr>
        <w:t>23</w:t>
      </w:r>
      <w:r>
        <w:rPr>
          <w:rFonts w:ascii="宋体" w:hAnsi="宋体" w:eastAsia="宋体" w:cs="宋体"/>
          <w:szCs w:val="21"/>
          <w:lang w:val="zh-CN"/>
        </w:rPr>
        <w:t xml:space="preserve"> </w:t>
      </w:r>
      <w:r>
        <w:rPr>
          <w:rFonts w:hint="eastAsia" w:ascii="宋体" w:hAnsi="宋体" w:eastAsia="宋体" w:cs="宋体"/>
          <w:kern w:val="0"/>
          <w:szCs w:val="24"/>
        </w:rPr>
        <w:t>评标过程的保密性</w:t>
      </w:r>
      <w:r>
        <w:tab/>
      </w:r>
      <w:r>
        <w:fldChar w:fldCharType="begin"/>
      </w:r>
      <w:r>
        <w:instrText xml:space="preserve"> PAGEREF _Toc2119 \h </w:instrText>
      </w:r>
      <w:r>
        <w:fldChar w:fldCharType="separate"/>
      </w:r>
      <w:r>
        <w:t>16</w:t>
      </w:r>
      <w:r>
        <w:fldChar w:fldCharType="end"/>
      </w:r>
      <w:r>
        <w:rPr>
          <w:rFonts w:ascii="宋体" w:hAnsi="宋体" w:eastAsia="宋体" w:cs="Times New Roman"/>
          <w:color w:val="auto"/>
          <w:szCs w:val="21"/>
        </w:rPr>
        <w:fldChar w:fldCharType="end"/>
      </w:r>
    </w:p>
    <w:p w14:paraId="4CFE90C5">
      <w:pPr>
        <w:pStyle w:val="22"/>
        <w:tabs>
          <w:tab w:val="right" w:leader="dot" w:pos="10154"/>
          <w:tab w:val="clear" w:pos="10144"/>
        </w:tabs>
        <w:spacing w:line="480" w:lineRule="auto"/>
      </w:pPr>
      <w:r>
        <w:rPr>
          <w:rFonts w:ascii="宋体" w:hAnsi="宋体" w:eastAsia="宋体" w:cs="Times New Roman"/>
          <w:color w:val="auto"/>
          <w:szCs w:val="21"/>
        </w:rPr>
        <w:fldChar w:fldCharType="begin"/>
      </w:r>
      <w:r>
        <w:rPr>
          <w:rFonts w:ascii="宋体" w:hAnsi="宋体" w:eastAsia="宋体" w:cs="Times New Roman"/>
          <w:szCs w:val="21"/>
        </w:rPr>
        <w:instrText xml:space="preserve"> HYPERLINK \l _Toc20368 </w:instrText>
      </w:r>
      <w:r>
        <w:rPr>
          <w:rFonts w:ascii="宋体" w:hAnsi="宋体" w:eastAsia="宋体" w:cs="Times New Roman"/>
          <w:szCs w:val="21"/>
        </w:rPr>
        <w:fldChar w:fldCharType="separate"/>
      </w:r>
      <w:r>
        <w:rPr>
          <w:rFonts w:hint="eastAsia" w:ascii="宋体" w:hAnsi="宋体" w:eastAsia="宋体" w:cs="宋体"/>
          <w:szCs w:val="21"/>
          <w:lang w:val="zh-CN"/>
        </w:rPr>
        <w:t>24</w:t>
      </w:r>
      <w:r>
        <w:rPr>
          <w:rFonts w:ascii="宋体" w:hAnsi="宋体" w:eastAsia="宋体" w:cs="宋体"/>
          <w:szCs w:val="21"/>
          <w:lang w:val="zh-CN"/>
        </w:rPr>
        <w:t xml:space="preserve"> </w:t>
      </w:r>
      <w:r>
        <w:rPr>
          <w:rFonts w:hint="eastAsia" w:ascii="宋体" w:hAnsi="宋体" w:eastAsia="宋体" w:cs="宋体"/>
          <w:szCs w:val="21"/>
          <w:lang w:val="zh-CN"/>
        </w:rPr>
        <w:t>评标委员会</w:t>
      </w:r>
      <w:r>
        <w:tab/>
      </w:r>
      <w:r>
        <w:fldChar w:fldCharType="begin"/>
      </w:r>
      <w:r>
        <w:instrText xml:space="preserve"> PAGEREF _Toc20368 \h </w:instrText>
      </w:r>
      <w:r>
        <w:fldChar w:fldCharType="separate"/>
      </w:r>
      <w:r>
        <w:t>17</w:t>
      </w:r>
      <w:r>
        <w:fldChar w:fldCharType="end"/>
      </w:r>
      <w:r>
        <w:rPr>
          <w:rFonts w:ascii="宋体" w:hAnsi="宋体" w:eastAsia="宋体" w:cs="Times New Roman"/>
          <w:color w:val="auto"/>
          <w:szCs w:val="21"/>
        </w:rPr>
        <w:fldChar w:fldCharType="end"/>
      </w:r>
    </w:p>
    <w:p w14:paraId="3490E136">
      <w:pPr>
        <w:pStyle w:val="22"/>
        <w:tabs>
          <w:tab w:val="right" w:leader="dot" w:pos="10154"/>
          <w:tab w:val="clear" w:pos="10144"/>
        </w:tabs>
        <w:spacing w:line="480" w:lineRule="auto"/>
      </w:pPr>
      <w:r>
        <w:rPr>
          <w:rFonts w:ascii="宋体" w:hAnsi="宋体" w:eastAsia="宋体" w:cs="Times New Roman"/>
          <w:color w:val="auto"/>
          <w:szCs w:val="21"/>
        </w:rPr>
        <w:fldChar w:fldCharType="begin"/>
      </w:r>
      <w:r>
        <w:rPr>
          <w:rFonts w:ascii="宋体" w:hAnsi="宋体" w:eastAsia="宋体" w:cs="Times New Roman"/>
          <w:szCs w:val="21"/>
        </w:rPr>
        <w:instrText xml:space="preserve"> HYPERLINK \l _Toc21146 </w:instrText>
      </w:r>
      <w:r>
        <w:rPr>
          <w:rFonts w:ascii="宋体" w:hAnsi="宋体" w:eastAsia="宋体" w:cs="Times New Roman"/>
          <w:szCs w:val="21"/>
        </w:rPr>
        <w:fldChar w:fldCharType="separate"/>
      </w:r>
      <w:r>
        <w:rPr>
          <w:rFonts w:hint="eastAsia" w:ascii="宋体" w:hAnsi="宋体" w:eastAsia="宋体" w:cs="宋体"/>
          <w:szCs w:val="21"/>
          <w:lang w:val="zh-CN"/>
        </w:rPr>
        <w:t>25</w:t>
      </w:r>
      <w:r>
        <w:rPr>
          <w:rFonts w:ascii="宋体" w:hAnsi="宋体" w:eastAsia="宋体" w:cs="宋体"/>
          <w:szCs w:val="21"/>
          <w:lang w:val="zh-CN"/>
        </w:rPr>
        <w:t xml:space="preserve"> </w:t>
      </w:r>
      <w:r>
        <w:rPr>
          <w:rFonts w:hint="eastAsia" w:ascii="宋体" w:hAnsi="宋体" w:eastAsia="宋体" w:cs="宋体"/>
          <w:szCs w:val="21"/>
          <w:lang w:val="zh-CN"/>
        </w:rPr>
        <w:t>投标文件的初审</w:t>
      </w:r>
      <w:r>
        <w:tab/>
      </w:r>
      <w:r>
        <w:fldChar w:fldCharType="begin"/>
      </w:r>
      <w:r>
        <w:instrText xml:space="preserve"> PAGEREF _Toc21146 \h </w:instrText>
      </w:r>
      <w:r>
        <w:fldChar w:fldCharType="separate"/>
      </w:r>
      <w:r>
        <w:t>17</w:t>
      </w:r>
      <w:r>
        <w:fldChar w:fldCharType="end"/>
      </w:r>
      <w:r>
        <w:rPr>
          <w:rFonts w:ascii="宋体" w:hAnsi="宋体" w:eastAsia="宋体" w:cs="Times New Roman"/>
          <w:color w:val="auto"/>
          <w:szCs w:val="21"/>
        </w:rPr>
        <w:fldChar w:fldCharType="end"/>
      </w:r>
    </w:p>
    <w:p w14:paraId="0B50EEE3">
      <w:pPr>
        <w:pStyle w:val="22"/>
        <w:tabs>
          <w:tab w:val="right" w:leader="dot" w:pos="10154"/>
          <w:tab w:val="clear" w:pos="10144"/>
        </w:tabs>
        <w:spacing w:line="480" w:lineRule="auto"/>
      </w:pPr>
      <w:r>
        <w:rPr>
          <w:rFonts w:ascii="宋体" w:hAnsi="宋体" w:eastAsia="宋体" w:cs="Times New Roman"/>
          <w:color w:val="auto"/>
          <w:szCs w:val="21"/>
        </w:rPr>
        <w:fldChar w:fldCharType="begin"/>
      </w:r>
      <w:r>
        <w:rPr>
          <w:rFonts w:ascii="宋体" w:hAnsi="宋体" w:eastAsia="宋体" w:cs="Times New Roman"/>
          <w:szCs w:val="21"/>
        </w:rPr>
        <w:instrText xml:space="preserve"> HYPERLINK \l _Toc31551 </w:instrText>
      </w:r>
      <w:r>
        <w:rPr>
          <w:rFonts w:ascii="宋体" w:hAnsi="宋体" w:eastAsia="宋体" w:cs="Times New Roman"/>
          <w:szCs w:val="21"/>
        </w:rPr>
        <w:fldChar w:fldCharType="separate"/>
      </w:r>
      <w:r>
        <w:rPr>
          <w:rFonts w:hint="eastAsia" w:ascii="宋体" w:hAnsi="宋体" w:eastAsia="宋体" w:cs="宋体"/>
          <w:szCs w:val="21"/>
          <w:lang w:val="zh-CN"/>
        </w:rPr>
        <w:t>26</w:t>
      </w:r>
      <w:r>
        <w:rPr>
          <w:rFonts w:ascii="宋体" w:hAnsi="宋体" w:eastAsia="宋体" w:cs="宋体"/>
          <w:szCs w:val="21"/>
          <w:lang w:val="zh-CN"/>
        </w:rPr>
        <w:t xml:space="preserve"> </w:t>
      </w:r>
      <w:r>
        <w:rPr>
          <w:rFonts w:hint="eastAsia" w:ascii="宋体" w:hAnsi="宋体" w:eastAsia="宋体" w:cs="宋体"/>
          <w:szCs w:val="21"/>
          <w:lang w:val="zh-CN"/>
        </w:rPr>
        <w:t>投标文件的澄清</w:t>
      </w:r>
      <w:r>
        <w:tab/>
      </w:r>
      <w:r>
        <w:fldChar w:fldCharType="begin"/>
      </w:r>
      <w:r>
        <w:instrText xml:space="preserve"> PAGEREF _Toc31551 \h </w:instrText>
      </w:r>
      <w:r>
        <w:fldChar w:fldCharType="separate"/>
      </w:r>
      <w:r>
        <w:t>17</w:t>
      </w:r>
      <w:r>
        <w:fldChar w:fldCharType="end"/>
      </w:r>
      <w:r>
        <w:rPr>
          <w:rFonts w:ascii="宋体" w:hAnsi="宋体" w:eastAsia="宋体" w:cs="Times New Roman"/>
          <w:color w:val="auto"/>
          <w:szCs w:val="21"/>
        </w:rPr>
        <w:fldChar w:fldCharType="end"/>
      </w:r>
    </w:p>
    <w:p w14:paraId="6C71168C">
      <w:pPr>
        <w:pStyle w:val="22"/>
        <w:tabs>
          <w:tab w:val="right" w:leader="dot" w:pos="10154"/>
          <w:tab w:val="clear" w:pos="10144"/>
        </w:tabs>
        <w:spacing w:line="480" w:lineRule="auto"/>
      </w:pPr>
      <w:r>
        <w:rPr>
          <w:rFonts w:ascii="宋体" w:hAnsi="宋体" w:eastAsia="宋体" w:cs="Times New Roman"/>
          <w:color w:val="auto"/>
          <w:szCs w:val="21"/>
        </w:rPr>
        <w:fldChar w:fldCharType="begin"/>
      </w:r>
      <w:r>
        <w:rPr>
          <w:rFonts w:ascii="宋体" w:hAnsi="宋体" w:eastAsia="宋体" w:cs="Times New Roman"/>
          <w:szCs w:val="21"/>
        </w:rPr>
        <w:instrText xml:space="preserve"> HYPERLINK \l _Toc30390 </w:instrText>
      </w:r>
      <w:r>
        <w:rPr>
          <w:rFonts w:ascii="宋体" w:hAnsi="宋体" w:eastAsia="宋体" w:cs="Times New Roman"/>
          <w:szCs w:val="21"/>
        </w:rPr>
        <w:fldChar w:fldCharType="separate"/>
      </w:r>
      <w:r>
        <w:rPr>
          <w:rFonts w:hint="eastAsia" w:ascii="宋体" w:hAnsi="宋体" w:eastAsia="宋体" w:cs="宋体"/>
          <w:szCs w:val="21"/>
          <w:lang w:val="zh-CN"/>
        </w:rPr>
        <w:t>27</w:t>
      </w:r>
      <w:r>
        <w:rPr>
          <w:rFonts w:ascii="宋体" w:hAnsi="宋体" w:eastAsia="宋体" w:cs="宋体"/>
          <w:szCs w:val="21"/>
          <w:lang w:val="zh-CN"/>
        </w:rPr>
        <w:t xml:space="preserve"> </w:t>
      </w:r>
      <w:r>
        <w:rPr>
          <w:rFonts w:hint="eastAsia" w:ascii="宋体" w:hAnsi="宋体" w:eastAsia="宋体" w:cs="宋体"/>
          <w:szCs w:val="21"/>
          <w:lang w:val="zh-CN"/>
        </w:rPr>
        <w:t>对投标文件的比较和评价</w:t>
      </w:r>
      <w:r>
        <w:tab/>
      </w:r>
      <w:r>
        <w:fldChar w:fldCharType="begin"/>
      </w:r>
      <w:r>
        <w:instrText xml:space="preserve"> PAGEREF _Toc30390 \h </w:instrText>
      </w:r>
      <w:r>
        <w:fldChar w:fldCharType="separate"/>
      </w:r>
      <w:r>
        <w:t>17</w:t>
      </w:r>
      <w:r>
        <w:fldChar w:fldCharType="end"/>
      </w:r>
      <w:r>
        <w:rPr>
          <w:rFonts w:ascii="宋体" w:hAnsi="宋体" w:eastAsia="宋体" w:cs="Times New Roman"/>
          <w:color w:val="auto"/>
          <w:szCs w:val="21"/>
        </w:rPr>
        <w:fldChar w:fldCharType="end"/>
      </w:r>
    </w:p>
    <w:p w14:paraId="6493A33F">
      <w:pPr>
        <w:pStyle w:val="22"/>
        <w:tabs>
          <w:tab w:val="right" w:leader="dot" w:pos="10154"/>
          <w:tab w:val="clear" w:pos="10144"/>
        </w:tabs>
        <w:spacing w:line="480" w:lineRule="auto"/>
      </w:pPr>
      <w:r>
        <w:rPr>
          <w:rFonts w:ascii="宋体" w:hAnsi="宋体" w:eastAsia="宋体" w:cs="Times New Roman"/>
          <w:color w:val="auto"/>
          <w:szCs w:val="21"/>
        </w:rPr>
        <w:fldChar w:fldCharType="begin"/>
      </w:r>
      <w:r>
        <w:rPr>
          <w:rFonts w:ascii="宋体" w:hAnsi="宋体" w:eastAsia="宋体" w:cs="Times New Roman"/>
          <w:szCs w:val="21"/>
        </w:rPr>
        <w:instrText xml:space="preserve"> HYPERLINK \l _Toc17419 </w:instrText>
      </w:r>
      <w:r>
        <w:rPr>
          <w:rFonts w:ascii="宋体" w:hAnsi="宋体" w:eastAsia="宋体" w:cs="Times New Roman"/>
          <w:szCs w:val="21"/>
        </w:rPr>
        <w:fldChar w:fldCharType="separate"/>
      </w:r>
      <w:r>
        <w:rPr>
          <w:rFonts w:hint="eastAsia" w:ascii="宋体" w:hAnsi="宋体" w:eastAsia="宋体" w:cs="宋体"/>
          <w:szCs w:val="21"/>
          <w:lang w:val="zh-CN"/>
        </w:rPr>
        <w:t>28</w:t>
      </w:r>
      <w:r>
        <w:rPr>
          <w:rFonts w:ascii="宋体" w:hAnsi="宋体" w:eastAsia="宋体" w:cs="宋体"/>
          <w:szCs w:val="21"/>
          <w:lang w:val="zh-CN"/>
        </w:rPr>
        <w:t xml:space="preserve"> </w:t>
      </w:r>
      <w:r>
        <w:rPr>
          <w:rFonts w:hint="eastAsia" w:ascii="宋体" w:hAnsi="宋体" w:eastAsia="宋体" w:cs="宋体"/>
          <w:szCs w:val="21"/>
          <w:lang w:val="zh-CN"/>
        </w:rPr>
        <w:t>评标原则及方法</w:t>
      </w:r>
      <w:r>
        <w:tab/>
      </w:r>
      <w:r>
        <w:fldChar w:fldCharType="begin"/>
      </w:r>
      <w:r>
        <w:instrText xml:space="preserve"> PAGEREF _Toc17419 \h </w:instrText>
      </w:r>
      <w:r>
        <w:fldChar w:fldCharType="separate"/>
      </w:r>
      <w:r>
        <w:t>17</w:t>
      </w:r>
      <w:r>
        <w:fldChar w:fldCharType="end"/>
      </w:r>
      <w:r>
        <w:rPr>
          <w:rFonts w:ascii="宋体" w:hAnsi="宋体" w:eastAsia="宋体" w:cs="Times New Roman"/>
          <w:color w:val="auto"/>
          <w:szCs w:val="21"/>
        </w:rPr>
        <w:fldChar w:fldCharType="end"/>
      </w:r>
    </w:p>
    <w:p w14:paraId="666FFE04">
      <w:pPr>
        <w:pStyle w:val="22"/>
        <w:tabs>
          <w:tab w:val="right" w:leader="dot" w:pos="10154"/>
          <w:tab w:val="clear" w:pos="10144"/>
        </w:tabs>
        <w:spacing w:line="480" w:lineRule="auto"/>
      </w:pPr>
      <w:r>
        <w:rPr>
          <w:rFonts w:ascii="宋体" w:hAnsi="宋体" w:eastAsia="宋体" w:cs="Times New Roman"/>
          <w:color w:val="auto"/>
          <w:szCs w:val="21"/>
        </w:rPr>
        <w:fldChar w:fldCharType="begin"/>
      </w:r>
      <w:r>
        <w:rPr>
          <w:rFonts w:ascii="宋体" w:hAnsi="宋体" w:eastAsia="宋体" w:cs="Times New Roman"/>
          <w:szCs w:val="21"/>
        </w:rPr>
        <w:instrText xml:space="preserve"> HYPERLINK \l _Toc32014 </w:instrText>
      </w:r>
      <w:r>
        <w:rPr>
          <w:rFonts w:ascii="宋体" w:hAnsi="宋体" w:eastAsia="宋体" w:cs="Times New Roman"/>
          <w:szCs w:val="21"/>
        </w:rPr>
        <w:fldChar w:fldCharType="separate"/>
      </w:r>
      <w:r>
        <w:rPr>
          <w:rFonts w:hint="eastAsia" w:ascii="宋体" w:hAnsi="宋体" w:eastAsia="宋体" w:cs="宋体"/>
          <w:szCs w:val="21"/>
          <w:lang w:val="zh-CN"/>
        </w:rPr>
        <w:t>2</w:t>
      </w:r>
      <w:r>
        <w:rPr>
          <w:rFonts w:hint="eastAsia" w:ascii="宋体" w:hAnsi="宋体" w:eastAsia="宋体" w:cs="宋体"/>
          <w:szCs w:val="21"/>
        </w:rPr>
        <w:t xml:space="preserve">9 </w:t>
      </w:r>
      <w:r>
        <w:rPr>
          <w:rFonts w:hint="eastAsia" w:ascii="宋体" w:hAnsi="宋体" w:eastAsia="宋体" w:cs="宋体"/>
          <w:szCs w:val="21"/>
          <w:lang w:val="zh-CN"/>
        </w:rPr>
        <w:t>评标结果公</w:t>
      </w:r>
      <w:r>
        <w:rPr>
          <w:rFonts w:hint="eastAsia" w:ascii="宋体" w:hAnsi="宋体" w:eastAsia="宋体" w:cs="Times New Roman"/>
          <w:szCs w:val="21"/>
          <w:lang w:val="zh-CN"/>
        </w:rPr>
        <w:t>示</w:t>
      </w:r>
      <w:r>
        <w:rPr>
          <w:rFonts w:hint="eastAsia" w:ascii="宋体" w:hAnsi="宋体" w:eastAsia="宋体" w:cs="宋体"/>
          <w:szCs w:val="21"/>
          <w:lang w:val="zh-CN"/>
        </w:rPr>
        <w:t>及异议、投诉</w:t>
      </w:r>
      <w:r>
        <w:tab/>
      </w:r>
      <w:r>
        <w:fldChar w:fldCharType="begin"/>
      </w:r>
      <w:r>
        <w:instrText xml:space="preserve"> PAGEREF _Toc32014 \h </w:instrText>
      </w:r>
      <w:r>
        <w:fldChar w:fldCharType="separate"/>
      </w:r>
      <w:r>
        <w:t>18</w:t>
      </w:r>
      <w:r>
        <w:fldChar w:fldCharType="end"/>
      </w:r>
      <w:r>
        <w:rPr>
          <w:rFonts w:ascii="宋体" w:hAnsi="宋体" w:eastAsia="宋体" w:cs="Times New Roman"/>
          <w:color w:val="auto"/>
          <w:szCs w:val="21"/>
        </w:rPr>
        <w:fldChar w:fldCharType="end"/>
      </w:r>
    </w:p>
    <w:p w14:paraId="0A374A4C">
      <w:pPr>
        <w:pStyle w:val="22"/>
        <w:tabs>
          <w:tab w:val="right" w:leader="dot" w:pos="10154"/>
          <w:tab w:val="clear" w:pos="10144"/>
        </w:tabs>
        <w:spacing w:line="480" w:lineRule="auto"/>
      </w:pPr>
      <w:r>
        <w:rPr>
          <w:rFonts w:ascii="宋体" w:hAnsi="宋体" w:eastAsia="宋体" w:cs="Times New Roman"/>
          <w:color w:val="auto"/>
          <w:szCs w:val="21"/>
        </w:rPr>
        <w:fldChar w:fldCharType="begin"/>
      </w:r>
      <w:r>
        <w:rPr>
          <w:rFonts w:ascii="宋体" w:hAnsi="宋体" w:eastAsia="宋体" w:cs="Times New Roman"/>
          <w:szCs w:val="21"/>
        </w:rPr>
        <w:instrText xml:space="preserve"> HYPERLINK \l _Toc3698 </w:instrText>
      </w:r>
      <w:r>
        <w:rPr>
          <w:rFonts w:ascii="宋体" w:hAnsi="宋体" w:eastAsia="宋体" w:cs="Times New Roman"/>
          <w:szCs w:val="21"/>
        </w:rPr>
        <w:fldChar w:fldCharType="separate"/>
      </w:r>
      <w:r>
        <w:rPr>
          <w:rFonts w:hint="eastAsia" w:ascii="宋体" w:hAnsi="宋体" w:eastAsia="宋体" w:cs="宋体"/>
          <w:szCs w:val="21"/>
        </w:rPr>
        <w:t>30</w:t>
      </w:r>
      <w:r>
        <w:rPr>
          <w:rFonts w:hint="eastAsia" w:ascii="宋体" w:hAnsi="宋体" w:eastAsia="宋体" w:cs="宋体"/>
          <w:szCs w:val="21"/>
          <w:lang w:val="zh-CN"/>
        </w:rPr>
        <w:t xml:space="preserve"> 真实性审查</w:t>
      </w:r>
      <w:r>
        <w:tab/>
      </w:r>
      <w:r>
        <w:fldChar w:fldCharType="begin"/>
      </w:r>
      <w:r>
        <w:instrText xml:space="preserve"> PAGEREF _Toc3698 \h </w:instrText>
      </w:r>
      <w:r>
        <w:fldChar w:fldCharType="separate"/>
      </w:r>
      <w:r>
        <w:t>19</w:t>
      </w:r>
      <w:r>
        <w:fldChar w:fldCharType="end"/>
      </w:r>
      <w:r>
        <w:rPr>
          <w:rFonts w:ascii="宋体" w:hAnsi="宋体" w:eastAsia="宋体" w:cs="Times New Roman"/>
          <w:color w:val="auto"/>
          <w:szCs w:val="21"/>
        </w:rPr>
        <w:fldChar w:fldCharType="end"/>
      </w:r>
    </w:p>
    <w:p w14:paraId="73FCD41E">
      <w:pPr>
        <w:pStyle w:val="22"/>
        <w:tabs>
          <w:tab w:val="right" w:leader="dot" w:pos="10154"/>
          <w:tab w:val="clear" w:pos="10144"/>
        </w:tabs>
        <w:spacing w:line="480" w:lineRule="auto"/>
      </w:pPr>
      <w:r>
        <w:rPr>
          <w:rFonts w:ascii="宋体" w:hAnsi="宋体" w:eastAsia="宋体" w:cs="Times New Roman"/>
          <w:color w:val="auto"/>
          <w:szCs w:val="21"/>
        </w:rPr>
        <w:fldChar w:fldCharType="begin"/>
      </w:r>
      <w:r>
        <w:rPr>
          <w:rFonts w:ascii="宋体" w:hAnsi="宋体" w:eastAsia="宋体" w:cs="Times New Roman"/>
          <w:szCs w:val="21"/>
        </w:rPr>
        <w:instrText xml:space="preserve"> HYPERLINK \l _Toc1712 </w:instrText>
      </w:r>
      <w:r>
        <w:rPr>
          <w:rFonts w:ascii="宋体" w:hAnsi="宋体" w:eastAsia="宋体" w:cs="Times New Roman"/>
          <w:szCs w:val="21"/>
        </w:rPr>
        <w:fldChar w:fldCharType="separate"/>
      </w:r>
      <w:r>
        <w:rPr>
          <w:rFonts w:hint="eastAsia" w:ascii="宋体" w:hAnsi="宋体" w:eastAsia="宋体" w:cs="宋体"/>
          <w:szCs w:val="21"/>
        </w:rPr>
        <w:t>31</w:t>
      </w:r>
      <w:r>
        <w:rPr>
          <w:rFonts w:hint="eastAsia" w:ascii="宋体" w:hAnsi="宋体" w:eastAsia="宋体" w:cs="宋体"/>
          <w:szCs w:val="21"/>
          <w:lang w:val="zh-CN"/>
        </w:rPr>
        <w:t xml:space="preserve"> 评标委员会和招标人接受或拒绝任何投标或所有投标的权利</w:t>
      </w:r>
      <w:r>
        <w:tab/>
      </w:r>
      <w:r>
        <w:fldChar w:fldCharType="begin"/>
      </w:r>
      <w:r>
        <w:instrText xml:space="preserve"> PAGEREF _Toc1712 \h </w:instrText>
      </w:r>
      <w:r>
        <w:fldChar w:fldCharType="separate"/>
      </w:r>
      <w:r>
        <w:t>19</w:t>
      </w:r>
      <w:r>
        <w:fldChar w:fldCharType="end"/>
      </w:r>
      <w:r>
        <w:rPr>
          <w:rFonts w:ascii="宋体" w:hAnsi="宋体" w:eastAsia="宋体" w:cs="Times New Roman"/>
          <w:color w:val="auto"/>
          <w:szCs w:val="21"/>
        </w:rPr>
        <w:fldChar w:fldCharType="end"/>
      </w:r>
    </w:p>
    <w:p w14:paraId="794ECB45">
      <w:pPr>
        <w:pStyle w:val="30"/>
        <w:tabs>
          <w:tab w:val="right" w:leader="dot" w:pos="10154"/>
          <w:tab w:val="clear" w:pos="10144"/>
        </w:tabs>
        <w:spacing w:line="480" w:lineRule="auto"/>
      </w:pPr>
      <w:r>
        <w:rPr>
          <w:rFonts w:ascii="宋体" w:hAnsi="宋体" w:eastAsia="宋体" w:cs="Times New Roman"/>
          <w:color w:val="auto"/>
          <w:szCs w:val="21"/>
        </w:rPr>
        <w:fldChar w:fldCharType="begin"/>
      </w:r>
      <w:r>
        <w:rPr>
          <w:rFonts w:ascii="宋体" w:hAnsi="宋体" w:eastAsia="宋体" w:cs="Times New Roman"/>
          <w:szCs w:val="21"/>
        </w:rPr>
        <w:instrText xml:space="preserve"> HYPERLINK \l _Toc13222 </w:instrText>
      </w:r>
      <w:r>
        <w:rPr>
          <w:rFonts w:ascii="宋体" w:hAnsi="宋体" w:eastAsia="宋体" w:cs="Times New Roman"/>
          <w:szCs w:val="21"/>
        </w:rPr>
        <w:fldChar w:fldCharType="separate"/>
      </w:r>
      <w:r>
        <w:rPr>
          <w:rFonts w:hint="eastAsia" w:ascii="宋体" w:hAnsi="宋体" w:eastAsia="宋体" w:cs="宋体"/>
          <w:bCs/>
          <w:kern w:val="44"/>
          <w:szCs w:val="21"/>
          <w:lang w:val="zh-CN"/>
        </w:rPr>
        <w:t>六、授予合同</w:t>
      </w:r>
      <w:r>
        <w:tab/>
      </w:r>
      <w:r>
        <w:fldChar w:fldCharType="begin"/>
      </w:r>
      <w:r>
        <w:instrText xml:space="preserve"> PAGEREF _Toc13222 \h </w:instrText>
      </w:r>
      <w:r>
        <w:fldChar w:fldCharType="separate"/>
      </w:r>
      <w:r>
        <w:t>19</w:t>
      </w:r>
      <w:r>
        <w:fldChar w:fldCharType="end"/>
      </w:r>
      <w:r>
        <w:rPr>
          <w:rFonts w:ascii="宋体" w:hAnsi="宋体" w:eastAsia="宋体" w:cs="Times New Roman"/>
          <w:color w:val="auto"/>
          <w:szCs w:val="21"/>
        </w:rPr>
        <w:fldChar w:fldCharType="end"/>
      </w:r>
    </w:p>
    <w:p w14:paraId="47BEF497">
      <w:pPr>
        <w:pStyle w:val="22"/>
        <w:tabs>
          <w:tab w:val="right" w:leader="dot" w:pos="10154"/>
          <w:tab w:val="clear" w:pos="10144"/>
        </w:tabs>
        <w:spacing w:line="480" w:lineRule="auto"/>
      </w:pPr>
      <w:r>
        <w:rPr>
          <w:rFonts w:ascii="宋体" w:hAnsi="宋体" w:eastAsia="宋体" w:cs="Times New Roman"/>
          <w:color w:val="auto"/>
          <w:szCs w:val="21"/>
        </w:rPr>
        <w:fldChar w:fldCharType="begin"/>
      </w:r>
      <w:r>
        <w:rPr>
          <w:rFonts w:ascii="宋体" w:hAnsi="宋体" w:eastAsia="宋体" w:cs="Times New Roman"/>
          <w:szCs w:val="21"/>
        </w:rPr>
        <w:instrText xml:space="preserve"> HYPERLINK \l _Toc23263 </w:instrText>
      </w:r>
      <w:r>
        <w:rPr>
          <w:rFonts w:ascii="宋体" w:hAnsi="宋体" w:eastAsia="宋体" w:cs="Times New Roman"/>
          <w:szCs w:val="21"/>
        </w:rPr>
        <w:fldChar w:fldCharType="separate"/>
      </w:r>
      <w:r>
        <w:rPr>
          <w:rFonts w:hint="eastAsia" w:ascii="宋体" w:hAnsi="宋体" w:eastAsia="宋体" w:cs="宋体"/>
          <w:szCs w:val="21"/>
        </w:rPr>
        <w:t>32</w:t>
      </w:r>
      <w:r>
        <w:rPr>
          <w:rFonts w:ascii="宋体" w:hAnsi="宋体" w:eastAsia="宋体" w:cs="宋体"/>
          <w:szCs w:val="21"/>
          <w:lang w:val="zh-CN"/>
        </w:rPr>
        <w:t xml:space="preserve"> </w:t>
      </w:r>
      <w:r>
        <w:rPr>
          <w:rFonts w:hint="eastAsia" w:ascii="宋体" w:hAnsi="宋体" w:eastAsia="宋体" w:cs="宋体"/>
          <w:szCs w:val="21"/>
          <w:lang w:val="zh-CN"/>
        </w:rPr>
        <w:t>授予合同的准则</w:t>
      </w:r>
      <w:r>
        <w:tab/>
      </w:r>
      <w:r>
        <w:fldChar w:fldCharType="begin"/>
      </w:r>
      <w:r>
        <w:instrText xml:space="preserve"> PAGEREF _Toc23263 \h </w:instrText>
      </w:r>
      <w:r>
        <w:fldChar w:fldCharType="separate"/>
      </w:r>
      <w:r>
        <w:t>19</w:t>
      </w:r>
      <w:r>
        <w:fldChar w:fldCharType="end"/>
      </w:r>
      <w:r>
        <w:rPr>
          <w:rFonts w:ascii="宋体" w:hAnsi="宋体" w:eastAsia="宋体" w:cs="Times New Roman"/>
          <w:color w:val="auto"/>
          <w:szCs w:val="21"/>
        </w:rPr>
        <w:fldChar w:fldCharType="end"/>
      </w:r>
    </w:p>
    <w:p w14:paraId="04C78402">
      <w:pPr>
        <w:pStyle w:val="22"/>
        <w:tabs>
          <w:tab w:val="right" w:leader="dot" w:pos="10154"/>
          <w:tab w:val="clear" w:pos="10144"/>
        </w:tabs>
        <w:spacing w:line="480" w:lineRule="auto"/>
      </w:pPr>
      <w:r>
        <w:rPr>
          <w:rFonts w:ascii="宋体" w:hAnsi="宋体" w:eastAsia="宋体" w:cs="Times New Roman"/>
          <w:color w:val="auto"/>
          <w:szCs w:val="21"/>
        </w:rPr>
        <w:fldChar w:fldCharType="begin"/>
      </w:r>
      <w:r>
        <w:rPr>
          <w:rFonts w:ascii="宋体" w:hAnsi="宋体" w:eastAsia="宋体" w:cs="Times New Roman"/>
          <w:szCs w:val="21"/>
        </w:rPr>
        <w:instrText xml:space="preserve"> HYPERLINK \l _Toc19799 </w:instrText>
      </w:r>
      <w:r>
        <w:rPr>
          <w:rFonts w:ascii="宋体" w:hAnsi="宋体" w:eastAsia="宋体" w:cs="Times New Roman"/>
          <w:szCs w:val="21"/>
        </w:rPr>
        <w:fldChar w:fldCharType="separate"/>
      </w:r>
      <w:r>
        <w:rPr>
          <w:rFonts w:hint="eastAsia" w:ascii="宋体" w:hAnsi="宋体" w:eastAsia="宋体" w:cs="宋体"/>
          <w:szCs w:val="21"/>
          <w:lang w:val="zh-CN"/>
        </w:rPr>
        <w:t>33</w:t>
      </w:r>
      <w:r>
        <w:rPr>
          <w:rFonts w:ascii="宋体" w:hAnsi="宋体" w:eastAsia="宋体" w:cs="宋体"/>
          <w:szCs w:val="21"/>
          <w:lang w:val="zh-CN"/>
        </w:rPr>
        <w:t xml:space="preserve"> </w:t>
      </w:r>
      <w:r>
        <w:rPr>
          <w:rFonts w:hint="eastAsia" w:ascii="宋体" w:hAnsi="宋体" w:eastAsia="宋体" w:cs="宋体"/>
          <w:szCs w:val="21"/>
          <w:lang w:val="zh-CN"/>
        </w:rPr>
        <w:t>中标通知</w:t>
      </w:r>
      <w:r>
        <w:tab/>
      </w:r>
      <w:r>
        <w:fldChar w:fldCharType="begin"/>
      </w:r>
      <w:r>
        <w:instrText xml:space="preserve"> PAGEREF _Toc19799 \h </w:instrText>
      </w:r>
      <w:r>
        <w:fldChar w:fldCharType="separate"/>
      </w:r>
      <w:r>
        <w:t>19</w:t>
      </w:r>
      <w:r>
        <w:fldChar w:fldCharType="end"/>
      </w:r>
      <w:r>
        <w:rPr>
          <w:rFonts w:ascii="宋体" w:hAnsi="宋体" w:eastAsia="宋体" w:cs="Times New Roman"/>
          <w:color w:val="auto"/>
          <w:szCs w:val="21"/>
        </w:rPr>
        <w:fldChar w:fldCharType="end"/>
      </w:r>
    </w:p>
    <w:p w14:paraId="1948E9BF">
      <w:pPr>
        <w:pStyle w:val="22"/>
        <w:tabs>
          <w:tab w:val="right" w:leader="dot" w:pos="10154"/>
          <w:tab w:val="clear" w:pos="10144"/>
        </w:tabs>
        <w:spacing w:line="480" w:lineRule="auto"/>
      </w:pPr>
      <w:r>
        <w:rPr>
          <w:rFonts w:ascii="宋体" w:hAnsi="宋体" w:eastAsia="宋体" w:cs="Times New Roman"/>
          <w:color w:val="auto"/>
          <w:szCs w:val="21"/>
        </w:rPr>
        <w:fldChar w:fldCharType="begin"/>
      </w:r>
      <w:r>
        <w:rPr>
          <w:rFonts w:ascii="宋体" w:hAnsi="宋体" w:eastAsia="宋体" w:cs="Times New Roman"/>
          <w:szCs w:val="21"/>
        </w:rPr>
        <w:instrText xml:space="preserve"> HYPERLINK \l _Toc9784 </w:instrText>
      </w:r>
      <w:r>
        <w:rPr>
          <w:rFonts w:ascii="宋体" w:hAnsi="宋体" w:eastAsia="宋体" w:cs="Times New Roman"/>
          <w:szCs w:val="21"/>
        </w:rPr>
        <w:fldChar w:fldCharType="separate"/>
      </w:r>
      <w:r>
        <w:rPr>
          <w:rFonts w:hint="eastAsia" w:ascii="宋体" w:hAnsi="宋体" w:eastAsia="宋体" w:cs="宋体"/>
          <w:szCs w:val="21"/>
        </w:rPr>
        <w:t>34</w:t>
      </w:r>
      <w:r>
        <w:rPr>
          <w:rFonts w:ascii="宋体" w:hAnsi="宋体" w:eastAsia="宋体" w:cs="宋体"/>
          <w:szCs w:val="21"/>
          <w:lang w:val="zh-CN"/>
        </w:rPr>
        <w:t xml:space="preserve"> </w:t>
      </w:r>
      <w:r>
        <w:rPr>
          <w:rFonts w:hint="eastAsia" w:ascii="宋体" w:hAnsi="宋体" w:eastAsia="宋体" w:cs="宋体"/>
          <w:szCs w:val="21"/>
          <w:lang w:val="zh-CN"/>
        </w:rPr>
        <w:t>签署合同</w:t>
      </w:r>
      <w:r>
        <w:tab/>
      </w:r>
      <w:r>
        <w:fldChar w:fldCharType="begin"/>
      </w:r>
      <w:r>
        <w:instrText xml:space="preserve"> PAGEREF _Toc9784 \h </w:instrText>
      </w:r>
      <w:r>
        <w:fldChar w:fldCharType="separate"/>
      </w:r>
      <w:r>
        <w:t>20</w:t>
      </w:r>
      <w:r>
        <w:fldChar w:fldCharType="end"/>
      </w:r>
      <w:r>
        <w:rPr>
          <w:rFonts w:ascii="宋体" w:hAnsi="宋体" w:eastAsia="宋体" w:cs="Times New Roman"/>
          <w:color w:val="auto"/>
          <w:szCs w:val="21"/>
        </w:rPr>
        <w:fldChar w:fldCharType="end"/>
      </w:r>
    </w:p>
    <w:p w14:paraId="6DF5CC8A">
      <w:pPr>
        <w:pStyle w:val="22"/>
        <w:tabs>
          <w:tab w:val="right" w:leader="dot" w:pos="10154"/>
          <w:tab w:val="clear" w:pos="10144"/>
        </w:tabs>
        <w:spacing w:line="480" w:lineRule="auto"/>
      </w:pPr>
      <w:r>
        <w:rPr>
          <w:rFonts w:ascii="宋体" w:hAnsi="宋体" w:eastAsia="宋体" w:cs="Times New Roman"/>
          <w:color w:val="auto"/>
          <w:szCs w:val="21"/>
        </w:rPr>
        <w:fldChar w:fldCharType="begin"/>
      </w:r>
      <w:r>
        <w:rPr>
          <w:rFonts w:ascii="宋体" w:hAnsi="宋体" w:eastAsia="宋体" w:cs="Times New Roman"/>
          <w:szCs w:val="21"/>
        </w:rPr>
        <w:instrText xml:space="preserve"> HYPERLINK \l _Toc4265 </w:instrText>
      </w:r>
      <w:r>
        <w:rPr>
          <w:rFonts w:ascii="宋体" w:hAnsi="宋体" w:eastAsia="宋体" w:cs="Times New Roman"/>
          <w:szCs w:val="21"/>
        </w:rPr>
        <w:fldChar w:fldCharType="separate"/>
      </w:r>
      <w:r>
        <w:rPr>
          <w:rFonts w:hint="eastAsia" w:ascii="宋体" w:hAnsi="宋体" w:eastAsia="宋体" w:cs="宋体"/>
          <w:szCs w:val="21"/>
        </w:rPr>
        <w:t>35</w:t>
      </w:r>
      <w:r>
        <w:rPr>
          <w:rFonts w:ascii="宋体" w:hAnsi="宋体" w:eastAsia="宋体" w:cs="宋体"/>
          <w:szCs w:val="21"/>
        </w:rPr>
        <w:t xml:space="preserve"> </w:t>
      </w:r>
      <w:r>
        <w:rPr>
          <w:rFonts w:hint="eastAsia" w:ascii="宋体" w:hAnsi="宋体" w:eastAsia="宋体" w:cs="宋体"/>
          <w:szCs w:val="21"/>
          <w:lang w:val="zh-CN"/>
        </w:rPr>
        <w:t>履约担保</w:t>
      </w:r>
      <w:r>
        <w:tab/>
      </w:r>
      <w:r>
        <w:fldChar w:fldCharType="begin"/>
      </w:r>
      <w:r>
        <w:instrText xml:space="preserve"> PAGEREF _Toc4265 \h </w:instrText>
      </w:r>
      <w:r>
        <w:fldChar w:fldCharType="separate"/>
      </w:r>
      <w:r>
        <w:t>20</w:t>
      </w:r>
      <w:r>
        <w:fldChar w:fldCharType="end"/>
      </w:r>
      <w:r>
        <w:rPr>
          <w:rFonts w:ascii="宋体" w:hAnsi="宋体" w:eastAsia="宋体" w:cs="Times New Roman"/>
          <w:color w:val="auto"/>
          <w:szCs w:val="21"/>
        </w:rPr>
        <w:fldChar w:fldCharType="end"/>
      </w:r>
    </w:p>
    <w:p w14:paraId="0A5B9979">
      <w:pPr>
        <w:pStyle w:val="22"/>
        <w:tabs>
          <w:tab w:val="right" w:leader="dot" w:pos="10154"/>
          <w:tab w:val="clear" w:pos="10144"/>
        </w:tabs>
        <w:spacing w:line="480" w:lineRule="auto"/>
      </w:pPr>
      <w:r>
        <w:rPr>
          <w:rFonts w:ascii="宋体" w:hAnsi="宋体" w:eastAsia="宋体" w:cs="Times New Roman"/>
          <w:color w:val="auto"/>
          <w:szCs w:val="21"/>
        </w:rPr>
        <w:fldChar w:fldCharType="begin"/>
      </w:r>
      <w:r>
        <w:rPr>
          <w:rFonts w:ascii="宋体" w:hAnsi="宋体" w:eastAsia="宋体" w:cs="Times New Roman"/>
          <w:szCs w:val="21"/>
        </w:rPr>
        <w:instrText xml:space="preserve"> HYPERLINK \l _Toc8262 </w:instrText>
      </w:r>
      <w:r>
        <w:rPr>
          <w:rFonts w:ascii="宋体" w:hAnsi="宋体" w:eastAsia="宋体" w:cs="Times New Roman"/>
          <w:szCs w:val="21"/>
        </w:rPr>
        <w:fldChar w:fldCharType="separate"/>
      </w:r>
      <w:r>
        <w:rPr>
          <w:rFonts w:hint="eastAsia" w:ascii="宋体" w:hAnsi="宋体" w:eastAsia="宋体" w:cs="宋体"/>
          <w:szCs w:val="21"/>
        </w:rPr>
        <w:t>36</w:t>
      </w:r>
      <w:r>
        <w:rPr>
          <w:rFonts w:hint="eastAsia" w:ascii="宋体" w:hAnsi="宋体" w:eastAsia="宋体" w:cs="宋体"/>
          <w:szCs w:val="21"/>
          <w:lang w:val="zh-CN"/>
        </w:rPr>
        <w:t xml:space="preserve"> 在合同履行中变更采购范围的权利</w:t>
      </w:r>
      <w:r>
        <w:tab/>
      </w:r>
      <w:r>
        <w:fldChar w:fldCharType="begin"/>
      </w:r>
      <w:r>
        <w:instrText xml:space="preserve"> PAGEREF _Toc8262 \h </w:instrText>
      </w:r>
      <w:r>
        <w:fldChar w:fldCharType="separate"/>
      </w:r>
      <w:r>
        <w:t>22</w:t>
      </w:r>
      <w:r>
        <w:fldChar w:fldCharType="end"/>
      </w:r>
      <w:r>
        <w:rPr>
          <w:rFonts w:ascii="宋体" w:hAnsi="宋体" w:eastAsia="宋体" w:cs="Times New Roman"/>
          <w:color w:val="auto"/>
          <w:szCs w:val="21"/>
        </w:rPr>
        <w:fldChar w:fldCharType="end"/>
      </w:r>
    </w:p>
    <w:p w14:paraId="728519C5">
      <w:pPr>
        <w:pStyle w:val="22"/>
        <w:tabs>
          <w:tab w:val="right" w:leader="dot" w:pos="10154"/>
          <w:tab w:val="clear" w:pos="10144"/>
        </w:tabs>
        <w:spacing w:line="480" w:lineRule="auto"/>
      </w:pPr>
      <w:r>
        <w:rPr>
          <w:rFonts w:ascii="宋体" w:hAnsi="宋体" w:eastAsia="宋体" w:cs="Times New Roman"/>
          <w:color w:val="auto"/>
          <w:szCs w:val="21"/>
        </w:rPr>
        <w:fldChar w:fldCharType="begin"/>
      </w:r>
      <w:r>
        <w:rPr>
          <w:rFonts w:ascii="宋体" w:hAnsi="宋体" w:eastAsia="宋体" w:cs="Times New Roman"/>
          <w:szCs w:val="21"/>
        </w:rPr>
        <w:instrText xml:space="preserve"> HYPERLINK \l _Toc14866 </w:instrText>
      </w:r>
      <w:r>
        <w:rPr>
          <w:rFonts w:ascii="宋体" w:hAnsi="宋体" w:eastAsia="宋体" w:cs="Times New Roman"/>
          <w:szCs w:val="21"/>
        </w:rPr>
        <w:fldChar w:fldCharType="separate"/>
      </w:r>
      <w:r>
        <w:rPr>
          <w:rFonts w:hint="eastAsia" w:ascii="宋体" w:hAnsi="宋体" w:eastAsia="宋体" w:cs="宋体"/>
          <w:szCs w:val="21"/>
        </w:rPr>
        <w:t>37</w:t>
      </w:r>
      <w:r>
        <w:rPr>
          <w:rFonts w:ascii="宋体" w:hAnsi="宋体" w:eastAsia="宋体" w:cs="宋体"/>
          <w:szCs w:val="21"/>
          <w:lang w:val="zh-CN"/>
        </w:rPr>
        <w:t xml:space="preserve"> </w:t>
      </w:r>
      <w:r>
        <w:rPr>
          <w:rFonts w:hint="eastAsia" w:ascii="宋体" w:hAnsi="宋体" w:eastAsia="宋体" w:cs="宋体"/>
          <w:szCs w:val="21"/>
          <w:lang w:val="zh-CN"/>
        </w:rPr>
        <w:t>中标服务费</w:t>
      </w:r>
      <w:r>
        <w:tab/>
      </w:r>
      <w:r>
        <w:fldChar w:fldCharType="begin"/>
      </w:r>
      <w:r>
        <w:instrText xml:space="preserve"> PAGEREF _Toc14866 \h </w:instrText>
      </w:r>
      <w:r>
        <w:fldChar w:fldCharType="separate"/>
      </w:r>
      <w:r>
        <w:t>22</w:t>
      </w:r>
      <w:r>
        <w:fldChar w:fldCharType="end"/>
      </w:r>
      <w:r>
        <w:rPr>
          <w:rFonts w:ascii="宋体" w:hAnsi="宋体" w:eastAsia="宋体" w:cs="Times New Roman"/>
          <w:color w:val="auto"/>
          <w:szCs w:val="21"/>
        </w:rPr>
        <w:fldChar w:fldCharType="end"/>
      </w:r>
    </w:p>
    <w:p w14:paraId="28FF2106">
      <w:pPr>
        <w:pStyle w:val="22"/>
        <w:tabs>
          <w:tab w:val="right" w:leader="dot" w:pos="10154"/>
          <w:tab w:val="clear" w:pos="10144"/>
        </w:tabs>
        <w:spacing w:line="480" w:lineRule="auto"/>
      </w:pPr>
      <w:r>
        <w:rPr>
          <w:rFonts w:ascii="宋体" w:hAnsi="宋体" w:eastAsia="宋体" w:cs="Times New Roman"/>
          <w:color w:val="auto"/>
          <w:szCs w:val="21"/>
        </w:rPr>
        <w:fldChar w:fldCharType="begin"/>
      </w:r>
      <w:r>
        <w:rPr>
          <w:rFonts w:ascii="宋体" w:hAnsi="宋体" w:eastAsia="宋体" w:cs="Times New Roman"/>
          <w:szCs w:val="21"/>
        </w:rPr>
        <w:instrText xml:space="preserve"> HYPERLINK \l _Toc12915 </w:instrText>
      </w:r>
      <w:r>
        <w:rPr>
          <w:rFonts w:ascii="宋体" w:hAnsi="宋体" w:eastAsia="宋体" w:cs="Times New Roman"/>
          <w:szCs w:val="21"/>
        </w:rPr>
        <w:fldChar w:fldCharType="separate"/>
      </w:r>
      <w:r>
        <w:rPr>
          <w:rFonts w:hint="eastAsia" w:ascii="宋体" w:hAnsi="宋体" w:eastAsia="宋体" w:cs="宋体"/>
          <w:szCs w:val="21"/>
        </w:rPr>
        <w:t>38</w:t>
      </w:r>
      <w:r>
        <w:rPr>
          <w:rFonts w:hint="eastAsia" w:ascii="宋体" w:hAnsi="宋体" w:eastAsia="宋体" w:cs="宋体"/>
          <w:szCs w:val="21"/>
          <w:lang w:val="zh-CN"/>
        </w:rPr>
        <w:t xml:space="preserve"> 发票</w:t>
      </w:r>
      <w:r>
        <w:tab/>
      </w:r>
      <w:r>
        <w:fldChar w:fldCharType="begin"/>
      </w:r>
      <w:r>
        <w:instrText xml:space="preserve"> PAGEREF _Toc12915 \h </w:instrText>
      </w:r>
      <w:r>
        <w:fldChar w:fldCharType="separate"/>
      </w:r>
      <w:r>
        <w:t>22</w:t>
      </w:r>
      <w:r>
        <w:fldChar w:fldCharType="end"/>
      </w:r>
      <w:r>
        <w:rPr>
          <w:rFonts w:ascii="宋体" w:hAnsi="宋体" w:eastAsia="宋体" w:cs="Times New Roman"/>
          <w:color w:val="auto"/>
          <w:szCs w:val="21"/>
        </w:rPr>
        <w:fldChar w:fldCharType="end"/>
      </w:r>
    </w:p>
    <w:p w14:paraId="1AF01A41">
      <w:pPr>
        <w:pStyle w:val="22"/>
        <w:tabs>
          <w:tab w:val="right" w:leader="dot" w:pos="10154"/>
          <w:tab w:val="clear" w:pos="10144"/>
        </w:tabs>
        <w:spacing w:line="480" w:lineRule="auto"/>
      </w:pPr>
      <w:r>
        <w:rPr>
          <w:rFonts w:ascii="宋体" w:hAnsi="宋体" w:eastAsia="宋体" w:cs="Times New Roman"/>
          <w:color w:val="auto"/>
          <w:szCs w:val="21"/>
        </w:rPr>
        <w:fldChar w:fldCharType="begin"/>
      </w:r>
      <w:r>
        <w:rPr>
          <w:rFonts w:ascii="宋体" w:hAnsi="宋体" w:eastAsia="宋体" w:cs="Times New Roman"/>
          <w:szCs w:val="21"/>
        </w:rPr>
        <w:instrText xml:space="preserve"> HYPERLINK \l _Toc22772 </w:instrText>
      </w:r>
      <w:r>
        <w:rPr>
          <w:rFonts w:ascii="宋体" w:hAnsi="宋体" w:eastAsia="宋体" w:cs="Times New Roman"/>
          <w:szCs w:val="21"/>
        </w:rPr>
        <w:fldChar w:fldCharType="separate"/>
      </w:r>
      <w:r>
        <w:rPr>
          <w:rFonts w:ascii="宋体" w:hAnsi="宋体" w:eastAsia="宋体" w:cs="宋体"/>
          <w:szCs w:val="21"/>
        </w:rPr>
        <w:t>39 招标相关补充约定</w:t>
      </w:r>
      <w:r>
        <w:tab/>
      </w:r>
      <w:r>
        <w:fldChar w:fldCharType="begin"/>
      </w:r>
      <w:r>
        <w:instrText xml:space="preserve"> PAGEREF _Toc22772 \h </w:instrText>
      </w:r>
      <w:r>
        <w:fldChar w:fldCharType="separate"/>
      </w:r>
      <w:r>
        <w:t>22</w:t>
      </w:r>
      <w:r>
        <w:fldChar w:fldCharType="end"/>
      </w:r>
      <w:r>
        <w:rPr>
          <w:rFonts w:ascii="宋体" w:hAnsi="宋体" w:eastAsia="宋体" w:cs="Times New Roman"/>
          <w:color w:val="auto"/>
          <w:szCs w:val="21"/>
        </w:rPr>
        <w:fldChar w:fldCharType="end"/>
      </w:r>
    </w:p>
    <w:p w14:paraId="4947EABE">
      <w:pPr>
        <w:pStyle w:val="22"/>
        <w:tabs>
          <w:tab w:val="right" w:leader="dot" w:pos="10154"/>
          <w:tab w:val="clear" w:pos="10144"/>
        </w:tabs>
        <w:spacing w:line="480" w:lineRule="auto"/>
      </w:pPr>
      <w:r>
        <w:rPr>
          <w:rFonts w:ascii="宋体" w:hAnsi="宋体" w:eastAsia="宋体" w:cs="Times New Roman"/>
          <w:color w:val="auto"/>
          <w:szCs w:val="21"/>
        </w:rPr>
        <w:fldChar w:fldCharType="begin"/>
      </w:r>
      <w:r>
        <w:rPr>
          <w:rFonts w:ascii="宋体" w:hAnsi="宋体" w:eastAsia="宋体" w:cs="Times New Roman"/>
          <w:szCs w:val="21"/>
        </w:rPr>
        <w:instrText xml:space="preserve"> HYPERLINK \l _Toc21426 </w:instrText>
      </w:r>
      <w:r>
        <w:rPr>
          <w:rFonts w:ascii="宋体" w:hAnsi="宋体" w:eastAsia="宋体" w:cs="Times New Roman"/>
          <w:szCs w:val="21"/>
        </w:rPr>
        <w:fldChar w:fldCharType="separate"/>
      </w:r>
      <w:r>
        <w:rPr>
          <w:rFonts w:ascii="宋体" w:hAnsi="宋体" w:eastAsia="宋体" w:cs="宋体"/>
          <w:szCs w:val="21"/>
        </w:rPr>
        <w:t>40</w:t>
      </w:r>
      <w:r>
        <w:rPr>
          <w:rFonts w:hint="eastAsia" w:ascii="宋体" w:hAnsi="宋体" w:eastAsia="宋体" w:cs="宋体"/>
          <w:szCs w:val="21"/>
        </w:rPr>
        <w:t xml:space="preserve"> 本次招标活动的最终解释权归招标代理机构及招标人所有。</w:t>
      </w:r>
      <w:r>
        <w:tab/>
      </w:r>
      <w:r>
        <w:fldChar w:fldCharType="begin"/>
      </w:r>
      <w:r>
        <w:instrText xml:space="preserve"> PAGEREF _Toc21426 \h </w:instrText>
      </w:r>
      <w:r>
        <w:fldChar w:fldCharType="separate"/>
      </w:r>
      <w:r>
        <w:t>22</w:t>
      </w:r>
      <w:r>
        <w:fldChar w:fldCharType="end"/>
      </w:r>
      <w:r>
        <w:rPr>
          <w:rFonts w:ascii="宋体" w:hAnsi="宋体" w:eastAsia="宋体" w:cs="Times New Roman"/>
          <w:color w:val="auto"/>
          <w:szCs w:val="21"/>
        </w:rPr>
        <w:fldChar w:fldCharType="end"/>
      </w:r>
    </w:p>
    <w:p w14:paraId="04C2DC4F">
      <w:pPr>
        <w:pStyle w:val="30"/>
        <w:tabs>
          <w:tab w:val="right" w:leader="dot" w:pos="10154"/>
          <w:tab w:val="clear" w:pos="10144"/>
        </w:tabs>
        <w:spacing w:line="480" w:lineRule="auto"/>
      </w:pPr>
      <w:r>
        <w:rPr>
          <w:rFonts w:ascii="宋体" w:hAnsi="宋体" w:eastAsia="宋体" w:cs="Times New Roman"/>
          <w:color w:val="auto"/>
          <w:szCs w:val="21"/>
        </w:rPr>
        <w:fldChar w:fldCharType="begin"/>
      </w:r>
      <w:r>
        <w:rPr>
          <w:rFonts w:ascii="宋体" w:hAnsi="宋体" w:eastAsia="宋体" w:cs="Times New Roman"/>
          <w:szCs w:val="21"/>
        </w:rPr>
        <w:instrText xml:space="preserve"> HYPERLINK \l _Toc298 </w:instrText>
      </w:r>
      <w:r>
        <w:rPr>
          <w:rFonts w:ascii="宋体" w:hAnsi="宋体" w:eastAsia="宋体" w:cs="Times New Roman"/>
          <w:szCs w:val="21"/>
        </w:rPr>
        <w:fldChar w:fldCharType="separate"/>
      </w:r>
      <w:r>
        <w:rPr>
          <w:rFonts w:hint="eastAsia" w:ascii="宋体" w:hAnsi="宋体" w:eastAsia="宋体" w:cs="宋体"/>
          <w:bCs/>
          <w:kern w:val="44"/>
          <w:szCs w:val="32"/>
          <w:lang w:val="zh-CN"/>
        </w:rPr>
        <w:t>第三篇</w:t>
      </w:r>
      <w:r>
        <w:rPr>
          <w:rFonts w:ascii="宋体" w:hAnsi="宋体" w:eastAsia="宋体" w:cs="宋体"/>
          <w:bCs/>
          <w:kern w:val="44"/>
          <w:szCs w:val="32"/>
          <w:lang w:val="zh-CN"/>
        </w:rPr>
        <w:t xml:space="preserve"> </w:t>
      </w:r>
      <w:r>
        <w:rPr>
          <w:rFonts w:hint="eastAsia" w:ascii="宋体" w:hAnsi="宋体" w:eastAsia="宋体" w:cs="宋体"/>
          <w:bCs/>
          <w:kern w:val="44"/>
          <w:szCs w:val="32"/>
          <w:lang w:val="zh-CN"/>
        </w:rPr>
        <w:t>用户需求书</w:t>
      </w:r>
      <w:r>
        <w:tab/>
      </w:r>
      <w:r>
        <w:fldChar w:fldCharType="begin"/>
      </w:r>
      <w:r>
        <w:instrText xml:space="preserve"> PAGEREF _Toc298 \h </w:instrText>
      </w:r>
      <w:r>
        <w:fldChar w:fldCharType="separate"/>
      </w:r>
      <w:r>
        <w:t>23</w:t>
      </w:r>
      <w:r>
        <w:fldChar w:fldCharType="end"/>
      </w:r>
      <w:r>
        <w:rPr>
          <w:rFonts w:ascii="宋体" w:hAnsi="宋体" w:eastAsia="宋体" w:cs="Times New Roman"/>
          <w:color w:val="auto"/>
          <w:szCs w:val="21"/>
        </w:rPr>
        <w:fldChar w:fldCharType="end"/>
      </w:r>
    </w:p>
    <w:p w14:paraId="4287D3A1">
      <w:pPr>
        <w:pStyle w:val="30"/>
        <w:tabs>
          <w:tab w:val="right" w:leader="dot" w:pos="10154"/>
          <w:tab w:val="clear" w:pos="10144"/>
        </w:tabs>
        <w:spacing w:line="480" w:lineRule="auto"/>
      </w:pPr>
      <w:r>
        <w:rPr>
          <w:rFonts w:ascii="宋体" w:hAnsi="宋体" w:eastAsia="宋体" w:cs="Times New Roman"/>
          <w:color w:val="auto"/>
          <w:szCs w:val="21"/>
        </w:rPr>
        <w:fldChar w:fldCharType="begin"/>
      </w:r>
      <w:r>
        <w:rPr>
          <w:rFonts w:ascii="宋体" w:hAnsi="宋体" w:eastAsia="宋体" w:cs="Times New Roman"/>
          <w:szCs w:val="21"/>
        </w:rPr>
        <w:instrText xml:space="preserve"> HYPERLINK \l _Toc9821 </w:instrText>
      </w:r>
      <w:r>
        <w:rPr>
          <w:rFonts w:ascii="宋体" w:hAnsi="宋体" w:eastAsia="宋体" w:cs="Times New Roman"/>
          <w:szCs w:val="21"/>
        </w:rPr>
        <w:fldChar w:fldCharType="separate"/>
      </w:r>
      <w:r>
        <w:rPr>
          <w:rFonts w:hint="eastAsia" w:ascii="宋体" w:hAnsi="宋体" w:eastAsia="宋体" w:cs="宋体"/>
          <w:bCs/>
          <w:kern w:val="44"/>
          <w:szCs w:val="32"/>
          <w:lang w:val="zh-CN"/>
        </w:rPr>
        <w:t>第四篇</w:t>
      </w:r>
      <w:r>
        <w:rPr>
          <w:rFonts w:ascii="宋体" w:hAnsi="宋体" w:eastAsia="宋体" w:cs="宋体"/>
          <w:bCs/>
          <w:kern w:val="44"/>
          <w:szCs w:val="32"/>
          <w:lang w:val="zh-CN"/>
        </w:rPr>
        <w:t xml:space="preserve"> </w:t>
      </w:r>
      <w:r>
        <w:rPr>
          <w:rFonts w:hint="eastAsia" w:ascii="宋体" w:hAnsi="宋体" w:eastAsia="宋体" w:cs="宋体"/>
          <w:bCs/>
          <w:kern w:val="44"/>
          <w:szCs w:val="32"/>
          <w:lang w:val="zh-CN"/>
        </w:rPr>
        <w:t>合同条款格式</w:t>
      </w:r>
      <w:r>
        <w:tab/>
      </w:r>
      <w:r>
        <w:fldChar w:fldCharType="begin"/>
      </w:r>
      <w:r>
        <w:instrText xml:space="preserve"> PAGEREF _Toc9821 \h </w:instrText>
      </w:r>
      <w:r>
        <w:fldChar w:fldCharType="separate"/>
      </w:r>
      <w:r>
        <w:t>30</w:t>
      </w:r>
      <w:r>
        <w:fldChar w:fldCharType="end"/>
      </w:r>
      <w:r>
        <w:rPr>
          <w:rFonts w:ascii="宋体" w:hAnsi="宋体" w:eastAsia="宋体" w:cs="Times New Roman"/>
          <w:color w:val="auto"/>
          <w:szCs w:val="21"/>
        </w:rPr>
        <w:fldChar w:fldCharType="end"/>
      </w:r>
    </w:p>
    <w:p w14:paraId="236FEE23">
      <w:pPr>
        <w:pStyle w:val="30"/>
        <w:tabs>
          <w:tab w:val="right" w:leader="dot" w:pos="10154"/>
          <w:tab w:val="clear" w:pos="10144"/>
        </w:tabs>
        <w:spacing w:line="480" w:lineRule="auto"/>
      </w:pPr>
      <w:r>
        <w:rPr>
          <w:rFonts w:ascii="宋体" w:hAnsi="宋体" w:eastAsia="宋体" w:cs="Times New Roman"/>
          <w:color w:val="auto"/>
          <w:szCs w:val="21"/>
        </w:rPr>
        <w:fldChar w:fldCharType="begin"/>
      </w:r>
      <w:r>
        <w:rPr>
          <w:rFonts w:ascii="宋体" w:hAnsi="宋体" w:eastAsia="宋体" w:cs="Times New Roman"/>
          <w:szCs w:val="21"/>
        </w:rPr>
        <w:instrText xml:space="preserve"> HYPERLINK \l _Toc12641 </w:instrText>
      </w:r>
      <w:r>
        <w:rPr>
          <w:rFonts w:ascii="宋体" w:hAnsi="宋体" w:eastAsia="宋体" w:cs="Times New Roman"/>
          <w:szCs w:val="21"/>
        </w:rPr>
        <w:fldChar w:fldCharType="separate"/>
      </w:r>
      <w:r>
        <w:rPr>
          <w:rFonts w:hint="eastAsia" w:ascii="宋体" w:hAnsi="宋体" w:eastAsia="宋体" w:cs="Times New Roman"/>
          <w:bCs/>
          <w:szCs w:val="32"/>
          <w:lang w:val="zh-CN"/>
        </w:rPr>
        <w:t>第五篇</w:t>
      </w:r>
      <w:r>
        <w:rPr>
          <w:rFonts w:ascii="宋体" w:hAnsi="宋体" w:eastAsia="宋体" w:cs="Times New Roman"/>
          <w:bCs/>
          <w:szCs w:val="32"/>
          <w:lang w:val="zh-CN"/>
        </w:rPr>
        <w:t xml:space="preserve"> </w:t>
      </w:r>
      <w:r>
        <w:rPr>
          <w:rFonts w:hint="eastAsia" w:ascii="宋体" w:hAnsi="宋体" w:eastAsia="宋体" w:cs="Times New Roman"/>
          <w:bCs/>
          <w:szCs w:val="32"/>
          <w:lang w:val="zh-CN"/>
        </w:rPr>
        <w:t>相关保函格式</w:t>
      </w:r>
      <w:r>
        <w:tab/>
      </w:r>
      <w:r>
        <w:fldChar w:fldCharType="begin"/>
      </w:r>
      <w:r>
        <w:instrText xml:space="preserve"> PAGEREF _Toc12641 \h </w:instrText>
      </w:r>
      <w:r>
        <w:fldChar w:fldCharType="separate"/>
      </w:r>
      <w:r>
        <w:t>55</w:t>
      </w:r>
      <w:r>
        <w:fldChar w:fldCharType="end"/>
      </w:r>
      <w:r>
        <w:rPr>
          <w:rFonts w:ascii="宋体" w:hAnsi="宋体" w:eastAsia="宋体" w:cs="Times New Roman"/>
          <w:color w:val="auto"/>
          <w:szCs w:val="21"/>
        </w:rPr>
        <w:fldChar w:fldCharType="end"/>
      </w:r>
    </w:p>
    <w:p w14:paraId="1543CBFE">
      <w:pPr>
        <w:pStyle w:val="30"/>
        <w:tabs>
          <w:tab w:val="right" w:leader="dot" w:pos="10154"/>
          <w:tab w:val="clear" w:pos="10144"/>
        </w:tabs>
        <w:spacing w:line="480" w:lineRule="auto"/>
      </w:pPr>
      <w:r>
        <w:rPr>
          <w:rFonts w:ascii="宋体" w:hAnsi="宋体" w:eastAsia="宋体" w:cs="Times New Roman"/>
          <w:color w:val="auto"/>
          <w:szCs w:val="21"/>
        </w:rPr>
        <w:fldChar w:fldCharType="begin"/>
      </w:r>
      <w:r>
        <w:rPr>
          <w:rFonts w:ascii="宋体" w:hAnsi="宋体" w:eastAsia="宋体" w:cs="Times New Roman"/>
          <w:szCs w:val="21"/>
        </w:rPr>
        <w:instrText xml:space="preserve"> HYPERLINK \l _Toc27867 </w:instrText>
      </w:r>
      <w:r>
        <w:rPr>
          <w:rFonts w:ascii="宋体" w:hAnsi="宋体" w:eastAsia="宋体" w:cs="Times New Roman"/>
          <w:szCs w:val="21"/>
        </w:rPr>
        <w:fldChar w:fldCharType="separate"/>
      </w:r>
      <w:r>
        <w:rPr>
          <w:rFonts w:hint="eastAsia" w:ascii="宋体" w:hAnsi="宋体" w:eastAsia="宋体" w:cs="宋体"/>
          <w:bCs/>
          <w:kern w:val="44"/>
          <w:szCs w:val="32"/>
          <w:lang w:val="zh-CN"/>
        </w:rPr>
        <w:t>第六篇 投标文件格式</w:t>
      </w:r>
      <w:r>
        <w:tab/>
      </w:r>
      <w:r>
        <w:fldChar w:fldCharType="begin"/>
      </w:r>
      <w:r>
        <w:instrText xml:space="preserve"> PAGEREF _Toc27867 \h </w:instrText>
      </w:r>
      <w:r>
        <w:fldChar w:fldCharType="separate"/>
      </w:r>
      <w:r>
        <w:t>58</w:t>
      </w:r>
      <w:r>
        <w:fldChar w:fldCharType="end"/>
      </w:r>
      <w:r>
        <w:rPr>
          <w:rFonts w:ascii="宋体" w:hAnsi="宋体" w:eastAsia="宋体" w:cs="Times New Roman"/>
          <w:color w:val="auto"/>
          <w:szCs w:val="21"/>
        </w:rPr>
        <w:fldChar w:fldCharType="end"/>
      </w:r>
    </w:p>
    <w:p w14:paraId="770C5B71">
      <w:pPr>
        <w:pStyle w:val="30"/>
        <w:tabs>
          <w:tab w:val="right" w:leader="dot" w:pos="10154"/>
          <w:tab w:val="clear" w:pos="10144"/>
        </w:tabs>
        <w:spacing w:line="480" w:lineRule="auto"/>
      </w:pPr>
      <w:r>
        <w:rPr>
          <w:rFonts w:ascii="宋体" w:hAnsi="宋体" w:eastAsia="宋体" w:cs="Times New Roman"/>
          <w:color w:val="auto"/>
          <w:szCs w:val="21"/>
        </w:rPr>
        <w:fldChar w:fldCharType="begin"/>
      </w:r>
      <w:r>
        <w:rPr>
          <w:rFonts w:ascii="宋体" w:hAnsi="宋体" w:eastAsia="宋体" w:cs="Times New Roman"/>
          <w:szCs w:val="21"/>
        </w:rPr>
        <w:instrText xml:space="preserve"> HYPERLINK \l _Toc29538 </w:instrText>
      </w:r>
      <w:r>
        <w:rPr>
          <w:rFonts w:ascii="宋体" w:hAnsi="宋体" w:eastAsia="宋体" w:cs="Times New Roman"/>
          <w:szCs w:val="21"/>
        </w:rPr>
        <w:fldChar w:fldCharType="separate"/>
      </w:r>
      <w:r>
        <w:rPr>
          <w:rFonts w:hint="eastAsia" w:ascii="宋体" w:hAnsi="宋体" w:eastAsia="宋体" w:cs="宋体"/>
          <w:bCs/>
          <w:kern w:val="44"/>
          <w:szCs w:val="32"/>
          <w:lang w:val="zh-CN"/>
        </w:rPr>
        <w:t>附件一：评标工作大纲</w:t>
      </w:r>
      <w:r>
        <w:tab/>
      </w:r>
      <w:r>
        <w:fldChar w:fldCharType="begin"/>
      </w:r>
      <w:r>
        <w:instrText xml:space="preserve"> PAGEREF _Toc29538 \h </w:instrText>
      </w:r>
      <w:r>
        <w:fldChar w:fldCharType="separate"/>
      </w:r>
      <w:r>
        <w:t>91</w:t>
      </w:r>
      <w:r>
        <w:fldChar w:fldCharType="end"/>
      </w:r>
      <w:r>
        <w:rPr>
          <w:rFonts w:ascii="宋体" w:hAnsi="宋体" w:eastAsia="宋体" w:cs="Times New Roman"/>
          <w:color w:val="auto"/>
          <w:szCs w:val="21"/>
        </w:rPr>
        <w:fldChar w:fldCharType="end"/>
      </w:r>
    </w:p>
    <w:p w14:paraId="4B635144">
      <w:pPr>
        <w:tabs>
          <w:tab w:val="left" w:pos="851"/>
          <w:tab w:val="right" w:leader="dot" w:pos="10206"/>
        </w:tabs>
        <w:spacing w:line="480" w:lineRule="auto"/>
        <w:rPr>
          <w:rFonts w:ascii="宋体" w:hAnsi="宋体" w:eastAsia="宋体" w:cs="Times New Roman"/>
          <w:color w:val="auto"/>
          <w:szCs w:val="21"/>
        </w:rPr>
      </w:pPr>
      <w:r>
        <w:rPr>
          <w:rFonts w:ascii="宋体" w:hAnsi="宋体" w:eastAsia="宋体" w:cs="Times New Roman"/>
          <w:color w:val="auto"/>
          <w:szCs w:val="21"/>
        </w:rPr>
        <w:fldChar w:fldCharType="end"/>
      </w:r>
    </w:p>
    <w:p w14:paraId="15C05A44">
      <w:pPr>
        <w:tabs>
          <w:tab w:val="right" w:leader="dot" w:pos="10144"/>
        </w:tabs>
        <w:spacing w:line="360" w:lineRule="auto"/>
        <w:ind w:firstLine="210" w:firstLineChars="100"/>
        <w:rPr>
          <w:rFonts w:ascii="宋体" w:hAnsi="宋体" w:eastAsia="宋体" w:cs="Times New Roman"/>
          <w:color w:val="auto"/>
          <w:szCs w:val="21"/>
        </w:rPr>
      </w:pPr>
    </w:p>
    <w:bookmarkEnd w:id="0"/>
    <w:p w14:paraId="0639A8F2">
      <w:pPr>
        <w:keepNext/>
        <w:keepLines/>
        <w:pageBreakBefore/>
        <w:tabs>
          <w:tab w:val="left" w:pos="1080"/>
        </w:tabs>
        <w:autoSpaceDE w:val="0"/>
        <w:autoSpaceDN w:val="0"/>
        <w:adjustRightInd w:val="0"/>
        <w:spacing w:line="360" w:lineRule="auto"/>
        <w:ind w:left="357" w:leftChars="-100" w:hanging="567"/>
        <w:jc w:val="center"/>
        <w:outlineLvl w:val="0"/>
        <w:rPr>
          <w:rFonts w:ascii="宋体" w:hAnsi="宋体" w:eastAsia="宋体" w:cs="Times New Roman"/>
          <w:b/>
          <w:bCs/>
          <w:color w:val="auto"/>
          <w:kern w:val="44"/>
          <w:sz w:val="44"/>
          <w:szCs w:val="44"/>
          <w:lang w:val="zh-CN"/>
        </w:rPr>
      </w:pPr>
      <w:bookmarkStart w:id="1" w:name="_Toc450662846"/>
      <w:bookmarkStart w:id="2" w:name="_Toc11638"/>
      <w:bookmarkStart w:id="3" w:name="_Toc142508310"/>
      <w:bookmarkStart w:id="4" w:name="_Toc173182255"/>
      <w:bookmarkStart w:id="5" w:name="_Toc5788"/>
      <w:bookmarkStart w:id="6" w:name="_Toc2723_WPSOffice_Level1"/>
      <w:bookmarkStart w:id="7" w:name="_Toc486167660"/>
      <w:r>
        <w:rPr>
          <w:rFonts w:ascii="宋体" w:hAnsi="宋体" w:eastAsia="宋体" w:cs="Times New Roman"/>
          <w:b/>
          <w:bCs/>
          <w:color w:val="auto"/>
          <w:kern w:val="44"/>
          <w:sz w:val="32"/>
          <w:szCs w:val="32"/>
          <w:lang w:val="zh-CN"/>
        </w:rPr>
        <w:t>第一篇 招标公告</w:t>
      </w:r>
      <w:bookmarkEnd w:id="1"/>
      <w:bookmarkEnd w:id="2"/>
      <w:bookmarkEnd w:id="3"/>
      <w:bookmarkEnd w:id="4"/>
      <w:bookmarkEnd w:id="5"/>
      <w:bookmarkEnd w:id="6"/>
      <w:bookmarkEnd w:id="7"/>
    </w:p>
    <w:p w14:paraId="7F66FAD5">
      <w:pPr>
        <w:autoSpaceDE w:val="0"/>
        <w:autoSpaceDN w:val="0"/>
        <w:adjustRightInd w:val="0"/>
        <w:snapToGrid w:val="0"/>
        <w:spacing w:line="360" w:lineRule="auto"/>
        <w:ind w:right="-34" w:firstLine="420" w:firstLineChars="200"/>
        <w:rPr>
          <w:rFonts w:ascii="宋体" w:hAnsi="宋体" w:eastAsia="宋体" w:cs="Times New Roman"/>
          <w:color w:val="auto"/>
          <w:szCs w:val="21"/>
          <w:lang w:val="zh-CN"/>
        </w:rPr>
      </w:pPr>
      <w:r>
        <w:rPr>
          <w:rFonts w:hint="eastAsia" w:ascii="宋体" w:hAnsi="宋体" w:eastAsia="宋体" w:cs="Times New Roman"/>
          <w:color w:val="auto"/>
          <w:kern w:val="0"/>
          <w:szCs w:val="21"/>
        </w:rPr>
        <w:t>东莞市达盛招标代理有限公司</w:t>
      </w:r>
      <w:r>
        <w:rPr>
          <w:rFonts w:ascii="宋体" w:hAnsi="宋体" w:eastAsia="宋体" w:cs="Times New Roman"/>
          <w:color w:val="auto"/>
          <w:szCs w:val="21"/>
          <w:lang w:val="zh-CN"/>
        </w:rPr>
        <w:t>（以下简称“招标代理机构”）受</w:t>
      </w:r>
      <w:r>
        <w:rPr>
          <w:rFonts w:hint="eastAsia" w:ascii="宋体" w:hAnsi="宋体" w:eastAsia="宋体" w:cs="Times New Roman"/>
          <w:color w:val="auto"/>
          <w:kern w:val="0"/>
          <w:szCs w:val="21"/>
        </w:rPr>
        <w:t>东莞市水务集团有限公司</w:t>
      </w:r>
      <w:r>
        <w:rPr>
          <w:rFonts w:ascii="宋体" w:hAnsi="宋体" w:eastAsia="宋体" w:cs="Times New Roman"/>
          <w:color w:val="auto"/>
          <w:szCs w:val="21"/>
          <w:lang w:val="zh-CN"/>
        </w:rPr>
        <w:t>（以下简称“招标人”）的委托，对</w:t>
      </w:r>
      <w:bookmarkStart w:id="8" w:name="_Hlk41903390"/>
      <w:r>
        <w:rPr>
          <w:rFonts w:hint="eastAsia" w:ascii="宋体" w:hAnsi="宋体" w:eastAsia="宋体" w:cs="Times New Roman"/>
          <w:color w:val="auto"/>
          <w:kern w:val="0"/>
          <w:szCs w:val="21"/>
          <w:lang w:eastAsia="zh-CN"/>
        </w:rPr>
        <w:t>东莞市水务集团有限公司2025年安全及劳保物资采购项目</w:t>
      </w:r>
      <w:r>
        <w:rPr>
          <w:rFonts w:ascii="宋体" w:hAnsi="宋体" w:eastAsia="宋体" w:cs="Times New Roman"/>
          <w:color w:val="auto"/>
          <w:szCs w:val="21"/>
          <w:lang w:val="zh-CN"/>
        </w:rPr>
        <w:t>(招标编号：</w:t>
      </w:r>
      <w:r>
        <w:rPr>
          <w:rFonts w:hint="eastAsia" w:ascii="宋体" w:hAnsi="宋体" w:eastAsia="宋体" w:cs="Times New Roman"/>
          <w:color w:val="auto"/>
          <w:szCs w:val="21"/>
          <w:lang w:val="zh-CN"/>
        </w:rPr>
        <w:t>DGDS2024-079</w:t>
      </w:r>
      <w:r>
        <w:rPr>
          <w:rFonts w:ascii="宋体" w:hAnsi="宋体" w:eastAsia="宋体" w:cs="Times New Roman"/>
          <w:color w:val="auto"/>
          <w:szCs w:val="21"/>
          <w:lang w:val="zh-CN"/>
        </w:rPr>
        <w:t>)</w:t>
      </w:r>
      <w:bookmarkEnd w:id="8"/>
      <w:r>
        <w:rPr>
          <w:rFonts w:ascii="宋体" w:hAnsi="宋体" w:eastAsia="宋体" w:cs="Times New Roman"/>
          <w:color w:val="auto"/>
          <w:szCs w:val="21"/>
          <w:lang w:val="zh-CN"/>
        </w:rPr>
        <w:t>进行国内公开招标，</w:t>
      </w:r>
      <w:r>
        <w:rPr>
          <w:rFonts w:hint="eastAsia" w:ascii="宋体" w:hAnsi="宋体" w:eastAsia="宋体" w:cs="Times New Roman"/>
          <w:bCs/>
          <w:color w:val="auto"/>
          <w:kern w:val="0"/>
          <w:szCs w:val="21"/>
        </w:rPr>
        <w:t>详情请参见本招标文件</w:t>
      </w:r>
      <w:r>
        <w:rPr>
          <w:rFonts w:ascii="宋体" w:hAnsi="宋体" w:eastAsia="宋体" w:cs="Times New Roman"/>
          <w:bCs/>
          <w:color w:val="auto"/>
          <w:kern w:val="0"/>
          <w:szCs w:val="21"/>
        </w:rPr>
        <w:t>。</w:t>
      </w:r>
      <w:r>
        <w:rPr>
          <w:rFonts w:hint="eastAsia" w:ascii="宋体" w:hAnsi="宋体" w:eastAsia="宋体" w:cs="Times New Roman"/>
          <w:color w:val="auto"/>
          <w:kern w:val="0"/>
          <w:szCs w:val="21"/>
        </w:rPr>
        <w:t>欢迎符合条件的合格投标人参加投标，</w:t>
      </w:r>
      <w:r>
        <w:rPr>
          <w:rFonts w:hint="eastAsia" w:ascii="宋体" w:hAnsi="宋体" w:eastAsia="宋体" w:cs="Times New Roman"/>
          <w:bCs/>
          <w:color w:val="auto"/>
          <w:kern w:val="0"/>
          <w:szCs w:val="21"/>
        </w:rPr>
        <w:t>有关事项如下：</w:t>
      </w:r>
    </w:p>
    <w:p w14:paraId="4B84A6D3">
      <w:pPr>
        <w:autoSpaceDE w:val="0"/>
        <w:autoSpaceDN w:val="0"/>
        <w:adjustRightInd w:val="0"/>
        <w:spacing w:line="360" w:lineRule="auto"/>
        <w:ind w:right="-29" w:rightChars="-14" w:firstLine="420" w:firstLineChars="200"/>
        <w:rPr>
          <w:rFonts w:ascii="宋体" w:hAnsi="宋体" w:eastAsia="宋体" w:cs="Times New Roman"/>
          <w:color w:val="auto"/>
          <w:szCs w:val="21"/>
          <w:lang w:val="zh-CN"/>
        </w:rPr>
      </w:pPr>
    </w:p>
    <w:p w14:paraId="5BFA92BF">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lang w:val="zh-CN"/>
        </w:rPr>
      </w:pPr>
      <w:r>
        <w:rPr>
          <w:rFonts w:hint="eastAsia" w:ascii="宋体" w:hAnsi="宋体" w:eastAsia="宋体" w:cs="Times New Roman"/>
          <w:color w:val="auto"/>
          <w:szCs w:val="21"/>
          <w:lang w:val="zh-CN"/>
        </w:rPr>
        <w:t>招标范围：</w:t>
      </w:r>
    </w:p>
    <w:p w14:paraId="62A1D80B">
      <w:pPr>
        <w:autoSpaceDE w:val="0"/>
        <w:autoSpaceDN w:val="0"/>
        <w:adjustRightInd w:val="0"/>
        <w:spacing w:line="360" w:lineRule="auto"/>
        <w:ind w:right="-29" w:rightChars="-14" w:firstLine="420" w:firstLineChars="200"/>
        <w:rPr>
          <w:rFonts w:ascii="宋体" w:hAnsi="宋体" w:eastAsia="宋体" w:cs="Times New Roman"/>
          <w:color w:val="auto"/>
          <w:szCs w:val="21"/>
          <w:lang w:val="zh-CN"/>
        </w:rPr>
      </w:pPr>
      <w:r>
        <w:rPr>
          <w:rFonts w:hint="eastAsia" w:ascii="宋体" w:hAnsi="宋体" w:eastAsia="宋体" w:cs="Times New Roman"/>
          <w:color w:val="auto"/>
          <w:szCs w:val="21"/>
          <w:lang w:val="zh-CN"/>
        </w:rPr>
        <w:t>本项目供货期内，需采购安全及劳保物资一批（具体内容详见：第三篇用户需求书）。</w:t>
      </w:r>
    </w:p>
    <w:p w14:paraId="24A2DB4B">
      <w:pPr>
        <w:autoSpaceDE w:val="0"/>
        <w:autoSpaceDN w:val="0"/>
        <w:adjustRightInd w:val="0"/>
        <w:spacing w:line="360" w:lineRule="auto"/>
        <w:ind w:right="-29" w:rightChars="-14"/>
        <w:rPr>
          <w:color w:val="auto"/>
          <w:lang w:val="zh-CN"/>
        </w:rPr>
      </w:pPr>
    </w:p>
    <w:p w14:paraId="6A5798FC">
      <w:pPr>
        <w:numPr>
          <w:ilvl w:val="0"/>
          <w:numId w:val="1"/>
        </w:numPr>
        <w:autoSpaceDE w:val="0"/>
        <w:autoSpaceDN w:val="0"/>
        <w:adjustRightInd w:val="0"/>
        <w:snapToGrid w:val="0"/>
        <w:spacing w:line="360" w:lineRule="auto"/>
        <w:ind w:right="-34"/>
        <w:jc w:val="left"/>
        <w:rPr>
          <w:rFonts w:ascii="宋体" w:hAnsi="宋体" w:eastAsia="宋体" w:cs="Times New Roman"/>
          <w:b/>
          <w:color w:val="auto"/>
          <w:szCs w:val="21"/>
          <w:lang w:val="zh-CN"/>
        </w:rPr>
      </w:pPr>
      <w:r>
        <w:rPr>
          <w:rFonts w:ascii="宋体" w:hAnsi="宋体" w:eastAsia="宋体" w:cs="Times New Roman"/>
          <w:b/>
          <w:color w:val="auto"/>
          <w:szCs w:val="21"/>
          <w:lang w:val="zh-CN"/>
        </w:rPr>
        <w:t>合格投标人</w:t>
      </w:r>
      <w:r>
        <w:rPr>
          <w:rFonts w:hint="eastAsia" w:ascii="宋体" w:hAnsi="宋体" w:eastAsia="宋体" w:cs="Times New Roman"/>
          <w:b/>
          <w:color w:val="auto"/>
          <w:szCs w:val="21"/>
          <w:lang w:val="zh-CN"/>
        </w:rPr>
        <w:t>资格要求</w:t>
      </w:r>
      <w:r>
        <w:rPr>
          <w:rFonts w:ascii="宋体" w:hAnsi="宋体" w:eastAsia="宋体" w:cs="Times New Roman"/>
          <w:b/>
          <w:color w:val="auto"/>
          <w:szCs w:val="21"/>
          <w:lang w:val="zh-CN"/>
        </w:rPr>
        <w:t>：</w:t>
      </w:r>
    </w:p>
    <w:p w14:paraId="1990530B">
      <w:pPr>
        <w:autoSpaceDE w:val="0"/>
        <w:autoSpaceDN w:val="0"/>
        <w:adjustRightInd w:val="0"/>
        <w:spacing w:line="360" w:lineRule="auto"/>
        <w:ind w:right="-29" w:rightChars="-14"/>
        <w:rPr>
          <w:rFonts w:ascii="宋体" w:hAnsi="宋体" w:eastAsia="宋体" w:cs="Times New Roman"/>
          <w:b/>
          <w:color w:val="auto"/>
          <w:szCs w:val="21"/>
          <w:lang w:val="zh-CN"/>
        </w:rPr>
      </w:pPr>
      <w:r>
        <w:rPr>
          <w:rFonts w:hint="eastAsia" w:ascii="宋体" w:hAnsi="宋体" w:eastAsia="宋体" w:cs="Times New Roman"/>
          <w:b/>
          <w:color w:val="auto"/>
          <w:szCs w:val="21"/>
          <w:lang w:val="zh-CN"/>
        </w:rPr>
        <w:t>2</w:t>
      </w:r>
      <w:r>
        <w:rPr>
          <w:rFonts w:ascii="宋体" w:hAnsi="宋体" w:eastAsia="宋体" w:cs="Times New Roman"/>
          <w:b/>
          <w:color w:val="auto"/>
          <w:szCs w:val="21"/>
          <w:lang w:val="zh-CN"/>
        </w:rPr>
        <w:t xml:space="preserve">.1 </w:t>
      </w:r>
      <w:r>
        <w:rPr>
          <w:rFonts w:hint="eastAsia" w:ascii="宋体" w:hAnsi="宋体" w:eastAsia="宋体" w:cs="Times New Roman"/>
          <w:b/>
          <w:color w:val="auto"/>
          <w:szCs w:val="21"/>
          <w:lang w:val="zh-CN"/>
        </w:rPr>
        <w:t>在中华人民共和国境内登记注册、合法存续、正常经营且具有独立承担民事责任能力的法人或其他组织</w:t>
      </w:r>
      <w:r>
        <w:rPr>
          <w:rFonts w:ascii="宋体" w:hAnsi="宋体" w:eastAsia="宋体" w:cs="Times New Roman"/>
          <w:b/>
          <w:color w:val="auto"/>
          <w:szCs w:val="21"/>
          <w:lang w:val="zh-CN"/>
        </w:rPr>
        <w:t>；</w:t>
      </w:r>
    </w:p>
    <w:p w14:paraId="5E9B63F6">
      <w:pPr>
        <w:autoSpaceDE w:val="0"/>
        <w:autoSpaceDN w:val="0"/>
        <w:adjustRightInd w:val="0"/>
        <w:spacing w:line="360" w:lineRule="auto"/>
        <w:ind w:left="422" w:right="-29" w:rightChars="-14" w:hanging="422" w:hangingChars="200"/>
        <w:rPr>
          <w:rFonts w:ascii="宋体" w:hAnsi="宋体" w:eastAsia="宋体" w:cs="Times New Roman"/>
          <w:b/>
          <w:color w:val="auto"/>
          <w:szCs w:val="21"/>
        </w:rPr>
      </w:pPr>
      <w:bookmarkStart w:id="9" w:name="_Toc25819"/>
      <w:r>
        <w:rPr>
          <w:rFonts w:hint="eastAsia" w:ascii="宋体" w:hAnsi="宋体" w:eastAsia="宋体" w:cs="Times New Roman"/>
          <w:b/>
          <w:color w:val="auto"/>
          <w:szCs w:val="21"/>
        </w:rPr>
        <w:t xml:space="preserve">2.2 </w:t>
      </w:r>
      <w:r>
        <w:rPr>
          <w:rFonts w:hint="eastAsia" w:ascii="宋体" w:hAnsi="宋体" w:eastAsia="宋体" w:cs="Times New Roman"/>
          <w:b/>
          <w:color w:val="auto"/>
          <w:szCs w:val="21"/>
          <w:lang w:val="zh-CN"/>
        </w:rPr>
        <w:t>投标人202</w:t>
      </w:r>
      <w:r>
        <w:rPr>
          <w:rFonts w:hint="eastAsia" w:ascii="宋体" w:hAnsi="宋体" w:eastAsia="宋体" w:cs="Times New Roman"/>
          <w:b/>
          <w:color w:val="auto"/>
          <w:szCs w:val="21"/>
        </w:rPr>
        <w:t>1</w:t>
      </w:r>
      <w:r>
        <w:rPr>
          <w:rFonts w:hint="eastAsia" w:ascii="宋体" w:hAnsi="宋体" w:eastAsia="宋体" w:cs="Times New Roman"/>
          <w:b/>
          <w:color w:val="auto"/>
          <w:szCs w:val="21"/>
          <w:lang w:val="zh-CN"/>
        </w:rPr>
        <w:t>年1月1日以来具有一份安全物资或劳保物资在国内的销售业绩（合同签订日期为202</w:t>
      </w:r>
      <w:r>
        <w:rPr>
          <w:rFonts w:hint="eastAsia" w:ascii="宋体" w:hAnsi="宋体" w:eastAsia="宋体" w:cs="Times New Roman"/>
          <w:b/>
          <w:color w:val="auto"/>
          <w:szCs w:val="21"/>
        </w:rPr>
        <w:t>1</w:t>
      </w:r>
      <w:r>
        <w:rPr>
          <w:rFonts w:hint="eastAsia" w:ascii="宋体" w:hAnsi="宋体" w:eastAsia="宋体" w:cs="Times New Roman"/>
          <w:b/>
          <w:color w:val="auto"/>
          <w:szCs w:val="21"/>
          <w:lang w:val="zh-CN"/>
        </w:rPr>
        <w:t>年1月1日或以后）；</w:t>
      </w:r>
    </w:p>
    <w:p w14:paraId="57E7C13A">
      <w:pPr>
        <w:autoSpaceDE w:val="0"/>
        <w:autoSpaceDN w:val="0"/>
        <w:adjustRightInd w:val="0"/>
        <w:spacing w:line="360" w:lineRule="auto"/>
        <w:ind w:right="-29" w:rightChars="-14"/>
        <w:rPr>
          <w:rFonts w:ascii="宋体" w:hAnsi="宋体" w:eastAsia="宋体" w:cs="Times New Roman"/>
          <w:b/>
          <w:color w:val="auto"/>
          <w:szCs w:val="21"/>
          <w:lang w:val="zh-CN"/>
        </w:rPr>
      </w:pPr>
      <w:r>
        <w:rPr>
          <w:rFonts w:hint="eastAsia" w:ascii="宋体" w:hAnsi="宋体" w:eastAsia="宋体" w:cs="Times New Roman"/>
          <w:b/>
          <w:color w:val="auto"/>
          <w:szCs w:val="21"/>
        </w:rPr>
        <w:t xml:space="preserve">2.3 </w:t>
      </w:r>
      <w:r>
        <w:rPr>
          <w:rFonts w:hint="eastAsia" w:ascii="宋体" w:hAnsi="宋体" w:eastAsia="宋体" w:cs="Times New Roman"/>
          <w:b/>
          <w:color w:val="auto"/>
          <w:szCs w:val="21"/>
          <w:lang w:val="zh-CN"/>
        </w:rPr>
        <w:t>本项目不接受联合体投标。</w:t>
      </w:r>
      <w:bookmarkEnd w:id="9"/>
    </w:p>
    <w:p w14:paraId="48FAFFC8">
      <w:pPr>
        <w:autoSpaceDE w:val="0"/>
        <w:autoSpaceDN w:val="0"/>
        <w:adjustRightInd w:val="0"/>
        <w:spacing w:line="360" w:lineRule="auto"/>
        <w:ind w:right="-29" w:rightChars="-14" w:firstLine="420" w:firstLineChars="200"/>
        <w:rPr>
          <w:rFonts w:ascii="宋体" w:hAnsi="宋体" w:eastAsia="宋体" w:cs="Times New Roman"/>
          <w:color w:val="auto"/>
          <w:szCs w:val="21"/>
          <w:lang w:val="zh-CN"/>
        </w:rPr>
      </w:pPr>
    </w:p>
    <w:p w14:paraId="57B309DA">
      <w:pPr>
        <w:numPr>
          <w:ilvl w:val="0"/>
          <w:numId w:val="1"/>
        </w:numPr>
        <w:spacing w:line="360" w:lineRule="auto"/>
        <w:ind w:left="426" w:right="-34" w:hanging="426"/>
        <w:rPr>
          <w:rFonts w:ascii="宋体" w:hAnsi="宋体" w:eastAsia="宋体" w:cs="宋体"/>
          <w:color w:val="auto"/>
          <w:szCs w:val="21"/>
        </w:rPr>
      </w:pPr>
      <w:r>
        <w:rPr>
          <w:rFonts w:ascii="宋体" w:hAnsi="宋体" w:eastAsia="宋体" w:cs="Times New Roman"/>
          <w:color w:val="auto"/>
          <w:szCs w:val="21"/>
          <w:lang w:val="zh-CN"/>
        </w:rPr>
        <w:t>获取招标文件</w:t>
      </w:r>
      <w:r>
        <w:rPr>
          <w:rFonts w:hint="eastAsia" w:ascii="宋体" w:hAnsi="宋体" w:eastAsia="宋体" w:cs="宋体"/>
          <w:color w:val="auto"/>
          <w:szCs w:val="21"/>
        </w:rPr>
        <w:t>的方式：本项目采用“不记名网上下载”的方式</w:t>
      </w:r>
      <w:r>
        <w:rPr>
          <w:rFonts w:ascii="宋体" w:hAnsi="宋体" w:eastAsia="宋体" w:cs="宋体"/>
          <w:color w:val="auto"/>
          <w:szCs w:val="21"/>
        </w:rPr>
        <w:t>发布</w:t>
      </w:r>
      <w:r>
        <w:rPr>
          <w:rFonts w:hint="eastAsia" w:ascii="宋体" w:hAnsi="宋体" w:eastAsia="宋体" w:cs="宋体"/>
          <w:color w:val="auto"/>
          <w:szCs w:val="21"/>
        </w:rPr>
        <w:t>招标文件，有意向的投标人可于本项目投标截止时间前，在本项目招标信息发布媒介【详见本招标公告第</w:t>
      </w:r>
      <w:r>
        <w:rPr>
          <w:rFonts w:ascii="宋体" w:hAnsi="宋体" w:eastAsia="宋体" w:cs="宋体"/>
          <w:color w:val="auto"/>
          <w:szCs w:val="21"/>
        </w:rPr>
        <w:t>7点（除中国招标投标公共服务平台外）】下载招标文件。</w:t>
      </w:r>
    </w:p>
    <w:p w14:paraId="3A5C2877">
      <w:pPr>
        <w:autoSpaceDE w:val="0"/>
        <w:autoSpaceDN w:val="0"/>
        <w:adjustRightInd w:val="0"/>
        <w:spacing w:line="360" w:lineRule="auto"/>
        <w:ind w:left="630" w:leftChars="100" w:right="-29" w:rightChars="-14" w:hanging="420" w:hangingChars="200"/>
        <w:rPr>
          <w:rFonts w:ascii="宋体" w:hAnsi="宋体" w:eastAsia="宋体" w:cs="Times New Roman"/>
          <w:color w:val="auto"/>
          <w:szCs w:val="21"/>
          <w:lang w:val="zh-CN"/>
        </w:rPr>
      </w:pPr>
    </w:p>
    <w:p w14:paraId="7304537A">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lang w:val="zh-CN"/>
        </w:rPr>
      </w:pPr>
      <w:r>
        <w:rPr>
          <w:rFonts w:ascii="宋体" w:hAnsi="宋体" w:eastAsia="宋体" w:cs="Times New Roman"/>
          <w:color w:val="auto"/>
          <w:szCs w:val="21"/>
          <w:lang w:val="zh-CN"/>
        </w:rPr>
        <w:t>招标代理机构</w:t>
      </w:r>
      <w:r>
        <w:rPr>
          <w:rFonts w:hint="eastAsia" w:ascii="宋体" w:hAnsi="宋体" w:eastAsia="宋体" w:cs="Times New Roman"/>
          <w:color w:val="auto"/>
          <w:szCs w:val="21"/>
          <w:lang w:val="zh-CN"/>
        </w:rPr>
        <w:t>在递交投标文件截止时间当天通过“信用中国”网站（www.creditchina.gov.cn）查询投标人（含其不具有独立法人资格的分支机构）信用记录。招标代理机构对投标人信用记录进行甄别，对列入失信被执行人、重大税收违法失信主体、</w:t>
      </w:r>
      <w:r>
        <w:rPr>
          <w:rFonts w:hint="eastAsia" w:ascii="宋体" w:hAnsi="宋体" w:eastAsia="宋体" w:cs="Times New Roman"/>
          <w:color w:val="auto"/>
          <w:szCs w:val="21"/>
        </w:rPr>
        <w:t>政府采购</w:t>
      </w:r>
      <w:r>
        <w:rPr>
          <w:rFonts w:hint="eastAsia" w:ascii="宋体" w:hAnsi="宋体" w:eastAsia="宋体" w:cs="Times New Roman"/>
          <w:color w:val="auto"/>
          <w:szCs w:val="21"/>
          <w:lang w:val="zh-CN"/>
        </w:rPr>
        <w:t>严重违法失信行为记录名单的投标人，做好相关记录（处罚期限届满的除外）</w:t>
      </w:r>
      <w:r>
        <w:rPr>
          <w:rFonts w:ascii="宋体" w:hAnsi="宋体" w:eastAsia="宋体" w:cs="Times New Roman"/>
          <w:color w:val="auto"/>
          <w:szCs w:val="21"/>
          <w:lang w:val="zh-CN"/>
        </w:rPr>
        <w:t>。</w:t>
      </w:r>
    </w:p>
    <w:p w14:paraId="15F9939D">
      <w:pPr>
        <w:autoSpaceDE w:val="0"/>
        <w:autoSpaceDN w:val="0"/>
        <w:adjustRightInd w:val="0"/>
        <w:spacing w:line="360" w:lineRule="auto"/>
        <w:ind w:right="-29" w:rightChars="-14" w:firstLine="420"/>
        <w:rPr>
          <w:rFonts w:ascii="宋体" w:hAnsi="宋体" w:eastAsia="宋体" w:cs="Times New Roman"/>
          <w:color w:val="auto"/>
          <w:szCs w:val="21"/>
          <w:lang w:val="zh-CN"/>
        </w:rPr>
      </w:pPr>
    </w:p>
    <w:p w14:paraId="06AA5DE6">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lang w:val="zh-CN"/>
        </w:rPr>
      </w:pPr>
      <w:r>
        <w:rPr>
          <w:rFonts w:ascii="宋体" w:hAnsi="宋体" w:eastAsia="宋体" w:cs="Times New Roman"/>
          <w:color w:val="auto"/>
          <w:szCs w:val="21"/>
          <w:lang w:val="zh-CN"/>
        </w:rPr>
        <w:t>投标、开标时间及地点：</w:t>
      </w:r>
      <w:bookmarkStart w:id="680" w:name="_GoBack"/>
      <w:bookmarkEnd w:id="680"/>
    </w:p>
    <w:p w14:paraId="7764EDCB">
      <w:pPr>
        <w:autoSpaceDE w:val="0"/>
        <w:autoSpaceDN w:val="0"/>
        <w:adjustRightInd w:val="0"/>
        <w:spacing w:line="360" w:lineRule="auto"/>
        <w:ind w:right="-29" w:rightChars="-14"/>
        <w:rPr>
          <w:rFonts w:ascii="宋体" w:hAnsi="宋体" w:eastAsia="宋体" w:cs="Times New Roman"/>
          <w:color w:val="auto"/>
          <w:szCs w:val="21"/>
          <w:lang w:val="zh-CN"/>
        </w:rPr>
      </w:pPr>
      <w:r>
        <w:rPr>
          <w:rFonts w:hint="eastAsia" w:ascii="宋体" w:hAnsi="宋体" w:eastAsia="宋体" w:cs="Times New Roman"/>
          <w:color w:val="auto"/>
          <w:szCs w:val="21"/>
          <w:lang w:val="zh-CN"/>
        </w:rPr>
        <w:t xml:space="preserve">5.1 </w:t>
      </w:r>
      <w:r>
        <w:rPr>
          <w:rFonts w:ascii="宋体" w:hAnsi="宋体" w:eastAsia="宋体" w:cs="Times New Roman"/>
          <w:color w:val="auto"/>
          <w:szCs w:val="21"/>
          <w:lang w:val="zh-CN"/>
        </w:rPr>
        <w:t>投标文件递交时间：</w:t>
      </w:r>
      <w:r>
        <w:rPr>
          <w:rFonts w:hint="eastAsia" w:ascii="宋体" w:hAnsi="宋体" w:eastAsia="宋体" w:cs="Times New Roman"/>
          <w:color w:val="auto"/>
          <w:szCs w:val="21"/>
          <w:u w:val="single"/>
        </w:rPr>
        <w:t>20</w:t>
      </w:r>
      <w:r>
        <w:rPr>
          <w:rFonts w:hint="eastAsia" w:ascii="宋体" w:hAnsi="宋体" w:eastAsia="宋体" w:cs="Times New Roman"/>
          <w:color w:val="auto"/>
          <w:szCs w:val="21"/>
          <w:u w:val="single"/>
          <w:lang w:eastAsia="zh-CN"/>
        </w:rPr>
        <w:t>2</w:t>
      </w:r>
      <w:r>
        <w:rPr>
          <w:rFonts w:hint="eastAsia" w:ascii="宋体" w:hAnsi="宋体" w:eastAsia="宋体" w:cs="Times New Roman"/>
          <w:color w:val="auto"/>
          <w:szCs w:val="21"/>
          <w:u w:val="single"/>
          <w:lang w:val="en-US" w:eastAsia="zh-CN"/>
        </w:rPr>
        <w:t>5</w:t>
      </w:r>
      <w:r>
        <w:rPr>
          <w:rFonts w:hint="eastAsia" w:ascii="宋体" w:hAnsi="宋体" w:eastAsia="宋体" w:cs="Times New Roman"/>
          <w:bCs/>
          <w:color w:val="auto"/>
          <w:kern w:val="0"/>
          <w:szCs w:val="21"/>
        </w:rPr>
        <w:t>年</w:t>
      </w:r>
      <w:r>
        <w:rPr>
          <w:rFonts w:ascii="宋体" w:hAnsi="宋体" w:eastAsia="宋体" w:cs="Times New Roman"/>
          <w:color w:val="auto"/>
          <w:szCs w:val="21"/>
          <w:u w:val="single"/>
          <w:lang w:val="zh-CN"/>
        </w:rPr>
        <w:t xml:space="preserve"> </w:t>
      </w:r>
      <w:r>
        <w:rPr>
          <w:rFonts w:hint="eastAsia" w:ascii="宋体" w:hAnsi="宋体" w:eastAsia="宋体" w:cs="Times New Roman"/>
          <w:color w:val="auto"/>
          <w:szCs w:val="21"/>
          <w:u w:val="single"/>
          <w:lang w:val="en-US" w:eastAsia="zh-CN"/>
        </w:rPr>
        <w:t xml:space="preserve"> 1</w:t>
      </w:r>
      <w:r>
        <w:rPr>
          <w:rFonts w:ascii="宋体" w:hAnsi="宋体" w:eastAsia="宋体" w:cs="Times New Roman"/>
          <w:color w:val="auto"/>
          <w:szCs w:val="21"/>
          <w:u w:val="single"/>
          <w:lang w:val="zh-CN"/>
        </w:rPr>
        <w:t xml:space="preserve"> </w:t>
      </w:r>
      <w:r>
        <w:rPr>
          <w:rFonts w:hint="eastAsia" w:ascii="宋体" w:hAnsi="宋体" w:eastAsia="宋体" w:cs="Times New Roman"/>
          <w:bCs/>
          <w:color w:val="auto"/>
          <w:kern w:val="0"/>
          <w:szCs w:val="21"/>
        </w:rPr>
        <w:t>月</w:t>
      </w:r>
      <w:r>
        <w:rPr>
          <w:rFonts w:ascii="宋体" w:hAnsi="宋体" w:eastAsia="宋体" w:cs="Times New Roman"/>
          <w:color w:val="auto"/>
          <w:szCs w:val="21"/>
          <w:u w:val="single"/>
          <w:lang w:val="zh-CN"/>
        </w:rPr>
        <w:t xml:space="preserve"> </w:t>
      </w:r>
      <w:r>
        <w:rPr>
          <w:rFonts w:hint="eastAsia" w:ascii="宋体" w:hAnsi="宋体" w:eastAsia="宋体" w:cs="Times New Roman"/>
          <w:color w:val="auto"/>
          <w:szCs w:val="21"/>
          <w:u w:val="single"/>
          <w:lang w:val="en-US" w:eastAsia="zh-CN"/>
        </w:rPr>
        <w:t xml:space="preserve">20 </w:t>
      </w:r>
      <w:r>
        <w:rPr>
          <w:rFonts w:hint="eastAsia" w:ascii="宋体" w:hAnsi="宋体" w:eastAsia="宋体" w:cs="Times New Roman"/>
          <w:bCs/>
          <w:color w:val="auto"/>
          <w:kern w:val="0"/>
          <w:szCs w:val="21"/>
        </w:rPr>
        <w:t>日</w:t>
      </w:r>
      <w:r>
        <w:rPr>
          <w:rFonts w:hint="eastAsia" w:ascii="宋体" w:hAnsi="宋体" w:eastAsia="宋体" w:cs="Times New Roman"/>
          <w:color w:val="auto"/>
          <w:szCs w:val="21"/>
          <w:u w:val="single"/>
        </w:rPr>
        <w:t>13</w:t>
      </w:r>
      <w:r>
        <w:rPr>
          <w:rFonts w:hint="eastAsia" w:ascii="宋体" w:hAnsi="宋体" w:eastAsia="宋体" w:cs="Times New Roman"/>
          <w:bCs/>
          <w:color w:val="auto"/>
          <w:kern w:val="0"/>
          <w:szCs w:val="21"/>
          <w:u w:val="single"/>
        </w:rPr>
        <w:t>:30</w:t>
      </w:r>
      <w:r>
        <w:rPr>
          <w:rFonts w:hint="eastAsia" w:ascii="宋体" w:hAnsi="宋体" w:eastAsia="宋体" w:cs="Times New Roman"/>
          <w:bCs/>
          <w:color w:val="auto"/>
          <w:kern w:val="0"/>
          <w:szCs w:val="21"/>
        </w:rPr>
        <w:t>～</w:t>
      </w:r>
      <w:r>
        <w:rPr>
          <w:rFonts w:hint="eastAsia" w:ascii="宋体" w:hAnsi="宋体" w:eastAsia="宋体" w:cs="Times New Roman"/>
          <w:color w:val="auto"/>
          <w:szCs w:val="21"/>
          <w:u w:val="single"/>
        </w:rPr>
        <w:t>14</w:t>
      </w:r>
      <w:r>
        <w:rPr>
          <w:rFonts w:hint="eastAsia" w:ascii="宋体" w:hAnsi="宋体" w:eastAsia="宋体" w:cs="Times New Roman"/>
          <w:bCs/>
          <w:color w:val="auto"/>
          <w:kern w:val="0"/>
          <w:szCs w:val="21"/>
          <w:u w:val="single"/>
        </w:rPr>
        <w:t>:</w:t>
      </w:r>
      <w:r>
        <w:rPr>
          <w:rFonts w:hint="eastAsia" w:ascii="宋体" w:hAnsi="宋体" w:eastAsia="宋体" w:cs="Times New Roman"/>
          <w:color w:val="auto"/>
          <w:szCs w:val="21"/>
          <w:u w:val="single"/>
        </w:rPr>
        <w:t>00</w:t>
      </w:r>
      <w:r>
        <w:rPr>
          <w:rFonts w:hint="eastAsia" w:ascii="宋体" w:hAnsi="宋体" w:eastAsia="宋体" w:cs="Times New Roman"/>
          <w:bCs/>
          <w:color w:val="auto"/>
          <w:kern w:val="0"/>
          <w:szCs w:val="21"/>
        </w:rPr>
        <w:t>；</w:t>
      </w:r>
    </w:p>
    <w:p w14:paraId="6FE187E8">
      <w:pPr>
        <w:autoSpaceDE w:val="0"/>
        <w:autoSpaceDN w:val="0"/>
        <w:adjustRightInd w:val="0"/>
        <w:spacing w:line="360" w:lineRule="auto"/>
        <w:ind w:right="-29" w:rightChars="-14"/>
        <w:rPr>
          <w:rFonts w:ascii="宋体" w:hAnsi="宋体" w:eastAsia="宋体" w:cs="Times New Roman"/>
          <w:color w:val="auto"/>
          <w:szCs w:val="21"/>
          <w:lang w:val="zh-CN"/>
        </w:rPr>
      </w:pPr>
      <w:r>
        <w:rPr>
          <w:rFonts w:hint="eastAsia" w:ascii="宋体" w:hAnsi="宋体" w:eastAsia="宋体" w:cs="Times New Roman"/>
          <w:color w:val="auto"/>
          <w:szCs w:val="21"/>
          <w:lang w:val="zh-CN"/>
        </w:rPr>
        <w:t xml:space="preserve">5.2 </w:t>
      </w:r>
      <w:r>
        <w:rPr>
          <w:rFonts w:ascii="宋体" w:hAnsi="宋体" w:eastAsia="宋体" w:cs="Times New Roman"/>
          <w:color w:val="auto"/>
          <w:szCs w:val="21"/>
          <w:lang w:val="zh-CN"/>
        </w:rPr>
        <w:t>投标截止及开标时间：</w:t>
      </w:r>
      <w:r>
        <w:rPr>
          <w:rFonts w:hint="eastAsia" w:ascii="宋体" w:hAnsi="宋体" w:eastAsia="宋体" w:cs="Times New Roman"/>
          <w:color w:val="auto"/>
          <w:szCs w:val="21"/>
          <w:u w:val="single"/>
        </w:rPr>
        <w:t>20</w:t>
      </w:r>
      <w:r>
        <w:rPr>
          <w:rFonts w:hint="eastAsia" w:ascii="宋体" w:hAnsi="宋体" w:eastAsia="宋体" w:cs="Times New Roman"/>
          <w:color w:val="auto"/>
          <w:szCs w:val="21"/>
          <w:u w:val="single"/>
          <w:lang w:eastAsia="zh-CN"/>
        </w:rPr>
        <w:t>2</w:t>
      </w:r>
      <w:r>
        <w:rPr>
          <w:rFonts w:hint="eastAsia" w:ascii="宋体" w:hAnsi="宋体" w:eastAsia="宋体" w:cs="Times New Roman"/>
          <w:color w:val="auto"/>
          <w:szCs w:val="21"/>
          <w:u w:val="single"/>
          <w:lang w:val="en-US" w:eastAsia="zh-CN"/>
        </w:rPr>
        <w:t>5</w:t>
      </w:r>
      <w:r>
        <w:rPr>
          <w:rFonts w:hint="eastAsia" w:ascii="宋体" w:hAnsi="宋体" w:eastAsia="宋体" w:cs="Times New Roman"/>
          <w:bCs/>
          <w:color w:val="auto"/>
          <w:kern w:val="0"/>
          <w:szCs w:val="21"/>
        </w:rPr>
        <w:t>年</w:t>
      </w:r>
      <w:r>
        <w:rPr>
          <w:rFonts w:ascii="宋体" w:hAnsi="宋体" w:eastAsia="宋体" w:cs="Times New Roman"/>
          <w:color w:val="auto"/>
          <w:szCs w:val="21"/>
          <w:u w:val="single"/>
          <w:lang w:val="zh-CN"/>
        </w:rPr>
        <w:t xml:space="preserve"> </w:t>
      </w:r>
      <w:r>
        <w:rPr>
          <w:rFonts w:hint="eastAsia" w:ascii="宋体" w:hAnsi="宋体" w:eastAsia="宋体" w:cs="Times New Roman"/>
          <w:color w:val="auto"/>
          <w:szCs w:val="21"/>
          <w:u w:val="single"/>
          <w:lang w:val="en-US" w:eastAsia="zh-CN"/>
        </w:rPr>
        <w:t xml:space="preserve">1 </w:t>
      </w:r>
      <w:r>
        <w:rPr>
          <w:rFonts w:ascii="宋体" w:hAnsi="宋体" w:eastAsia="宋体" w:cs="Times New Roman"/>
          <w:color w:val="auto"/>
          <w:szCs w:val="21"/>
          <w:u w:val="single"/>
          <w:lang w:val="zh-CN"/>
        </w:rPr>
        <w:t xml:space="preserve"> </w:t>
      </w:r>
      <w:r>
        <w:rPr>
          <w:rFonts w:hint="eastAsia" w:ascii="宋体" w:hAnsi="宋体" w:eastAsia="宋体" w:cs="Times New Roman"/>
          <w:bCs/>
          <w:color w:val="auto"/>
          <w:kern w:val="0"/>
          <w:szCs w:val="21"/>
        </w:rPr>
        <w:t>月</w:t>
      </w:r>
      <w:r>
        <w:rPr>
          <w:rFonts w:ascii="宋体" w:hAnsi="宋体" w:eastAsia="宋体" w:cs="Times New Roman"/>
          <w:color w:val="auto"/>
          <w:szCs w:val="21"/>
          <w:u w:val="single"/>
          <w:lang w:val="zh-CN"/>
        </w:rPr>
        <w:t xml:space="preserve"> </w:t>
      </w:r>
      <w:r>
        <w:rPr>
          <w:rFonts w:hint="eastAsia" w:ascii="宋体" w:hAnsi="宋体" w:eastAsia="宋体" w:cs="Times New Roman"/>
          <w:color w:val="auto"/>
          <w:szCs w:val="21"/>
          <w:u w:val="single"/>
          <w:lang w:val="en-US" w:eastAsia="zh-CN"/>
        </w:rPr>
        <w:t xml:space="preserve"> 20</w:t>
      </w:r>
      <w:r>
        <w:rPr>
          <w:rFonts w:ascii="宋体" w:hAnsi="宋体" w:eastAsia="宋体" w:cs="Times New Roman"/>
          <w:color w:val="auto"/>
          <w:szCs w:val="21"/>
          <w:u w:val="single"/>
          <w:lang w:val="zh-CN"/>
        </w:rPr>
        <w:t xml:space="preserve"> </w:t>
      </w:r>
      <w:r>
        <w:rPr>
          <w:rFonts w:hint="eastAsia" w:ascii="宋体" w:hAnsi="宋体" w:eastAsia="宋体" w:cs="Times New Roman"/>
          <w:bCs/>
          <w:color w:val="auto"/>
          <w:kern w:val="0"/>
          <w:szCs w:val="21"/>
        </w:rPr>
        <w:t>日</w:t>
      </w:r>
      <w:r>
        <w:rPr>
          <w:rFonts w:hint="eastAsia" w:ascii="宋体" w:hAnsi="宋体" w:eastAsia="宋体" w:cs="Times New Roman"/>
          <w:color w:val="auto"/>
          <w:szCs w:val="21"/>
          <w:u w:val="single"/>
        </w:rPr>
        <w:t>14</w:t>
      </w:r>
      <w:r>
        <w:rPr>
          <w:rFonts w:hint="eastAsia" w:ascii="宋体" w:hAnsi="宋体" w:eastAsia="宋体" w:cs="Times New Roman"/>
          <w:bCs/>
          <w:color w:val="auto"/>
          <w:kern w:val="0"/>
          <w:szCs w:val="21"/>
          <w:u w:val="single"/>
        </w:rPr>
        <w:t>:</w:t>
      </w:r>
      <w:r>
        <w:rPr>
          <w:rFonts w:hint="eastAsia" w:ascii="宋体" w:hAnsi="宋体" w:eastAsia="宋体" w:cs="Times New Roman"/>
          <w:color w:val="auto"/>
          <w:szCs w:val="21"/>
          <w:u w:val="single"/>
        </w:rPr>
        <w:t>00</w:t>
      </w:r>
      <w:r>
        <w:rPr>
          <w:rFonts w:hint="eastAsia" w:ascii="宋体" w:hAnsi="宋体" w:eastAsia="宋体" w:cs="Times New Roman"/>
          <w:bCs/>
          <w:color w:val="auto"/>
          <w:kern w:val="0"/>
          <w:szCs w:val="21"/>
        </w:rPr>
        <w:t>；</w:t>
      </w:r>
    </w:p>
    <w:p w14:paraId="7DD2E56B">
      <w:pPr>
        <w:autoSpaceDE w:val="0"/>
        <w:autoSpaceDN w:val="0"/>
        <w:adjustRightInd w:val="0"/>
        <w:spacing w:line="360" w:lineRule="auto"/>
        <w:ind w:right="-29" w:rightChars="-14"/>
        <w:rPr>
          <w:rFonts w:ascii="宋体" w:hAnsi="宋体" w:eastAsia="宋体" w:cs="Times New Roman"/>
          <w:color w:val="auto"/>
          <w:kern w:val="0"/>
          <w:szCs w:val="21"/>
        </w:rPr>
      </w:pPr>
      <w:r>
        <w:rPr>
          <w:rFonts w:ascii="宋体" w:hAnsi="宋体" w:eastAsia="宋体" w:cs="Times New Roman"/>
          <w:color w:val="auto"/>
          <w:szCs w:val="21"/>
          <w:lang w:val="zh-CN"/>
        </w:rPr>
        <w:t>5.3 投标及开标地点：</w:t>
      </w:r>
      <w:r>
        <w:rPr>
          <w:rFonts w:hint="eastAsia" w:ascii="宋体" w:hAnsi="宋体" w:eastAsia="宋体" w:cs="Times New Roman"/>
          <w:color w:val="auto"/>
          <w:kern w:val="0"/>
          <w:szCs w:val="21"/>
          <w:u w:val="single"/>
        </w:rPr>
        <w:t>东莞市东城街道御景大厦303室（东城区政府旁）</w:t>
      </w:r>
      <w:r>
        <w:rPr>
          <w:rFonts w:hint="eastAsia" w:ascii="宋体" w:hAnsi="宋体" w:eastAsia="宋体" w:cs="Times New Roman"/>
          <w:color w:val="auto"/>
          <w:kern w:val="0"/>
          <w:szCs w:val="21"/>
        </w:rPr>
        <w:t>。</w:t>
      </w:r>
    </w:p>
    <w:p w14:paraId="47241293">
      <w:pPr>
        <w:autoSpaceDE w:val="0"/>
        <w:autoSpaceDN w:val="0"/>
        <w:adjustRightInd w:val="0"/>
        <w:spacing w:line="360" w:lineRule="auto"/>
        <w:ind w:right="-29" w:rightChars="-14" w:firstLine="210" w:firstLineChars="100"/>
        <w:rPr>
          <w:rFonts w:ascii="宋体" w:hAnsi="宋体" w:eastAsia="宋体" w:cs="Times New Roman"/>
          <w:color w:val="auto"/>
          <w:kern w:val="0"/>
          <w:szCs w:val="21"/>
        </w:rPr>
      </w:pPr>
    </w:p>
    <w:p w14:paraId="5C0F215D">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lang w:val="zh-CN"/>
        </w:rPr>
      </w:pPr>
      <w:r>
        <w:rPr>
          <w:rFonts w:hint="eastAsia" w:ascii="宋体" w:hAnsi="宋体" w:eastAsia="宋体" w:cs="Times New Roman"/>
          <w:color w:val="auto"/>
          <w:szCs w:val="21"/>
        </w:rPr>
        <w:t>招标代理机构只接受在递交投标文件截止日当天由投标人法定代表人或其授权代表于递交投标文件截止时间前亲自递交的投标文件</w:t>
      </w:r>
      <w:r>
        <w:rPr>
          <w:rFonts w:hint="eastAsia" w:ascii="宋体" w:hAnsi="宋体" w:eastAsia="宋体" w:cs="Times New Roman"/>
          <w:color w:val="auto"/>
          <w:szCs w:val="21"/>
          <w:lang w:val="zh-CN"/>
        </w:rPr>
        <w:t>。电报、传真形式的投标概不接受。</w:t>
      </w:r>
    </w:p>
    <w:p w14:paraId="34EA7440">
      <w:pPr>
        <w:autoSpaceDE w:val="0"/>
        <w:autoSpaceDN w:val="0"/>
        <w:adjustRightInd w:val="0"/>
        <w:spacing w:line="360" w:lineRule="auto"/>
        <w:ind w:left="210" w:leftChars="100" w:right="-29" w:rightChars="-14"/>
        <w:rPr>
          <w:rFonts w:ascii="宋体" w:hAnsi="宋体" w:eastAsia="宋体" w:cs="Times New Roman"/>
          <w:color w:val="auto"/>
          <w:szCs w:val="21"/>
          <w:lang w:val="zh-CN"/>
        </w:rPr>
      </w:pPr>
    </w:p>
    <w:p w14:paraId="7C712F16">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lang w:val="zh-CN"/>
        </w:rPr>
      </w:pPr>
      <w:r>
        <w:rPr>
          <w:rFonts w:hint="eastAsia" w:ascii="宋体" w:hAnsi="宋体" w:eastAsia="宋体" w:cs="Times New Roman"/>
          <w:bCs/>
          <w:color w:val="auto"/>
          <w:szCs w:val="21"/>
        </w:rPr>
        <w:t>本项目相关公告在以下媒介发布：广东省公共资源交易平台（ygp.gdzwfw.gov.cn）、中国招标投标公共服务平台（www.cebpubservice.com）、东莞市水务集团有限公司网（www.dgswjt.cn）、招标代理机构网站（</w:t>
      </w:r>
      <w:r>
        <w:rPr>
          <w:rFonts w:hint="eastAsia" w:ascii="宋体" w:hAnsi="宋体" w:eastAsia="宋体" w:cs="宋体"/>
          <w:bCs/>
          <w:color w:val="auto"/>
          <w:szCs w:val="21"/>
        </w:rPr>
        <w:t>www.dashengtd.com</w:t>
      </w:r>
      <w:r>
        <w:rPr>
          <w:rFonts w:ascii="宋体" w:hAnsi="宋体" w:eastAsia="宋体" w:cs="Times New Roman"/>
          <w:bCs/>
          <w:color w:val="auto"/>
          <w:szCs w:val="21"/>
        </w:rPr>
        <w:t>）</w:t>
      </w:r>
      <w:r>
        <w:rPr>
          <w:rFonts w:ascii="宋体" w:hAnsi="宋体" w:eastAsia="宋体" w:cs="Times New Roman"/>
          <w:color w:val="auto"/>
          <w:szCs w:val="21"/>
          <w:lang w:val="zh-CN"/>
        </w:rPr>
        <w:t>。</w:t>
      </w:r>
    </w:p>
    <w:p w14:paraId="4B0ACC99">
      <w:pPr>
        <w:autoSpaceDE w:val="0"/>
        <w:autoSpaceDN w:val="0"/>
        <w:adjustRightInd w:val="0"/>
        <w:spacing w:line="360" w:lineRule="auto"/>
        <w:ind w:right="-29" w:rightChars="-14" w:firstLine="420"/>
        <w:rPr>
          <w:rFonts w:ascii="宋体" w:hAnsi="宋体" w:eastAsia="宋体" w:cs="Times New Roman"/>
          <w:bCs/>
          <w:color w:val="auto"/>
          <w:szCs w:val="21"/>
        </w:rPr>
      </w:pPr>
    </w:p>
    <w:p w14:paraId="1910D2FA">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rPr>
      </w:pPr>
      <w:r>
        <w:rPr>
          <w:rFonts w:ascii="宋体" w:hAnsi="宋体" w:eastAsia="宋体" w:cs="Times New Roman"/>
          <w:bCs/>
          <w:color w:val="auto"/>
          <w:szCs w:val="21"/>
          <w:lang w:val="zh-CN"/>
        </w:rPr>
        <w:t>招标人联系方式</w:t>
      </w:r>
    </w:p>
    <w:p w14:paraId="5F6E26AE">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rPr>
      </w:pPr>
      <w:r>
        <w:rPr>
          <w:rFonts w:ascii="宋体" w:hAnsi="宋体" w:eastAsia="宋体" w:cs="Times New Roman"/>
          <w:color w:val="auto"/>
          <w:kern w:val="0"/>
          <w:szCs w:val="21"/>
        </w:rPr>
        <w:t>招标人：</w:t>
      </w:r>
      <w:r>
        <w:rPr>
          <w:rFonts w:hint="eastAsia" w:ascii="宋体" w:hAnsi="宋体" w:eastAsia="宋体" w:cs="Times New Roman"/>
          <w:color w:val="auto"/>
          <w:kern w:val="0"/>
          <w:szCs w:val="21"/>
        </w:rPr>
        <w:t>东莞市水务集团有限公司</w:t>
      </w:r>
    </w:p>
    <w:p w14:paraId="13303BD2">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rPr>
      </w:pPr>
      <w:r>
        <w:rPr>
          <w:rFonts w:ascii="宋体" w:hAnsi="宋体" w:eastAsia="宋体" w:cs="Times New Roman"/>
          <w:color w:val="auto"/>
          <w:kern w:val="0"/>
          <w:szCs w:val="21"/>
        </w:rPr>
        <w:t>地</w:t>
      </w:r>
      <w:r>
        <w:rPr>
          <w:rFonts w:hint="eastAsia" w:ascii="宋体" w:hAnsi="宋体" w:eastAsia="宋体" w:cs="Times New Roman"/>
          <w:color w:val="auto"/>
          <w:kern w:val="0"/>
          <w:szCs w:val="21"/>
        </w:rPr>
        <w:t xml:space="preserve"> </w:t>
      </w:r>
      <w:r>
        <w:rPr>
          <w:rFonts w:ascii="宋体" w:hAnsi="宋体" w:eastAsia="宋体" w:cs="Times New Roman"/>
          <w:color w:val="auto"/>
          <w:kern w:val="0"/>
          <w:szCs w:val="21"/>
        </w:rPr>
        <w:t xml:space="preserve"> 址：</w:t>
      </w:r>
      <w:r>
        <w:rPr>
          <w:rFonts w:hint="eastAsia" w:ascii="宋体" w:hAnsi="宋体" w:eastAsia="宋体" w:cs="Times New Roman"/>
          <w:color w:val="auto"/>
          <w:kern w:val="0"/>
          <w:szCs w:val="21"/>
        </w:rPr>
        <w:t>广东省东莞市东城街道育华路1号</w:t>
      </w:r>
    </w:p>
    <w:p w14:paraId="0D3CD7E0">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rPr>
      </w:pPr>
      <w:r>
        <w:rPr>
          <w:rFonts w:ascii="宋体" w:hAnsi="宋体" w:eastAsia="宋体" w:cs="Times New Roman"/>
          <w:color w:val="auto"/>
          <w:kern w:val="0"/>
          <w:szCs w:val="21"/>
        </w:rPr>
        <w:t>联系人</w:t>
      </w:r>
      <w:r>
        <w:rPr>
          <w:rFonts w:hint="eastAsia" w:ascii="宋体" w:hAnsi="宋体" w:eastAsia="宋体" w:cs="Times New Roman"/>
          <w:color w:val="auto"/>
          <w:kern w:val="0"/>
          <w:szCs w:val="21"/>
        </w:rPr>
        <w:t>：邓振达</w:t>
      </w:r>
    </w:p>
    <w:p w14:paraId="4CB07EC9">
      <w:pPr>
        <w:widowControl/>
        <w:autoSpaceDE w:val="0"/>
        <w:autoSpaceDN w:val="0"/>
        <w:adjustRightInd w:val="0"/>
        <w:spacing w:line="360" w:lineRule="auto"/>
        <w:ind w:right="-31" w:rightChars="-15" w:firstLine="424" w:firstLineChars="202"/>
        <w:jc w:val="left"/>
        <w:textAlignment w:val="bottom"/>
        <w:rPr>
          <w:rFonts w:hint="default" w:ascii="宋体" w:hAnsi="宋体" w:eastAsia="宋体" w:cs="Times New Roman"/>
          <w:color w:val="auto"/>
          <w:kern w:val="0"/>
          <w:szCs w:val="21"/>
        </w:rPr>
      </w:pPr>
      <w:r>
        <w:rPr>
          <w:rFonts w:ascii="宋体" w:hAnsi="宋体" w:eastAsia="宋体" w:cs="Times New Roman"/>
          <w:color w:val="auto"/>
          <w:kern w:val="0"/>
          <w:szCs w:val="21"/>
        </w:rPr>
        <w:t>电  话：</w:t>
      </w:r>
      <w:r>
        <w:rPr>
          <w:rFonts w:hint="eastAsia" w:ascii="宋体" w:hAnsi="宋体" w:eastAsia="宋体" w:cs="Times New Roman"/>
          <w:color w:val="auto"/>
          <w:kern w:val="0"/>
          <w:szCs w:val="21"/>
        </w:rPr>
        <w:t>0769-</w:t>
      </w:r>
      <w:r>
        <w:rPr>
          <w:rFonts w:hint="eastAsia" w:ascii="宋体" w:hAnsi="宋体" w:eastAsia="宋体" w:cs="Times New Roman"/>
          <w:color w:val="auto"/>
          <w:kern w:val="0"/>
          <w:szCs w:val="21"/>
          <w:lang w:val="en-US" w:eastAsia="zh-CN"/>
        </w:rPr>
        <w:t>28823251</w:t>
      </w:r>
    </w:p>
    <w:p w14:paraId="77E28F15">
      <w:pPr>
        <w:autoSpaceDE w:val="0"/>
        <w:autoSpaceDN w:val="0"/>
        <w:adjustRightInd w:val="0"/>
        <w:spacing w:line="360" w:lineRule="auto"/>
        <w:ind w:right="-29" w:rightChars="-14" w:firstLine="420"/>
        <w:rPr>
          <w:rFonts w:ascii="宋体" w:hAnsi="宋体" w:eastAsia="宋体" w:cs="Times New Roman"/>
          <w:color w:val="auto"/>
          <w:kern w:val="0"/>
          <w:szCs w:val="21"/>
        </w:rPr>
      </w:pPr>
    </w:p>
    <w:p w14:paraId="76EA8FB3">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rPr>
      </w:pPr>
      <w:r>
        <w:rPr>
          <w:rFonts w:ascii="宋体" w:hAnsi="宋体" w:eastAsia="宋体" w:cs="Times New Roman"/>
          <w:color w:val="auto"/>
          <w:szCs w:val="21"/>
        </w:rPr>
        <w:t>招标代理机构</w:t>
      </w:r>
      <w:r>
        <w:rPr>
          <w:rFonts w:hint="eastAsia" w:ascii="宋体" w:hAnsi="宋体" w:eastAsia="宋体" w:cs="Times New Roman"/>
          <w:color w:val="auto"/>
          <w:szCs w:val="21"/>
          <w:lang w:eastAsia="zh-CN"/>
        </w:rPr>
        <w:t>及异议受理</w:t>
      </w:r>
      <w:r>
        <w:rPr>
          <w:rFonts w:ascii="宋体" w:hAnsi="宋体" w:eastAsia="宋体" w:cs="Times New Roman"/>
          <w:color w:val="auto"/>
          <w:szCs w:val="21"/>
        </w:rPr>
        <w:t>联系方式</w:t>
      </w:r>
    </w:p>
    <w:p w14:paraId="5EB041C4">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rPr>
      </w:pPr>
      <w:bookmarkStart w:id="10" w:name="_Toc486167661"/>
      <w:bookmarkStart w:id="11" w:name="_Toc450662847"/>
      <w:bookmarkStart w:id="12" w:name="_Toc31764_WPSOffice_Level1"/>
      <w:r>
        <w:rPr>
          <w:rFonts w:ascii="宋体" w:hAnsi="宋体" w:eastAsia="宋体" w:cs="Times New Roman"/>
          <w:color w:val="auto"/>
          <w:kern w:val="0"/>
          <w:szCs w:val="21"/>
        </w:rPr>
        <w:t>招标代理机构：</w:t>
      </w:r>
      <w:r>
        <w:rPr>
          <w:rFonts w:hint="eastAsia" w:ascii="宋体" w:hAnsi="宋体" w:eastAsia="宋体" w:cs="宋体"/>
          <w:color w:val="auto"/>
          <w:szCs w:val="21"/>
        </w:rPr>
        <w:t>东莞市达盛招标代理有限公司</w:t>
      </w:r>
    </w:p>
    <w:p w14:paraId="3682FF4E">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rPr>
      </w:pPr>
      <w:r>
        <w:rPr>
          <w:rFonts w:ascii="宋体" w:hAnsi="宋体" w:eastAsia="宋体" w:cs="Times New Roman"/>
          <w:color w:val="auto"/>
          <w:kern w:val="0"/>
          <w:szCs w:val="21"/>
        </w:rPr>
        <w:t>地  址：</w:t>
      </w:r>
      <w:r>
        <w:rPr>
          <w:rFonts w:hint="eastAsia" w:ascii="宋体" w:hAnsi="宋体" w:eastAsia="宋体" w:cs="Times New Roman"/>
          <w:color w:val="auto"/>
          <w:kern w:val="0"/>
          <w:szCs w:val="21"/>
        </w:rPr>
        <w:t>东莞市东城街道御景大厦303室（东城区政府旁）</w:t>
      </w:r>
    </w:p>
    <w:p w14:paraId="7A12267F">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rPr>
      </w:pPr>
      <w:r>
        <w:rPr>
          <w:rFonts w:ascii="宋体" w:hAnsi="宋体" w:eastAsia="宋体" w:cs="Times New Roman"/>
          <w:color w:val="auto"/>
          <w:kern w:val="0"/>
          <w:szCs w:val="21"/>
        </w:rPr>
        <w:t>联系人：</w:t>
      </w:r>
      <w:r>
        <w:rPr>
          <w:rFonts w:hint="eastAsia" w:ascii="宋体" w:hAnsi="宋体" w:eastAsia="宋体" w:cs="Times New Roman"/>
          <w:color w:val="auto"/>
          <w:kern w:val="0"/>
          <w:szCs w:val="21"/>
        </w:rPr>
        <w:t>杨浩林</w:t>
      </w:r>
    </w:p>
    <w:p w14:paraId="1354D1CD">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rPr>
      </w:pPr>
      <w:r>
        <w:rPr>
          <w:rFonts w:hint="eastAsia" w:ascii="宋体" w:hAnsi="宋体" w:eastAsia="宋体" w:cs="Times New Roman"/>
          <w:color w:val="auto"/>
          <w:kern w:val="0"/>
          <w:szCs w:val="21"/>
        </w:rPr>
        <w:t xml:space="preserve">电 </w:t>
      </w:r>
      <w:r>
        <w:rPr>
          <w:rFonts w:ascii="宋体" w:hAnsi="宋体" w:eastAsia="宋体" w:cs="Times New Roman"/>
          <w:color w:val="auto"/>
          <w:kern w:val="0"/>
          <w:szCs w:val="21"/>
        </w:rPr>
        <w:t xml:space="preserve"> </w:t>
      </w:r>
      <w:r>
        <w:rPr>
          <w:rFonts w:hint="eastAsia" w:ascii="宋体" w:hAnsi="宋体" w:eastAsia="宋体" w:cs="Times New Roman"/>
          <w:color w:val="auto"/>
          <w:kern w:val="0"/>
          <w:szCs w:val="21"/>
        </w:rPr>
        <w:t>话</w:t>
      </w:r>
      <w:r>
        <w:rPr>
          <w:rFonts w:ascii="宋体" w:hAnsi="宋体" w:eastAsia="宋体" w:cs="Times New Roman"/>
          <w:color w:val="auto"/>
          <w:kern w:val="0"/>
          <w:szCs w:val="21"/>
        </w:rPr>
        <w:t>：</w:t>
      </w:r>
      <w:r>
        <w:rPr>
          <w:rFonts w:hint="eastAsia" w:ascii="宋体" w:hAnsi="宋体" w:eastAsia="宋体" w:cs="Times New Roman"/>
          <w:color w:val="auto"/>
          <w:kern w:val="0"/>
          <w:szCs w:val="21"/>
        </w:rPr>
        <w:t>0</w:t>
      </w:r>
      <w:r>
        <w:rPr>
          <w:rFonts w:ascii="宋体" w:hAnsi="宋体" w:eastAsia="宋体" w:cs="Times New Roman"/>
          <w:color w:val="auto"/>
          <w:kern w:val="0"/>
          <w:szCs w:val="21"/>
        </w:rPr>
        <w:t>769</w:t>
      </w:r>
      <w:r>
        <w:rPr>
          <w:rFonts w:hint="eastAsia" w:ascii="宋体" w:hAnsi="宋体" w:eastAsia="宋体" w:cs="Times New Roman"/>
          <w:color w:val="auto"/>
          <w:kern w:val="0"/>
          <w:szCs w:val="21"/>
          <w:lang w:eastAsia="zh-CN"/>
        </w:rPr>
        <w:t>-</w:t>
      </w:r>
      <w:r>
        <w:rPr>
          <w:rFonts w:hint="eastAsia" w:ascii="宋体" w:hAnsi="宋体" w:eastAsia="宋体" w:cs="宋体"/>
          <w:color w:val="auto"/>
          <w:szCs w:val="21"/>
        </w:rPr>
        <w:t>22113229</w:t>
      </w:r>
    </w:p>
    <w:p w14:paraId="1C2F56F0">
      <w:pPr>
        <w:pageBreakBefore/>
        <w:tabs>
          <w:tab w:val="left" w:pos="1080"/>
        </w:tabs>
        <w:autoSpaceDE w:val="0"/>
        <w:autoSpaceDN w:val="0"/>
        <w:adjustRightInd w:val="0"/>
        <w:spacing w:line="360" w:lineRule="auto"/>
        <w:ind w:left="-167" w:leftChars="-100" w:hanging="43"/>
        <w:jc w:val="center"/>
        <w:outlineLvl w:val="0"/>
        <w:rPr>
          <w:rFonts w:ascii="宋体" w:hAnsi="宋体" w:eastAsia="宋体" w:cs="宋体"/>
          <w:b/>
          <w:bCs/>
          <w:color w:val="auto"/>
          <w:kern w:val="44"/>
          <w:sz w:val="32"/>
          <w:szCs w:val="32"/>
        </w:rPr>
      </w:pPr>
      <w:bookmarkStart w:id="13" w:name="_Toc142508311"/>
      <w:bookmarkStart w:id="14" w:name="_Toc12475"/>
      <w:bookmarkStart w:id="15" w:name="_Toc173182256"/>
      <w:bookmarkStart w:id="16" w:name="_Toc11715"/>
      <w:r>
        <w:rPr>
          <w:rFonts w:hint="eastAsia" w:ascii="宋体" w:hAnsi="宋体" w:eastAsia="宋体" w:cs="宋体"/>
          <w:b/>
          <w:bCs/>
          <w:color w:val="auto"/>
          <w:kern w:val="44"/>
          <w:sz w:val="32"/>
          <w:szCs w:val="32"/>
          <w:lang w:val="zh-CN"/>
        </w:rPr>
        <w:t>第二篇</w:t>
      </w:r>
      <w:r>
        <w:rPr>
          <w:rFonts w:ascii="宋体" w:hAnsi="宋体" w:eastAsia="宋体" w:cs="宋体"/>
          <w:b/>
          <w:bCs/>
          <w:color w:val="auto"/>
          <w:kern w:val="44"/>
          <w:sz w:val="32"/>
          <w:szCs w:val="32"/>
        </w:rPr>
        <w:t xml:space="preserve"> </w:t>
      </w:r>
      <w:r>
        <w:rPr>
          <w:rFonts w:hint="eastAsia" w:ascii="宋体" w:hAnsi="宋体" w:eastAsia="宋体" w:cs="宋体"/>
          <w:b/>
          <w:bCs/>
          <w:color w:val="auto"/>
          <w:kern w:val="44"/>
          <w:sz w:val="32"/>
          <w:szCs w:val="32"/>
          <w:lang w:val="zh-CN"/>
        </w:rPr>
        <w:t>投标人须知</w:t>
      </w:r>
      <w:bookmarkEnd w:id="10"/>
      <w:bookmarkEnd w:id="11"/>
      <w:bookmarkEnd w:id="12"/>
      <w:bookmarkEnd w:id="13"/>
      <w:bookmarkEnd w:id="14"/>
      <w:bookmarkEnd w:id="15"/>
      <w:bookmarkEnd w:id="16"/>
    </w:p>
    <w:p w14:paraId="14C178FD">
      <w:pPr>
        <w:keepNext/>
        <w:keepLines/>
        <w:autoSpaceDE w:val="0"/>
        <w:autoSpaceDN w:val="0"/>
        <w:adjustRightInd w:val="0"/>
        <w:spacing w:line="360" w:lineRule="auto"/>
        <w:jc w:val="left"/>
        <w:outlineLvl w:val="0"/>
        <w:rPr>
          <w:rFonts w:ascii="宋体" w:hAnsi="宋体" w:eastAsia="宋体" w:cs="宋体"/>
          <w:b/>
          <w:bCs/>
          <w:color w:val="auto"/>
          <w:kern w:val="44"/>
          <w:szCs w:val="21"/>
          <w:lang w:val="zh-CN"/>
        </w:rPr>
      </w:pPr>
      <w:bookmarkStart w:id="17" w:name="_Toc173182257"/>
      <w:bookmarkStart w:id="18" w:name="_Toc142508312"/>
      <w:bookmarkStart w:id="19" w:name="_Toc486167662"/>
      <w:bookmarkStart w:id="20" w:name="_Toc15366_WPSOffice_Level2"/>
      <w:bookmarkStart w:id="21" w:name="_Toc16098"/>
      <w:bookmarkStart w:id="22" w:name="_Toc450662848"/>
      <w:bookmarkStart w:id="23" w:name="_Toc140596871"/>
      <w:bookmarkStart w:id="24" w:name="_Toc29050"/>
      <w:r>
        <w:rPr>
          <w:rFonts w:hint="eastAsia" w:ascii="宋体" w:hAnsi="宋体" w:eastAsia="宋体" w:cs="宋体"/>
          <w:b/>
          <w:bCs/>
          <w:color w:val="auto"/>
          <w:kern w:val="44"/>
          <w:szCs w:val="21"/>
          <w:lang w:val="zh-CN"/>
        </w:rPr>
        <w:t>一、总则</w:t>
      </w:r>
      <w:bookmarkEnd w:id="17"/>
      <w:bookmarkEnd w:id="18"/>
      <w:bookmarkEnd w:id="19"/>
      <w:bookmarkEnd w:id="20"/>
      <w:bookmarkEnd w:id="21"/>
      <w:bookmarkEnd w:id="22"/>
      <w:bookmarkEnd w:id="23"/>
      <w:bookmarkEnd w:id="24"/>
    </w:p>
    <w:p w14:paraId="3B87628F">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lang w:val="zh-CN"/>
        </w:rPr>
      </w:pPr>
      <w:bookmarkStart w:id="25" w:name="_Toc142508313"/>
      <w:bookmarkStart w:id="26" w:name="_Toc21710_WPSOffice_Level3"/>
      <w:bookmarkStart w:id="27" w:name="_Toc173182258"/>
      <w:bookmarkStart w:id="28" w:name="_Toc450662849"/>
      <w:bookmarkStart w:id="29" w:name="_Toc486167663"/>
      <w:bookmarkStart w:id="30" w:name="_Toc16700"/>
      <w:bookmarkStart w:id="31" w:name="_Toc13055"/>
      <w:r>
        <w:rPr>
          <w:rFonts w:hint="eastAsia" w:ascii="宋体" w:hAnsi="宋体" w:eastAsia="宋体" w:cs="宋体"/>
          <w:color w:val="auto"/>
          <w:szCs w:val="21"/>
          <w:lang w:val="zh-CN"/>
        </w:rPr>
        <w:t>1</w:t>
      </w:r>
      <w:r>
        <w:rPr>
          <w:rFonts w:ascii="宋体" w:hAnsi="宋体" w:eastAsia="宋体" w:cs="宋体"/>
          <w:color w:val="auto"/>
          <w:szCs w:val="21"/>
          <w:lang w:val="zh-CN"/>
        </w:rPr>
        <w:t xml:space="preserve"> </w:t>
      </w:r>
      <w:r>
        <w:rPr>
          <w:rFonts w:hint="eastAsia" w:ascii="宋体" w:hAnsi="宋体" w:eastAsia="宋体" w:cs="宋体"/>
          <w:color w:val="auto"/>
          <w:szCs w:val="21"/>
          <w:lang w:val="zh-CN"/>
        </w:rPr>
        <w:t>资金来源：企业自筹资金。</w:t>
      </w:r>
      <w:bookmarkEnd w:id="25"/>
      <w:bookmarkEnd w:id="26"/>
      <w:bookmarkEnd w:id="27"/>
      <w:bookmarkEnd w:id="28"/>
      <w:bookmarkEnd w:id="29"/>
      <w:bookmarkEnd w:id="30"/>
      <w:bookmarkEnd w:id="31"/>
    </w:p>
    <w:p w14:paraId="5C3DFA5A">
      <w:pPr>
        <w:autoSpaceDE w:val="0"/>
        <w:autoSpaceDN w:val="0"/>
        <w:adjustRightInd w:val="0"/>
        <w:jc w:val="left"/>
        <w:rPr>
          <w:rFonts w:ascii="宋体" w:hAnsi="宋体" w:eastAsia="宋体" w:cs="宋体"/>
          <w:color w:val="auto"/>
          <w:kern w:val="0"/>
          <w:sz w:val="24"/>
          <w:szCs w:val="24"/>
        </w:rPr>
      </w:pPr>
    </w:p>
    <w:p w14:paraId="7B536CD6">
      <w:pPr>
        <w:tabs>
          <w:tab w:val="left" w:pos="570"/>
        </w:tabs>
        <w:autoSpaceDE w:val="0"/>
        <w:autoSpaceDN w:val="0"/>
        <w:adjustRightInd w:val="0"/>
        <w:spacing w:line="360" w:lineRule="auto"/>
        <w:ind w:left="357" w:leftChars="-100" w:hanging="567"/>
        <w:jc w:val="left"/>
        <w:outlineLvl w:val="2"/>
        <w:rPr>
          <w:rFonts w:ascii="宋体" w:hAnsi="宋体" w:eastAsia="宋体" w:cs="宋体"/>
          <w:b/>
          <w:color w:val="auto"/>
          <w:szCs w:val="21"/>
          <w:lang w:val="zh-CN"/>
        </w:rPr>
      </w:pPr>
      <w:bookmarkStart w:id="32" w:name="_Toc486167664"/>
      <w:bookmarkStart w:id="33" w:name="_Toc5550"/>
      <w:bookmarkStart w:id="34" w:name="_Toc80_WPSOffice_Level3"/>
      <w:bookmarkStart w:id="35" w:name="_Toc173182259"/>
      <w:bookmarkStart w:id="36" w:name="_Toc450662850"/>
      <w:bookmarkStart w:id="37" w:name="_Toc142508314"/>
      <w:bookmarkStart w:id="38" w:name="_Toc4064"/>
      <w:r>
        <w:rPr>
          <w:rFonts w:hint="eastAsia" w:ascii="宋体" w:hAnsi="宋体" w:eastAsia="宋体" w:cs="宋体"/>
          <w:b/>
          <w:color w:val="auto"/>
          <w:szCs w:val="21"/>
          <w:lang w:val="zh-CN"/>
        </w:rPr>
        <w:t>2</w:t>
      </w:r>
      <w:r>
        <w:rPr>
          <w:rFonts w:ascii="宋体" w:hAnsi="宋体" w:eastAsia="宋体" w:cs="宋体"/>
          <w:b/>
          <w:color w:val="auto"/>
          <w:szCs w:val="21"/>
          <w:lang w:val="zh-CN"/>
        </w:rPr>
        <w:t xml:space="preserve"> </w:t>
      </w:r>
      <w:r>
        <w:rPr>
          <w:rFonts w:hint="eastAsia" w:ascii="宋体" w:hAnsi="宋体" w:eastAsia="宋体" w:cs="宋体"/>
          <w:b/>
          <w:color w:val="auto"/>
          <w:szCs w:val="21"/>
          <w:lang w:val="zh-CN"/>
        </w:rPr>
        <w:t>合格的投标人</w:t>
      </w:r>
      <w:bookmarkEnd w:id="32"/>
      <w:bookmarkEnd w:id="33"/>
      <w:bookmarkEnd w:id="34"/>
      <w:bookmarkEnd w:id="35"/>
      <w:bookmarkEnd w:id="36"/>
      <w:bookmarkEnd w:id="37"/>
      <w:bookmarkEnd w:id="38"/>
    </w:p>
    <w:p w14:paraId="438AB524">
      <w:pPr>
        <w:autoSpaceDE w:val="0"/>
        <w:autoSpaceDN w:val="0"/>
        <w:adjustRightInd w:val="0"/>
        <w:spacing w:line="360" w:lineRule="auto"/>
        <w:ind w:left="317" w:leftChars="-100" w:hanging="527" w:hangingChars="250"/>
        <w:rPr>
          <w:rFonts w:ascii="宋体" w:hAnsi="宋体" w:eastAsia="宋体" w:cs="宋体"/>
          <w:b/>
          <w:color w:val="auto"/>
          <w:szCs w:val="21"/>
          <w:lang w:val="zh-CN"/>
        </w:rPr>
      </w:pPr>
      <w:r>
        <w:rPr>
          <w:rFonts w:hint="eastAsia" w:ascii="宋体" w:hAnsi="宋体" w:eastAsia="宋体" w:cs="宋体"/>
          <w:b/>
          <w:color w:val="auto"/>
          <w:szCs w:val="21"/>
          <w:lang w:val="zh-CN"/>
        </w:rPr>
        <w:t>2.1  合格的投标人条件见第一篇《招标公告》中第</w:t>
      </w:r>
      <w:r>
        <w:rPr>
          <w:rFonts w:ascii="宋体" w:hAnsi="宋体" w:eastAsia="宋体" w:cs="宋体"/>
          <w:b/>
          <w:color w:val="auto"/>
          <w:szCs w:val="21"/>
          <w:lang w:val="zh-CN"/>
        </w:rPr>
        <w:t>2</w:t>
      </w:r>
      <w:r>
        <w:rPr>
          <w:rFonts w:hint="eastAsia" w:ascii="宋体" w:hAnsi="宋体" w:eastAsia="宋体" w:cs="宋体"/>
          <w:b/>
          <w:color w:val="auto"/>
          <w:szCs w:val="21"/>
          <w:lang w:val="zh-CN"/>
        </w:rPr>
        <w:t>条的“合格投标人资格要求”及本条以下2.2款至</w:t>
      </w:r>
      <w:r>
        <w:rPr>
          <w:rFonts w:hint="eastAsia" w:ascii="宋体" w:hAnsi="宋体" w:eastAsia="宋体" w:cs="宋体"/>
          <w:b/>
          <w:color w:val="auto"/>
          <w:szCs w:val="21"/>
        </w:rPr>
        <w:t>2.</w:t>
      </w:r>
      <w:r>
        <w:rPr>
          <w:rFonts w:ascii="宋体" w:hAnsi="宋体" w:eastAsia="宋体" w:cs="宋体"/>
          <w:b/>
          <w:color w:val="auto"/>
          <w:szCs w:val="21"/>
        </w:rPr>
        <w:t>5</w:t>
      </w:r>
      <w:r>
        <w:rPr>
          <w:rFonts w:hint="eastAsia" w:ascii="宋体" w:hAnsi="宋体" w:eastAsia="宋体" w:cs="宋体"/>
          <w:b/>
          <w:color w:val="auto"/>
          <w:szCs w:val="21"/>
          <w:lang w:val="zh-CN"/>
        </w:rPr>
        <w:t>款的通用要求。</w:t>
      </w:r>
    </w:p>
    <w:p w14:paraId="6C2EE62C">
      <w:pPr>
        <w:autoSpaceDE w:val="0"/>
        <w:autoSpaceDN w:val="0"/>
        <w:adjustRightInd w:val="0"/>
        <w:spacing w:line="360" w:lineRule="auto"/>
        <w:ind w:left="359" w:leftChars="-100" w:hanging="569" w:hangingChars="270"/>
        <w:rPr>
          <w:rFonts w:ascii="宋体" w:hAnsi="宋体" w:eastAsia="宋体" w:cs="宋体"/>
          <w:b/>
          <w:color w:val="auto"/>
          <w:kern w:val="0"/>
          <w:szCs w:val="21"/>
        </w:rPr>
      </w:pPr>
      <w:r>
        <w:rPr>
          <w:rFonts w:hint="eastAsia" w:ascii="宋体" w:hAnsi="宋体" w:eastAsia="宋体" w:cs="宋体"/>
          <w:b/>
          <w:color w:val="auto"/>
          <w:kern w:val="0"/>
          <w:szCs w:val="24"/>
        </w:rPr>
        <w:t xml:space="preserve">2.2  </w:t>
      </w:r>
      <w:r>
        <w:rPr>
          <w:rFonts w:hint="eastAsia" w:ascii="宋体" w:hAnsi="宋体" w:eastAsia="宋体" w:cs="宋体"/>
          <w:b/>
          <w:color w:val="auto"/>
          <w:kern w:val="0"/>
          <w:szCs w:val="21"/>
        </w:rPr>
        <w:t>投标人</w:t>
      </w:r>
      <w:r>
        <w:rPr>
          <w:rFonts w:hint="eastAsia" w:ascii="宋体" w:hAnsi="宋体" w:eastAsia="宋体" w:cs="Times New Roman"/>
          <w:b/>
          <w:color w:val="auto"/>
          <w:kern w:val="0"/>
          <w:szCs w:val="21"/>
        </w:rPr>
        <w:t>在参加本项目投标前的三年内不得在投标活动中存在《中华人民共和国招标投标法》第五十三条（相互串通投标或者与招标人串通投标，以向招标人或者评标委员会成员行贿的手段谋取中标）、第五十四条（以他人名义投标或者以其他方式弄虚作假，骗取中标）、第六十条（中标人不履行与招标人订立的合同）、《中华人民共和国招标投标法实施条例》第七十六条（将中标项目转让给他人的，将中标项目肢解后分别转让给他人的，违反招标投标法和本条例规定将中标项目的部分主体、关键性工作分包给他人的，或者分包人再次分包）、第七十七条（捏造事实、伪造材料或者以非法手段取得证明材料进行投诉）规定的违法行为，而受到各级管理部门的处罚。投标人存在前述处罚的，在投标文件中必须主动按招标文件的要求填报“最近3年投标人牵涉的其他（失信和违法）</w:t>
      </w:r>
      <w:r>
        <w:rPr>
          <w:rFonts w:hint="eastAsia" w:ascii="宋体" w:hAnsi="宋体" w:eastAsia="宋体" w:cs="Times New Roman"/>
          <w:b/>
          <w:color w:val="auto"/>
          <w:kern w:val="0"/>
          <w:szCs w:val="21"/>
          <w:lang w:val="zh-CN"/>
        </w:rPr>
        <w:t>处罚说明</w:t>
      </w:r>
      <w:r>
        <w:rPr>
          <w:rFonts w:hint="eastAsia" w:ascii="宋体" w:hAnsi="宋体" w:eastAsia="宋体" w:cs="Times New Roman"/>
          <w:b/>
          <w:color w:val="auto"/>
          <w:kern w:val="0"/>
          <w:szCs w:val="21"/>
        </w:rPr>
        <w:t>”，如果不主动填报而被事后发现的，将取消其投标（中标）资格，并按有关规定从重处理</w:t>
      </w:r>
      <w:r>
        <w:rPr>
          <w:rFonts w:hint="eastAsia" w:ascii="宋体" w:hAnsi="宋体" w:eastAsia="宋体" w:cs="宋体"/>
          <w:b/>
          <w:color w:val="auto"/>
          <w:kern w:val="0"/>
          <w:szCs w:val="21"/>
        </w:rPr>
        <w:t>。</w:t>
      </w:r>
    </w:p>
    <w:p w14:paraId="55A4C8AD">
      <w:pPr>
        <w:autoSpaceDE w:val="0"/>
        <w:autoSpaceDN w:val="0"/>
        <w:adjustRightInd w:val="0"/>
        <w:spacing w:line="360" w:lineRule="auto"/>
        <w:ind w:left="317" w:leftChars="-100" w:hanging="527" w:hangingChars="250"/>
        <w:rPr>
          <w:rFonts w:ascii="宋体" w:hAnsi="宋体" w:eastAsia="宋体" w:cs="宋体"/>
          <w:b/>
          <w:color w:val="auto"/>
          <w:szCs w:val="21"/>
          <w:lang w:val="zh-CN"/>
        </w:rPr>
      </w:pPr>
      <w:r>
        <w:rPr>
          <w:rFonts w:hint="eastAsia" w:ascii="宋体" w:hAnsi="宋体" w:eastAsia="宋体" w:cs="宋体"/>
          <w:b/>
          <w:color w:val="auto"/>
          <w:kern w:val="0"/>
          <w:szCs w:val="21"/>
          <w:lang w:val="zh-CN"/>
        </w:rPr>
        <w:t>2.</w:t>
      </w:r>
      <w:r>
        <w:rPr>
          <w:rFonts w:ascii="宋体" w:hAnsi="宋体" w:eastAsia="宋体" w:cs="宋体"/>
          <w:b/>
          <w:color w:val="auto"/>
          <w:kern w:val="0"/>
          <w:szCs w:val="21"/>
          <w:lang w:val="zh-CN"/>
        </w:rPr>
        <w:t>3</w:t>
      </w:r>
      <w:r>
        <w:rPr>
          <w:rFonts w:hint="eastAsia" w:ascii="宋体" w:hAnsi="宋体" w:eastAsia="宋体" w:cs="宋体"/>
          <w:b/>
          <w:color w:val="auto"/>
          <w:kern w:val="0"/>
          <w:szCs w:val="21"/>
          <w:lang w:val="zh-CN"/>
        </w:rPr>
        <w:t xml:space="preserve">  投标人</w:t>
      </w:r>
      <w:r>
        <w:rPr>
          <w:rFonts w:hint="eastAsia" w:ascii="宋体" w:hAnsi="宋体" w:eastAsia="宋体" w:cs="宋体"/>
          <w:b/>
          <w:color w:val="auto"/>
          <w:szCs w:val="21"/>
          <w:lang w:val="zh-CN"/>
        </w:rPr>
        <w:t>符合《中华人民共和国招标投标法》第二十六条规定。</w:t>
      </w:r>
    </w:p>
    <w:p w14:paraId="54E7E457">
      <w:pPr>
        <w:autoSpaceDE w:val="0"/>
        <w:autoSpaceDN w:val="0"/>
        <w:adjustRightInd w:val="0"/>
        <w:spacing w:line="360" w:lineRule="auto"/>
        <w:ind w:left="359" w:leftChars="-99" w:hanging="567" w:hangingChars="269"/>
        <w:rPr>
          <w:rFonts w:ascii="宋体" w:hAnsi="宋体" w:eastAsia="宋体" w:cs="宋体"/>
          <w:b/>
          <w:color w:val="auto"/>
          <w:kern w:val="0"/>
          <w:szCs w:val="21"/>
        </w:rPr>
      </w:pPr>
      <w:r>
        <w:rPr>
          <w:rFonts w:hint="eastAsia" w:ascii="宋体" w:hAnsi="宋体" w:eastAsia="宋体" w:cs="宋体"/>
          <w:b/>
          <w:color w:val="auto"/>
          <w:kern w:val="0"/>
          <w:szCs w:val="21"/>
        </w:rPr>
        <w:t>2.</w:t>
      </w:r>
      <w:r>
        <w:rPr>
          <w:rFonts w:ascii="宋体" w:hAnsi="宋体" w:eastAsia="宋体" w:cs="宋体"/>
          <w:b/>
          <w:color w:val="auto"/>
          <w:kern w:val="0"/>
          <w:szCs w:val="21"/>
        </w:rPr>
        <w:t>4</w:t>
      </w:r>
      <w:r>
        <w:rPr>
          <w:rFonts w:hint="eastAsia" w:ascii="宋体" w:hAnsi="宋体" w:eastAsia="宋体" w:cs="宋体"/>
          <w:b/>
          <w:color w:val="auto"/>
          <w:kern w:val="0"/>
          <w:szCs w:val="21"/>
        </w:rPr>
        <w:t xml:space="preserve">  </w:t>
      </w:r>
      <w:r>
        <w:rPr>
          <w:rFonts w:hint="eastAsia" w:ascii="宋体" w:hAnsi="宋体" w:eastAsia="宋体" w:cs="Times New Roman"/>
          <w:b/>
          <w:color w:val="auto"/>
          <w:kern w:val="0"/>
          <w:szCs w:val="21"/>
        </w:rPr>
        <w:t>投标人（含其不具有独立法人资格的分支机构）未被列入“信用中国”网站（ www.creditchina.gov.cn）失信被执行人、重大税收违法失信主体、政府采购严重违法失信行为记录名单（处罚期限届满的除外）</w:t>
      </w:r>
      <w:r>
        <w:rPr>
          <w:rFonts w:hint="eastAsia" w:ascii="宋体" w:hAnsi="宋体" w:eastAsia="宋体" w:cs="宋体"/>
          <w:b/>
          <w:color w:val="auto"/>
          <w:kern w:val="0"/>
          <w:szCs w:val="21"/>
        </w:rPr>
        <w:t>。</w:t>
      </w:r>
    </w:p>
    <w:p w14:paraId="56BE7FED">
      <w:pPr>
        <w:autoSpaceDE w:val="0"/>
        <w:autoSpaceDN w:val="0"/>
        <w:adjustRightInd w:val="0"/>
        <w:spacing w:line="360" w:lineRule="auto"/>
        <w:ind w:left="317" w:leftChars="-100" w:hanging="527" w:hangingChars="250"/>
        <w:rPr>
          <w:rFonts w:ascii="宋体" w:hAnsi="宋体" w:eastAsia="宋体" w:cs="宋体"/>
          <w:b/>
          <w:color w:val="auto"/>
          <w:kern w:val="0"/>
          <w:szCs w:val="21"/>
          <w:lang w:val="zh-CN"/>
        </w:rPr>
      </w:pPr>
      <w:r>
        <w:rPr>
          <w:rFonts w:hint="eastAsia" w:ascii="宋体" w:hAnsi="宋体" w:eastAsia="宋体" w:cs="宋体"/>
          <w:b/>
          <w:color w:val="auto"/>
          <w:szCs w:val="21"/>
          <w:lang w:val="zh-CN"/>
        </w:rPr>
        <w:t>2.</w:t>
      </w:r>
      <w:r>
        <w:rPr>
          <w:rFonts w:ascii="宋体" w:hAnsi="宋体" w:eastAsia="宋体" w:cs="宋体"/>
          <w:b/>
          <w:color w:val="auto"/>
          <w:szCs w:val="21"/>
          <w:lang w:val="zh-CN"/>
        </w:rPr>
        <w:t>5</w:t>
      </w:r>
      <w:r>
        <w:rPr>
          <w:rFonts w:hint="eastAsia" w:ascii="宋体" w:hAnsi="宋体" w:eastAsia="宋体" w:cs="宋体"/>
          <w:b/>
          <w:color w:val="auto"/>
          <w:szCs w:val="21"/>
          <w:lang w:val="zh-CN"/>
        </w:rPr>
        <w:t xml:space="preserve">  </w:t>
      </w:r>
      <w:r>
        <w:rPr>
          <w:rFonts w:hint="eastAsia" w:ascii="宋体" w:hAnsi="宋体" w:eastAsia="宋体" w:cs="Times New Roman"/>
          <w:b/>
          <w:color w:val="auto"/>
          <w:kern w:val="0"/>
          <w:szCs w:val="21"/>
        </w:rPr>
        <w:t>根据《中华人民共和国招标投标法实施条例》第三十四条规定，与招标人存在利害关系可能影响招标公正性的法人、其他组织或者个人，不得参加投标；投标人负责人为同一人或者存在控股、管理关系的不同投标人，不得参加同一项目投标。上述情况一经发现，相关投标均无效</w:t>
      </w:r>
      <w:r>
        <w:rPr>
          <w:rFonts w:hint="eastAsia" w:ascii="宋体" w:hAnsi="宋体" w:eastAsia="宋体" w:cs="宋体"/>
          <w:b/>
          <w:color w:val="auto"/>
          <w:szCs w:val="21"/>
          <w:lang w:val="zh-CN"/>
        </w:rPr>
        <w:t>。</w:t>
      </w:r>
    </w:p>
    <w:p w14:paraId="6A31B270">
      <w:pPr>
        <w:tabs>
          <w:tab w:val="left" w:pos="426"/>
        </w:tabs>
        <w:autoSpaceDE w:val="0"/>
        <w:autoSpaceDN w:val="0"/>
        <w:adjustRightInd w:val="0"/>
        <w:spacing w:line="360" w:lineRule="auto"/>
        <w:ind w:left="319" w:leftChars="-100" w:hanging="529" w:hangingChars="252"/>
        <w:rPr>
          <w:rFonts w:ascii="宋体" w:hAnsi="宋体" w:eastAsia="宋体" w:cs="宋体"/>
          <w:color w:val="auto"/>
          <w:kern w:val="0"/>
          <w:szCs w:val="24"/>
        </w:rPr>
      </w:pPr>
    </w:p>
    <w:p w14:paraId="15797252">
      <w:pPr>
        <w:tabs>
          <w:tab w:val="left" w:pos="570"/>
        </w:tabs>
        <w:autoSpaceDE w:val="0"/>
        <w:autoSpaceDN w:val="0"/>
        <w:adjustRightInd w:val="0"/>
        <w:spacing w:line="360" w:lineRule="auto"/>
        <w:ind w:left="357" w:leftChars="-100" w:hanging="567"/>
        <w:jc w:val="left"/>
        <w:outlineLvl w:val="2"/>
        <w:rPr>
          <w:rFonts w:ascii="宋体" w:hAnsi="宋体" w:eastAsia="宋体" w:cs="宋体"/>
          <w:b/>
          <w:color w:val="auto"/>
          <w:szCs w:val="21"/>
          <w:lang w:val="zh-CN"/>
        </w:rPr>
      </w:pPr>
      <w:bookmarkStart w:id="39" w:name="_Toc173182260"/>
      <w:bookmarkStart w:id="40" w:name="_Toc8199"/>
      <w:bookmarkStart w:id="41" w:name="_Toc23847_WPSOffice_Level3"/>
      <w:bookmarkStart w:id="42" w:name="_Toc142508315"/>
      <w:bookmarkStart w:id="43" w:name="_Toc32415"/>
      <w:bookmarkStart w:id="44" w:name="_Toc486167665"/>
      <w:bookmarkStart w:id="45" w:name="_Toc450662851"/>
      <w:r>
        <w:rPr>
          <w:rFonts w:hint="eastAsia" w:ascii="宋体" w:hAnsi="宋体" w:eastAsia="宋体" w:cs="宋体"/>
          <w:b/>
          <w:color w:val="auto"/>
          <w:szCs w:val="21"/>
          <w:lang w:val="zh-CN"/>
        </w:rPr>
        <w:t>3</w:t>
      </w:r>
      <w:r>
        <w:rPr>
          <w:rFonts w:ascii="宋体" w:hAnsi="宋体" w:eastAsia="宋体" w:cs="宋体"/>
          <w:b/>
          <w:color w:val="auto"/>
          <w:szCs w:val="21"/>
          <w:lang w:val="zh-CN"/>
        </w:rPr>
        <w:t xml:space="preserve"> </w:t>
      </w:r>
      <w:r>
        <w:rPr>
          <w:rFonts w:hint="eastAsia" w:ascii="宋体" w:hAnsi="宋体" w:eastAsia="宋体" w:cs="宋体"/>
          <w:b/>
          <w:color w:val="auto"/>
          <w:szCs w:val="21"/>
          <w:lang w:val="zh-CN"/>
        </w:rPr>
        <w:t>合格的货物</w:t>
      </w:r>
      <w:bookmarkEnd w:id="39"/>
      <w:bookmarkEnd w:id="40"/>
      <w:bookmarkEnd w:id="41"/>
      <w:bookmarkEnd w:id="42"/>
      <w:bookmarkEnd w:id="43"/>
    </w:p>
    <w:p w14:paraId="23EDB47D">
      <w:pPr>
        <w:autoSpaceDE w:val="0"/>
        <w:autoSpaceDN w:val="0"/>
        <w:adjustRightInd w:val="0"/>
        <w:spacing w:line="360" w:lineRule="auto"/>
        <w:ind w:left="315" w:leftChars="-100" w:hanging="525" w:hangingChars="250"/>
        <w:rPr>
          <w:rFonts w:ascii="宋体" w:hAnsi="宋体" w:eastAsia="宋体" w:cs="宋体"/>
          <w:color w:val="auto"/>
          <w:szCs w:val="21"/>
          <w:lang w:val="zh-CN"/>
        </w:rPr>
      </w:pPr>
      <w:r>
        <w:rPr>
          <w:rFonts w:ascii="宋体" w:hAnsi="宋体" w:eastAsia="宋体" w:cs="Times New Roman"/>
          <w:color w:val="auto"/>
          <w:szCs w:val="21"/>
          <w:lang w:val="zh-CN"/>
        </w:rPr>
        <w:t>3.</w:t>
      </w:r>
      <w:r>
        <w:rPr>
          <w:rFonts w:hint="eastAsia" w:ascii="宋体" w:hAnsi="宋体" w:eastAsia="宋体" w:cs="Times New Roman"/>
          <w:color w:val="auto"/>
          <w:szCs w:val="21"/>
          <w:lang w:val="zh-CN"/>
        </w:rPr>
        <w:t>1</w:t>
      </w:r>
      <w:r>
        <w:rPr>
          <w:rFonts w:ascii="宋体" w:hAnsi="宋体" w:eastAsia="宋体" w:cs="Times New Roman"/>
          <w:color w:val="auto"/>
          <w:szCs w:val="21"/>
        </w:rPr>
        <w:t xml:space="preserve"> </w:t>
      </w:r>
      <w:r>
        <w:rPr>
          <w:rFonts w:hint="eastAsia" w:ascii="宋体" w:hAnsi="宋体" w:eastAsia="宋体" w:cs="Times New Roman"/>
          <w:color w:val="auto"/>
          <w:szCs w:val="21"/>
        </w:rPr>
        <w:t xml:space="preserve"> </w:t>
      </w:r>
      <w:r>
        <w:rPr>
          <w:rFonts w:hint="eastAsia" w:ascii="宋体" w:hAnsi="宋体" w:eastAsia="宋体" w:cs="Times New Roman"/>
          <w:color w:val="auto"/>
          <w:szCs w:val="21"/>
          <w:lang w:val="zh-CN"/>
        </w:rPr>
        <w:t>本款所述的“原产地”指最终供货货物生产制造地方。所述的货物是指制造、加工或使用重要的和主要的原材料制作而成的货物，必须是全新、原装、符合国家质量检测标准和国家安全技术标准，且在商业上公认其基本特征、性能或功能与部件（或原材料）有着实质性区别的产品。</w:t>
      </w:r>
    </w:p>
    <w:p w14:paraId="68B52397">
      <w:pPr>
        <w:autoSpaceDE w:val="0"/>
        <w:autoSpaceDN w:val="0"/>
        <w:adjustRightInd w:val="0"/>
        <w:spacing w:line="360" w:lineRule="auto"/>
        <w:ind w:left="315" w:leftChars="-100" w:hanging="525" w:hangingChars="250"/>
        <w:rPr>
          <w:rFonts w:ascii="宋体" w:hAnsi="宋体" w:eastAsia="宋体" w:cs="宋体"/>
          <w:color w:val="auto"/>
          <w:szCs w:val="21"/>
          <w:lang w:val="zh-CN"/>
        </w:rPr>
      </w:pPr>
      <w:bookmarkStart w:id="46" w:name="_Toc1977663"/>
      <w:bookmarkStart w:id="47" w:name="_Toc533708063"/>
      <w:r>
        <w:rPr>
          <w:rFonts w:hint="eastAsia" w:ascii="宋体" w:hAnsi="宋体" w:eastAsia="宋体" w:cs="宋体"/>
          <w:color w:val="auto"/>
          <w:szCs w:val="21"/>
          <w:lang w:val="zh-CN"/>
        </w:rPr>
        <w:t>3.2  投标人</w:t>
      </w:r>
      <w:r>
        <w:rPr>
          <w:rFonts w:hint="eastAsia" w:ascii="宋体" w:hAnsi="宋体" w:eastAsia="宋体" w:cs="Times New Roman"/>
          <w:color w:val="auto"/>
          <w:szCs w:val="21"/>
          <w:lang w:val="zh-CN"/>
        </w:rPr>
        <w:t>中标后提供的货物</w:t>
      </w:r>
      <w:r>
        <w:rPr>
          <w:rFonts w:hint="eastAsia" w:ascii="宋体" w:hAnsi="宋体" w:eastAsia="宋体" w:cs="Times New Roman"/>
          <w:color w:val="auto"/>
          <w:kern w:val="0"/>
          <w:szCs w:val="21"/>
        </w:rPr>
        <w:t>必须是合法生产、合法来源的原厂生产的、全新的、未使用过的，并完全符合原厂质量检测标准和国家质量检测标准、行业标准和招标文件要求、投标文件承诺。涉及进口产品或原材料的，中标人</w:t>
      </w:r>
      <w:r>
        <w:rPr>
          <w:rFonts w:ascii="宋体" w:hAnsi="宋体" w:eastAsia="宋体" w:cs="Times New Roman"/>
          <w:color w:val="auto"/>
          <w:kern w:val="0"/>
          <w:szCs w:val="21"/>
        </w:rPr>
        <w:t>负责办理所有货物的进口及商检手续</w:t>
      </w:r>
      <w:r>
        <w:rPr>
          <w:rFonts w:hint="eastAsia" w:ascii="宋体" w:hAnsi="宋体" w:eastAsia="宋体" w:cs="Times New Roman"/>
          <w:color w:val="auto"/>
          <w:kern w:val="0"/>
          <w:szCs w:val="21"/>
        </w:rPr>
        <w:t>，并承担相关费用</w:t>
      </w:r>
      <w:r>
        <w:rPr>
          <w:rFonts w:hint="eastAsia" w:ascii="宋体" w:hAnsi="宋体" w:eastAsia="宋体" w:cs="宋体"/>
          <w:color w:val="auto"/>
          <w:szCs w:val="21"/>
          <w:lang w:val="zh-CN"/>
        </w:rPr>
        <w:t>。</w:t>
      </w:r>
    </w:p>
    <w:bookmarkEnd w:id="46"/>
    <w:bookmarkEnd w:id="47"/>
    <w:p w14:paraId="07B1A2E4">
      <w:pPr>
        <w:autoSpaceDE w:val="0"/>
        <w:autoSpaceDN w:val="0"/>
        <w:adjustRightInd w:val="0"/>
        <w:spacing w:line="360" w:lineRule="auto"/>
        <w:ind w:left="315" w:leftChars="-100" w:hanging="525" w:hangingChars="250"/>
        <w:rPr>
          <w:rFonts w:ascii="宋体" w:hAnsi="宋体" w:eastAsia="宋体" w:cs="宋体"/>
          <w:color w:val="auto"/>
          <w:szCs w:val="21"/>
          <w:lang w:val="zh-CN"/>
        </w:rPr>
      </w:pPr>
      <w:bookmarkStart w:id="48" w:name="_Toc1977664"/>
      <w:bookmarkStart w:id="49" w:name="_Toc533708064"/>
      <w:r>
        <w:rPr>
          <w:rFonts w:hint="eastAsia" w:ascii="宋体" w:hAnsi="宋体" w:eastAsia="宋体" w:cs="宋体"/>
          <w:color w:val="auto"/>
          <w:szCs w:val="21"/>
          <w:lang w:val="zh-CN"/>
        </w:rPr>
        <w:t xml:space="preserve">3.3  </w:t>
      </w:r>
      <w:bookmarkEnd w:id="48"/>
      <w:bookmarkEnd w:id="49"/>
      <w:bookmarkStart w:id="50" w:name="_Toc533708065"/>
      <w:bookmarkStart w:id="51" w:name="_Toc1977665"/>
      <w:r>
        <w:rPr>
          <w:rFonts w:hint="eastAsia" w:ascii="宋体" w:hAnsi="宋体" w:eastAsia="宋体" w:cs="宋体"/>
          <w:color w:val="auto"/>
          <w:szCs w:val="21"/>
          <w:lang w:val="zh-CN"/>
        </w:rPr>
        <w:t>投标人</w:t>
      </w:r>
      <w:r>
        <w:rPr>
          <w:rFonts w:hint="eastAsia" w:ascii="宋体" w:hAnsi="宋体" w:eastAsia="宋体" w:cs="Times New Roman"/>
          <w:color w:val="auto"/>
          <w:szCs w:val="21"/>
          <w:lang w:val="zh-CN"/>
        </w:rPr>
        <w:t>必须保证提供的所有货物或货物的任何部分均为最新正式版本</w:t>
      </w:r>
      <w:r>
        <w:rPr>
          <w:rFonts w:hint="eastAsia" w:ascii="宋体" w:hAnsi="宋体" w:eastAsia="宋体" w:cs="宋体"/>
          <w:color w:val="auto"/>
          <w:szCs w:val="21"/>
          <w:lang w:val="zh-CN"/>
        </w:rPr>
        <w:t>。</w:t>
      </w:r>
      <w:bookmarkEnd w:id="50"/>
      <w:bookmarkEnd w:id="51"/>
    </w:p>
    <w:p w14:paraId="3C249F45">
      <w:pPr>
        <w:autoSpaceDE w:val="0"/>
        <w:autoSpaceDN w:val="0"/>
        <w:adjustRightInd w:val="0"/>
        <w:spacing w:line="360" w:lineRule="auto"/>
        <w:ind w:left="315" w:leftChars="-100" w:hanging="525" w:hangingChars="250"/>
        <w:rPr>
          <w:rFonts w:ascii="宋体" w:hAnsi="宋体" w:eastAsia="宋体" w:cs="Times New Roman"/>
          <w:color w:val="auto"/>
          <w:kern w:val="0"/>
          <w:szCs w:val="21"/>
        </w:rPr>
      </w:pPr>
      <w:bookmarkStart w:id="52" w:name="_Toc1977666"/>
      <w:bookmarkStart w:id="53" w:name="_Toc533708066"/>
      <w:r>
        <w:rPr>
          <w:rFonts w:hint="eastAsia" w:ascii="宋体" w:hAnsi="宋体" w:eastAsia="宋体" w:cs="宋体"/>
          <w:color w:val="auto"/>
          <w:szCs w:val="21"/>
          <w:lang w:val="zh-CN"/>
        </w:rPr>
        <w:t>3.</w:t>
      </w:r>
      <w:r>
        <w:rPr>
          <w:rFonts w:hint="eastAsia" w:ascii="宋体" w:hAnsi="宋体" w:eastAsia="宋体" w:cs="宋体"/>
          <w:color w:val="auto"/>
          <w:szCs w:val="21"/>
        </w:rPr>
        <w:t>4</w:t>
      </w:r>
      <w:r>
        <w:rPr>
          <w:rFonts w:hint="eastAsia" w:ascii="宋体" w:hAnsi="宋体" w:eastAsia="宋体" w:cs="宋体"/>
          <w:color w:val="auto"/>
          <w:szCs w:val="21"/>
          <w:lang w:val="zh-CN"/>
        </w:rPr>
        <w:t xml:space="preserve">  </w:t>
      </w:r>
      <w:r>
        <w:rPr>
          <w:rFonts w:hint="eastAsia" w:ascii="宋体" w:hAnsi="宋体" w:eastAsia="宋体" w:cs="Times New Roman"/>
          <w:color w:val="auto"/>
          <w:kern w:val="0"/>
          <w:szCs w:val="21"/>
        </w:rPr>
        <w:t>进口的货物及其有关服务必须符合原产地和中华人民共和国的设计和制造生产或行业标准。进口的货物须是具有合法的进口手续和途径，并通过了中华人民共和国商检部门的检验。中标人负责办理所有货物的进口及商检手续，并承担相关费用，还应提供原产地证书、报关资料及检验检疫证明、完税证明。</w:t>
      </w:r>
    </w:p>
    <w:bookmarkEnd w:id="52"/>
    <w:bookmarkEnd w:id="53"/>
    <w:p w14:paraId="1A22CEB8">
      <w:pPr>
        <w:autoSpaceDE w:val="0"/>
        <w:autoSpaceDN w:val="0"/>
        <w:adjustRightInd w:val="0"/>
        <w:spacing w:line="360" w:lineRule="auto"/>
        <w:ind w:left="315" w:leftChars="-100" w:hanging="525" w:hangingChars="250"/>
        <w:rPr>
          <w:rFonts w:ascii="宋体" w:hAnsi="宋体" w:eastAsia="宋体" w:cs="宋体"/>
          <w:color w:val="auto"/>
          <w:szCs w:val="21"/>
          <w:lang w:val="zh-CN"/>
        </w:rPr>
      </w:pPr>
      <w:bookmarkStart w:id="54" w:name="_Toc533708067"/>
      <w:bookmarkStart w:id="55" w:name="_Toc1977667"/>
      <w:r>
        <w:rPr>
          <w:rFonts w:hint="eastAsia" w:ascii="宋体" w:hAnsi="宋体" w:eastAsia="宋体" w:cs="宋体"/>
          <w:color w:val="auto"/>
          <w:szCs w:val="21"/>
          <w:lang w:val="zh-CN"/>
        </w:rPr>
        <w:t>3.</w:t>
      </w:r>
      <w:r>
        <w:rPr>
          <w:rFonts w:hint="eastAsia" w:ascii="宋体" w:hAnsi="宋体" w:eastAsia="宋体" w:cs="宋体"/>
          <w:color w:val="auto"/>
          <w:szCs w:val="21"/>
        </w:rPr>
        <w:t>5</w:t>
      </w:r>
      <w:r>
        <w:rPr>
          <w:rFonts w:hint="eastAsia" w:ascii="宋体" w:hAnsi="宋体" w:eastAsia="宋体" w:cs="宋体"/>
          <w:color w:val="auto"/>
          <w:szCs w:val="21"/>
          <w:lang w:val="zh-CN"/>
        </w:rPr>
        <w:t xml:space="preserve">  投标人</w:t>
      </w:r>
      <w:r>
        <w:rPr>
          <w:rFonts w:hint="eastAsia" w:ascii="宋体" w:hAnsi="宋体" w:eastAsia="宋体" w:cs="Times New Roman"/>
          <w:color w:val="auto"/>
          <w:kern w:val="0"/>
          <w:szCs w:val="21"/>
        </w:rPr>
        <w:t>应保证</w:t>
      </w:r>
      <w:r>
        <w:rPr>
          <w:rFonts w:hint="eastAsia" w:ascii="宋体" w:hAnsi="宋体" w:eastAsia="宋体" w:cs="Times New Roman"/>
          <w:color w:val="auto"/>
          <w:kern w:val="0"/>
          <w:szCs w:val="21"/>
          <w:lang w:eastAsia="zh-CN"/>
        </w:rPr>
        <w:t>招标人（或招标人的</w:t>
      </w:r>
      <w:r>
        <w:rPr>
          <w:rFonts w:hint="eastAsia" w:ascii="宋体" w:hAnsi="宋体" w:eastAsia="宋体" w:cs="Times New Roman"/>
          <w:color w:val="auto"/>
          <w:kern w:val="0"/>
          <w:szCs w:val="21"/>
          <w:lang w:val="en-US" w:eastAsia="zh-CN"/>
        </w:rPr>
        <w:t>下属</w:t>
      </w:r>
      <w:r>
        <w:rPr>
          <w:rFonts w:hint="eastAsia" w:ascii="宋体" w:hAnsi="宋体" w:eastAsia="宋体" w:cs="Times New Roman"/>
          <w:color w:val="auto"/>
          <w:kern w:val="0"/>
          <w:szCs w:val="21"/>
          <w:lang w:eastAsia="zh-CN"/>
        </w:rPr>
        <w:t>公司）</w:t>
      </w:r>
      <w:r>
        <w:rPr>
          <w:rFonts w:hint="eastAsia" w:ascii="宋体" w:hAnsi="宋体" w:eastAsia="宋体" w:cs="Times New Roman"/>
          <w:color w:val="auto"/>
          <w:kern w:val="0"/>
          <w:szCs w:val="21"/>
        </w:rPr>
        <w:t>在中华人民共和国使用货物或货物的任何一部分时，</w:t>
      </w:r>
      <w:r>
        <w:rPr>
          <w:rFonts w:hint="eastAsia" w:ascii="宋体" w:hAnsi="宋体" w:eastAsia="宋体" w:cs="Times New Roman"/>
          <w:color w:val="auto"/>
          <w:kern w:val="0"/>
          <w:szCs w:val="21"/>
          <w:lang w:eastAsia="zh-CN"/>
        </w:rPr>
        <w:t>招标人（或招标人的下属公司）</w:t>
      </w:r>
      <w:r>
        <w:rPr>
          <w:rFonts w:hint="eastAsia" w:ascii="宋体" w:hAnsi="宋体" w:eastAsia="宋体" w:cs="Times New Roman"/>
          <w:color w:val="auto"/>
          <w:kern w:val="0"/>
          <w:szCs w:val="21"/>
        </w:rPr>
        <w:t>免受第三方提出侵犯其专利权、商标权或其它知识产权的起诉。如果投标人不拥有相应的知识产权，则须在报价中包括合法获取该知识产权的相关费用，并在招标文件中附有相关证明文件。如有违反，造成</w:t>
      </w:r>
      <w:r>
        <w:rPr>
          <w:rFonts w:hint="eastAsia" w:ascii="宋体" w:hAnsi="宋体" w:eastAsia="宋体" w:cs="Times New Roman"/>
          <w:color w:val="auto"/>
          <w:kern w:val="0"/>
          <w:szCs w:val="21"/>
          <w:lang w:eastAsia="zh-CN"/>
        </w:rPr>
        <w:t>招标人（或招标人的下属公司）</w:t>
      </w:r>
      <w:r>
        <w:rPr>
          <w:rFonts w:hint="eastAsia" w:ascii="宋体" w:hAnsi="宋体" w:eastAsia="宋体" w:cs="Times New Roman"/>
          <w:color w:val="auto"/>
          <w:kern w:val="0"/>
          <w:szCs w:val="21"/>
        </w:rPr>
        <w:t>任何经济损失或其他损失的，由投标人承担全部赔偿责任</w:t>
      </w:r>
      <w:r>
        <w:rPr>
          <w:rFonts w:hint="eastAsia" w:ascii="宋体" w:hAnsi="宋体" w:eastAsia="宋体" w:cs="宋体"/>
          <w:color w:val="auto"/>
          <w:szCs w:val="21"/>
          <w:lang w:val="zh-CN"/>
        </w:rPr>
        <w:t>。</w:t>
      </w:r>
      <w:bookmarkEnd w:id="54"/>
      <w:bookmarkEnd w:id="55"/>
    </w:p>
    <w:p w14:paraId="64B4C14B">
      <w:pPr>
        <w:autoSpaceDE w:val="0"/>
        <w:autoSpaceDN w:val="0"/>
        <w:adjustRightInd w:val="0"/>
        <w:spacing w:line="360" w:lineRule="auto"/>
        <w:ind w:left="315" w:leftChars="-100" w:hanging="525" w:hangingChars="250"/>
        <w:rPr>
          <w:rFonts w:ascii="宋体" w:hAnsi="宋体" w:eastAsia="宋体" w:cs="宋体"/>
          <w:color w:val="auto"/>
          <w:szCs w:val="21"/>
          <w:lang w:val="zh-CN"/>
        </w:rPr>
      </w:pPr>
      <w:bookmarkStart w:id="56" w:name="_Toc533708068"/>
      <w:bookmarkStart w:id="57" w:name="_Toc1977668"/>
      <w:r>
        <w:rPr>
          <w:rFonts w:hint="eastAsia" w:ascii="宋体" w:hAnsi="宋体" w:eastAsia="宋体" w:cs="宋体"/>
          <w:color w:val="auto"/>
          <w:szCs w:val="21"/>
          <w:lang w:val="zh-CN"/>
        </w:rPr>
        <w:t>3.</w:t>
      </w:r>
      <w:r>
        <w:rPr>
          <w:rFonts w:hint="eastAsia" w:ascii="宋体" w:hAnsi="宋体" w:eastAsia="宋体" w:cs="宋体"/>
          <w:color w:val="auto"/>
          <w:szCs w:val="21"/>
        </w:rPr>
        <w:t>6</w:t>
      </w:r>
      <w:r>
        <w:rPr>
          <w:rFonts w:hint="eastAsia" w:ascii="宋体" w:hAnsi="宋体" w:eastAsia="宋体" w:cs="宋体"/>
          <w:color w:val="auto"/>
          <w:szCs w:val="21"/>
          <w:lang w:val="zh-CN"/>
        </w:rPr>
        <w:t xml:space="preserve">  无论投标人</w:t>
      </w:r>
      <w:r>
        <w:rPr>
          <w:rFonts w:hint="eastAsia" w:ascii="宋体" w:hAnsi="宋体" w:eastAsia="宋体" w:cs="Times New Roman"/>
          <w:color w:val="auto"/>
          <w:kern w:val="0"/>
          <w:szCs w:val="21"/>
        </w:rPr>
        <w:t>是否在投标报价表中明示，均视为投标报价已包含所有应支付的对专利权、商标权和版权、设计或其他知识产权而需要向其他方支付的版税和使用费等相关费用。如投标人未依法向第三方支付应缴版税和使用费等相关费用的，造成</w:t>
      </w:r>
      <w:r>
        <w:rPr>
          <w:rFonts w:hint="eastAsia" w:ascii="宋体" w:hAnsi="宋体" w:eastAsia="宋体" w:cs="Times New Roman"/>
          <w:color w:val="auto"/>
          <w:kern w:val="0"/>
          <w:szCs w:val="21"/>
          <w:lang w:eastAsia="zh-CN"/>
        </w:rPr>
        <w:t>招标人（或招标人的下属公司）</w:t>
      </w:r>
      <w:r>
        <w:rPr>
          <w:rFonts w:hint="eastAsia" w:ascii="宋体" w:hAnsi="宋体" w:eastAsia="宋体" w:cs="Times New Roman"/>
          <w:color w:val="auto"/>
          <w:kern w:val="0"/>
          <w:szCs w:val="21"/>
        </w:rPr>
        <w:t>任何经济损失的，由投标人承担全部赔偿责任</w:t>
      </w:r>
      <w:r>
        <w:rPr>
          <w:rFonts w:hint="eastAsia" w:ascii="宋体" w:hAnsi="宋体" w:eastAsia="宋体" w:cs="宋体"/>
          <w:color w:val="auto"/>
          <w:szCs w:val="21"/>
          <w:lang w:val="zh-CN"/>
        </w:rPr>
        <w:t>。</w:t>
      </w:r>
      <w:bookmarkEnd w:id="56"/>
      <w:bookmarkEnd w:id="57"/>
    </w:p>
    <w:p w14:paraId="77B5719E">
      <w:pPr>
        <w:autoSpaceDE w:val="0"/>
        <w:autoSpaceDN w:val="0"/>
        <w:adjustRightInd w:val="0"/>
        <w:spacing w:line="360" w:lineRule="auto"/>
        <w:jc w:val="left"/>
        <w:rPr>
          <w:rFonts w:ascii="宋体" w:hAnsi="宋体" w:eastAsia="宋体" w:cs="宋体"/>
          <w:color w:val="auto"/>
          <w:szCs w:val="21"/>
          <w:lang w:val="zh-CN"/>
        </w:rPr>
      </w:pPr>
    </w:p>
    <w:p w14:paraId="4AAAA166">
      <w:pPr>
        <w:tabs>
          <w:tab w:val="left" w:pos="570"/>
        </w:tabs>
        <w:autoSpaceDE w:val="0"/>
        <w:autoSpaceDN w:val="0"/>
        <w:adjustRightInd w:val="0"/>
        <w:spacing w:line="360" w:lineRule="auto"/>
        <w:ind w:left="357" w:leftChars="-100" w:hanging="567"/>
        <w:jc w:val="left"/>
        <w:outlineLvl w:val="2"/>
        <w:rPr>
          <w:rFonts w:ascii="宋体" w:hAnsi="宋体" w:eastAsia="宋体" w:cs="宋体"/>
          <w:color w:val="auto"/>
          <w:szCs w:val="21"/>
          <w:lang w:val="zh-CN"/>
        </w:rPr>
      </w:pPr>
      <w:bookmarkStart w:id="58" w:name="_Toc142508316"/>
      <w:bookmarkStart w:id="59" w:name="_Toc9658_WPSOffice_Level3"/>
      <w:bookmarkStart w:id="60" w:name="_Toc23394"/>
      <w:bookmarkStart w:id="61" w:name="_Toc173182261"/>
      <w:bookmarkStart w:id="62" w:name="_Toc9511"/>
      <w:r>
        <w:rPr>
          <w:rFonts w:hint="eastAsia" w:ascii="宋体" w:hAnsi="宋体" w:eastAsia="宋体" w:cs="宋体"/>
          <w:color w:val="auto"/>
          <w:szCs w:val="21"/>
          <w:lang w:val="zh-CN"/>
        </w:rPr>
        <w:t>4</w:t>
      </w:r>
      <w:r>
        <w:rPr>
          <w:rFonts w:ascii="宋体" w:hAnsi="宋体" w:eastAsia="宋体" w:cs="宋体"/>
          <w:color w:val="auto"/>
          <w:szCs w:val="21"/>
          <w:lang w:val="zh-CN"/>
        </w:rPr>
        <w:t xml:space="preserve"> </w:t>
      </w:r>
      <w:r>
        <w:rPr>
          <w:rFonts w:hint="eastAsia" w:ascii="宋体" w:hAnsi="宋体" w:eastAsia="宋体" w:cs="宋体"/>
          <w:color w:val="auto"/>
          <w:szCs w:val="21"/>
          <w:lang w:val="zh-CN"/>
        </w:rPr>
        <w:t>其它说明</w:t>
      </w:r>
      <w:bookmarkEnd w:id="58"/>
      <w:bookmarkEnd w:id="59"/>
      <w:bookmarkEnd w:id="60"/>
      <w:bookmarkEnd w:id="61"/>
      <w:bookmarkEnd w:id="62"/>
    </w:p>
    <w:p w14:paraId="4461F768">
      <w:pPr>
        <w:autoSpaceDE w:val="0"/>
        <w:autoSpaceDN w:val="0"/>
        <w:adjustRightInd w:val="0"/>
        <w:spacing w:line="360" w:lineRule="auto"/>
        <w:ind w:left="315" w:leftChars="-100" w:hanging="525" w:hangingChars="250"/>
        <w:rPr>
          <w:rFonts w:ascii="宋体" w:hAnsi="宋体" w:eastAsia="宋体" w:cs="宋体"/>
          <w:color w:val="auto"/>
          <w:szCs w:val="21"/>
          <w:lang w:val="zh-CN"/>
        </w:rPr>
      </w:pPr>
      <w:bookmarkStart w:id="63" w:name="_Toc1977670"/>
      <w:bookmarkStart w:id="64" w:name="_Toc533708070"/>
      <w:r>
        <w:rPr>
          <w:rFonts w:hint="eastAsia" w:ascii="宋体" w:hAnsi="宋体" w:eastAsia="宋体" w:cs="宋体"/>
          <w:color w:val="auto"/>
          <w:szCs w:val="21"/>
          <w:lang w:val="zh-CN"/>
        </w:rPr>
        <w:t>4.1  投标费用</w:t>
      </w:r>
      <w:bookmarkEnd w:id="63"/>
      <w:bookmarkEnd w:id="64"/>
    </w:p>
    <w:p w14:paraId="58A7107C">
      <w:pPr>
        <w:autoSpaceDE w:val="0"/>
        <w:autoSpaceDN w:val="0"/>
        <w:adjustRightInd w:val="0"/>
        <w:spacing w:line="360" w:lineRule="auto"/>
        <w:ind w:left="210" w:leftChars="100" w:firstLine="420" w:firstLineChars="200"/>
        <w:rPr>
          <w:rFonts w:ascii="宋体" w:hAnsi="宋体" w:eastAsia="宋体" w:cs="宋体"/>
          <w:color w:val="auto"/>
          <w:szCs w:val="21"/>
          <w:lang w:val="zh-CN"/>
        </w:rPr>
      </w:pPr>
      <w:bookmarkStart w:id="65" w:name="_Toc533708072"/>
      <w:bookmarkStart w:id="66" w:name="_Toc1977672"/>
      <w:r>
        <w:rPr>
          <w:rFonts w:hint="eastAsia" w:ascii="宋体" w:hAnsi="宋体" w:eastAsia="宋体" w:cs="Times New Roman"/>
          <w:color w:val="auto"/>
          <w:szCs w:val="21"/>
          <w:lang w:val="zh-CN"/>
        </w:rPr>
        <w:t>无论招标过程中的做法和结果如何，投标人须承担所有与编写和递交投标文件有关的费用，招标人和招标代理机构在任何情况下不负担这些费用</w:t>
      </w:r>
      <w:r>
        <w:rPr>
          <w:rFonts w:hint="eastAsia" w:ascii="宋体" w:hAnsi="宋体" w:eastAsia="宋体" w:cs="宋体"/>
          <w:color w:val="auto"/>
          <w:szCs w:val="21"/>
          <w:lang w:val="zh-CN"/>
        </w:rPr>
        <w:t>。</w:t>
      </w:r>
      <w:bookmarkEnd w:id="65"/>
      <w:bookmarkEnd w:id="66"/>
    </w:p>
    <w:p w14:paraId="42B3641A">
      <w:pPr>
        <w:autoSpaceDE w:val="0"/>
        <w:autoSpaceDN w:val="0"/>
        <w:adjustRightInd w:val="0"/>
        <w:spacing w:line="360" w:lineRule="auto"/>
        <w:ind w:left="315" w:leftChars="-100" w:hanging="525" w:hangingChars="250"/>
        <w:rPr>
          <w:rFonts w:ascii="宋体" w:hAnsi="宋体" w:eastAsia="宋体" w:cs="宋体"/>
          <w:color w:val="auto"/>
          <w:szCs w:val="21"/>
          <w:lang w:val="zh-CN"/>
        </w:rPr>
      </w:pPr>
      <w:bookmarkStart w:id="67" w:name="_Toc533708073"/>
      <w:bookmarkStart w:id="68" w:name="_Toc1977673"/>
      <w:r>
        <w:rPr>
          <w:rFonts w:hint="eastAsia" w:ascii="宋体" w:hAnsi="宋体" w:eastAsia="宋体" w:cs="宋体"/>
          <w:color w:val="auto"/>
          <w:szCs w:val="21"/>
          <w:lang w:val="zh-CN"/>
        </w:rPr>
        <w:t>4.2  踏勘现场</w:t>
      </w:r>
      <w:bookmarkEnd w:id="67"/>
      <w:bookmarkEnd w:id="68"/>
    </w:p>
    <w:p w14:paraId="2DEC8E6A">
      <w:pPr>
        <w:autoSpaceDE w:val="0"/>
        <w:autoSpaceDN w:val="0"/>
        <w:adjustRightInd w:val="0"/>
        <w:spacing w:line="360" w:lineRule="auto"/>
        <w:ind w:left="300" w:leftChars="-59" w:hanging="424" w:hangingChars="202"/>
        <w:jc w:val="left"/>
        <w:rPr>
          <w:rFonts w:ascii="宋体" w:hAnsi="宋体" w:eastAsia="宋体" w:cs="Times New Roman"/>
          <w:color w:val="auto"/>
          <w:kern w:val="0"/>
          <w:szCs w:val="21"/>
        </w:rPr>
      </w:pPr>
      <w:bookmarkStart w:id="69" w:name="_Toc533708076"/>
      <w:bookmarkStart w:id="70" w:name="_Toc1977676"/>
      <w:r>
        <w:rPr>
          <w:rFonts w:hint="eastAsia" w:ascii="宋体" w:hAnsi="宋体" w:eastAsia="宋体" w:cs="Times New Roman"/>
          <w:color w:val="auto"/>
          <w:kern w:val="0"/>
          <w:szCs w:val="21"/>
        </w:rPr>
        <w:t>（1）本项目不组织集中踏勘现场和答疑，投标人应自行到实地踏勘考察。</w:t>
      </w:r>
    </w:p>
    <w:p w14:paraId="1F45AFF7">
      <w:pPr>
        <w:autoSpaceDE w:val="0"/>
        <w:autoSpaceDN w:val="0"/>
        <w:adjustRightInd w:val="0"/>
        <w:spacing w:line="360" w:lineRule="auto"/>
        <w:ind w:left="300" w:leftChars="-59" w:hanging="424" w:hangingChars="202"/>
        <w:jc w:val="left"/>
        <w:rPr>
          <w:rFonts w:ascii="宋体" w:hAnsi="宋体" w:eastAsia="宋体" w:cs="Times New Roman"/>
          <w:color w:val="auto"/>
          <w:kern w:val="0"/>
          <w:szCs w:val="21"/>
        </w:rPr>
      </w:pPr>
      <w:r>
        <w:rPr>
          <w:rFonts w:hint="eastAsia" w:ascii="宋体" w:hAnsi="宋体" w:eastAsia="宋体" w:cs="Times New Roman"/>
          <w:color w:val="auto"/>
          <w:kern w:val="0"/>
          <w:szCs w:val="21"/>
        </w:rPr>
        <w:t>（2）潜在投标人应承担踏勘现场自身所发生的费用。</w:t>
      </w:r>
    </w:p>
    <w:p w14:paraId="33581D78">
      <w:pPr>
        <w:spacing w:line="360" w:lineRule="auto"/>
        <w:ind w:left="300" w:leftChars="-59" w:hanging="424" w:hangingChars="202"/>
        <w:rPr>
          <w:rFonts w:ascii="宋体" w:hAnsi="宋体" w:eastAsia="宋体" w:cs="宋体"/>
          <w:color w:val="auto"/>
          <w:kern w:val="0"/>
          <w:szCs w:val="21"/>
          <w:lang w:val="zh-CN"/>
        </w:rPr>
      </w:pPr>
      <w:r>
        <w:rPr>
          <w:rFonts w:hint="eastAsia" w:ascii="宋体" w:hAnsi="宋体" w:eastAsia="宋体" w:cs="宋体"/>
          <w:color w:val="auto"/>
          <w:kern w:val="0"/>
          <w:szCs w:val="21"/>
          <w:lang w:val="zh-CN"/>
        </w:rPr>
        <w:t>（3）招标人和招标代理机构在踏勘现场中介绍的有关现场和相关的周边环境情况，供投标人在编制投标文件时参考，招标人不对投标人据此作出的判断和决策负责。</w:t>
      </w:r>
    </w:p>
    <w:p w14:paraId="3C5BD8F9">
      <w:pPr>
        <w:spacing w:line="360" w:lineRule="auto"/>
        <w:ind w:left="300" w:leftChars="-59" w:hanging="424" w:hangingChars="202"/>
        <w:rPr>
          <w:rFonts w:ascii="宋体" w:hAnsi="宋体" w:eastAsia="宋体" w:cs="宋体"/>
          <w:color w:val="auto"/>
          <w:kern w:val="0"/>
          <w:szCs w:val="21"/>
          <w:lang w:val="zh-CN"/>
        </w:rPr>
      </w:pPr>
      <w:r>
        <w:rPr>
          <w:rFonts w:hint="eastAsia" w:ascii="宋体" w:hAnsi="宋体" w:eastAsia="宋体" w:cs="宋体"/>
          <w:color w:val="auto"/>
          <w:kern w:val="0"/>
          <w:szCs w:val="21"/>
          <w:lang w:val="zh-CN"/>
        </w:rPr>
        <w:t>（4）潜在投标人可为踏勘需要而进入招标人的项目现场，但潜在投标人不得因此使招标人承担有关的责任和蒙受损失。潜在投标人应承担踏勘现场的责任和风险。</w:t>
      </w:r>
    </w:p>
    <w:p w14:paraId="4FA471BF">
      <w:pPr>
        <w:autoSpaceDE w:val="0"/>
        <w:autoSpaceDN w:val="0"/>
        <w:adjustRightInd w:val="0"/>
        <w:spacing w:line="360" w:lineRule="auto"/>
        <w:ind w:left="315" w:leftChars="-100" w:hanging="525" w:hangingChars="250"/>
        <w:rPr>
          <w:rFonts w:ascii="宋体" w:hAnsi="宋体" w:eastAsia="宋体" w:cs="宋体"/>
          <w:color w:val="auto"/>
          <w:szCs w:val="21"/>
          <w:lang w:val="zh-CN"/>
        </w:rPr>
      </w:pPr>
      <w:r>
        <w:rPr>
          <w:rFonts w:hint="eastAsia" w:ascii="宋体" w:hAnsi="宋体" w:eastAsia="宋体" w:cs="宋体"/>
          <w:color w:val="auto"/>
          <w:szCs w:val="21"/>
          <w:lang w:val="zh-CN"/>
        </w:rPr>
        <w:t>4.3</w:t>
      </w:r>
      <w:r>
        <w:rPr>
          <w:rFonts w:hint="eastAsia" w:ascii="宋体" w:hAnsi="宋体" w:eastAsia="宋体" w:cs="宋体"/>
          <w:color w:val="auto"/>
          <w:szCs w:val="21"/>
          <w:lang w:val="zh-CN"/>
        </w:rPr>
        <w:tab/>
      </w:r>
      <w:r>
        <w:rPr>
          <w:rFonts w:hint="eastAsia" w:ascii="宋体" w:hAnsi="宋体" w:eastAsia="宋体" w:cs="宋体"/>
          <w:color w:val="auto"/>
          <w:szCs w:val="21"/>
          <w:lang w:val="zh-CN"/>
        </w:rPr>
        <w:t>纪律与保密事项</w:t>
      </w:r>
      <w:bookmarkEnd w:id="44"/>
      <w:bookmarkEnd w:id="45"/>
      <w:bookmarkEnd w:id="69"/>
      <w:bookmarkEnd w:id="70"/>
    </w:p>
    <w:p w14:paraId="1BFF3CBD">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rPr>
      </w:pPr>
      <w:r>
        <w:rPr>
          <w:rFonts w:hint="eastAsia" w:ascii="宋体" w:hAnsi="宋体" w:eastAsia="宋体" w:cs="Times New Roman"/>
          <w:color w:val="auto"/>
          <w:kern w:val="0"/>
          <w:szCs w:val="21"/>
        </w:rPr>
        <w:t>（1）获得本招标文件的投标人，不得用作本次投标以外的任何用途。</w:t>
      </w:r>
    </w:p>
    <w:p w14:paraId="1C25C3AF">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rPr>
      </w:pPr>
      <w:r>
        <w:rPr>
          <w:rFonts w:hint="eastAsia" w:ascii="宋体" w:hAnsi="宋体" w:eastAsia="宋体" w:cs="Times New Roman"/>
          <w:color w:val="auto"/>
          <w:kern w:val="0"/>
          <w:szCs w:val="21"/>
          <w:lang w:val="zh-CN"/>
        </w:rPr>
        <w:t>（2</w:t>
      </w:r>
      <w:r>
        <w:rPr>
          <w:rFonts w:hint="eastAsia" w:ascii="宋体" w:hAnsi="宋体" w:eastAsia="宋体" w:cs="Times New Roman"/>
          <w:color w:val="auto"/>
          <w:kern w:val="0"/>
          <w:szCs w:val="21"/>
        </w:rPr>
        <w:t>）凡参与招标工作的有关人员均应自觉接受有关主管部门的监督，不得向他人透露可能影响公平竞争的情况。</w:t>
      </w:r>
    </w:p>
    <w:p w14:paraId="3394DBC0">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rPr>
      </w:pPr>
      <w:r>
        <w:rPr>
          <w:rFonts w:hint="eastAsia" w:ascii="宋体" w:hAnsi="宋体" w:eastAsia="宋体" w:cs="Times New Roman"/>
          <w:color w:val="auto"/>
          <w:kern w:val="0"/>
          <w:szCs w:val="21"/>
        </w:rPr>
        <w:t>（3）开标后，直至向中标人授予合同期间，凡与审查、澄清、评价和比较报价的有关资料以及授标意见等，参与评标工作的有关人员均不得向投标人及与评标无关的其他人透露。</w:t>
      </w:r>
    </w:p>
    <w:p w14:paraId="49707E45">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rPr>
      </w:pPr>
      <w:r>
        <w:rPr>
          <w:rFonts w:hint="eastAsia" w:ascii="宋体" w:hAnsi="宋体" w:eastAsia="宋体" w:cs="Times New Roman"/>
          <w:color w:val="auto"/>
          <w:kern w:val="0"/>
          <w:szCs w:val="21"/>
        </w:rPr>
        <w:t>（4）除投标人被要求对投标文件进行澄清外，从递交投标文件截止之时起至授予合同期间，投标人不得就与其投标文件有关的事项主动与评标委员会、招标代理机构以及招标人联系。</w:t>
      </w:r>
    </w:p>
    <w:p w14:paraId="4115C5EA">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rPr>
      </w:pPr>
      <w:r>
        <w:rPr>
          <w:rFonts w:hint="eastAsia" w:ascii="宋体" w:hAnsi="宋体" w:eastAsia="宋体" w:cs="Times New Roman"/>
          <w:color w:val="auto"/>
          <w:kern w:val="0"/>
          <w:szCs w:val="21"/>
        </w:rPr>
        <w:t>（5）从开标之日起至授予合同期间，在投标文件的审查、澄清、比较和评价阶段，投标人试图对评标委员会和招标代理机构施加任何影响或对招标人的比较及授予合同的决定产生影响，都可能导致其投标文件被拒绝。</w:t>
      </w:r>
    </w:p>
    <w:p w14:paraId="1AB2E798">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rPr>
      </w:pPr>
      <w:r>
        <w:rPr>
          <w:rFonts w:hint="eastAsia" w:ascii="宋体" w:hAnsi="宋体" w:eastAsia="宋体" w:cs="Times New Roman"/>
          <w:color w:val="auto"/>
          <w:kern w:val="0"/>
          <w:szCs w:val="21"/>
        </w:rPr>
        <w:t>（6）投标人不得串通作弊，以不正当的手段妨碍、排挤其他投标人，扰乱采购市场，破坏公平竞争原则。</w:t>
      </w:r>
    </w:p>
    <w:p w14:paraId="4F176CF0">
      <w:pPr>
        <w:autoSpaceDE w:val="0"/>
        <w:autoSpaceDN w:val="0"/>
        <w:adjustRightInd w:val="0"/>
        <w:spacing w:line="360" w:lineRule="auto"/>
        <w:ind w:left="315" w:leftChars="-100" w:hanging="525" w:hangingChars="250"/>
        <w:rPr>
          <w:rFonts w:ascii="宋体" w:hAnsi="宋体" w:eastAsia="宋体" w:cs="宋体"/>
          <w:color w:val="auto"/>
          <w:szCs w:val="21"/>
        </w:rPr>
      </w:pPr>
    </w:p>
    <w:p w14:paraId="29378C6F">
      <w:pPr>
        <w:keepNext/>
        <w:keepLines/>
        <w:autoSpaceDE w:val="0"/>
        <w:autoSpaceDN w:val="0"/>
        <w:adjustRightInd w:val="0"/>
        <w:spacing w:line="360" w:lineRule="auto"/>
        <w:jc w:val="left"/>
        <w:outlineLvl w:val="0"/>
        <w:rPr>
          <w:rFonts w:ascii="宋体" w:hAnsi="宋体" w:eastAsia="宋体" w:cs="宋体"/>
          <w:b/>
          <w:bCs/>
          <w:color w:val="auto"/>
          <w:kern w:val="44"/>
          <w:szCs w:val="21"/>
          <w:lang w:val="zh-CN"/>
        </w:rPr>
      </w:pPr>
      <w:bookmarkStart w:id="71" w:name="_Toc30507_WPSOffice_Level2"/>
      <w:bookmarkStart w:id="72" w:name="_Toc450662853"/>
      <w:bookmarkStart w:id="73" w:name="_Toc173182262"/>
      <w:bookmarkStart w:id="74" w:name="_Toc486167667"/>
      <w:bookmarkStart w:id="75" w:name="_Toc140596876"/>
      <w:bookmarkStart w:id="76" w:name="_Toc142508317"/>
      <w:bookmarkStart w:id="77" w:name="_Toc1482"/>
      <w:bookmarkStart w:id="78" w:name="_Toc4213"/>
      <w:r>
        <w:rPr>
          <w:rFonts w:hint="eastAsia" w:ascii="宋体" w:hAnsi="宋体" w:eastAsia="宋体" w:cs="宋体"/>
          <w:b/>
          <w:bCs/>
          <w:color w:val="auto"/>
          <w:kern w:val="44"/>
          <w:szCs w:val="21"/>
          <w:lang w:val="zh-CN"/>
        </w:rPr>
        <w:t>二、招标文件</w:t>
      </w:r>
      <w:bookmarkEnd w:id="71"/>
      <w:bookmarkEnd w:id="72"/>
      <w:bookmarkEnd w:id="73"/>
      <w:bookmarkEnd w:id="74"/>
      <w:bookmarkEnd w:id="75"/>
      <w:bookmarkEnd w:id="76"/>
      <w:bookmarkEnd w:id="77"/>
      <w:bookmarkEnd w:id="78"/>
    </w:p>
    <w:p w14:paraId="484BDFFC">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lang w:val="zh-CN"/>
        </w:rPr>
      </w:pPr>
      <w:bookmarkStart w:id="79" w:name="_Toc450662854"/>
      <w:bookmarkStart w:id="80" w:name="_Toc142508318"/>
      <w:bookmarkStart w:id="81" w:name="_Toc486167668"/>
      <w:bookmarkStart w:id="82" w:name="_Toc26635_WPSOffice_Level3"/>
      <w:bookmarkStart w:id="83" w:name="_Toc28179"/>
      <w:bookmarkStart w:id="84" w:name="_Toc173182263"/>
      <w:bookmarkStart w:id="85" w:name="_Toc19535"/>
      <w:r>
        <w:rPr>
          <w:rFonts w:hint="eastAsia" w:ascii="宋体" w:hAnsi="宋体" w:eastAsia="宋体" w:cs="宋体"/>
          <w:color w:val="auto"/>
          <w:szCs w:val="21"/>
          <w:lang w:val="zh-CN"/>
        </w:rPr>
        <w:t>5</w:t>
      </w:r>
      <w:r>
        <w:rPr>
          <w:rFonts w:ascii="宋体" w:hAnsi="宋体" w:eastAsia="宋体" w:cs="宋体"/>
          <w:color w:val="auto"/>
          <w:szCs w:val="21"/>
          <w:lang w:val="zh-CN"/>
        </w:rPr>
        <w:t xml:space="preserve"> </w:t>
      </w:r>
      <w:r>
        <w:rPr>
          <w:rFonts w:hint="eastAsia" w:ascii="宋体" w:hAnsi="宋体" w:eastAsia="宋体" w:cs="宋体"/>
          <w:color w:val="auto"/>
          <w:szCs w:val="21"/>
          <w:lang w:val="zh-CN"/>
        </w:rPr>
        <w:t>招标文件的构成</w:t>
      </w:r>
      <w:bookmarkEnd w:id="79"/>
      <w:bookmarkEnd w:id="80"/>
      <w:bookmarkEnd w:id="81"/>
      <w:bookmarkEnd w:id="82"/>
      <w:bookmarkEnd w:id="83"/>
      <w:bookmarkEnd w:id="84"/>
      <w:bookmarkEnd w:id="85"/>
    </w:p>
    <w:p w14:paraId="5381FA3B">
      <w:pPr>
        <w:tabs>
          <w:tab w:val="left" w:pos="567"/>
        </w:tabs>
        <w:autoSpaceDE w:val="0"/>
        <w:autoSpaceDN w:val="0"/>
        <w:adjustRightInd w:val="0"/>
        <w:spacing w:line="360" w:lineRule="auto"/>
        <w:ind w:left="357" w:leftChars="-100" w:hanging="567"/>
        <w:rPr>
          <w:rFonts w:ascii="宋体" w:hAnsi="宋体" w:eastAsia="宋体" w:cs="宋体"/>
          <w:color w:val="auto"/>
          <w:szCs w:val="21"/>
          <w:lang w:val="zh-CN"/>
        </w:rPr>
      </w:pPr>
      <w:r>
        <w:rPr>
          <w:rFonts w:hint="eastAsia" w:ascii="宋体" w:hAnsi="宋体" w:eastAsia="宋体" w:cs="宋体"/>
          <w:color w:val="auto"/>
          <w:szCs w:val="21"/>
          <w:lang w:val="zh-CN"/>
        </w:rPr>
        <w:t>5.1</w:t>
      </w:r>
      <w:r>
        <w:rPr>
          <w:rFonts w:hint="eastAsia" w:ascii="宋体" w:hAnsi="宋体" w:eastAsia="宋体" w:cs="宋体"/>
          <w:color w:val="auto"/>
          <w:szCs w:val="21"/>
          <w:lang w:val="zh-CN"/>
        </w:rPr>
        <w:tab/>
      </w:r>
      <w:r>
        <w:rPr>
          <w:rFonts w:hint="eastAsia" w:ascii="宋体" w:hAnsi="宋体" w:eastAsia="宋体" w:cs="宋体"/>
          <w:color w:val="auto"/>
          <w:szCs w:val="21"/>
          <w:lang w:val="zh-CN"/>
        </w:rPr>
        <w:t>招标文件包括：</w:t>
      </w:r>
    </w:p>
    <w:p w14:paraId="42343E62">
      <w:pPr>
        <w:tabs>
          <w:tab w:val="left" w:pos="1890"/>
        </w:tabs>
        <w:autoSpaceDE w:val="0"/>
        <w:autoSpaceDN w:val="0"/>
        <w:adjustRightInd w:val="0"/>
        <w:spacing w:line="360" w:lineRule="auto"/>
        <w:ind w:firstLine="424" w:firstLineChars="202"/>
        <w:rPr>
          <w:rFonts w:ascii="宋体" w:hAnsi="宋体" w:eastAsia="宋体" w:cs="Times New Roman"/>
          <w:color w:val="auto"/>
          <w:szCs w:val="21"/>
          <w:lang w:val="zh-CN"/>
        </w:rPr>
      </w:pPr>
      <w:r>
        <w:rPr>
          <w:rFonts w:hint="eastAsia" w:ascii="宋体" w:hAnsi="宋体" w:eastAsia="宋体" w:cs="Times New Roman"/>
          <w:color w:val="auto"/>
          <w:szCs w:val="21"/>
          <w:lang w:val="zh-CN"/>
        </w:rPr>
        <w:t>第一篇 招标公告</w:t>
      </w:r>
    </w:p>
    <w:p w14:paraId="5983DB03">
      <w:pPr>
        <w:tabs>
          <w:tab w:val="left" w:pos="1890"/>
        </w:tabs>
        <w:autoSpaceDE w:val="0"/>
        <w:autoSpaceDN w:val="0"/>
        <w:adjustRightInd w:val="0"/>
        <w:spacing w:line="360" w:lineRule="auto"/>
        <w:ind w:firstLine="424" w:firstLineChars="202"/>
        <w:rPr>
          <w:rFonts w:ascii="宋体" w:hAnsi="宋体" w:eastAsia="宋体" w:cs="Times New Roman"/>
          <w:color w:val="auto"/>
          <w:szCs w:val="21"/>
          <w:lang w:val="zh-CN"/>
        </w:rPr>
      </w:pPr>
      <w:r>
        <w:rPr>
          <w:rFonts w:hint="eastAsia" w:ascii="宋体" w:hAnsi="宋体" w:eastAsia="宋体" w:cs="Times New Roman"/>
          <w:color w:val="auto"/>
          <w:szCs w:val="21"/>
          <w:lang w:val="zh-CN"/>
        </w:rPr>
        <w:t>第二篇 投标人须知</w:t>
      </w:r>
    </w:p>
    <w:p w14:paraId="3C91C22A">
      <w:pPr>
        <w:tabs>
          <w:tab w:val="left" w:pos="1890"/>
        </w:tabs>
        <w:autoSpaceDE w:val="0"/>
        <w:autoSpaceDN w:val="0"/>
        <w:adjustRightInd w:val="0"/>
        <w:spacing w:line="360" w:lineRule="auto"/>
        <w:ind w:firstLine="424" w:firstLineChars="202"/>
        <w:rPr>
          <w:rFonts w:ascii="宋体" w:hAnsi="宋体" w:eastAsia="宋体" w:cs="Times New Roman"/>
          <w:color w:val="auto"/>
          <w:szCs w:val="21"/>
          <w:lang w:val="zh-CN"/>
        </w:rPr>
      </w:pPr>
      <w:r>
        <w:rPr>
          <w:rFonts w:hint="eastAsia" w:ascii="宋体" w:hAnsi="宋体" w:eastAsia="宋体" w:cs="Times New Roman"/>
          <w:color w:val="auto"/>
          <w:szCs w:val="21"/>
          <w:lang w:val="zh-CN"/>
        </w:rPr>
        <w:t>第三篇 用户需求书</w:t>
      </w:r>
    </w:p>
    <w:p w14:paraId="4707881F">
      <w:pPr>
        <w:tabs>
          <w:tab w:val="left" w:pos="1890"/>
        </w:tabs>
        <w:autoSpaceDE w:val="0"/>
        <w:autoSpaceDN w:val="0"/>
        <w:adjustRightInd w:val="0"/>
        <w:spacing w:line="360" w:lineRule="auto"/>
        <w:ind w:firstLine="424" w:firstLineChars="202"/>
        <w:rPr>
          <w:rFonts w:ascii="宋体" w:hAnsi="宋体" w:eastAsia="宋体" w:cs="Times New Roman"/>
          <w:color w:val="auto"/>
          <w:szCs w:val="21"/>
        </w:rPr>
      </w:pPr>
      <w:r>
        <w:rPr>
          <w:rFonts w:hint="eastAsia" w:ascii="宋体" w:hAnsi="宋体" w:eastAsia="宋体" w:cs="Times New Roman"/>
          <w:color w:val="auto"/>
          <w:szCs w:val="21"/>
          <w:lang w:val="zh-CN"/>
        </w:rPr>
        <w:t>第四篇 合同条款</w:t>
      </w:r>
      <w:r>
        <w:rPr>
          <w:rFonts w:hint="eastAsia" w:ascii="宋体" w:hAnsi="宋体" w:eastAsia="宋体" w:cs="Times New Roman"/>
          <w:color w:val="auto"/>
          <w:szCs w:val="21"/>
        </w:rPr>
        <w:t>格式</w:t>
      </w:r>
    </w:p>
    <w:p w14:paraId="5D981231">
      <w:pPr>
        <w:tabs>
          <w:tab w:val="left" w:pos="1890"/>
        </w:tabs>
        <w:autoSpaceDE w:val="0"/>
        <w:autoSpaceDN w:val="0"/>
        <w:adjustRightInd w:val="0"/>
        <w:spacing w:line="360" w:lineRule="auto"/>
        <w:ind w:firstLine="424" w:firstLineChars="202"/>
        <w:rPr>
          <w:rFonts w:ascii="宋体" w:hAnsi="宋体" w:eastAsia="宋体" w:cs="Times New Roman"/>
          <w:color w:val="auto"/>
          <w:szCs w:val="21"/>
          <w:lang w:val="zh-CN"/>
        </w:rPr>
      </w:pPr>
      <w:r>
        <w:rPr>
          <w:rFonts w:hint="eastAsia" w:ascii="宋体" w:hAnsi="宋体" w:eastAsia="宋体" w:cs="Times New Roman"/>
          <w:color w:val="auto"/>
          <w:szCs w:val="21"/>
          <w:lang w:val="zh-CN"/>
        </w:rPr>
        <w:t>第五篇 相关保函格式</w:t>
      </w:r>
    </w:p>
    <w:p w14:paraId="1F5CEC4A">
      <w:pPr>
        <w:tabs>
          <w:tab w:val="left" w:pos="1890"/>
        </w:tabs>
        <w:autoSpaceDE w:val="0"/>
        <w:autoSpaceDN w:val="0"/>
        <w:adjustRightInd w:val="0"/>
        <w:spacing w:line="360" w:lineRule="auto"/>
        <w:ind w:firstLine="424" w:firstLineChars="202"/>
        <w:rPr>
          <w:rFonts w:ascii="宋体" w:hAnsi="宋体" w:eastAsia="宋体" w:cs="Times New Roman"/>
          <w:color w:val="auto"/>
          <w:szCs w:val="21"/>
          <w:lang w:val="zh-CN"/>
        </w:rPr>
      </w:pPr>
      <w:r>
        <w:rPr>
          <w:rFonts w:hint="eastAsia" w:ascii="宋体" w:hAnsi="宋体" w:eastAsia="宋体" w:cs="Times New Roman"/>
          <w:color w:val="auto"/>
          <w:szCs w:val="21"/>
          <w:lang w:val="zh-CN"/>
        </w:rPr>
        <w:t>第六篇 投标文件格式</w:t>
      </w:r>
    </w:p>
    <w:p w14:paraId="43F4809D">
      <w:pPr>
        <w:tabs>
          <w:tab w:val="left" w:pos="1890"/>
        </w:tabs>
        <w:autoSpaceDE w:val="0"/>
        <w:autoSpaceDN w:val="0"/>
        <w:adjustRightInd w:val="0"/>
        <w:spacing w:line="360" w:lineRule="auto"/>
        <w:ind w:firstLine="424" w:firstLineChars="202"/>
        <w:rPr>
          <w:rFonts w:ascii="宋体" w:hAnsi="宋体" w:eastAsia="宋体" w:cs="Times New Roman"/>
          <w:color w:val="auto"/>
          <w:szCs w:val="21"/>
          <w:lang w:val="zh-CN"/>
        </w:rPr>
      </w:pPr>
      <w:r>
        <w:rPr>
          <w:rFonts w:hint="eastAsia" w:ascii="宋体" w:hAnsi="宋体" w:eastAsia="宋体" w:cs="宋体"/>
          <w:color w:val="auto"/>
          <w:szCs w:val="21"/>
          <w:lang w:val="zh-CN"/>
        </w:rPr>
        <w:t>附件一：评标工作大纲</w:t>
      </w:r>
    </w:p>
    <w:p w14:paraId="1CD5794D">
      <w:pPr>
        <w:autoSpaceDE w:val="0"/>
        <w:autoSpaceDN w:val="0"/>
        <w:adjustRightInd w:val="0"/>
        <w:spacing w:line="360" w:lineRule="auto"/>
        <w:ind w:left="356" w:leftChars="-99" w:hanging="564" w:hangingChars="269"/>
        <w:rPr>
          <w:rFonts w:ascii="宋体" w:hAnsi="宋体" w:eastAsia="宋体" w:cs="宋体"/>
          <w:b/>
          <w:bCs/>
          <w:color w:val="auto"/>
          <w:szCs w:val="21"/>
          <w:lang w:val="zh-CN"/>
        </w:rPr>
      </w:pPr>
      <w:r>
        <w:rPr>
          <w:rFonts w:hint="eastAsia" w:ascii="宋体" w:hAnsi="宋体" w:eastAsia="宋体" w:cs="宋体"/>
          <w:bCs/>
          <w:color w:val="auto"/>
          <w:szCs w:val="21"/>
          <w:lang w:val="zh-CN"/>
        </w:rPr>
        <w:t>5.2</w:t>
      </w:r>
      <w:r>
        <w:rPr>
          <w:rFonts w:hint="eastAsia" w:ascii="宋体" w:hAnsi="宋体" w:eastAsia="宋体" w:cs="宋体"/>
          <w:b/>
          <w:bCs/>
          <w:color w:val="auto"/>
          <w:szCs w:val="21"/>
          <w:lang w:val="zh-CN"/>
        </w:rPr>
        <w:tab/>
      </w:r>
      <w:r>
        <w:rPr>
          <w:rFonts w:hint="eastAsia" w:ascii="宋体" w:hAnsi="宋体" w:eastAsia="宋体" w:cs="宋体"/>
          <w:b/>
          <w:bCs/>
          <w:color w:val="auto"/>
          <w:szCs w:val="21"/>
          <w:u w:val="single"/>
          <w:lang w:val="zh-CN"/>
        </w:rPr>
        <w:t>投标人</w:t>
      </w:r>
      <w:r>
        <w:rPr>
          <w:rFonts w:hint="eastAsia" w:ascii="宋体" w:hAnsi="宋体" w:eastAsia="宋体" w:cs="Times New Roman"/>
          <w:b/>
          <w:bCs/>
          <w:color w:val="auto"/>
          <w:szCs w:val="21"/>
          <w:u w:val="single"/>
          <w:lang w:val="zh-CN"/>
        </w:rPr>
        <w:t>应审阅招标文件中所有须知、格式、条款和规格。投标人未按招标文件要求提供全部资料或提交的投标文件未对招标文件作出实质性响应（</w:t>
      </w:r>
      <w:r>
        <w:rPr>
          <w:rFonts w:hint="eastAsia" w:ascii="宋体" w:hAnsi="宋体" w:eastAsia="宋体" w:cs="宋体"/>
          <w:b/>
          <w:bCs/>
          <w:color w:val="auto"/>
          <w:szCs w:val="21"/>
          <w:u w:val="single"/>
          <w:lang w:val="zh-CN"/>
        </w:rPr>
        <w:t>★</w:t>
      </w:r>
      <w:r>
        <w:rPr>
          <w:rFonts w:hint="eastAsia" w:ascii="宋体" w:hAnsi="宋体" w:eastAsia="宋体" w:cs="Times New Roman"/>
          <w:b/>
          <w:bCs/>
          <w:color w:val="auto"/>
          <w:szCs w:val="21"/>
          <w:u w:val="single"/>
          <w:lang w:val="zh-CN"/>
        </w:rPr>
        <w:t>标志的部分为投标人、投标拟供货物必备的条件或重要指示），那么投标人的投标文件将有可能被拒绝接收或评审为无效投标文件</w:t>
      </w:r>
      <w:r>
        <w:rPr>
          <w:rFonts w:hint="eastAsia" w:ascii="宋体" w:hAnsi="宋体" w:eastAsia="宋体" w:cs="宋体"/>
          <w:b/>
          <w:bCs/>
          <w:color w:val="auto"/>
          <w:szCs w:val="21"/>
          <w:lang w:val="zh-CN"/>
        </w:rPr>
        <w:t>。</w:t>
      </w:r>
    </w:p>
    <w:p w14:paraId="0F43BA0D">
      <w:pPr>
        <w:autoSpaceDE w:val="0"/>
        <w:autoSpaceDN w:val="0"/>
        <w:adjustRightInd w:val="0"/>
        <w:spacing w:line="360" w:lineRule="auto"/>
        <w:ind w:left="356" w:leftChars="-99" w:hanging="564" w:hangingChars="269"/>
        <w:rPr>
          <w:rFonts w:ascii="宋体" w:hAnsi="宋体" w:eastAsia="宋体" w:cs="宋体"/>
          <w:b/>
          <w:bCs/>
          <w:color w:val="auto"/>
          <w:szCs w:val="21"/>
          <w:u w:val="single"/>
        </w:rPr>
      </w:pPr>
      <w:r>
        <w:rPr>
          <w:rFonts w:hint="eastAsia" w:ascii="宋体" w:hAnsi="宋体" w:eastAsia="宋体" w:cs="宋体"/>
          <w:color w:val="auto"/>
          <w:szCs w:val="21"/>
          <w:lang w:val="zh-CN"/>
        </w:rPr>
        <w:t>5.3  本招标文件使用的词语有如下定义：</w:t>
      </w:r>
    </w:p>
    <w:p w14:paraId="6C6EF84E">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rPr>
      </w:pPr>
      <w:r>
        <w:rPr>
          <w:rFonts w:hint="eastAsia" w:ascii="宋体" w:hAnsi="宋体" w:eastAsia="宋体" w:cs="Times New Roman"/>
          <w:color w:val="auto"/>
          <w:kern w:val="0"/>
          <w:szCs w:val="21"/>
        </w:rPr>
        <w:t>（1）“招标人”指东莞市水务集团有限公司；</w:t>
      </w:r>
    </w:p>
    <w:p w14:paraId="4BB31252">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rPr>
      </w:pPr>
      <w:r>
        <w:rPr>
          <w:rFonts w:hint="eastAsia" w:ascii="宋体" w:hAnsi="宋体" w:eastAsia="宋体" w:cs="Times New Roman"/>
          <w:color w:val="auto"/>
          <w:kern w:val="0"/>
          <w:szCs w:val="21"/>
        </w:rPr>
        <w:t>（</w:t>
      </w:r>
      <w:r>
        <w:rPr>
          <w:rFonts w:ascii="宋体" w:hAnsi="宋体" w:eastAsia="宋体" w:cs="Times New Roman"/>
          <w:color w:val="auto"/>
          <w:kern w:val="0"/>
          <w:szCs w:val="21"/>
        </w:rPr>
        <w:t>2</w:t>
      </w:r>
      <w:r>
        <w:rPr>
          <w:rFonts w:hint="eastAsia" w:ascii="宋体" w:hAnsi="宋体" w:eastAsia="宋体" w:cs="Times New Roman"/>
          <w:color w:val="auto"/>
          <w:kern w:val="0"/>
          <w:szCs w:val="21"/>
        </w:rPr>
        <w:t>）“招标代理机构”指</w:t>
      </w:r>
      <w:r>
        <w:rPr>
          <w:rFonts w:hint="eastAsia" w:ascii="宋体" w:hAnsi="宋体" w:eastAsia="宋体" w:cs="宋体"/>
          <w:color w:val="auto"/>
          <w:kern w:val="0"/>
          <w:szCs w:val="21"/>
          <w:lang w:val="zh-CN"/>
        </w:rPr>
        <w:t>东莞市达盛招标代理有限公司</w:t>
      </w:r>
      <w:r>
        <w:rPr>
          <w:rFonts w:hint="eastAsia" w:ascii="宋体" w:hAnsi="宋体" w:eastAsia="宋体" w:cs="Times New Roman"/>
          <w:color w:val="auto"/>
          <w:kern w:val="0"/>
          <w:szCs w:val="21"/>
        </w:rPr>
        <w:t>；</w:t>
      </w:r>
    </w:p>
    <w:p w14:paraId="07565E72">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rPr>
      </w:pPr>
      <w:r>
        <w:rPr>
          <w:rFonts w:hint="eastAsia" w:ascii="宋体" w:hAnsi="宋体" w:eastAsia="宋体" w:cs="Times New Roman"/>
          <w:color w:val="auto"/>
          <w:kern w:val="0"/>
          <w:szCs w:val="21"/>
        </w:rPr>
        <w:t>（</w:t>
      </w:r>
      <w:r>
        <w:rPr>
          <w:rFonts w:ascii="宋体" w:hAnsi="宋体" w:eastAsia="宋体" w:cs="Times New Roman"/>
          <w:color w:val="auto"/>
          <w:kern w:val="0"/>
          <w:szCs w:val="21"/>
        </w:rPr>
        <w:t>3</w:t>
      </w:r>
      <w:r>
        <w:rPr>
          <w:rFonts w:hint="eastAsia" w:ascii="宋体" w:hAnsi="宋体" w:eastAsia="宋体" w:cs="Times New Roman"/>
          <w:color w:val="auto"/>
          <w:kern w:val="0"/>
          <w:szCs w:val="21"/>
        </w:rPr>
        <w:t>）“投标人”指参加</w:t>
      </w:r>
      <w:r>
        <w:rPr>
          <w:rFonts w:hint="eastAsia" w:ascii="宋体" w:hAnsi="宋体" w:eastAsia="宋体" w:cs="Times New Roman"/>
          <w:color w:val="auto"/>
          <w:kern w:val="0"/>
          <w:szCs w:val="21"/>
          <w:lang w:eastAsia="zh-CN"/>
        </w:rPr>
        <w:t>东莞市水务集团有限公司2025年安全及劳保物资采购项目</w:t>
      </w:r>
      <w:r>
        <w:rPr>
          <w:rFonts w:hint="eastAsia" w:ascii="宋体" w:hAnsi="宋体" w:eastAsia="宋体" w:cs="Times New Roman"/>
          <w:color w:val="auto"/>
          <w:kern w:val="0"/>
          <w:szCs w:val="21"/>
        </w:rPr>
        <w:t>所需的货物及有关服务的投标，并向招标代理机构提交投标文件的当事人；</w:t>
      </w:r>
    </w:p>
    <w:p w14:paraId="1B034C49">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rPr>
      </w:pPr>
      <w:r>
        <w:rPr>
          <w:rFonts w:hint="eastAsia" w:ascii="宋体" w:hAnsi="宋体" w:eastAsia="宋体" w:cs="Times New Roman"/>
          <w:color w:val="auto"/>
          <w:kern w:val="0"/>
          <w:szCs w:val="21"/>
        </w:rPr>
        <w:t>（</w:t>
      </w:r>
      <w:r>
        <w:rPr>
          <w:rFonts w:ascii="宋体" w:hAnsi="宋体" w:eastAsia="宋体" w:cs="Times New Roman"/>
          <w:color w:val="auto"/>
          <w:kern w:val="0"/>
          <w:szCs w:val="21"/>
        </w:rPr>
        <w:t>4</w:t>
      </w:r>
      <w:r>
        <w:rPr>
          <w:rFonts w:hint="eastAsia" w:ascii="宋体" w:hAnsi="宋体" w:eastAsia="宋体" w:cs="Times New Roman"/>
          <w:color w:val="auto"/>
          <w:kern w:val="0"/>
          <w:szCs w:val="21"/>
        </w:rPr>
        <w:t>）“评标委员会”是依照《中华人民共和国招标投标法》等法规组建的专门负责本次评标工作的临时性机构；</w:t>
      </w:r>
    </w:p>
    <w:p w14:paraId="0A743C77">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rPr>
      </w:pPr>
      <w:r>
        <w:rPr>
          <w:rFonts w:hint="eastAsia" w:ascii="宋体" w:hAnsi="宋体" w:eastAsia="宋体" w:cs="Times New Roman"/>
          <w:color w:val="auto"/>
          <w:kern w:val="0"/>
          <w:szCs w:val="21"/>
        </w:rPr>
        <w:t>（</w:t>
      </w:r>
      <w:r>
        <w:rPr>
          <w:rFonts w:ascii="宋体" w:hAnsi="宋体" w:eastAsia="宋体" w:cs="Times New Roman"/>
          <w:color w:val="auto"/>
          <w:kern w:val="0"/>
          <w:szCs w:val="21"/>
        </w:rPr>
        <w:t>5</w:t>
      </w:r>
      <w:r>
        <w:rPr>
          <w:rFonts w:hint="eastAsia" w:ascii="宋体" w:hAnsi="宋体" w:eastAsia="宋体" w:cs="Times New Roman"/>
          <w:color w:val="auto"/>
          <w:kern w:val="0"/>
          <w:szCs w:val="21"/>
        </w:rPr>
        <w:t>）“中标人”指其投标被招标人接受，并与招标人</w:t>
      </w:r>
      <w:r>
        <w:rPr>
          <w:rFonts w:hint="eastAsia" w:ascii="宋体" w:hAnsi="宋体" w:eastAsia="宋体" w:cs="宋体"/>
          <w:color w:val="auto"/>
          <w:szCs w:val="21"/>
        </w:rPr>
        <w:t>及其</w:t>
      </w:r>
      <w:r>
        <w:rPr>
          <w:rFonts w:hint="eastAsia" w:ascii="宋体" w:hAnsi="宋体" w:eastAsia="宋体" w:cs="宋体"/>
          <w:color w:val="auto"/>
          <w:szCs w:val="21"/>
          <w:lang w:eastAsia="zh-CN"/>
        </w:rPr>
        <w:t>下属公司</w:t>
      </w:r>
      <w:r>
        <w:rPr>
          <w:rFonts w:hint="eastAsia" w:ascii="宋体" w:hAnsi="宋体" w:eastAsia="宋体" w:cs="Times New Roman"/>
          <w:color w:val="auto"/>
          <w:kern w:val="0"/>
          <w:szCs w:val="21"/>
        </w:rPr>
        <w:t>签订合同的当事人；</w:t>
      </w:r>
    </w:p>
    <w:p w14:paraId="697615A8">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rPr>
      </w:pPr>
      <w:r>
        <w:rPr>
          <w:rFonts w:hint="eastAsia" w:ascii="宋体" w:hAnsi="宋体" w:eastAsia="宋体" w:cs="Times New Roman"/>
          <w:color w:val="auto"/>
          <w:kern w:val="0"/>
          <w:szCs w:val="21"/>
        </w:rPr>
        <w:t>（</w:t>
      </w:r>
      <w:r>
        <w:rPr>
          <w:rFonts w:ascii="宋体" w:hAnsi="宋体" w:eastAsia="宋体" w:cs="Times New Roman"/>
          <w:color w:val="auto"/>
          <w:kern w:val="0"/>
          <w:szCs w:val="21"/>
        </w:rPr>
        <w:t>6</w:t>
      </w:r>
      <w:r>
        <w:rPr>
          <w:rFonts w:hint="eastAsia" w:ascii="宋体" w:hAnsi="宋体" w:eastAsia="宋体" w:cs="Times New Roman"/>
          <w:color w:val="auto"/>
          <w:kern w:val="0"/>
          <w:szCs w:val="21"/>
        </w:rPr>
        <w:t>）“甲方”指在合同条款中指明的购买货物及有关服务的单位，即东莞市水务集团有限公司</w:t>
      </w:r>
      <w:r>
        <w:rPr>
          <w:rFonts w:hint="eastAsia" w:ascii="宋体" w:hAnsi="宋体" w:eastAsia="宋体" w:cs="宋体"/>
          <w:color w:val="auto"/>
          <w:szCs w:val="21"/>
        </w:rPr>
        <w:t>及其</w:t>
      </w:r>
      <w:r>
        <w:rPr>
          <w:rFonts w:hint="eastAsia" w:ascii="宋体" w:hAnsi="宋体" w:eastAsia="宋体" w:cs="宋体"/>
          <w:color w:val="auto"/>
          <w:szCs w:val="21"/>
          <w:lang w:eastAsia="zh-CN"/>
        </w:rPr>
        <w:t>下属公司</w:t>
      </w:r>
      <w:r>
        <w:rPr>
          <w:rFonts w:hint="eastAsia" w:ascii="宋体" w:hAnsi="宋体" w:eastAsia="宋体" w:cs="Times New Roman"/>
          <w:color w:val="auto"/>
          <w:kern w:val="0"/>
          <w:szCs w:val="21"/>
        </w:rPr>
        <w:t>；</w:t>
      </w:r>
    </w:p>
    <w:p w14:paraId="3AC84D09">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rPr>
      </w:pPr>
      <w:r>
        <w:rPr>
          <w:rFonts w:hint="eastAsia" w:ascii="宋体" w:hAnsi="宋体" w:eastAsia="宋体" w:cs="Times New Roman"/>
          <w:color w:val="auto"/>
          <w:kern w:val="0"/>
          <w:szCs w:val="21"/>
        </w:rPr>
        <w:t>（</w:t>
      </w:r>
      <w:r>
        <w:rPr>
          <w:rFonts w:ascii="宋体" w:hAnsi="宋体" w:eastAsia="宋体" w:cs="Times New Roman"/>
          <w:color w:val="auto"/>
          <w:kern w:val="0"/>
          <w:szCs w:val="21"/>
        </w:rPr>
        <w:t>7</w:t>
      </w:r>
      <w:r>
        <w:rPr>
          <w:rFonts w:hint="eastAsia" w:ascii="宋体" w:hAnsi="宋体" w:eastAsia="宋体" w:cs="Times New Roman"/>
          <w:color w:val="auto"/>
          <w:kern w:val="0"/>
          <w:szCs w:val="21"/>
        </w:rPr>
        <w:t>）“乙方”指在合同条款中指明的本合同项下提供货物及有关服务的公司或实体；</w:t>
      </w:r>
    </w:p>
    <w:p w14:paraId="72F7C7ED">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rPr>
      </w:pPr>
      <w:r>
        <w:rPr>
          <w:rFonts w:hint="eastAsia" w:ascii="宋体" w:hAnsi="宋体" w:eastAsia="宋体" w:cs="Times New Roman"/>
          <w:color w:val="auto"/>
          <w:kern w:val="0"/>
          <w:szCs w:val="21"/>
        </w:rPr>
        <w:t>（</w:t>
      </w:r>
      <w:r>
        <w:rPr>
          <w:rFonts w:ascii="宋体" w:hAnsi="宋体" w:eastAsia="宋体" w:cs="Times New Roman"/>
          <w:color w:val="auto"/>
          <w:kern w:val="0"/>
          <w:szCs w:val="21"/>
        </w:rPr>
        <w:t>8</w:t>
      </w:r>
      <w:r>
        <w:rPr>
          <w:rFonts w:hint="eastAsia" w:ascii="宋体" w:hAnsi="宋体" w:eastAsia="宋体" w:cs="Times New Roman"/>
          <w:color w:val="auto"/>
          <w:kern w:val="0"/>
          <w:szCs w:val="21"/>
        </w:rPr>
        <w:t>）“招标文件”指由招标代理机构发出的本招标文件，包括全部章节和附件；</w:t>
      </w:r>
    </w:p>
    <w:p w14:paraId="4F68809B">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rPr>
      </w:pPr>
      <w:r>
        <w:rPr>
          <w:rFonts w:hint="eastAsia" w:ascii="宋体" w:hAnsi="宋体" w:eastAsia="宋体" w:cs="Times New Roman"/>
          <w:color w:val="auto"/>
          <w:kern w:val="0"/>
          <w:szCs w:val="21"/>
        </w:rPr>
        <w:t>（</w:t>
      </w:r>
      <w:r>
        <w:rPr>
          <w:rFonts w:ascii="宋体" w:hAnsi="宋体" w:eastAsia="宋体" w:cs="Times New Roman"/>
          <w:color w:val="auto"/>
          <w:kern w:val="0"/>
          <w:szCs w:val="21"/>
        </w:rPr>
        <w:t>9</w:t>
      </w:r>
      <w:r>
        <w:rPr>
          <w:rFonts w:hint="eastAsia" w:ascii="宋体" w:hAnsi="宋体" w:eastAsia="宋体" w:cs="Times New Roman"/>
          <w:color w:val="auto"/>
          <w:kern w:val="0"/>
          <w:szCs w:val="21"/>
        </w:rPr>
        <w:t>）“投标文件”指投标人根据本招标文件向招标代理机构提交的全部文件；</w:t>
      </w:r>
    </w:p>
    <w:p w14:paraId="730E8E01">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rPr>
      </w:pPr>
      <w:r>
        <w:rPr>
          <w:rFonts w:hint="eastAsia" w:ascii="宋体" w:hAnsi="宋体" w:eastAsia="宋体" w:cs="Times New Roman"/>
          <w:color w:val="auto"/>
          <w:kern w:val="0"/>
          <w:szCs w:val="21"/>
        </w:rPr>
        <w:t>（</w:t>
      </w:r>
      <w:r>
        <w:rPr>
          <w:rFonts w:ascii="宋体" w:hAnsi="宋体" w:eastAsia="宋体" w:cs="Times New Roman"/>
          <w:color w:val="auto"/>
          <w:kern w:val="0"/>
          <w:szCs w:val="21"/>
        </w:rPr>
        <w:t>10</w:t>
      </w:r>
      <w:r>
        <w:rPr>
          <w:rFonts w:hint="eastAsia" w:ascii="宋体" w:hAnsi="宋体" w:eastAsia="宋体" w:cs="Times New Roman"/>
          <w:color w:val="auto"/>
          <w:kern w:val="0"/>
          <w:szCs w:val="21"/>
        </w:rPr>
        <w:t>）“书面函件”指手写、打字或印刷的函件，包括电传、电报和传真；</w:t>
      </w:r>
    </w:p>
    <w:p w14:paraId="1DF96B53">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rPr>
      </w:pPr>
      <w:r>
        <w:rPr>
          <w:rFonts w:hint="eastAsia" w:ascii="宋体" w:hAnsi="宋体" w:eastAsia="宋体" w:cs="Times New Roman"/>
          <w:color w:val="auto"/>
          <w:kern w:val="0"/>
          <w:szCs w:val="21"/>
        </w:rPr>
        <w:t>（</w:t>
      </w:r>
      <w:r>
        <w:rPr>
          <w:rFonts w:ascii="宋体" w:hAnsi="宋体" w:eastAsia="宋体" w:cs="Times New Roman"/>
          <w:color w:val="auto"/>
          <w:kern w:val="0"/>
          <w:szCs w:val="21"/>
        </w:rPr>
        <w:t>11</w:t>
      </w:r>
      <w:r>
        <w:rPr>
          <w:rFonts w:hint="eastAsia" w:ascii="宋体" w:hAnsi="宋体" w:eastAsia="宋体" w:cs="Times New Roman"/>
          <w:color w:val="auto"/>
          <w:kern w:val="0"/>
          <w:szCs w:val="21"/>
        </w:rPr>
        <w:t>）“合同”指由本次招标所产生的合同或合约文件；</w:t>
      </w:r>
    </w:p>
    <w:p w14:paraId="4B6535AD">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rPr>
      </w:pPr>
      <w:r>
        <w:rPr>
          <w:rFonts w:hint="eastAsia" w:ascii="宋体" w:hAnsi="宋体" w:eastAsia="宋体" w:cs="Times New Roman"/>
          <w:color w:val="auto"/>
          <w:kern w:val="0"/>
          <w:szCs w:val="21"/>
        </w:rPr>
        <w:t>（</w:t>
      </w:r>
      <w:r>
        <w:rPr>
          <w:rFonts w:ascii="宋体" w:hAnsi="宋体" w:eastAsia="宋体" w:cs="Times New Roman"/>
          <w:color w:val="auto"/>
          <w:kern w:val="0"/>
          <w:szCs w:val="21"/>
        </w:rPr>
        <w:t>12</w:t>
      </w:r>
      <w:r>
        <w:rPr>
          <w:rFonts w:hint="eastAsia" w:ascii="宋体" w:hAnsi="宋体" w:eastAsia="宋体" w:cs="Times New Roman"/>
          <w:color w:val="auto"/>
          <w:kern w:val="0"/>
          <w:szCs w:val="21"/>
        </w:rPr>
        <w:t>）“日期”指公历日，“时间”指北京时间；</w:t>
      </w:r>
    </w:p>
    <w:p w14:paraId="22484D4C">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rPr>
      </w:pPr>
      <w:r>
        <w:rPr>
          <w:rFonts w:hint="eastAsia" w:ascii="宋体" w:hAnsi="宋体" w:eastAsia="宋体" w:cs="Times New Roman"/>
          <w:color w:val="auto"/>
          <w:kern w:val="0"/>
          <w:szCs w:val="21"/>
        </w:rPr>
        <w:t>（</w:t>
      </w:r>
      <w:r>
        <w:rPr>
          <w:rFonts w:ascii="宋体" w:hAnsi="宋体" w:eastAsia="宋体" w:cs="Times New Roman"/>
          <w:color w:val="auto"/>
          <w:kern w:val="0"/>
          <w:szCs w:val="21"/>
        </w:rPr>
        <w:t>13</w:t>
      </w:r>
      <w:r>
        <w:rPr>
          <w:rFonts w:hint="eastAsia" w:ascii="宋体" w:hAnsi="宋体" w:eastAsia="宋体" w:cs="Times New Roman"/>
          <w:color w:val="auto"/>
          <w:kern w:val="0"/>
          <w:szCs w:val="21"/>
        </w:rPr>
        <w:t>）本招标文件中的“境内”特指中华人民共和国海关关境以内，“境外”特指中华人民共和国海关关境以外；</w:t>
      </w:r>
    </w:p>
    <w:p w14:paraId="5B1D76DA">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rPr>
      </w:pPr>
      <w:r>
        <w:rPr>
          <w:rFonts w:hint="eastAsia" w:ascii="宋体" w:hAnsi="宋体" w:eastAsia="宋体" w:cs="Times New Roman"/>
          <w:color w:val="auto"/>
          <w:kern w:val="0"/>
          <w:szCs w:val="21"/>
        </w:rPr>
        <w:t>（</w:t>
      </w:r>
      <w:r>
        <w:rPr>
          <w:rFonts w:ascii="宋体" w:hAnsi="宋体" w:eastAsia="宋体" w:cs="Times New Roman"/>
          <w:color w:val="auto"/>
          <w:kern w:val="0"/>
          <w:szCs w:val="21"/>
        </w:rPr>
        <w:t>14</w:t>
      </w:r>
      <w:r>
        <w:rPr>
          <w:rFonts w:hint="eastAsia" w:ascii="宋体" w:hAnsi="宋体" w:eastAsia="宋体" w:cs="Times New Roman"/>
          <w:color w:val="auto"/>
          <w:kern w:val="0"/>
          <w:szCs w:val="21"/>
        </w:rPr>
        <w:t>）不含税价，即为《中华人民共和国增值税暂行条例》（国务院令第6</w:t>
      </w:r>
      <w:r>
        <w:rPr>
          <w:rFonts w:ascii="宋体" w:hAnsi="宋体" w:eastAsia="宋体" w:cs="Times New Roman"/>
          <w:color w:val="auto"/>
          <w:kern w:val="0"/>
          <w:szCs w:val="21"/>
        </w:rPr>
        <w:t>91</w:t>
      </w:r>
      <w:r>
        <w:rPr>
          <w:rFonts w:hint="eastAsia" w:ascii="宋体" w:hAnsi="宋体" w:eastAsia="宋体" w:cs="Times New Roman"/>
          <w:color w:val="auto"/>
          <w:kern w:val="0"/>
          <w:szCs w:val="21"/>
        </w:rPr>
        <w:t>号修订版）规定的销售额。本招标文件所称的不含税价和不含税暂定合同价是指不含本采购项目投标人的销项税额，包含了投标人完成合同义务（含投标人代缴代扣、分包及委外服务、施工、采购货物等所产生的价税）的其他全部费用。本采购项目投标人的销项税额由招标人</w:t>
      </w:r>
      <w:r>
        <w:rPr>
          <w:rFonts w:hint="eastAsia" w:ascii="宋体" w:hAnsi="宋体" w:eastAsia="宋体" w:cs="Times New Roman"/>
          <w:color w:val="auto"/>
          <w:kern w:val="0"/>
          <w:szCs w:val="21"/>
          <w:lang w:eastAsia="zh-CN"/>
        </w:rPr>
        <w:t>（或招标人的下属公司）</w:t>
      </w:r>
      <w:r>
        <w:rPr>
          <w:rFonts w:hint="eastAsia" w:ascii="宋体" w:hAnsi="宋体" w:eastAsia="宋体" w:cs="Times New Roman"/>
          <w:color w:val="auto"/>
          <w:kern w:val="0"/>
          <w:szCs w:val="21"/>
        </w:rPr>
        <w:t>承担，不计入投标报价。</w:t>
      </w:r>
    </w:p>
    <w:p w14:paraId="4EAF749B">
      <w:pPr>
        <w:autoSpaceDE w:val="0"/>
        <w:autoSpaceDN w:val="0"/>
        <w:adjustRightInd w:val="0"/>
        <w:spacing w:line="360" w:lineRule="auto"/>
        <w:ind w:left="951" w:leftChars="78" w:hanging="787" w:hangingChars="375"/>
        <w:rPr>
          <w:rFonts w:ascii="宋体" w:hAnsi="宋体" w:eastAsia="宋体" w:cs="宋体"/>
          <w:color w:val="auto"/>
          <w:szCs w:val="21"/>
          <w:lang w:val="zh-CN"/>
        </w:rPr>
      </w:pPr>
    </w:p>
    <w:p w14:paraId="2200EA6E">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lang w:val="zh-CN"/>
        </w:rPr>
      </w:pPr>
      <w:bookmarkStart w:id="86" w:name="_Toc450662855"/>
      <w:bookmarkStart w:id="87" w:name="_Toc18407"/>
      <w:bookmarkStart w:id="88" w:name="_Toc486167669"/>
      <w:bookmarkStart w:id="89" w:name="_Toc173182264"/>
      <w:bookmarkStart w:id="90" w:name="_Toc142508319"/>
      <w:bookmarkStart w:id="91" w:name="_Toc29125_WPSOffice_Level3"/>
      <w:bookmarkStart w:id="92" w:name="_Toc4130"/>
      <w:r>
        <w:rPr>
          <w:rFonts w:hint="eastAsia" w:ascii="宋体" w:hAnsi="宋体" w:eastAsia="宋体" w:cs="宋体"/>
          <w:color w:val="auto"/>
          <w:szCs w:val="21"/>
          <w:lang w:val="zh-CN"/>
        </w:rPr>
        <w:t>6</w:t>
      </w:r>
      <w:r>
        <w:rPr>
          <w:rFonts w:ascii="宋体" w:hAnsi="宋体" w:eastAsia="宋体" w:cs="宋体"/>
          <w:color w:val="auto"/>
          <w:szCs w:val="21"/>
          <w:lang w:val="zh-CN"/>
        </w:rPr>
        <w:t xml:space="preserve"> </w:t>
      </w:r>
      <w:r>
        <w:rPr>
          <w:rFonts w:hint="eastAsia" w:ascii="宋体" w:hAnsi="宋体" w:eastAsia="宋体" w:cs="宋体"/>
          <w:color w:val="auto"/>
          <w:szCs w:val="21"/>
          <w:lang w:val="zh-CN"/>
        </w:rPr>
        <w:t>招标文件的异议</w:t>
      </w:r>
      <w:bookmarkEnd w:id="86"/>
      <w:bookmarkEnd w:id="87"/>
      <w:bookmarkEnd w:id="88"/>
      <w:bookmarkEnd w:id="89"/>
      <w:bookmarkEnd w:id="90"/>
      <w:bookmarkEnd w:id="91"/>
      <w:bookmarkEnd w:id="92"/>
    </w:p>
    <w:p w14:paraId="55473A9A">
      <w:pPr>
        <w:autoSpaceDE w:val="0"/>
        <w:autoSpaceDN w:val="0"/>
        <w:adjustRightInd w:val="0"/>
        <w:spacing w:line="360" w:lineRule="auto"/>
        <w:ind w:left="288" w:leftChars="137" w:firstLine="420" w:firstLineChars="200"/>
        <w:rPr>
          <w:rFonts w:ascii="宋体" w:hAnsi="宋体" w:eastAsia="宋体" w:cs="宋体"/>
          <w:bCs/>
          <w:color w:val="auto"/>
          <w:szCs w:val="21"/>
          <w:lang w:val="zh-CN"/>
        </w:rPr>
      </w:pPr>
      <w:r>
        <w:rPr>
          <w:rFonts w:hint="eastAsia" w:ascii="宋体" w:hAnsi="宋体" w:eastAsia="宋体" w:cs="Times New Roman"/>
          <w:bCs/>
          <w:color w:val="auto"/>
          <w:szCs w:val="21"/>
          <w:lang w:val="zh-CN"/>
        </w:rPr>
        <w:t>投标人或者其他利害关系人对招标文件有异议的，应当在投标截止时间10日前</w:t>
      </w:r>
      <w:r>
        <w:rPr>
          <w:rFonts w:ascii="宋体" w:hAnsi="宋体" w:eastAsia="宋体" w:cs="Times New Roman"/>
          <w:color w:val="auto"/>
          <w:szCs w:val="21"/>
          <w:lang w:val="zh-CN"/>
        </w:rPr>
        <w:t>以书面形式向</w:t>
      </w:r>
      <w:r>
        <w:rPr>
          <w:rFonts w:hint="eastAsia" w:ascii="宋体" w:hAnsi="宋体" w:eastAsia="宋体" w:cs="Times New Roman"/>
          <w:color w:val="auto"/>
          <w:szCs w:val="21"/>
          <w:lang w:val="zh-CN"/>
        </w:rPr>
        <w:t>招标代理机构</w:t>
      </w:r>
      <w:r>
        <w:rPr>
          <w:rFonts w:ascii="宋体" w:hAnsi="宋体" w:eastAsia="宋体" w:cs="Times New Roman"/>
          <w:color w:val="auto"/>
          <w:szCs w:val="21"/>
          <w:lang w:val="zh-CN"/>
        </w:rPr>
        <w:t>提出</w:t>
      </w:r>
      <w:r>
        <w:rPr>
          <w:rFonts w:hint="eastAsia" w:ascii="宋体" w:hAnsi="宋体" w:eastAsia="宋体" w:cs="Times New Roman"/>
          <w:color w:val="auto"/>
          <w:szCs w:val="21"/>
          <w:lang w:val="zh-CN"/>
        </w:rPr>
        <w:t>，</w:t>
      </w:r>
      <w:r>
        <w:rPr>
          <w:rFonts w:ascii="宋体" w:hAnsi="宋体" w:eastAsia="宋体" w:cs="Times New Roman"/>
          <w:color w:val="auto"/>
          <w:szCs w:val="21"/>
          <w:lang w:val="zh-CN"/>
        </w:rPr>
        <w:t>并</w:t>
      </w:r>
      <w:r>
        <w:rPr>
          <w:rFonts w:hint="eastAsia" w:ascii="宋体" w:hAnsi="宋体" w:eastAsia="宋体" w:cs="Times New Roman"/>
          <w:color w:val="auto"/>
          <w:szCs w:val="21"/>
          <w:lang w:val="zh-CN"/>
        </w:rPr>
        <w:t>将材料原件</w:t>
      </w:r>
      <w:r>
        <w:rPr>
          <w:rFonts w:ascii="宋体" w:hAnsi="宋体" w:eastAsia="宋体" w:cs="Times New Roman"/>
          <w:color w:val="auto"/>
          <w:szCs w:val="21"/>
          <w:lang w:val="zh-CN"/>
        </w:rPr>
        <w:t>送</w:t>
      </w:r>
      <w:r>
        <w:rPr>
          <w:rFonts w:hint="eastAsia" w:ascii="宋体" w:hAnsi="宋体" w:eastAsia="宋体" w:cs="Times New Roman"/>
          <w:color w:val="auto"/>
          <w:szCs w:val="21"/>
          <w:lang w:val="zh-CN"/>
        </w:rPr>
        <w:t>达招标代理机构</w:t>
      </w:r>
      <w:r>
        <w:rPr>
          <w:rFonts w:ascii="宋体" w:hAnsi="宋体" w:eastAsia="宋体" w:cs="Times New Roman"/>
          <w:color w:val="auto"/>
          <w:szCs w:val="21"/>
          <w:lang w:val="zh-CN"/>
        </w:rPr>
        <w:t>，逾期则视为</w:t>
      </w:r>
      <w:r>
        <w:rPr>
          <w:rFonts w:hint="eastAsia" w:ascii="宋体" w:hAnsi="宋体" w:eastAsia="宋体" w:cs="Times New Roman"/>
          <w:color w:val="auto"/>
          <w:szCs w:val="21"/>
          <w:lang w:val="zh-CN"/>
        </w:rPr>
        <w:t>对</w:t>
      </w:r>
      <w:r>
        <w:rPr>
          <w:rFonts w:ascii="宋体" w:hAnsi="宋体" w:eastAsia="宋体" w:cs="Times New Roman"/>
          <w:color w:val="auto"/>
          <w:szCs w:val="21"/>
          <w:lang w:val="zh-CN"/>
        </w:rPr>
        <w:t>招标文件所有内容</w:t>
      </w:r>
      <w:r>
        <w:rPr>
          <w:rFonts w:hint="eastAsia" w:ascii="宋体" w:hAnsi="宋体" w:eastAsia="宋体" w:cs="Times New Roman"/>
          <w:color w:val="auto"/>
          <w:szCs w:val="21"/>
          <w:lang w:val="zh-CN"/>
        </w:rPr>
        <w:t>无异议</w:t>
      </w:r>
      <w:r>
        <w:rPr>
          <w:rFonts w:ascii="宋体" w:hAnsi="宋体" w:eastAsia="宋体" w:cs="Times New Roman"/>
          <w:color w:val="auto"/>
          <w:szCs w:val="21"/>
          <w:lang w:val="zh-CN"/>
        </w:rPr>
        <w:t>。</w:t>
      </w:r>
      <w:r>
        <w:rPr>
          <w:rFonts w:hint="eastAsia" w:ascii="宋体" w:hAnsi="宋体" w:eastAsia="宋体" w:cs="Times New Roman"/>
          <w:bCs/>
          <w:color w:val="auto"/>
          <w:szCs w:val="21"/>
          <w:lang w:val="zh-CN"/>
        </w:rPr>
        <w:t>异议</w:t>
      </w:r>
      <w:r>
        <w:rPr>
          <w:rFonts w:hint="eastAsia" w:ascii="宋体" w:hAnsi="宋体" w:eastAsia="宋体" w:cs="Times New Roman"/>
          <w:color w:val="auto"/>
          <w:szCs w:val="21"/>
          <w:lang w:val="zh-CN"/>
        </w:rPr>
        <w:t>书面材料必须</w:t>
      </w:r>
      <w:r>
        <w:rPr>
          <w:rFonts w:ascii="宋体" w:hAnsi="宋体" w:eastAsia="宋体" w:cs="Times New Roman"/>
          <w:color w:val="auto"/>
          <w:szCs w:val="21"/>
          <w:lang w:val="zh-CN"/>
        </w:rPr>
        <w:t>加盖投标人</w:t>
      </w:r>
      <w:r>
        <w:rPr>
          <w:rFonts w:hint="eastAsia" w:ascii="宋体" w:hAnsi="宋体" w:eastAsia="宋体" w:cs="Times New Roman"/>
          <w:color w:val="auto"/>
          <w:szCs w:val="21"/>
          <w:lang w:val="zh-CN"/>
        </w:rPr>
        <w:t>法人</w:t>
      </w:r>
      <w:r>
        <w:rPr>
          <w:rFonts w:ascii="宋体" w:hAnsi="宋体" w:eastAsia="宋体" w:cs="Times New Roman"/>
          <w:color w:val="auto"/>
          <w:szCs w:val="21"/>
          <w:lang w:val="zh-CN"/>
        </w:rPr>
        <w:t>公章</w:t>
      </w:r>
      <w:r>
        <w:rPr>
          <w:rFonts w:hint="eastAsia" w:ascii="宋体" w:hAnsi="宋体" w:eastAsia="宋体" w:cs="Times New Roman"/>
          <w:color w:val="auto"/>
          <w:szCs w:val="21"/>
          <w:lang w:val="zh-CN"/>
        </w:rPr>
        <w:t>，并注明联系人、联系电话、联系地址。</w:t>
      </w:r>
      <w:r>
        <w:rPr>
          <w:rFonts w:hint="eastAsia" w:ascii="宋体" w:hAnsi="宋体" w:eastAsia="宋体" w:cs="Times New Roman"/>
          <w:bCs/>
          <w:color w:val="auto"/>
          <w:szCs w:val="21"/>
          <w:lang w:val="zh-CN"/>
        </w:rPr>
        <w:t>超出</w:t>
      </w:r>
      <w:r>
        <w:rPr>
          <w:rFonts w:hint="eastAsia" w:ascii="宋体" w:hAnsi="宋体" w:eastAsia="宋体" w:cs="Times New Roman"/>
          <w:color w:val="auto"/>
          <w:szCs w:val="21"/>
          <w:lang w:val="zh-CN"/>
        </w:rPr>
        <w:t>提交接收异议截止时间而</w:t>
      </w:r>
      <w:r>
        <w:rPr>
          <w:rFonts w:hint="eastAsia" w:ascii="宋体" w:hAnsi="宋体" w:eastAsia="宋体" w:cs="Times New Roman"/>
          <w:bCs/>
          <w:color w:val="auto"/>
          <w:szCs w:val="21"/>
          <w:lang w:val="zh-CN"/>
        </w:rPr>
        <w:t>提出的任何疑问，招标代理机构可不予答复。</w:t>
      </w:r>
      <w:r>
        <w:rPr>
          <w:rFonts w:hint="eastAsia" w:ascii="宋体" w:hAnsi="宋体" w:eastAsia="宋体" w:cs="Times New Roman"/>
          <w:b/>
          <w:bCs/>
          <w:color w:val="auto"/>
          <w:szCs w:val="21"/>
          <w:u w:val="single"/>
          <w:lang w:val="zh-CN"/>
        </w:rPr>
        <w:t>投标人必须在投标文件中提供投标承诺书（格式详见第六篇投标文件格式）</w:t>
      </w:r>
      <w:r>
        <w:rPr>
          <w:rFonts w:hint="eastAsia" w:ascii="宋体" w:hAnsi="宋体" w:eastAsia="宋体" w:cs="宋体"/>
          <w:b/>
          <w:bCs/>
          <w:color w:val="auto"/>
          <w:szCs w:val="21"/>
          <w:lang w:val="zh-CN"/>
        </w:rPr>
        <w:t>。</w:t>
      </w:r>
    </w:p>
    <w:p w14:paraId="3862A485">
      <w:pPr>
        <w:autoSpaceDE w:val="0"/>
        <w:autoSpaceDN w:val="0"/>
        <w:adjustRightInd w:val="0"/>
        <w:spacing w:line="360" w:lineRule="auto"/>
        <w:ind w:left="290" w:leftChars="137" w:hanging="2" w:hangingChars="1"/>
        <w:rPr>
          <w:rFonts w:ascii="宋体" w:hAnsi="宋体" w:eastAsia="宋体" w:cs="宋体"/>
          <w:b/>
          <w:bCs/>
          <w:color w:val="auto"/>
          <w:szCs w:val="21"/>
          <w:lang w:val="zh-CN"/>
        </w:rPr>
      </w:pPr>
    </w:p>
    <w:p w14:paraId="062DFE1C">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lang w:val="zh-CN"/>
        </w:rPr>
      </w:pPr>
      <w:bookmarkStart w:id="93" w:name="_Toc173182265"/>
      <w:bookmarkStart w:id="94" w:name="_Toc23483_WPSOffice_Level3"/>
      <w:bookmarkStart w:id="95" w:name="_Toc450662856"/>
      <w:bookmarkStart w:id="96" w:name="_Toc486167670"/>
      <w:bookmarkStart w:id="97" w:name="_Toc142508320"/>
      <w:bookmarkStart w:id="98" w:name="_Toc26320"/>
      <w:bookmarkStart w:id="99" w:name="_Toc19569"/>
      <w:r>
        <w:rPr>
          <w:rFonts w:hint="eastAsia" w:ascii="宋体" w:hAnsi="宋体" w:eastAsia="宋体" w:cs="宋体"/>
          <w:color w:val="auto"/>
          <w:szCs w:val="21"/>
          <w:lang w:val="zh-CN"/>
        </w:rPr>
        <w:t>7</w:t>
      </w:r>
      <w:r>
        <w:rPr>
          <w:rFonts w:ascii="宋体" w:hAnsi="宋体" w:eastAsia="宋体" w:cs="宋体"/>
          <w:color w:val="auto"/>
          <w:szCs w:val="21"/>
          <w:lang w:val="zh-CN"/>
        </w:rPr>
        <w:t xml:space="preserve"> </w:t>
      </w:r>
      <w:r>
        <w:rPr>
          <w:rFonts w:hint="eastAsia" w:ascii="宋体" w:hAnsi="宋体" w:eastAsia="宋体" w:cs="宋体"/>
          <w:color w:val="auto"/>
          <w:szCs w:val="21"/>
          <w:lang w:val="zh-CN"/>
        </w:rPr>
        <w:t>招标文件的澄清及修改</w:t>
      </w:r>
      <w:bookmarkEnd w:id="93"/>
      <w:bookmarkEnd w:id="94"/>
      <w:bookmarkEnd w:id="95"/>
      <w:bookmarkEnd w:id="96"/>
      <w:bookmarkEnd w:id="97"/>
      <w:bookmarkEnd w:id="98"/>
      <w:bookmarkEnd w:id="99"/>
    </w:p>
    <w:p w14:paraId="4209B4A9">
      <w:pPr>
        <w:tabs>
          <w:tab w:val="left" w:pos="567"/>
        </w:tabs>
        <w:autoSpaceDE w:val="0"/>
        <w:autoSpaceDN w:val="0"/>
        <w:adjustRightInd w:val="0"/>
        <w:spacing w:line="360" w:lineRule="auto"/>
        <w:ind w:left="357" w:leftChars="-100" w:hanging="567"/>
        <w:rPr>
          <w:rFonts w:ascii="宋体" w:hAnsi="宋体" w:eastAsia="宋体" w:cs="宋体"/>
          <w:color w:val="auto"/>
          <w:szCs w:val="21"/>
          <w:lang w:val="zh-CN"/>
        </w:rPr>
      </w:pPr>
      <w:r>
        <w:rPr>
          <w:rFonts w:hint="eastAsia" w:ascii="宋体" w:hAnsi="宋体" w:eastAsia="宋体" w:cs="宋体"/>
          <w:color w:val="auto"/>
          <w:szCs w:val="21"/>
          <w:lang w:val="zh-CN"/>
        </w:rPr>
        <w:t>7.1  招标代理机构对已发出的招标文件进行必要澄清或者修改的，将在招标文件要求提交投标文件截止时间1</w:t>
      </w:r>
      <w:r>
        <w:rPr>
          <w:rFonts w:ascii="宋体" w:hAnsi="宋体" w:eastAsia="宋体" w:cs="宋体"/>
          <w:color w:val="auto"/>
          <w:szCs w:val="21"/>
          <w:lang w:val="zh-CN"/>
        </w:rPr>
        <w:t>5</w:t>
      </w:r>
      <w:r>
        <w:rPr>
          <w:rFonts w:hint="eastAsia" w:ascii="宋体" w:hAnsi="宋体" w:eastAsia="宋体" w:cs="宋体"/>
          <w:color w:val="auto"/>
          <w:szCs w:val="21"/>
          <w:lang w:val="zh-CN"/>
        </w:rPr>
        <w:t>日前，在招标信息发布媒介上发布更正公告，请各投标人密切留意。该澄清或者修改的内容为招标文件的组成部分。</w:t>
      </w:r>
    </w:p>
    <w:p w14:paraId="269604D7">
      <w:pPr>
        <w:autoSpaceDE w:val="0"/>
        <w:autoSpaceDN w:val="0"/>
        <w:adjustRightInd w:val="0"/>
        <w:spacing w:line="360" w:lineRule="auto"/>
        <w:ind w:left="357" w:leftChars="-100" w:hanging="567"/>
        <w:rPr>
          <w:rFonts w:ascii="宋体" w:hAnsi="宋体" w:eastAsia="宋体" w:cs="宋体"/>
          <w:color w:val="auto"/>
          <w:szCs w:val="21"/>
          <w:lang w:val="zh-CN"/>
        </w:rPr>
      </w:pPr>
      <w:r>
        <w:rPr>
          <w:rFonts w:hint="eastAsia" w:ascii="宋体" w:hAnsi="宋体" w:eastAsia="宋体" w:cs="宋体"/>
          <w:color w:val="auto"/>
          <w:szCs w:val="21"/>
          <w:lang w:val="zh-CN"/>
        </w:rPr>
        <w:t>7.2</w:t>
      </w:r>
      <w:r>
        <w:rPr>
          <w:rFonts w:hint="eastAsia" w:ascii="宋体" w:hAnsi="宋体" w:eastAsia="宋体" w:cs="宋体"/>
          <w:color w:val="auto"/>
          <w:szCs w:val="21"/>
          <w:lang w:val="zh-CN"/>
        </w:rPr>
        <w:tab/>
      </w:r>
      <w:r>
        <w:rPr>
          <w:rFonts w:hint="eastAsia" w:ascii="宋体" w:hAnsi="宋体" w:eastAsia="宋体" w:cs="宋体"/>
          <w:color w:val="auto"/>
          <w:szCs w:val="21"/>
          <w:lang w:val="zh-CN"/>
        </w:rPr>
        <w:t>项目特定情况下，招标代理机构必须延长投标截止时间和开标时间时，将在招标文件要求提交投标文件的截止时间前，在招标信息发布媒介上发布变更公告。</w:t>
      </w:r>
    </w:p>
    <w:p w14:paraId="4A75F496">
      <w:pPr>
        <w:autoSpaceDE w:val="0"/>
        <w:autoSpaceDN w:val="0"/>
        <w:adjustRightInd w:val="0"/>
        <w:spacing w:line="360" w:lineRule="auto"/>
        <w:ind w:left="357" w:leftChars="-100" w:hanging="567"/>
        <w:rPr>
          <w:rFonts w:ascii="宋体" w:hAnsi="宋体" w:eastAsia="宋体" w:cs="宋体"/>
          <w:color w:val="auto"/>
          <w:szCs w:val="21"/>
          <w:lang w:val="zh-CN"/>
        </w:rPr>
      </w:pPr>
      <w:r>
        <w:rPr>
          <w:rFonts w:hint="eastAsia" w:ascii="宋体" w:hAnsi="宋体" w:eastAsia="宋体" w:cs="宋体"/>
          <w:color w:val="auto"/>
          <w:szCs w:val="21"/>
          <w:lang w:val="zh-CN"/>
        </w:rPr>
        <w:t>7.3  招标文件的修改、补充通知在广东省公共资源交易平台（ygp.gdzwfw.gov.cn）、</w:t>
      </w:r>
      <w:r>
        <w:rPr>
          <w:rFonts w:ascii="宋体" w:hAnsi="宋体" w:eastAsia="宋体" w:cs="Times New Roman"/>
          <w:color w:val="auto"/>
          <w:szCs w:val="21"/>
          <w:lang w:val="zh-CN"/>
        </w:rPr>
        <w:t>中国招标投标公共服务平台</w:t>
      </w:r>
      <w:r>
        <w:rPr>
          <w:rFonts w:ascii="宋体" w:hAnsi="宋体" w:eastAsia="宋体" w:cs="Times New Roman"/>
          <w:color w:val="auto"/>
          <w:szCs w:val="21"/>
        </w:rPr>
        <w:t>（</w:t>
      </w:r>
      <w:r>
        <w:rPr>
          <w:color w:val="auto"/>
        </w:rPr>
        <w:fldChar w:fldCharType="begin"/>
      </w:r>
      <w:r>
        <w:rPr>
          <w:color w:val="auto"/>
        </w:rPr>
        <w:instrText xml:space="preserve"> HYPERLINK "http://www.cebpubservice.com）、广东省招标投标监管" </w:instrText>
      </w:r>
      <w:r>
        <w:rPr>
          <w:color w:val="auto"/>
        </w:rPr>
        <w:fldChar w:fldCharType="separate"/>
      </w:r>
      <w:r>
        <w:rPr>
          <w:rFonts w:ascii="宋体" w:hAnsi="宋体" w:eastAsia="宋体" w:cs="Times New Roman"/>
          <w:color w:val="auto"/>
          <w:szCs w:val="21"/>
        </w:rPr>
        <w:t>www.cebpubservice.com）</w:t>
      </w:r>
      <w:r>
        <w:rPr>
          <w:rFonts w:ascii="宋体" w:hAnsi="宋体" w:eastAsia="宋体" w:cs="Times New Roman"/>
          <w:color w:val="auto"/>
          <w:szCs w:val="21"/>
          <w:lang w:val="zh-CN"/>
        </w:rPr>
        <w:t>、</w:t>
      </w:r>
      <w:r>
        <w:rPr>
          <w:rFonts w:ascii="宋体" w:hAnsi="宋体" w:eastAsia="宋体" w:cs="Times New Roman"/>
          <w:color w:val="auto"/>
          <w:szCs w:val="21"/>
          <w:lang w:val="zh-CN"/>
        </w:rPr>
        <w:fldChar w:fldCharType="end"/>
      </w:r>
      <w:r>
        <w:rPr>
          <w:rFonts w:ascii="宋体" w:hAnsi="宋体" w:eastAsia="宋体" w:cs="Times New Roman"/>
          <w:color w:val="auto"/>
          <w:szCs w:val="21"/>
          <w:lang w:val="zh-CN"/>
        </w:rPr>
        <w:t>东莞市水务集团有限公司网</w:t>
      </w:r>
      <w:r>
        <w:rPr>
          <w:rFonts w:ascii="宋体" w:hAnsi="宋体" w:eastAsia="宋体" w:cs="Times New Roman"/>
          <w:color w:val="auto"/>
          <w:szCs w:val="21"/>
        </w:rPr>
        <w:t>（</w:t>
      </w:r>
      <w:r>
        <w:rPr>
          <w:color w:val="auto"/>
        </w:rPr>
        <w:fldChar w:fldCharType="begin"/>
      </w:r>
      <w:r>
        <w:rPr>
          <w:color w:val="auto"/>
        </w:rPr>
        <w:instrText xml:space="preserve"> HYPERLINK "file:///G:\\公司备份\\东莞市石鼓污水处理有限公司污水处理厂生产运营管理平台建设项目调度指挥中心设备设施采购项目\\www.dgswjt.cn）、招标代理公司网站（http:\\%20%20%20%20%20%20%20%20%20%20%20%20%20%20）" </w:instrText>
      </w:r>
      <w:r>
        <w:rPr>
          <w:color w:val="auto"/>
        </w:rPr>
        <w:fldChar w:fldCharType="separate"/>
      </w:r>
      <w:r>
        <w:rPr>
          <w:rFonts w:ascii="宋体" w:hAnsi="宋体" w:eastAsia="宋体" w:cs="Times New Roman"/>
          <w:color w:val="auto"/>
          <w:szCs w:val="21"/>
        </w:rPr>
        <w:t>www.dgswjt.cn）</w:t>
      </w:r>
      <w:r>
        <w:rPr>
          <w:rFonts w:ascii="宋体" w:hAnsi="宋体" w:eastAsia="宋体" w:cs="Times New Roman"/>
          <w:color w:val="auto"/>
          <w:szCs w:val="21"/>
          <w:lang w:val="zh-CN"/>
        </w:rPr>
        <w:t>、</w:t>
      </w:r>
      <w:r>
        <w:rPr>
          <w:rFonts w:hint="eastAsia" w:ascii="宋体" w:hAnsi="宋体" w:eastAsia="宋体" w:cs="Times New Roman"/>
          <w:bCs/>
          <w:color w:val="auto"/>
          <w:kern w:val="0"/>
          <w:szCs w:val="21"/>
        </w:rPr>
        <w:t>招标代理机构网站（</w:t>
      </w:r>
      <w:r>
        <w:rPr>
          <w:rFonts w:hint="eastAsia" w:ascii="宋体" w:hAnsi="宋体" w:eastAsia="宋体" w:cs="宋体"/>
          <w:bCs/>
          <w:color w:val="auto"/>
          <w:szCs w:val="21"/>
        </w:rPr>
        <w:t>www.dashengtd.com</w:t>
      </w:r>
      <w:r>
        <w:rPr>
          <w:rFonts w:ascii="宋体" w:hAnsi="宋体" w:eastAsia="宋体" w:cs="Times New Roman"/>
          <w:bCs/>
          <w:color w:val="auto"/>
          <w:kern w:val="0"/>
          <w:szCs w:val="21"/>
        </w:rPr>
        <w:t>）</w:t>
      </w:r>
      <w:r>
        <w:rPr>
          <w:rFonts w:ascii="宋体" w:hAnsi="宋体" w:eastAsia="宋体" w:cs="Times New Roman"/>
          <w:bCs/>
          <w:color w:val="auto"/>
          <w:kern w:val="0"/>
          <w:szCs w:val="21"/>
        </w:rPr>
        <w:fldChar w:fldCharType="end"/>
      </w:r>
      <w:r>
        <w:rPr>
          <w:rFonts w:hint="eastAsia" w:ascii="宋体" w:hAnsi="宋体" w:eastAsia="宋体" w:cs="宋体"/>
          <w:color w:val="auto"/>
          <w:szCs w:val="21"/>
          <w:lang w:val="zh-CN"/>
        </w:rPr>
        <w:t>公布，请各投标人密切留意。</w:t>
      </w:r>
    </w:p>
    <w:p w14:paraId="6F867487">
      <w:pPr>
        <w:autoSpaceDE w:val="0"/>
        <w:autoSpaceDN w:val="0"/>
        <w:adjustRightInd w:val="0"/>
        <w:spacing w:line="360" w:lineRule="auto"/>
        <w:ind w:left="357" w:leftChars="-100" w:hanging="567"/>
        <w:rPr>
          <w:rFonts w:ascii="宋体" w:hAnsi="宋体" w:eastAsia="宋体" w:cs="宋体"/>
          <w:color w:val="auto"/>
          <w:szCs w:val="21"/>
        </w:rPr>
      </w:pPr>
    </w:p>
    <w:p w14:paraId="500DBDAC">
      <w:pPr>
        <w:keepNext/>
        <w:keepLines/>
        <w:tabs>
          <w:tab w:val="left" w:pos="509"/>
        </w:tabs>
        <w:autoSpaceDE w:val="0"/>
        <w:autoSpaceDN w:val="0"/>
        <w:adjustRightInd w:val="0"/>
        <w:spacing w:line="360" w:lineRule="auto"/>
        <w:jc w:val="left"/>
        <w:outlineLvl w:val="0"/>
        <w:rPr>
          <w:rFonts w:ascii="宋体" w:hAnsi="宋体" w:eastAsia="宋体" w:cs="宋体"/>
          <w:b/>
          <w:bCs/>
          <w:color w:val="auto"/>
          <w:kern w:val="44"/>
          <w:szCs w:val="21"/>
          <w:lang w:val="zh-CN"/>
        </w:rPr>
      </w:pPr>
      <w:bookmarkStart w:id="100" w:name="_Toc29659_WPSOffice_Level2"/>
      <w:bookmarkStart w:id="101" w:name="_Toc173182266"/>
      <w:bookmarkStart w:id="102" w:name="_Toc486167671"/>
      <w:bookmarkStart w:id="103" w:name="_Toc140596880"/>
      <w:bookmarkStart w:id="104" w:name="_Toc142508321"/>
      <w:bookmarkStart w:id="105" w:name="_Toc6039"/>
      <w:bookmarkStart w:id="106" w:name="_Toc450662857"/>
      <w:bookmarkStart w:id="107" w:name="_Toc30300"/>
      <w:r>
        <w:rPr>
          <w:rFonts w:hint="eastAsia" w:ascii="宋体" w:hAnsi="宋体" w:eastAsia="宋体" w:cs="宋体"/>
          <w:b/>
          <w:bCs/>
          <w:color w:val="auto"/>
          <w:kern w:val="44"/>
          <w:szCs w:val="21"/>
          <w:lang w:val="zh-CN"/>
        </w:rPr>
        <w:t>三、投标文件的编制</w:t>
      </w:r>
      <w:bookmarkEnd w:id="100"/>
      <w:bookmarkEnd w:id="101"/>
      <w:bookmarkEnd w:id="102"/>
      <w:bookmarkEnd w:id="103"/>
      <w:bookmarkEnd w:id="104"/>
      <w:bookmarkEnd w:id="105"/>
      <w:bookmarkEnd w:id="106"/>
      <w:bookmarkEnd w:id="107"/>
    </w:p>
    <w:p w14:paraId="3A74EB2A">
      <w:pPr>
        <w:tabs>
          <w:tab w:val="left" w:pos="675"/>
        </w:tabs>
        <w:autoSpaceDE w:val="0"/>
        <w:autoSpaceDN w:val="0"/>
        <w:adjustRightInd w:val="0"/>
        <w:spacing w:line="360" w:lineRule="auto"/>
        <w:ind w:left="357" w:leftChars="-100" w:hanging="567"/>
        <w:jc w:val="left"/>
        <w:outlineLvl w:val="2"/>
        <w:rPr>
          <w:rFonts w:ascii="宋体" w:hAnsi="宋体" w:eastAsia="宋体" w:cs="宋体"/>
          <w:color w:val="auto"/>
          <w:szCs w:val="21"/>
          <w:lang w:val="zh-CN"/>
        </w:rPr>
      </w:pPr>
      <w:bookmarkStart w:id="108" w:name="_Toc486167672"/>
      <w:bookmarkStart w:id="109" w:name="_Toc173182267"/>
      <w:bookmarkStart w:id="110" w:name="_Toc142508322"/>
      <w:bookmarkStart w:id="111" w:name="_Toc10015_WPSOffice_Level3"/>
      <w:bookmarkStart w:id="112" w:name="_Toc450662858"/>
      <w:bookmarkStart w:id="113" w:name="_Toc25773"/>
      <w:bookmarkStart w:id="114" w:name="_Toc14722"/>
      <w:r>
        <w:rPr>
          <w:rFonts w:hint="eastAsia" w:ascii="宋体" w:hAnsi="宋体" w:eastAsia="宋体" w:cs="宋体"/>
          <w:color w:val="auto"/>
          <w:szCs w:val="21"/>
          <w:lang w:val="zh-CN"/>
        </w:rPr>
        <w:t>8</w:t>
      </w:r>
      <w:r>
        <w:rPr>
          <w:rFonts w:ascii="宋体" w:hAnsi="宋体" w:eastAsia="宋体" w:cs="宋体"/>
          <w:color w:val="auto"/>
          <w:szCs w:val="21"/>
          <w:lang w:val="zh-CN"/>
        </w:rPr>
        <w:t xml:space="preserve"> </w:t>
      </w:r>
      <w:r>
        <w:rPr>
          <w:rFonts w:hint="eastAsia" w:ascii="宋体" w:hAnsi="宋体" w:eastAsia="宋体" w:cs="宋体"/>
          <w:color w:val="auto"/>
          <w:szCs w:val="21"/>
          <w:lang w:val="zh-CN"/>
        </w:rPr>
        <w:t>投标使用的文字及度量衡单位</w:t>
      </w:r>
      <w:bookmarkEnd w:id="108"/>
      <w:bookmarkEnd w:id="109"/>
      <w:bookmarkEnd w:id="110"/>
      <w:bookmarkEnd w:id="111"/>
      <w:bookmarkEnd w:id="112"/>
      <w:bookmarkEnd w:id="113"/>
      <w:bookmarkEnd w:id="114"/>
    </w:p>
    <w:p w14:paraId="6E597E8A">
      <w:pPr>
        <w:tabs>
          <w:tab w:val="left" w:pos="567"/>
        </w:tabs>
        <w:autoSpaceDE w:val="0"/>
        <w:autoSpaceDN w:val="0"/>
        <w:adjustRightInd w:val="0"/>
        <w:spacing w:line="360" w:lineRule="auto"/>
        <w:ind w:left="357" w:leftChars="-100" w:hanging="567"/>
        <w:rPr>
          <w:rFonts w:ascii="宋体" w:hAnsi="宋体" w:eastAsia="宋体" w:cs="宋体"/>
          <w:color w:val="auto"/>
          <w:szCs w:val="21"/>
          <w:lang w:val="zh-CN"/>
        </w:rPr>
      </w:pPr>
      <w:r>
        <w:rPr>
          <w:rFonts w:hint="eastAsia" w:ascii="宋体" w:hAnsi="宋体" w:eastAsia="宋体" w:cs="宋体"/>
          <w:color w:val="auto"/>
          <w:szCs w:val="21"/>
          <w:lang w:val="zh-CN"/>
        </w:rPr>
        <w:t>8.1  投标人的投标文件以及投标人与招标代理机构就有关投标的所有往来函电均应使用简体中文。</w:t>
      </w:r>
    </w:p>
    <w:p w14:paraId="6A1AEEF1">
      <w:pPr>
        <w:tabs>
          <w:tab w:val="left" w:pos="567"/>
        </w:tabs>
        <w:autoSpaceDE w:val="0"/>
        <w:autoSpaceDN w:val="0"/>
        <w:adjustRightInd w:val="0"/>
        <w:spacing w:line="360" w:lineRule="auto"/>
        <w:ind w:left="357" w:leftChars="-100" w:hanging="567"/>
        <w:rPr>
          <w:rFonts w:ascii="宋体" w:hAnsi="宋体" w:eastAsia="宋体" w:cs="宋体"/>
          <w:color w:val="auto"/>
          <w:szCs w:val="21"/>
          <w:lang w:val="zh-CN"/>
        </w:rPr>
      </w:pPr>
      <w:r>
        <w:rPr>
          <w:rFonts w:hint="eastAsia" w:ascii="宋体" w:hAnsi="宋体" w:eastAsia="宋体" w:cs="宋体"/>
          <w:color w:val="auto"/>
          <w:szCs w:val="21"/>
          <w:lang w:val="zh-CN"/>
        </w:rPr>
        <w:t>8.2  投标文件使用的度量衡单位采用中华人民共和国法定计量单位。</w:t>
      </w:r>
    </w:p>
    <w:p w14:paraId="21996AF9">
      <w:pPr>
        <w:autoSpaceDE w:val="0"/>
        <w:autoSpaceDN w:val="0"/>
        <w:adjustRightInd w:val="0"/>
        <w:spacing w:line="360" w:lineRule="auto"/>
        <w:rPr>
          <w:rFonts w:ascii="宋体" w:hAnsi="宋体" w:eastAsia="宋体" w:cs="宋体"/>
          <w:color w:val="auto"/>
          <w:szCs w:val="21"/>
          <w:lang w:val="zh-CN"/>
        </w:rPr>
      </w:pPr>
    </w:p>
    <w:p w14:paraId="73761FF3">
      <w:pPr>
        <w:tabs>
          <w:tab w:val="left" w:pos="540"/>
        </w:tabs>
        <w:autoSpaceDE w:val="0"/>
        <w:autoSpaceDN w:val="0"/>
        <w:adjustRightInd w:val="0"/>
        <w:spacing w:line="360" w:lineRule="auto"/>
        <w:ind w:left="357" w:leftChars="-100" w:hanging="567"/>
        <w:jc w:val="left"/>
        <w:outlineLvl w:val="2"/>
        <w:rPr>
          <w:rFonts w:ascii="宋体" w:hAnsi="宋体" w:eastAsia="宋体" w:cs="宋体"/>
          <w:color w:val="auto"/>
          <w:sz w:val="24"/>
          <w:szCs w:val="24"/>
          <w:lang w:val="zh-CN"/>
        </w:rPr>
      </w:pPr>
      <w:bookmarkStart w:id="115" w:name="_Toc1879"/>
      <w:bookmarkStart w:id="116" w:name="_Toc450662859"/>
      <w:bookmarkStart w:id="117" w:name="_Toc24916_WPSOffice_Level3"/>
      <w:bookmarkStart w:id="118" w:name="_Toc486167673"/>
      <w:bookmarkStart w:id="119" w:name="_Toc173182268"/>
      <w:bookmarkStart w:id="120" w:name="_Toc142508323"/>
      <w:bookmarkStart w:id="121" w:name="_Toc21774"/>
      <w:r>
        <w:rPr>
          <w:rFonts w:hint="eastAsia" w:ascii="宋体" w:hAnsi="宋体" w:eastAsia="宋体" w:cs="宋体"/>
          <w:color w:val="auto"/>
          <w:szCs w:val="21"/>
          <w:lang w:val="zh-CN"/>
        </w:rPr>
        <w:t>9</w:t>
      </w:r>
      <w:r>
        <w:rPr>
          <w:rFonts w:ascii="宋体" w:hAnsi="宋体" w:eastAsia="宋体" w:cs="宋体"/>
          <w:color w:val="auto"/>
          <w:sz w:val="24"/>
          <w:szCs w:val="24"/>
          <w:lang w:val="zh-CN"/>
        </w:rPr>
        <w:t xml:space="preserve"> </w:t>
      </w:r>
      <w:r>
        <w:rPr>
          <w:rFonts w:hint="eastAsia" w:ascii="宋体" w:hAnsi="宋体" w:eastAsia="宋体" w:cs="宋体"/>
          <w:color w:val="auto"/>
          <w:szCs w:val="21"/>
          <w:lang w:val="zh-CN"/>
        </w:rPr>
        <w:t>投标文件的组成</w:t>
      </w:r>
      <w:bookmarkEnd w:id="115"/>
      <w:bookmarkEnd w:id="116"/>
      <w:bookmarkEnd w:id="117"/>
      <w:bookmarkEnd w:id="118"/>
      <w:bookmarkEnd w:id="119"/>
      <w:bookmarkEnd w:id="120"/>
      <w:bookmarkEnd w:id="121"/>
    </w:p>
    <w:p w14:paraId="15F160F6">
      <w:pPr>
        <w:autoSpaceDE w:val="0"/>
        <w:autoSpaceDN w:val="0"/>
        <w:adjustRightInd w:val="0"/>
        <w:spacing w:line="360" w:lineRule="auto"/>
        <w:ind w:left="422" w:leftChars="-100" w:hanging="632" w:hangingChars="300"/>
        <w:rPr>
          <w:rFonts w:ascii="宋体" w:hAnsi="宋体" w:eastAsia="宋体" w:cs="Times New Roman"/>
          <w:b/>
          <w:color w:val="auto"/>
          <w:kern w:val="0"/>
          <w:szCs w:val="21"/>
        </w:rPr>
      </w:pPr>
      <w:r>
        <w:rPr>
          <w:rFonts w:hint="eastAsia" w:ascii="宋体" w:hAnsi="宋体" w:eastAsia="宋体" w:cs="宋体"/>
          <w:b/>
          <w:color w:val="auto"/>
          <w:kern w:val="0"/>
          <w:szCs w:val="24"/>
        </w:rPr>
        <w:t xml:space="preserve">9.1  </w:t>
      </w:r>
      <w:r>
        <w:rPr>
          <w:rFonts w:hint="eastAsia" w:ascii="宋体" w:hAnsi="宋体" w:eastAsia="宋体" w:cs="宋体"/>
          <w:color w:val="auto"/>
          <w:kern w:val="0"/>
          <w:szCs w:val="24"/>
        </w:rPr>
        <w:t>投标文件的组成：</w:t>
      </w:r>
      <w:r>
        <w:rPr>
          <w:rFonts w:hint="eastAsia" w:ascii="宋体" w:hAnsi="宋体" w:eastAsia="宋体" w:cs="Times New Roman"/>
          <w:b/>
          <w:color w:val="auto"/>
          <w:kern w:val="0"/>
          <w:szCs w:val="21"/>
          <w:u w:val="single"/>
        </w:rPr>
        <w:t>商务文件、技术文件由投标人根据各自文件的实际情况决定是否分册装订，招标文件不做限制</w:t>
      </w:r>
      <w:r>
        <w:rPr>
          <w:rFonts w:hint="eastAsia" w:ascii="宋体" w:hAnsi="宋体" w:eastAsia="宋体" w:cs="Times New Roman"/>
          <w:b/>
          <w:color w:val="auto"/>
          <w:kern w:val="0"/>
          <w:szCs w:val="21"/>
        </w:rPr>
        <w:t>。</w:t>
      </w:r>
    </w:p>
    <w:p w14:paraId="32107FF7">
      <w:pPr>
        <w:autoSpaceDE w:val="0"/>
        <w:autoSpaceDN w:val="0"/>
        <w:adjustRightInd w:val="0"/>
        <w:spacing w:line="360" w:lineRule="auto"/>
        <w:ind w:left="422" w:leftChars="-100" w:hanging="632" w:hangingChars="300"/>
        <w:rPr>
          <w:rFonts w:ascii="宋体" w:hAnsi="宋体" w:eastAsia="宋体" w:cs="Times New Roman"/>
          <w:b/>
          <w:color w:val="auto"/>
          <w:kern w:val="0"/>
          <w:szCs w:val="21"/>
        </w:rPr>
      </w:pPr>
      <w:r>
        <w:rPr>
          <w:rFonts w:hint="eastAsia" w:ascii="宋体" w:hAnsi="宋体" w:eastAsia="宋体" w:cs="宋体"/>
          <w:b/>
          <w:color w:val="auto"/>
          <w:kern w:val="0"/>
          <w:szCs w:val="24"/>
        </w:rPr>
        <w:t>9.1.1 商务文件：</w:t>
      </w:r>
    </w:p>
    <w:p w14:paraId="69281FEF">
      <w:pPr>
        <w:autoSpaceDE w:val="0"/>
        <w:autoSpaceDN w:val="0"/>
        <w:adjustRightInd w:val="0"/>
        <w:spacing w:line="360" w:lineRule="auto"/>
        <w:jc w:val="left"/>
        <w:rPr>
          <w:rFonts w:ascii="宋体" w:hAnsi="宋体" w:eastAsia="宋体" w:cs="Times New Roman"/>
          <w:b/>
          <w:color w:val="auto"/>
          <w:kern w:val="0"/>
          <w:szCs w:val="21"/>
          <w:lang w:val="zh-CN"/>
        </w:rPr>
      </w:pPr>
      <w:r>
        <w:rPr>
          <w:rFonts w:hint="eastAsia" w:ascii="宋体" w:hAnsi="宋体" w:eastAsia="宋体" w:cs="Times New Roman"/>
          <w:color w:val="auto"/>
          <w:kern w:val="0"/>
          <w:sz w:val="24"/>
          <w:szCs w:val="24"/>
          <w:lang w:val="zh-CN"/>
        </w:rPr>
        <w:t xml:space="preserve">  </w:t>
      </w:r>
      <w:r>
        <w:rPr>
          <w:rFonts w:ascii="宋体" w:hAnsi="宋体" w:eastAsia="宋体" w:cs="Times New Roman"/>
          <w:color w:val="auto"/>
          <w:kern w:val="0"/>
          <w:sz w:val="24"/>
          <w:szCs w:val="24"/>
          <w:lang w:val="zh-CN"/>
        </w:rPr>
        <w:t xml:space="preserve"> </w:t>
      </w:r>
      <w:r>
        <w:rPr>
          <w:rFonts w:hint="eastAsia" w:ascii="宋体" w:hAnsi="宋体" w:eastAsia="宋体" w:cs="Times New Roman"/>
          <w:b/>
          <w:color w:val="auto"/>
          <w:kern w:val="0"/>
          <w:szCs w:val="21"/>
          <w:lang w:val="zh-CN"/>
        </w:rPr>
        <w:t>目录：</w:t>
      </w:r>
    </w:p>
    <w:p w14:paraId="23A60567">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lang w:val="zh-CN"/>
        </w:rPr>
      </w:pPr>
      <w:r>
        <w:rPr>
          <w:rFonts w:hint="eastAsia" w:ascii="宋体" w:hAnsi="宋体" w:eastAsia="宋体" w:cs="宋体"/>
          <w:color w:val="auto"/>
          <w:szCs w:val="21"/>
          <w:lang w:val="zh-CN"/>
        </w:rPr>
        <w:t>（1）投标函；</w:t>
      </w:r>
    </w:p>
    <w:p w14:paraId="58FDBC18">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lang w:val="zh-CN"/>
        </w:rPr>
      </w:pPr>
      <w:r>
        <w:rPr>
          <w:rFonts w:hint="eastAsia" w:ascii="宋体" w:hAnsi="宋体" w:eastAsia="宋体" w:cs="宋体"/>
          <w:color w:val="auto"/>
          <w:szCs w:val="21"/>
          <w:lang w:val="zh-CN"/>
        </w:rPr>
        <w:t>（2）投标承诺书；</w:t>
      </w:r>
    </w:p>
    <w:p w14:paraId="51DE0749">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lang w:val="zh-CN"/>
        </w:rPr>
      </w:pPr>
      <w:r>
        <w:rPr>
          <w:rFonts w:hint="eastAsia" w:ascii="宋体" w:hAnsi="宋体" w:eastAsia="宋体" w:cs="宋体"/>
          <w:color w:val="auto"/>
          <w:szCs w:val="21"/>
          <w:lang w:val="zh-CN"/>
        </w:rPr>
        <w:t>（</w:t>
      </w:r>
      <w:r>
        <w:rPr>
          <w:rFonts w:ascii="宋体" w:hAnsi="宋体" w:eastAsia="宋体" w:cs="宋体"/>
          <w:color w:val="auto"/>
          <w:szCs w:val="21"/>
          <w:lang w:val="zh-CN"/>
        </w:rPr>
        <w:t>3</w:t>
      </w:r>
      <w:r>
        <w:rPr>
          <w:rFonts w:hint="eastAsia" w:ascii="宋体" w:hAnsi="宋体" w:eastAsia="宋体" w:cs="宋体"/>
          <w:color w:val="auto"/>
          <w:szCs w:val="21"/>
          <w:lang w:val="zh-CN"/>
        </w:rPr>
        <w:t>）供货及/或提供服务过程承诺函；</w:t>
      </w:r>
    </w:p>
    <w:p w14:paraId="5D33EC54">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lang w:val="zh-CN"/>
        </w:rPr>
      </w:pPr>
      <w:r>
        <w:rPr>
          <w:rFonts w:hint="eastAsia" w:ascii="宋体" w:hAnsi="宋体" w:eastAsia="宋体" w:cs="宋体"/>
          <w:color w:val="auto"/>
          <w:szCs w:val="21"/>
          <w:lang w:val="zh-CN"/>
        </w:rPr>
        <w:t>（</w:t>
      </w:r>
      <w:r>
        <w:rPr>
          <w:rFonts w:hint="eastAsia" w:ascii="宋体" w:hAnsi="宋体" w:eastAsia="宋体" w:cs="宋体"/>
          <w:color w:val="auto"/>
          <w:szCs w:val="21"/>
        </w:rPr>
        <w:t>4</w:t>
      </w:r>
      <w:r>
        <w:rPr>
          <w:rFonts w:hint="eastAsia" w:ascii="宋体" w:hAnsi="宋体" w:eastAsia="宋体" w:cs="宋体"/>
          <w:color w:val="auto"/>
          <w:szCs w:val="21"/>
          <w:lang w:val="zh-CN"/>
        </w:rPr>
        <w:t>）投标报价表；</w:t>
      </w:r>
    </w:p>
    <w:p w14:paraId="51440C51">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lang w:val="zh-CN"/>
        </w:rPr>
      </w:pPr>
      <w:r>
        <w:rPr>
          <w:rFonts w:hint="eastAsia" w:ascii="宋体" w:hAnsi="宋体" w:eastAsia="宋体" w:cs="宋体"/>
          <w:color w:val="auto"/>
          <w:szCs w:val="21"/>
          <w:lang w:val="zh-CN"/>
        </w:rPr>
        <w:t>（</w:t>
      </w:r>
      <w:r>
        <w:rPr>
          <w:rFonts w:hint="eastAsia" w:ascii="宋体" w:hAnsi="宋体" w:eastAsia="宋体" w:cs="宋体"/>
          <w:color w:val="auto"/>
          <w:szCs w:val="21"/>
        </w:rPr>
        <w:t>5</w:t>
      </w:r>
      <w:r>
        <w:rPr>
          <w:rFonts w:hint="eastAsia" w:ascii="宋体" w:hAnsi="宋体" w:eastAsia="宋体" w:cs="宋体"/>
          <w:color w:val="auto"/>
          <w:szCs w:val="21"/>
          <w:lang w:val="zh-CN"/>
        </w:rPr>
        <w:t>）投标人资格证明文件：</w:t>
      </w:r>
    </w:p>
    <w:p w14:paraId="71438078">
      <w:pPr>
        <w:autoSpaceDE w:val="0"/>
        <w:autoSpaceDN w:val="0"/>
        <w:adjustRightInd w:val="0"/>
        <w:spacing w:line="360" w:lineRule="auto"/>
        <w:ind w:left="283" w:hanging="283" w:hangingChars="135"/>
        <w:rPr>
          <w:rFonts w:ascii="宋体" w:hAnsi="宋体" w:eastAsia="宋体" w:cs="Times New Roman"/>
          <w:color w:val="auto"/>
          <w:szCs w:val="21"/>
          <w:lang w:val="zh-CN"/>
        </w:rPr>
      </w:pPr>
      <w:r>
        <w:rPr>
          <w:rFonts w:ascii="宋体" w:hAnsi="宋体" w:eastAsia="宋体" w:cs="Times New Roman"/>
          <w:color w:val="auto"/>
          <w:szCs w:val="21"/>
          <w:lang w:val="zh-CN"/>
        </w:rPr>
        <w:t>1）多证合一营业执照</w:t>
      </w:r>
      <w:r>
        <w:rPr>
          <w:rFonts w:hint="eastAsia" w:ascii="宋体" w:hAnsi="宋体" w:eastAsia="宋体" w:cs="Times New Roman"/>
          <w:color w:val="auto"/>
          <w:kern w:val="0"/>
          <w:szCs w:val="21"/>
        </w:rPr>
        <w:t>（或事业单位法人证书）</w:t>
      </w:r>
      <w:r>
        <w:rPr>
          <w:rFonts w:ascii="宋体" w:hAnsi="宋体" w:eastAsia="宋体" w:cs="Times New Roman"/>
          <w:color w:val="auto"/>
          <w:szCs w:val="21"/>
          <w:lang w:val="zh-CN"/>
        </w:rPr>
        <w:t>复印件；</w:t>
      </w:r>
    </w:p>
    <w:p w14:paraId="6267EFC2">
      <w:pPr>
        <w:autoSpaceDE w:val="0"/>
        <w:autoSpaceDN w:val="0"/>
        <w:adjustRightInd w:val="0"/>
        <w:spacing w:line="360" w:lineRule="auto"/>
        <w:ind w:left="283" w:hanging="283" w:hangingChars="135"/>
        <w:rPr>
          <w:rFonts w:ascii="宋体" w:hAnsi="宋体" w:eastAsia="宋体" w:cs="Times New Roman"/>
          <w:color w:val="auto"/>
          <w:szCs w:val="21"/>
          <w:lang w:val="zh-CN"/>
        </w:rPr>
      </w:pPr>
      <w:r>
        <w:rPr>
          <w:rFonts w:hint="eastAsia" w:ascii="宋体" w:hAnsi="宋体" w:eastAsia="宋体" w:cs="Times New Roman"/>
          <w:color w:val="auto"/>
          <w:szCs w:val="21"/>
        </w:rPr>
        <w:t>2</w:t>
      </w:r>
      <w:r>
        <w:rPr>
          <w:rFonts w:hint="eastAsia" w:ascii="宋体" w:hAnsi="宋体" w:eastAsia="宋体" w:cs="Times New Roman"/>
          <w:color w:val="auto"/>
          <w:szCs w:val="21"/>
          <w:lang w:val="zh-CN"/>
        </w:rPr>
        <w:t>）</w:t>
      </w:r>
      <w:r>
        <w:rPr>
          <w:rFonts w:ascii="宋体" w:hAnsi="宋体" w:eastAsia="宋体" w:cs="Times New Roman"/>
          <w:color w:val="auto"/>
          <w:szCs w:val="21"/>
          <w:lang w:val="zh-CN"/>
        </w:rPr>
        <w:t>开户许可证复印件（基本存款账户）</w:t>
      </w:r>
      <w:r>
        <w:rPr>
          <w:rFonts w:hint="eastAsia" w:ascii="宋体" w:hAnsi="宋体" w:eastAsia="宋体" w:cs="Times New Roman"/>
          <w:color w:val="auto"/>
          <w:szCs w:val="21"/>
          <w:lang w:val="zh-CN"/>
        </w:rPr>
        <w:t>，如投标人企业银行账户开户所在地区已取消企业银行账户许可，投标人应提供基本存款账户开户名称、开户银行、账号、编号等信息及相关备案证明（如有）或其他能证明其为基本存款账户的资料复印件</w:t>
      </w:r>
      <w:r>
        <w:rPr>
          <w:rFonts w:ascii="宋体" w:hAnsi="宋体" w:eastAsia="宋体" w:cs="Times New Roman"/>
          <w:color w:val="auto"/>
          <w:szCs w:val="21"/>
          <w:lang w:val="zh-CN"/>
        </w:rPr>
        <w:t>；</w:t>
      </w:r>
    </w:p>
    <w:p w14:paraId="5AE26497">
      <w:pPr>
        <w:autoSpaceDE w:val="0"/>
        <w:autoSpaceDN w:val="0"/>
        <w:adjustRightInd w:val="0"/>
        <w:spacing w:line="360" w:lineRule="auto"/>
        <w:ind w:left="218" w:hanging="218" w:hangingChars="104"/>
        <w:rPr>
          <w:rFonts w:ascii="宋体" w:hAnsi="宋体" w:eastAsia="宋体" w:cs="Times New Roman"/>
          <w:color w:val="auto"/>
          <w:szCs w:val="21"/>
          <w:lang w:val="zh-CN"/>
        </w:rPr>
      </w:pPr>
      <w:r>
        <w:rPr>
          <w:rFonts w:ascii="宋体" w:hAnsi="宋体" w:eastAsia="宋体" w:cs="Times New Roman"/>
          <w:color w:val="auto"/>
          <w:szCs w:val="21"/>
        </w:rPr>
        <w:t>3</w:t>
      </w:r>
      <w:r>
        <w:rPr>
          <w:rFonts w:hint="eastAsia" w:ascii="宋体" w:hAnsi="宋体" w:eastAsia="宋体" w:cs="Times New Roman"/>
          <w:color w:val="auto"/>
          <w:szCs w:val="21"/>
        </w:rPr>
        <w:t>）</w:t>
      </w:r>
      <w:r>
        <w:rPr>
          <w:rFonts w:ascii="宋体" w:hAnsi="宋体" w:eastAsia="宋体" w:cs="Times New Roman"/>
          <w:color w:val="auto"/>
          <w:szCs w:val="21"/>
          <w:lang w:val="zh-CN"/>
        </w:rPr>
        <w:t>法定代表人身份证明书和法定代表人授权书原件（法定代表人投标时只提供法定代表人身份证明书，委托</w:t>
      </w:r>
      <w:r>
        <w:rPr>
          <w:rFonts w:ascii="宋体" w:hAnsi="宋体" w:eastAsia="宋体" w:cs="Times New Roman"/>
          <w:color w:val="auto"/>
          <w:szCs w:val="21"/>
        </w:rPr>
        <w:t>他人</w:t>
      </w:r>
      <w:r>
        <w:rPr>
          <w:rFonts w:ascii="宋体" w:hAnsi="宋体" w:eastAsia="宋体" w:cs="Times New Roman"/>
          <w:color w:val="auto"/>
          <w:szCs w:val="21"/>
          <w:lang w:val="zh-CN"/>
        </w:rPr>
        <w:t>为投标代表时同时提供法定代表人授权书）；</w:t>
      </w:r>
    </w:p>
    <w:p w14:paraId="4435D30C">
      <w:pPr>
        <w:tabs>
          <w:tab w:val="left" w:pos="1276"/>
        </w:tabs>
        <w:spacing w:line="360" w:lineRule="auto"/>
        <w:ind w:left="283" w:hanging="283" w:hangingChars="135"/>
        <w:rPr>
          <w:rFonts w:ascii="宋体" w:hAnsi="宋体" w:eastAsia="宋体" w:cs="宋体"/>
          <w:color w:val="auto"/>
          <w:szCs w:val="21"/>
        </w:rPr>
      </w:pPr>
      <w:r>
        <w:rPr>
          <w:rFonts w:hint="eastAsia" w:ascii="宋体" w:hAnsi="宋体" w:eastAsia="宋体" w:cs="宋体"/>
          <w:color w:val="auto"/>
          <w:szCs w:val="21"/>
        </w:rPr>
        <w:t>4）</w:t>
      </w:r>
      <w:r>
        <w:rPr>
          <w:rFonts w:hint="eastAsia" w:ascii="宋体" w:hAnsi="宋体" w:eastAsia="宋体" w:cs="Times New Roman"/>
          <w:color w:val="auto"/>
          <w:szCs w:val="21"/>
        </w:rPr>
        <w:t>资格业绩</w:t>
      </w:r>
      <w:r>
        <w:rPr>
          <w:rFonts w:hint="eastAsia" w:ascii="宋体" w:hAnsi="宋体" w:eastAsia="宋体" w:cs="Times New Roman"/>
          <w:b/>
          <w:bCs/>
          <w:color w:val="auto"/>
          <w:szCs w:val="21"/>
        </w:rPr>
        <w:t>（投标人提供一份2021年1月1日以来承接的安全物资或劳保物资在国内的销售业绩，资格业绩证明材料提交要求详见招标文件第六篇投标文件格式</w:t>
      </w:r>
      <w:r>
        <w:rPr>
          <w:rFonts w:hint="eastAsia" w:ascii="宋体" w:hAnsi="宋体" w:eastAsia="宋体" w:cs="Times New Roman"/>
          <w:b/>
          <w:bCs/>
          <w:color w:val="auto"/>
          <w:szCs w:val="21"/>
          <w:u w:val="single"/>
        </w:rPr>
        <w:t>5.5</w:t>
      </w:r>
      <w:r>
        <w:rPr>
          <w:rFonts w:hint="eastAsia" w:ascii="宋体" w:hAnsi="宋体" w:eastAsia="宋体" w:cs="Times New Roman"/>
          <w:b/>
          <w:bCs/>
          <w:color w:val="auto"/>
          <w:szCs w:val="21"/>
        </w:rPr>
        <w:t>）</w:t>
      </w:r>
      <w:r>
        <w:rPr>
          <w:rFonts w:hint="eastAsia" w:ascii="宋体" w:hAnsi="宋体" w:eastAsia="宋体" w:cs="Times New Roman"/>
          <w:color w:val="auto"/>
          <w:szCs w:val="21"/>
        </w:rPr>
        <w:t>；</w:t>
      </w:r>
    </w:p>
    <w:p w14:paraId="0BF5C6B4">
      <w:pPr>
        <w:autoSpaceDE w:val="0"/>
        <w:autoSpaceDN w:val="0"/>
        <w:adjustRightInd w:val="0"/>
        <w:spacing w:line="360" w:lineRule="auto"/>
        <w:ind w:left="913" w:hanging="913" w:hangingChars="435"/>
        <w:rPr>
          <w:rFonts w:ascii="宋体" w:hAnsi="宋体" w:eastAsia="宋体" w:cs="宋体"/>
          <w:color w:val="auto"/>
          <w:szCs w:val="21"/>
          <w:lang w:val="zh-CN"/>
        </w:rPr>
      </w:pPr>
      <w:r>
        <w:rPr>
          <w:rFonts w:hint="eastAsia" w:ascii="宋体" w:hAnsi="宋体" w:eastAsia="宋体" w:cs="宋体"/>
          <w:color w:val="auto"/>
          <w:szCs w:val="21"/>
        </w:rPr>
        <w:t>5）</w:t>
      </w:r>
      <w:r>
        <w:rPr>
          <w:rFonts w:hint="eastAsia" w:ascii="宋体" w:hAnsi="宋体" w:eastAsia="宋体" w:cs="宋体"/>
          <w:color w:val="auto"/>
          <w:szCs w:val="21"/>
          <w:lang w:val="zh-CN"/>
        </w:rPr>
        <w:t>最近3年投标人牵涉的其他（失信和违法）</w:t>
      </w:r>
      <w:r>
        <w:rPr>
          <w:rFonts w:hint="eastAsia" w:ascii="宋体" w:hAnsi="宋体" w:eastAsia="宋体" w:cs="宋体"/>
          <w:color w:val="auto"/>
          <w:kern w:val="0"/>
          <w:szCs w:val="21"/>
        </w:rPr>
        <w:t>处罚说明</w:t>
      </w:r>
      <w:r>
        <w:rPr>
          <w:rFonts w:hint="eastAsia" w:ascii="宋体" w:hAnsi="宋体" w:eastAsia="宋体" w:cs="宋体"/>
          <w:color w:val="auto"/>
          <w:szCs w:val="21"/>
          <w:lang w:val="zh-CN"/>
        </w:rPr>
        <w:t>；</w:t>
      </w:r>
    </w:p>
    <w:p w14:paraId="1BFF810F">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lang w:val="zh-CN"/>
        </w:rPr>
      </w:pPr>
      <w:r>
        <w:rPr>
          <w:rFonts w:hint="eastAsia" w:ascii="宋体" w:hAnsi="宋体" w:eastAsia="宋体" w:cs="宋体"/>
          <w:color w:val="auto"/>
          <w:szCs w:val="21"/>
          <w:lang w:val="zh-CN"/>
        </w:rPr>
        <w:t>（</w:t>
      </w:r>
      <w:r>
        <w:rPr>
          <w:rFonts w:hint="eastAsia" w:ascii="宋体" w:hAnsi="宋体" w:eastAsia="宋体" w:cs="宋体"/>
          <w:color w:val="auto"/>
          <w:szCs w:val="21"/>
        </w:rPr>
        <w:t>6</w:t>
      </w:r>
      <w:r>
        <w:rPr>
          <w:rFonts w:hint="eastAsia" w:ascii="宋体" w:hAnsi="宋体" w:eastAsia="宋体" w:cs="宋体"/>
          <w:color w:val="auto"/>
          <w:szCs w:val="21"/>
          <w:lang w:val="zh-CN"/>
        </w:rPr>
        <w:t>）投标人基本情况一览表；</w:t>
      </w:r>
    </w:p>
    <w:p w14:paraId="12D318D0">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lang w:val="zh-CN"/>
        </w:rPr>
      </w:pPr>
      <w:r>
        <w:rPr>
          <w:rFonts w:hint="eastAsia" w:ascii="宋体" w:hAnsi="宋体" w:eastAsia="宋体" w:cs="宋体"/>
          <w:color w:val="auto"/>
          <w:szCs w:val="21"/>
          <w:lang w:val="zh-CN"/>
        </w:rPr>
        <w:t>（</w:t>
      </w:r>
      <w:r>
        <w:rPr>
          <w:rFonts w:hint="eastAsia" w:ascii="宋体" w:hAnsi="宋体" w:eastAsia="宋体" w:cs="宋体"/>
          <w:color w:val="auto"/>
          <w:szCs w:val="21"/>
        </w:rPr>
        <w:t>7</w:t>
      </w:r>
      <w:r>
        <w:rPr>
          <w:rFonts w:hint="eastAsia" w:ascii="宋体" w:hAnsi="宋体" w:eastAsia="宋体" w:cs="宋体"/>
          <w:color w:val="auto"/>
          <w:szCs w:val="21"/>
          <w:lang w:val="zh-CN"/>
        </w:rPr>
        <w:t>）投标人财务状况表；</w:t>
      </w:r>
    </w:p>
    <w:p w14:paraId="511B5ED5">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lang w:val="zh-CN"/>
        </w:rPr>
      </w:pPr>
      <w:r>
        <w:rPr>
          <w:rFonts w:hint="eastAsia" w:ascii="宋体" w:hAnsi="宋体" w:eastAsia="宋体" w:cs="宋体"/>
          <w:color w:val="auto"/>
          <w:kern w:val="0"/>
          <w:szCs w:val="21"/>
        </w:rPr>
        <w:t>（8）合同条款响应程度（合同条款偏离表）；</w:t>
      </w:r>
    </w:p>
    <w:p w14:paraId="02BFAEC0">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lang w:val="zh-CN"/>
        </w:rPr>
      </w:pPr>
      <w:r>
        <w:rPr>
          <w:rFonts w:hint="eastAsia" w:ascii="宋体" w:hAnsi="宋体" w:eastAsia="宋体" w:cs="宋体"/>
          <w:color w:val="auto"/>
          <w:szCs w:val="21"/>
          <w:lang w:val="zh-CN"/>
        </w:rPr>
        <w:t>（</w:t>
      </w:r>
      <w:r>
        <w:rPr>
          <w:rFonts w:hint="eastAsia" w:ascii="宋体" w:hAnsi="宋体" w:eastAsia="宋体" w:cs="宋体"/>
          <w:color w:val="auto"/>
          <w:szCs w:val="21"/>
        </w:rPr>
        <w:t>9</w:t>
      </w:r>
      <w:r>
        <w:rPr>
          <w:rFonts w:hint="eastAsia" w:ascii="宋体" w:hAnsi="宋体" w:eastAsia="宋体" w:cs="宋体"/>
          <w:color w:val="auto"/>
          <w:szCs w:val="21"/>
          <w:lang w:val="zh-CN"/>
        </w:rPr>
        <w:t>）业绩表；</w:t>
      </w:r>
    </w:p>
    <w:p w14:paraId="17B7FD50">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lang w:val="zh-CN"/>
        </w:rPr>
      </w:pPr>
      <w:r>
        <w:rPr>
          <w:rFonts w:hint="eastAsia" w:ascii="宋体" w:hAnsi="宋体" w:eastAsia="宋体" w:cs="宋体"/>
          <w:color w:val="auto"/>
          <w:szCs w:val="21"/>
          <w:lang w:val="zh-CN"/>
        </w:rPr>
        <w:t>（</w:t>
      </w:r>
      <w:r>
        <w:rPr>
          <w:rFonts w:hint="eastAsia" w:ascii="宋体" w:hAnsi="宋体" w:eastAsia="宋体" w:cs="宋体"/>
          <w:color w:val="auto"/>
          <w:szCs w:val="21"/>
        </w:rPr>
        <w:t>10</w:t>
      </w:r>
      <w:r>
        <w:rPr>
          <w:rFonts w:hint="eastAsia" w:ascii="宋体" w:hAnsi="宋体" w:eastAsia="宋体" w:cs="宋体"/>
          <w:color w:val="auto"/>
          <w:szCs w:val="21"/>
          <w:lang w:val="zh-CN"/>
        </w:rPr>
        <w:t>）投标保证金汇入情况说明；</w:t>
      </w:r>
    </w:p>
    <w:p w14:paraId="39D0BD48">
      <w:pPr>
        <w:tabs>
          <w:tab w:val="left" w:pos="567"/>
        </w:tabs>
        <w:autoSpaceDE w:val="0"/>
        <w:autoSpaceDN w:val="0"/>
        <w:adjustRightInd w:val="0"/>
        <w:spacing w:line="360" w:lineRule="auto"/>
        <w:ind w:left="315" w:leftChars="-100" w:hanging="525" w:hangingChars="250"/>
        <w:rPr>
          <w:rFonts w:ascii="宋体" w:hAnsi="宋体" w:eastAsia="宋体" w:cs="宋体"/>
          <w:color w:val="auto"/>
          <w:szCs w:val="21"/>
          <w:lang w:val="zh-CN"/>
        </w:rPr>
      </w:pPr>
      <w:r>
        <w:rPr>
          <w:rFonts w:hint="eastAsia" w:ascii="宋体" w:hAnsi="宋体" w:eastAsia="宋体" w:cs="宋体"/>
          <w:color w:val="auto"/>
          <w:szCs w:val="21"/>
          <w:lang w:val="zh-CN"/>
        </w:rPr>
        <w:t>（</w:t>
      </w:r>
      <w:r>
        <w:rPr>
          <w:rFonts w:hint="eastAsia" w:ascii="宋体" w:hAnsi="宋体" w:eastAsia="宋体" w:cs="宋体"/>
          <w:color w:val="auto"/>
          <w:szCs w:val="21"/>
        </w:rPr>
        <w:t>11</w:t>
      </w:r>
      <w:r>
        <w:rPr>
          <w:rFonts w:hint="eastAsia" w:ascii="宋体" w:hAnsi="宋体" w:eastAsia="宋体" w:cs="宋体"/>
          <w:color w:val="auto"/>
          <w:szCs w:val="21"/>
          <w:lang w:val="zh-CN"/>
        </w:rPr>
        <w:t>）投标人资格证明文件以外的其他资质证书、知识产权证书及获得的相关获奖、认证证书、社会评价资料证明文件复印件等投标人认为有需要证明其具备为本次招标项目提供货物</w:t>
      </w:r>
      <w:r>
        <w:rPr>
          <w:rFonts w:hint="eastAsia" w:ascii="宋体" w:hAnsi="宋体" w:eastAsia="宋体" w:cs="宋体"/>
          <w:color w:val="auto"/>
          <w:szCs w:val="21"/>
        </w:rPr>
        <w:t>及有关</w:t>
      </w:r>
      <w:r>
        <w:rPr>
          <w:rFonts w:hint="eastAsia" w:ascii="宋体" w:hAnsi="宋体" w:eastAsia="宋体" w:cs="宋体"/>
          <w:color w:val="auto"/>
          <w:szCs w:val="21"/>
          <w:lang w:val="zh-CN"/>
        </w:rPr>
        <w:t>服务能力的有关其它商务文件（不做强制要求）。</w:t>
      </w:r>
    </w:p>
    <w:p w14:paraId="015F9B3F">
      <w:pPr>
        <w:autoSpaceDE w:val="0"/>
        <w:autoSpaceDN w:val="0"/>
        <w:adjustRightInd w:val="0"/>
        <w:spacing w:line="360" w:lineRule="auto"/>
        <w:ind w:left="422" w:leftChars="-100" w:hanging="632" w:hangingChars="300"/>
        <w:rPr>
          <w:rFonts w:ascii="宋体" w:hAnsi="宋体" w:eastAsia="宋体" w:cs="宋体"/>
          <w:b/>
          <w:color w:val="auto"/>
          <w:kern w:val="0"/>
          <w:szCs w:val="24"/>
        </w:rPr>
      </w:pPr>
      <w:r>
        <w:rPr>
          <w:rFonts w:hint="eastAsia" w:ascii="宋体" w:hAnsi="宋体" w:eastAsia="宋体" w:cs="宋体"/>
          <w:b/>
          <w:color w:val="auto"/>
          <w:kern w:val="0"/>
          <w:szCs w:val="24"/>
        </w:rPr>
        <w:t>9.1.2 技术文件：</w:t>
      </w:r>
    </w:p>
    <w:p w14:paraId="3AD86AD3">
      <w:pPr>
        <w:autoSpaceDE w:val="0"/>
        <w:autoSpaceDN w:val="0"/>
        <w:adjustRightInd w:val="0"/>
        <w:spacing w:line="360" w:lineRule="auto"/>
        <w:ind w:right="-23" w:rightChars="-11"/>
        <w:jc w:val="left"/>
        <w:rPr>
          <w:rFonts w:ascii="宋体" w:hAnsi="宋体" w:eastAsia="宋体" w:cs="Times New Roman"/>
          <w:b/>
          <w:bCs/>
          <w:color w:val="auto"/>
          <w:kern w:val="0"/>
          <w:szCs w:val="21"/>
          <w:lang w:val="zh-CN"/>
        </w:rPr>
      </w:pPr>
      <w:r>
        <w:rPr>
          <w:rFonts w:hint="eastAsia" w:ascii="宋体" w:hAnsi="宋体" w:eastAsia="宋体" w:cs="Times New Roman"/>
          <w:b/>
          <w:bCs/>
          <w:color w:val="auto"/>
          <w:kern w:val="0"/>
          <w:szCs w:val="21"/>
          <w:lang w:val="zh-CN"/>
        </w:rPr>
        <w:t xml:space="preserve"> </w:t>
      </w:r>
      <w:r>
        <w:rPr>
          <w:rFonts w:ascii="宋体" w:hAnsi="宋体" w:eastAsia="宋体" w:cs="Times New Roman"/>
          <w:b/>
          <w:bCs/>
          <w:color w:val="auto"/>
          <w:kern w:val="0"/>
          <w:szCs w:val="21"/>
          <w:lang w:val="zh-CN"/>
        </w:rPr>
        <w:t xml:space="preserve">   </w:t>
      </w:r>
      <w:r>
        <w:rPr>
          <w:rFonts w:hint="eastAsia" w:ascii="宋体" w:hAnsi="宋体" w:eastAsia="宋体" w:cs="Times New Roman"/>
          <w:b/>
          <w:bCs/>
          <w:color w:val="auto"/>
          <w:kern w:val="0"/>
          <w:szCs w:val="21"/>
          <w:lang w:val="zh-CN"/>
        </w:rPr>
        <w:t>目录：</w:t>
      </w:r>
    </w:p>
    <w:p w14:paraId="27CE3EB7">
      <w:pPr>
        <w:spacing w:line="360" w:lineRule="auto"/>
        <w:ind w:left="105" w:leftChars="-100" w:hanging="315" w:hangingChars="150"/>
        <w:rPr>
          <w:rFonts w:ascii="宋体" w:hAnsi="宋体" w:eastAsia="宋体" w:cs="宋体"/>
          <w:color w:val="auto"/>
          <w:kern w:val="0"/>
          <w:szCs w:val="21"/>
        </w:rPr>
      </w:pPr>
      <w:r>
        <w:rPr>
          <w:rFonts w:hint="eastAsia" w:ascii="宋体" w:hAnsi="宋体" w:eastAsia="宋体" w:cs="宋体"/>
          <w:color w:val="auto"/>
          <w:kern w:val="0"/>
          <w:szCs w:val="21"/>
        </w:rPr>
        <w:t>（1）用户需求响应程度（即12.1用户需求偏离表格式）；</w:t>
      </w:r>
    </w:p>
    <w:p w14:paraId="0EADCE6B">
      <w:pPr>
        <w:spacing w:line="360" w:lineRule="auto"/>
        <w:ind w:left="105" w:leftChars="-100" w:hanging="315" w:hangingChars="150"/>
        <w:rPr>
          <w:rFonts w:ascii="宋体" w:hAnsi="宋体" w:eastAsia="宋体" w:cs="宋体"/>
          <w:color w:val="auto"/>
          <w:kern w:val="0"/>
          <w:szCs w:val="21"/>
          <w:lang w:bidi="ar"/>
        </w:rPr>
      </w:pPr>
      <w:r>
        <w:rPr>
          <w:rFonts w:hint="eastAsia" w:ascii="宋体" w:hAnsi="宋体" w:eastAsia="宋体" w:cs="宋体"/>
          <w:color w:val="auto"/>
          <w:kern w:val="0"/>
          <w:szCs w:val="21"/>
          <w:lang w:bidi="ar"/>
        </w:rPr>
        <w:t>（2）投标品牌表；</w:t>
      </w:r>
    </w:p>
    <w:p w14:paraId="1791C64B">
      <w:pPr>
        <w:spacing w:line="360" w:lineRule="auto"/>
        <w:ind w:left="105" w:leftChars="-100" w:hanging="315" w:hangingChars="150"/>
        <w:rPr>
          <w:rFonts w:ascii="宋体" w:hAnsi="宋体" w:eastAsia="宋体" w:cs="宋体"/>
          <w:color w:val="auto"/>
          <w:kern w:val="0"/>
          <w:szCs w:val="21"/>
          <w:lang w:bidi="ar"/>
        </w:rPr>
      </w:pPr>
      <w:r>
        <w:rPr>
          <w:rFonts w:hint="eastAsia" w:ascii="宋体" w:hAnsi="宋体" w:eastAsia="宋体" w:cs="宋体"/>
          <w:color w:val="auto"/>
          <w:kern w:val="0"/>
          <w:szCs w:val="21"/>
          <w:lang w:bidi="ar"/>
        </w:rPr>
        <w:t>（3）整体供货服务流程；</w:t>
      </w:r>
    </w:p>
    <w:p w14:paraId="73EB6B67">
      <w:pPr>
        <w:spacing w:line="360" w:lineRule="auto"/>
        <w:ind w:left="105" w:leftChars="-100" w:hanging="315" w:hangingChars="150"/>
        <w:rPr>
          <w:rFonts w:ascii="宋体" w:hAnsi="宋体" w:eastAsia="宋体" w:cs="宋体"/>
          <w:color w:val="auto"/>
          <w:kern w:val="0"/>
          <w:szCs w:val="21"/>
          <w:lang w:bidi="ar"/>
        </w:rPr>
      </w:pPr>
      <w:r>
        <w:rPr>
          <w:rFonts w:hint="eastAsia" w:ascii="宋体" w:hAnsi="宋体" w:eastAsia="宋体" w:cs="宋体"/>
          <w:color w:val="auto"/>
          <w:kern w:val="0"/>
          <w:szCs w:val="21"/>
          <w:lang w:bidi="ar"/>
        </w:rPr>
        <w:t>（4）供货计划及进度保证措施方案；</w:t>
      </w:r>
    </w:p>
    <w:p w14:paraId="657DD9C3">
      <w:pPr>
        <w:spacing w:line="360" w:lineRule="auto"/>
        <w:ind w:left="105" w:leftChars="-100" w:hanging="315" w:hangingChars="150"/>
        <w:rPr>
          <w:rFonts w:ascii="宋体" w:hAnsi="宋体" w:eastAsia="宋体" w:cs="宋体"/>
          <w:color w:val="auto"/>
          <w:kern w:val="0"/>
          <w:szCs w:val="21"/>
          <w:lang w:bidi="ar"/>
        </w:rPr>
      </w:pPr>
      <w:r>
        <w:rPr>
          <w:rFonts w:hint="eastAsia" w:ascii="宋体" w:hAnsi="宋体" w:eastAsia="宋体" w:cs="宋体"/>
          <w:color w:val="auto"/>
          <w:kern w:val="0"/>
          <w:szCs w:val="21"/>
          <w:lang w:bidi="ar"/>
        </w:rPr>
        <w:t>（5）售后服务质量保证和承诺；</w:t>
      </w:r>
    </w:p>
    <w:p w14:paraId="3EF1E3FC">
      <w:pPr>
        <w:spacing w:line="360" w:lineRule="auto"/>
        <w:ind w:left="105" w:leftChars="-100" w:hanging="315" w:hangingChars="150"/>
        <w:rPr>
          <w:rFonts w:ascii="宋体" w:hAnsi="宋体" w:eastAsia="宋体" w:cs="宋体"/>
          <w:color w:val="auto"/>
          <w:kern w:val="0"/>
          <w:szCs w:val="21"/>
        </w:rPr>
      </w:pPr>
      <w:r>
        <w:rPr>
          <w:rFonts w:hint="eastAsia" w:ascii="宋体" w:hAnsi="宋体" w:eastAsia="宋体" w:cs="宋体"/>
          <w:color w:val="auto"/>
          <w:kern w:val="0"/>
          <w:szCs w:val="21"/>
          <w:lang w:bidi="ar"/>
        </w:rPr>
        <w:t>（6）投标人认为有必要提供的其它材料（不做强制要求）。</w:t>
      </w:r>
    </w:p>
    <w:p w14:paraId="591DF94B">
      <w:pPr>
        <w:autoSpaceDE w:val="0"/>
        <w:autoSpaceDN w:val="0"/>
        <w:adjustRightInd w:val="0"/>
        <w:spacing w:line="360" w:lineRule="auto"/>
        <w:ind w:left="422" w:leftChars="-100" w:hanging="632" w:hangingChars="300"/>
        <w:rPr>
          <w:rFonts w:ascii="宋体" w:hAnsi="宋体" w:eastAsia="宋体" w:cs="宋体"/>
          <w:color w:val="auto"/>
          <w:kern w:val="0"/>
          <w:szCs w:val="21"/>
          <w:lang w:val="zh-CN"/>
        </w:rPr>
      </w:pPr>
      <w:r>
        <w:rPr>
          <w:rFonts w:hint="eastAsia" w:ascii="宋体" w:hAnsi="宋体" w:eastAsia="宋体" w:cs="宋体"/>
          <w:b/>
          <w:color w:val="auto"/>
          <w:kern w:val="0"/>
          <w:szCs w:val="21"/>
        </w:rPr>
        <w:t xml:space="preserve">9.1.3 </w:t>
      </w:r>
      <w:r>
        <w:rPr>
          <w:rFonts w:hint="eastAsia" w:ascii="宋体" w:hAnsi="宋体" w:eastAsia="宋体" w:cs="宋体"/>
          <w:b/>
          <w:bCs/>
          <w:color w:val="auto"/>
          <w:kern w:val="0"/>
          <w:szCs w:val="21"/>
          <w:lang w:val="zh-CN"/>
        </w:rPr>
        <w:t>投标文件电子文件</w:t>
      </w:r>
      <w:r>
        <w:rPr>
          <w:rFonts w:hint="eastAsia" w:ascii="宋体" w:hAnsi="宋体" w:eastAsia="宋体" w:cs="宋体"/>
          <w:color w:val="auto"/>
          <w:kern w:val="0"/>
          <w:szCs w:val="21"/>
          <w:lang w:val="zh-CN"/>
        </w:rPr>
        <w:t>（详细要求见本篇第17.</w:t>
      </w:r>
      <w:r>
        <w:rPr>
          <w:rFonts w:ascii="宋体" w:hAnsi="宋体" w:eastAsia="宋体" w:cs="宋体"/>
          <w:color w:val="auto"/>
          <w:kern w:val="0"/>
          <w:szCs w:val="21"/>
          <w:lang w:val="zh-CN"/>
        </w:rPr>
        <w:t>5</w:t>
      </w:r>
      <w:r>
        <w:rPr>
          <w:rFonts w:hint="eastAsia" w:ascii="宋体" w:hAnsi="宋体" w:eastAsia="宋体" w:cs="宋体"/>
          <w:color w:val="auto"/>
          <w:kern w:val="0"/>
          <w:szCs w:val="21"/>
          <w:lang w:val="zh-CN"/>
        </w:rPr>
        <w:t>款）</w:t>
      </w:r>
    </w:p>
    <w:p w14:paraId="74BC2A0D">
      <w:pPr>
        <w:autoSpaceDE w:val="0"/>
        <w:autoSpaceDN w:val="0"/>
        <w:adjustRightInd w:val="0"/>
        <w:spacing w:line="360" w:lineRule="auto"/>
        <w:ind w:left="35" w:leftChars="-118" w:hanging="283" w:hangingChars="135"/>
        <w:rPr>
          <w:rFonts w:ascii="宋体" w:hAnsi="宋体" w:eastAsia="宋体" w:cs="宋体"/>
          <w:color w:val="auto"/>
          <w:kern w:val="0"/>
          <w:szCs w:val="21"/>
        </w:rPr>
      </w:pPr>
      <w:r>
        <w:rPr>
          <w:rFonts w:hint="eastAsia" w:ascii="宋体" w:hAnsi="宋体" w:eastAsia="宋体" w:cs="宋体"/>
          <w:color w:val="auto"/>
          <w:kern w:val="0"/>
          <w:szCs w:val="21"/>
        </w:rPr>
        <w:t>（1）签字、盖章后的投标文件扫描版PDF格式电子文件。</w:t>
      </w:r>
    </w:p>
    <w:p w14:paraId="43D38B6A">
      <w:pPr>
        <w:autoSpaceDE w:val="0"/>
        <w:autoSpaceDN w:val="0"/>
        <w:adjustRightInd w:val="0"/>
        <w:spacing w:line="360" w:lineRule="auto"/>
        <w:ind w:left="422" w:leftChars="-100" w:hanging="632" w:hangingChars="300"/>
        <w:rPr>
          <w:rFonts w:ascii="宋体" w:hAnsi="宋体" w:eastAsia="宋体" w:cs="宋体"/>
          <w:b/>
          <w:bCs/>
          <w:color w:val="auto"/>
          <w:szCs w:val="21"/>
          <w:lang w:val="zh-CN"/>
        </w:rPr>
      </w:pPr>
      <w:r>
        <w:rPr>
          <w:rFonts w:hint="eastAsia" w:ascii="宋体" w:hAnsi="宋体" w:eastAsia="宋体" w:cs="宋体"/>
          <w:b/>
          <w:bCs/>
          <w:color w:val="auto"/>
          <w:szCs w:val="21"/>
          <w:lang w:val="zh-CN"/>
        </w:rPr>
        <w:t>9.1.4 唱标信封（单独密封）</w:t>
      </w:r>
    </w:p>
    <w:p w14:paraId="1B8EB5CC">
      <w:pPr>
        <w:spacing w:line="360" w:lineRule="auto"/>
        <w:ind w:left="105" w:leftChars="-100" w:hanging="315" w:hangingChars="150"/>
        <w:rPr>
          <w:rFonts w:ascii="宋体" w:hAnsi="宋体" w:eastAsia="宋体" w:cs="宋体"/>
          <w:color w:val="auto"/>
          <w:kern w:val="0"/>
          <w:szCs w:val="21"/>
          <w:lang w:val="zh-CN"/>
        </w:rPr>
      </w:pPr>
      <w:r>
        <w:rPr>
          <w:rFonts w:hint="eastAsia" w:ascii="宋体" w:hAnsi="宋体" w:eastAsia="宋体" w:cs="宋体"/>
          <w:color w:val="auto"/>
          <w:kern w:val="0"/>
          <w:szCs w:val="21"/>
          <w:lang w:val="zh-CN"/>
        </w:rPr>
        <w:t>（1）投标报价表；</w:t>
      </w:r>
    </w:p>
    <w:p w14:paraId="35A88181">
      <w:pPr>
        <w:spacing w:line="360" w:lineRule="auto"/>
        <w:ind w:left="105" w:leftChars="-100" w:hanging="315" w:hangingChars="150"/>
        <w:rPr>
          <w:rFonts w:ascii="宋体" w:hAnsi="宋体" w:eastAsia="宋体" w:cs="宋体"/>
          <w:color w:val="auto"/>
          <w:kern w:val="0"/>
          <w:szCs w:val="21"/>
          <w:lang w:val="zh-CN"/>
        </w:rPr>
      </w:pPr>
      <w:r>
        <w:rPr>
          <w:rFonts w:hint="eastAsia" w:ascii="宋体" w:hAnsi="宋体" w:eastAsia="宋体" w:cs="宋体"/>
          <w:color w:val="auto"/>
          <w:kern w:val="0"/>
          <w:szCs w:val="21"/>
          <w:lang w:val="zh-CN"/>
        </w:rPr>
        <w:t>（</w:t>
      </w:r>
      <w:r>
        <w:rPr>
          <w:rFonts w:hint="eastAsia" w:ascii="宋体" w:hAnsi="宋体" w:eastAsia="宋体" w:cs="宋体"/>
          <w:color w:val="auto"/>
          <w:kern w:val="0"/>
          <w:szCs w:val="21"/>
        </w:rPr>
        <w:t>2</w:t>
      </w:r>
      <w:r>
        <w:rPr>
          <w:rFonts w:hint="eastAsia" w:ascii="宋体" w:hAnsi="宋体" w:eastAsia="宋体" w:cs="宋体"/>
          <w:color w:val="auto"/>
          <w:kern w:val="0"/>
          <w:szCs w:val="21"/>
          <w:lang w:val="zh-CN"/>
        </w:rPr>
        <w:t>）投标保证金汇入情况说明（一式两份）。</w:t>
      </w:r>
    </w:p>
    <w:p w14:paraId="1BD20DFF">
      <w:pPr>
        <w:autoSpaceDE w:val="0"/>
        <w:autoSpaceDN w:val="0"/>
        <w:adjustRightInd w:val="0"/>
        <w:spacing w:line="360" w:lineRule="auto"/>
        <w:ind w:left="315" w:leftChars="-100" w:hanging="525" w:hangingChars="250"/>
        <w:rPr>
          <w:rFonts w:ascii="宋体" w:hAnsi="宋体" w:eastAsia="宋体" w:cs="宋体"/>
          <w:color w:val="auto"/>
          <w:szCs w:val="21"/>
          <w:lang w:val="zh-CN"/>
        </w:rPr>
      </w:pPr>
      <w:r>
        <w:rPr>
          <w:rFonts w:hint="eastAsia" w:ascii="宋体" w:hAnsi="宋体" w:eastAsia="宋体" w:cs="宋体"/>
          <w:color w:val="auto"/>
          <w:szCs w:val="21"/>
          <w:lang w:val="zh-CN"/>
        </w:rPr>
        <w:t>9.2  投标人按照投标文件的组成目录编制投标文件应包括上述内容，但不限于上述内容。招标文件提供了相关格式的，严格按照招标文件的要求编制，投标文件未含格式的，投标人自行编制。投标文件编制中要求的复印件、照片可为该资料扫描件的打印件。</w:t>
      </w:r>
    </w:p>
    <w:p w14:paraId="73DB03D6">
      <w:pPr>
        <w:tabs>
          <w:tab w:val="left" w:pos="567"/>
        </w:tabs>
        <w:autoSpaceDE w:val="0"/>
        <w:autoSpaceDN w:val="0"/>
        <w:adjustRightInd w:val="0"/>
        <w:spacing w:line="360" w:lineRule="auto"/>
        <w:ind w:left="357" w:leftChars="-100" w:hanging="567"/>
        <w:rPr>
          <w:rFonts w:ascii="宋体" w:hAnsi="宋体" w:eastAsia="宋体" w:cs="宋体"/>
          <w:color w:val="auto"/>
          <w:szCs w:val="21"/>
          <w:lang w:val="zh-CN"/>
        </w:rPr>
      </w:pPr>
      <w:r>
        <w:rPr>
          <w:rFonts w:hint="eastAsia" w:ascii="宋体" w:hAnsi="宋体" w:eastAsia="宋体" w:cs="宋体"/>
          <w:color w:val="auto"/>
          <w:szCs w:val="21"/>
          <w:lang w:val="zh-CN"/>
        </w:rPr>
        <w:t xml:space="preserve">9.3  </w:t>
      </w:r>
      <w:r>
        <w:rPr>
          <w:rFonts w:hint="eastAsia" w:ascii="宋体" w:hAnsi="宋体" w:eastAsia="宋体" w:cs="宋体"/>
          <w:b/>
          <w:color w:val="auto"/>
          <w:szCs w:val="21"/>
          <w:u w:val="single"/>
          <w:lang w:val="zh-CN"/>
        </w:rPr>
        <w:t>投标文件中相关证件、证书、合同、</w:t>
      </w:r>
      <w:r>
        <w:rPr>
          <w:rFonts w:hint="eastAsia" w:ascii="宋体" w:hAnsi="宋体" w:eastAsia="宋体" w:cs="Times New Roman"/>
          <w:b/>
          <w:color w:val="auto"/>
          <w:szCs w:val="21"/>
          <w:u w:val="single"/>
          <w:lang w:val="zh-CN"/>
        </w:rPr>
        <w:t>发票、照片</w:t>
      </w:r>
      <w:r>
        <w:rPr>
          <w:rFonts w:hint="eastAsia" w:ascii="宋体" w:hAnsi="宋体" w:eastAsia="宋体" w:cs="宋体"/>
          <w:b/>
          <w:color w:val="auto"/>
          <w:szCs w:val="21"/>
          <w:u w:val="single"/>
          <w:lang w:val="zh-CN"/>
        </w:rPr>
        <w:t>等证明材料中的原始印章、签名、关键内容必须清晰、可辨认，否则视为无效证明材料；投标文件中存在外文资料的，投标人必须同时提供中文译本，且必须保证中文译本的准确，否则招标人不予认可，视为无效材料；投标人须承担因此对应造成投标无效，或评标时因无效证明材料不得分，或拒绝接受投标的风险</w:t>
      </w:r>
      <w:r>
        <w:rPr>
          <w:rFonts w:hint="eastAsia" w:ascii="宋体" w:hAnsi="宋体" w:eastAsia="宋体" w:cs="宋体"/>
          <w:color w:val="auto"/>
          <w:szCs w:val="21"/>
          <w:lang w:val="zh-CN"/>
        </w:rPr>
        <w:t>。</w:t>
      </w:r>
    </w:p>
    <w:p w14:paraId="5EBDA6BC">
      <w:pPr>
        <w:autoSpaceDE w:val="0"/>
        <w:autoSpaceDN w:val="0"/>
        <w:adjustRightInd w:val="0"/>
        <w:spacing w:line="360" w:lineRule="auto"/>
        <w:ind w:left="315" w:leftChars="-100" w:hanging="525" w:hangingChars="250"/>
        <w:rPr>
          <w:rFonts w:ascii="宋体" w:hAnsi="宋体" w:eastAsia="宋体" w:cs="宋体"/>
          <w:color w:val="auto"/>
          <w:szCs w:val="21"/>
          <w:lang w:val="zh-CN"/>
        </w:rPr>
      </w:pPr>
    </w:p>
    <w:p w14:paraId="048576F1">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lang w:val="zh-CN"/>
        </w:rPr>
      </w:pPr>
      <w:bookmarkStart w:id="122" w:name="_Toc450662860"/>
      <w:bookmarkStart w:id="123" w:name="_Toc18697"/>
      <w:bookmarkStart w:id="124" w:name="_Toc142508324"/>
      <w:bookmarkStart w:id="125" w:name="_Toc173182269"/>
      <w:bookmarkStart w:id="126" w:name="_Toc8675_WPSOffice_Level3"/>
      <w:bookmarkStart w:id="127" w:name="_Toc486167674"/>
      <w:bookmarkStart w:id="128" w:name="_Toc7265"/>
      <w:r>
        <w:rPr>
          <w:rFonts w:hint="eastAsia" w:ascii="宋体" w:hAnsi="宋体" w:eastAsia="宋体" w:cs="宋体"/>
          <w:color w:val="auto"/>
          <w:szCs w:val="21"/>
          <w:lang w:val="zh-CN"/>
        </w:rPr>
        <w:t>10</w:t>
      </w:r>
      <w:r>
        <w:rPr>
          <w:rFonts w:ascii="宋体" w:hAnsi="宋体" w:eastAsia="宋体" w:cs="宋体"/>
          <w:color w:val="auto"/>
          <w:szCs w:val="21"/>
          <w:lang w:val="zh-CN"/>
        </w:rPr>
        <w:t xml:space="preserve"> </w:t>
      </w:r>
      <w:r>
        <w:rPr>
          <w:rFonts w:hint="eastAsia" w:ascii="宋体" w:hAnsi="宋体" w:eastAsia="宋体" w:cs="宋体"/>
          <w:color w:val="auto"/>
          <w:szCs w:val="21"/>
          <w:lang w:val="zh-CN"/>
        </w:rPr>
        <w:t>投标函</w:t>
      </w:r>
      <w:bookmarkEnd w:id="122"/>
      <w:bookmarkEnd w:id="123"/>
      <w:bookmarkEnd w:id="124"/>
      <w:bookmarkEnd w:id="125"/>
      <w:bookmarkEnd w:id="126"/>
      <w:bookmarkEnd w:id="127"/>
      <w:bookmarkEnd w:id="128"/>
    </w:p>
    <w:p w14:paraId="7E95F806">
      <w:pPr>
        <w:autoSpaceDE w:val="0"/>
        <w:autoSpaceDN w:val="0"/>
        <w:adjustRightInd w:val="0"/>
        <w:spacing w:line="360" w:lineRule="auto"/>
        <w:ind w:left="265" w:leftChars="119" w:hanging="15"/>
        <w:rPr>
          <w:rFonts w:ascii="宋体" w:hAnsi="宋体" w:eastAsia="宋体" w:cs="宋体"/>
          <w:color w:val="auto"/>
          <w:szCs w:val="21"/>
          <w:lang w:val="zh-CN"/>
        </w:rPr>
      </w:pPr>
      <w:r>
        <w:rPr>
          <w:rFonts w:hint="eastAsia" w:ascii="宋体" w:hAnsi="宋体" w:eastAsia="宋体" w:cs="宋体"/>
          <w:color w:val="auto"/>
          <w:szCs w:val="21"/>
          <w:lang w:val="zh-CN"/>
        </w:rPr>
        <w:t>投标人应完整填写投标文件格式中规定的投标函。</w:t>
      </w:r>
    </w:p>
    <w:p w14:paraId="5F5EC31C">
      <w:pPr>
        <w:autoSpaceDE w:val="0"/>
        <w:autoSpaceDN w:val="0"/>
        <w:adjustRightInd w:val="0"/>
        <w:spacing w:line="360" w:lineRule="auto"/>
        <w:ind w:left="265" w:leftChars="119" w:hanging="15"/>
        <w:rPr>
          <w:rFonts w:ascii="宋体" w:hAnsi="宋体" w:eastAsia="宋体" w:cs="宋体"/>
          <w:color w:val="auto"/>
          <w:szCs w:val="21"/>
          <w:lang w:val="zh-CN"/>
        </w:rPr>
      </w:pPr>
    </w:p>
    <w:p w14:paraId="4DD35BA2">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lang w:val="zh-CN"/>
        </w:rPr>
      </w:pPr>
      <w:bookmarkStart w:id="129" w:name="_Toc486167675"/>
      <w:bookmarkStart w:id="130" w:name="_Toc142508325"/>
      <w:bookmarkStart w:id="131" w:name="_Toc28822"/>
      <w:bookmarkStart w:id="132" w:name="_Toc4385_WPSOffice_Level3"/>
      <w:bookmarkStart w:id="133" w:name="_Toc173182270"/>
      <w:bookmarkStart w:id="134" w:name="_Toc450662861"/>
      <w:bookmarkStart w:id="135" w:name="_Toc23985"/>
      <w:r>
        <w:rPr>
          <w:rFonts w:hint="eastAsia" w:ascii="宋体" w:hAnsi="宋体" w:eastAsia="宋体" w:cs="宋体"/>
          <w:color w:val="auto"/>
          <w:szCs w:val="21"/>
          <w:lang w:val="zh-CN"/>
        </w:rPr>
        <w:t>11</w:t>
      </w:r>
      <w:r>
        <w:rPr>
          <w:rFonts w:ascii="宋体" w:hAnsi="宋体" w:eastAsia="宋体" w:cs="宋体"/>
          <w:color w:val="auto"/>
          <w:szCs w:val="21"/>
          <w:lang w:val="zh-CN"/>
        </w:rPr>
        <w:t xml:space="preserve"> </w:t>
      </w:r>
      <w:r>
        <w:rPr>
          <w:rFonts w:hint="eastAsia" w:ascii="宋体" w:hAnsi="宋体" w:eastAsia="宋体" w:cs="宋体"/>
          <w:color w:val="auto"/>
          <w:szCs w:val="21"/>
          <w:lang w:val="zh-CN"/>
        </w:rPr>
        <w:t>投标报价</w:t>
      </w:r>
      <w:bookmarkEnd w:id="129"/>
      <w:bookmarkEnd w:id="130"/>
      <w:bookmarkEnd w:id="131"/>
      <w:bookmarkEnd w:id="132"/>
      <w:bookmarkEnd w:id="133"/>
      <w:bookmarkEnd w:id="134"/>
      <w:bookmarkEnd w:id="135"/>
    </w:p>
    <w:p w14:paraId="3CD7ED5A">
      <w:pPr>
        <w:tabs>
          <w:tab w:val="left" w:pos="567"/>
        </w:tabs>
        <w:autoSpaceDE w:val="0"/>
        <w:autoSpaceDN w:val="0"/>
        <w:adjustRightInd w:val="0"/>
        <w:spacing w:line="360" w:lineRule="auto"/>
        <w:ind w:left="357" w:leftChars="-100" w:hanging="567"/>
        <w:rPr>
          <w:rFonts w:ascii="宋体" w:hAnsi="宋体" w:eastAsia="宋体" w:cs="宋体"/>
          <w:b/>
          <w:color w:val="auto"/>
          <w:szCs w:val="21"/>
          <w:lang w:val="zh-CN"/>
        </w:rPr>
      </w:pPr>
      <w:r>
        <w:rPr>
          <w:rFonts w:hint="eastAsia" w:ascii="宋体" w:hAnsi="宋体" w:eastAsia="宋体" w:cs="宋体"/>
          <w:b/>
          <w:color w:val="auto"/>
          <w:szCs w:val="21"/>
          <w:lang w:val="zh-CN"/>
        </w:rPr>
        <w:t>11.1 本项目的投标报价采用填报投标折扣系数的方式</w:t>
      </w:r>
      <w:r>
        <w:rPr>
          <w:rFonts w:hint="eastAsia" w:ascii="宋体" w:hAnsi="宋体" w:eastAsia="宋体" w:cs="Times New Roman"/>
          <w:b/>
          <w:color w:val="auto"/>
          <w:szCs w:val="21"/>
          <w:lang w:val="zh-CN"/>
        </w:rPr>
        <w:t>。任何有选择的或</w:t>
      </w:r>
      <w:r>
        <w:rPr>
          <w:rFonts w:hint="eastAsia" w:ascii="宋体" w:hAnsi="宋体" w:eastAsia="宋体" w:cs="Times New Roman"/>
          <w:b/>
          <w:color w:val="auto"/>
          <w:kern w:val="0"/>
          <w:szCs w:val="21"/>
          <w:lang w:val="zh-CN"/>
        </w:rPr>
        <w:t>不是固定价的</w:t>
      </w:r>
      <w:r>
        <w:rPr>
          <w:rFonts w:hint="eastAsia" w:ascii="宋体" w:hAnsi="宋体" w:eastAsia="宋体" w:cs="Times New Roman"/>
          <w:b/>
          <w:color w:val="auto"/>
          <w:szCs w:val="21"/>
          <w:lang w:val="zh-CN"/>
        </w:rPr>
        <w:t>投标报价将不予接受，</w:t>
      </w:r>
      <w:r>
        <w:rPr>
          <w:rFonts w:hint="eastAsia" w:ascii="宋体" w:hAnsi="宋体" w:eastAsia="宋体" w:cs="Times New Roman"/>
          <w:b/>
          <w:color w:val="auto"/>
          <w:kern w:val="0"/>
          <w:szCs w:val="21"/>
          <w:lang w:val="zh-CN"/>
        </w:rPr>
        <w:t>作为非实质性响应投标而予以拒绝。</w:t>
      </w:r>
      <w:r>
        <w:rPr>
          <w:rFonts w:hint="eastAsia" w:ascii="宋体" w:hAnsi="宋体" w:eastAsia="宋体" w:cs="Times New Roman"/>
          <w:b/>
          <w:color w:val="auto"/>
          <w:kern w:val="0"/>
          <w:szCs w:val="21"/>
        </w:rPr>
        <w:t>投标人不得以低于企业自身成本的价格竞投</w:t>
      </w:r>
      <w:r>
        <w:rPr>
          <w:rFonts w:hint="eastAsia" w:ascii="宋体" w:hAnsi="宋体" w:eastAsia="宋体" w:cs="宋体"/>
          <w:b/>
          <w:color w:val="auto"/>
          <w:szCs w:val="21"/>
          <w:lang w:val="zh-CN"/>
        </w:rPr>
        <w:t>。</w:t>
      </w:r>
    </w:p>
    <w:p w14:paraId="4AE7B991">
      <w:pPr>
        <w:tabs>
          <w:tab w:val="left" w:pos="567"/>
        </w:tabs>
        <w:autoSpaceDE w:val="0"/>
        <w:autoSpaceDN w:val="0"/>
        <w:adjustRightInd w:val="0"/>
        <w:spacing w:line="360" w:lineRule="auto"/>
        <w:ind w:firstLine="567"/>
        <w:rPr>
          <w:rFonts w:ascii="宋体" w:hAnsi="宋体" w:eastAsia="宋体" w:cs="宋体"/>
          <w:b/>
          <w:color w:val="auto"/>
          <w:szCs w:val="21"/>
          <w:lang w:val="zh-CN"/>
        </w:rPr>
      </w:pPr>
      <w:r>
        <w:rPr>
          <w:rFonts w:hint="eastAsia" w:ascii="宋体" w:hAnsi="宋体" w:eastAsia="宋体" w:cs="宋体"/>
          <w:b/>
          <w:color w:val="auto"/>
          <w:szCs w:val="21"/>
          <w:lang w:val="zh-CN"/>
        </w:rPr>
        <w:t>若投标人出现超低报价，有可能影响服务质量和不能诚信履约的，评标委员会将要求该投标人作出书面说明并提供相关证明材料，以确定投标人是否以低于企业成本价报价。若投标人不能合理说明或不能提供相关证明材料的，评标委员会将认定其投标报价低于成本，同时否决其投标。</w:t>
      </w:r>
    </w:p>
    <w:p w14:paraId="74EACEE0">
      <w:pPr>
        <w:tabs>
          <w:tab w:val="left" w:pos="567"/>
        </w:tabs>
        <w:autoSpaceDE w:val="0"/>
        <w:autoSpaceDN w:val="0"/>
        <w:adjustRightInd w:val="0"/>
        <w:spacing w:line="360" w:lineRule="auto"/>
        <w:ind w:firstLine="567"/>
        <w:rPr>
          <w:rFonts w:ascii="宋体" w:hAnsi="宋体" w:eastAsia="宋体" w:cs="宋体"/>
          <w:b/>
          <w:color w:val="auto"/>
          <w:szCs w:val="21"/>
          <w:lang w:val="zh-CN"/>
        </w:rPr>
      </w:pPr>
      <w:r>
        <w:rPr>
          <w:rFonts w:hint="eastAsia" w:ascii="宋体" w:hAnsi="宋体" w:eastAsia="宋体" w:cs="宋体"/>
          <w:b/>
          <w:color w:val="auto"/>
          <w:szCs w:val="21"/>
          <w:lang w:val="zh-CN"/>
        </w:rPr>
        <w:t>对是否低于企业成本价报价的事宜有争议的投标文件，评标委员会成员将以记名方式表决，</w:t>
      </w:r>
      <w:r>
        <w:rPr>
          <w:rFonts w:hint="eastAsia" w:ascii="宋体" w:hAnsi="宋体" w:eastAsia="宋体" w:cs="宋体"/>
          <w:b/>
          <w:color w:val="auto"/>
          <w:szCs w:val="21"/>
        </w:rPr>
        <w:t>根据少数服从多数的原则，获多数表决通过</w:t>
      </w:r>
      <w:r>
        <w:rPr>
          <w:rFonts w:hint="eastAsia" w:ascii="宋体" w:hAnsi="宋体" w:eastAsia="宋体" w:cs="宋体"/>
          <w:b/>
          <w:color w:val="auto"/>
          <w:szCs w:val="21"/>
          <w:lang w:val="zh-CN"/>
        </w:rPr>
        <w:t>的投标人才有资格进入下一阶段的评审，否则将按无效投标处理。</w:t>
      </w:r>
    </w:p>
    <w:p w14:paraId="1D83AA26">
      <w:pPr>
        <w:autoSpaceDE w:val="0"/>
        <w:autoSpaceDN w:val="0"/>
        <w:adjustRightInd w:val="0"/>
        <w:spacing w:line="360" w:lineRule="auto"/>
        <w:ind w:left="357" w:leftChars="-100" w:hanging="567"/>
        <w:rPr>
          <w:rFonts w:ascii="宋体" w:hAnsi="宋体" w:eastAsia="宋体" w:cs="宋体"/>
          <w:color w:val="auto"/>
          <w:kern w:val="0"/>
          <w:szCs w:val="21"/>
        </w:rPr>
      </w:pPr>
      <w:r>
        <w:rPr>
          <w:rFonts w:hint="eastAsia" w:ascii="宋体" w:hAnsi="宋体" w:eastAsia="宋体" w:cs="宋体"/>
          <w:color w:val="auto"/>
          <w:szCs w:val="21"/>
          <w:lang w:val="zh-CN"/>
        </w:rPr>
        <w:t>11.2</w:t>
      </w:r>
      <w:r>
        <w:rPr>
          <w:rFonts w:hint="eastAsia" w:ascii="宋体" w:hAnsi="宋体" w:eastAsia="宋体" w:cs="宋体"/>
          <w:color w:val="auto"/>
          <w:szCs w:val="21"/>
          <w:lang w:val="zh-CN"/>
        </w:rPr>
        <w:tab/>
      </w:r>
      <w:r>
        <w:rPr>
          <w:rFonts w:hint="eastAsia" w:ascii="宋体" w:hAnsi="宋体" w:eastAsia="宋体" w:cs="宋体"/>
          <w:b/>
          <w:bCs/>
          <w:color w:val="auto"/>
          <w:szCs w:val="21"/>
          <w:lang w:val="zh-CN"/>
        </w:rPr>
        <w:t>本项目的投标报价采用统一折扣系数报价，合同履约过程中以实际供货数量进行结算，采购清单中安全及劳保物资不含税中标综合单价按以下方式计算：不含税中标综合单价=不含税预算综合单价×中标折扣系数，不含税中标综合单价出现小数点，保留小数点后两位，从小数点后第3位四舍五入。</w:t>
      </w:r>
      <w:r>
        <w:rPr>
          <w:rFonts w:hint="eastAsia" w:ascii="宋体" w:hAnsi="宋体" w:eastAsia="宋体" w:cs="Times New Roman"/>
          <w:b/>
          <w:color w:val="auto"/>
          <w:szCs w:val="21"/>
          <w:u w:val="single"/>
          <w:lang w:val="zh-CN"/>
        </w:rPr>
        <w:t>本项目投标报价为不含税价，即为《中华人民共和国增值税暂行条例》（国务院令第6</w:t>
      </w:r>
      <w:r>
        <w:rPr>
          <w:rFonts w:ascii="宋体" w:hAnsi="宋体" w:eastAsia="宋体" w:cs="Times New Roman"/>
          <w:b/>
          <w:color w:val="auto"/>
          <w:szCs w:val="21"/>
          <w:u w:val="single"/>
          <w:lang w:val="zh-CN"/>
        </w:rPr>
        <w:t>91</w:t>
      </w:r>
      <w:r>
        <w:rPr>
          <w:rFonts w:hint="eastAsia" w:ascii="宋体" w:hAnsi="宋体" w:eastAsia="宋体" w:cs="Times New Roman"/>
          <w:b/>
          <w:color w:val="auto"/>
          <w:szCs w:val="21"/>
          <w:u w:val="single"/>
          <w:lang w:val="zh-CN"/>
        </w:rPr>
        <w:t>号修订版）规定的销售额</w:t>
      </w:r>
      <w:r>
        <w:rPr>
          <w:rFonts w:hint="eastAsia" w:ascii="宋体" w:hAnsi="宋体" w:eastAsia="宋体" w:cs="Times New Roman"/>
          <w:color w:val="auto"/>
          <w:szCs w:val="21"/>
          <w:lang w:val="zh-CN"/>
        </w:rPr>
        <w:t>。本招标文件所称的不含税价和不含税暂定合同价是指不含本采购项目投标人的销项税额，包含了投标人完成合同义务（含投标人代缴代扣、分包及委外服务、安装、采购货物等所产生的价税）的其他全部费用。本采购项目的销项税额由招标人承担，不计入投标报价。</w:t>
      </w:r>
      <w:r>
        <w:rPr>
          <w:rFonts w:hint="eastAsia" w:ascii="宋体" w:hAnsi="宋体" w:eastAsia="宋体" w:cs="宋体"/>
          <w:color w:val="auto"/>
          <w:kern w:val="0"/>
          <w:szCs w:val="21"/>
        </w:rPr>
        <w:t>本采购项目投标报价已含投标人履行本招标内容全部义务的一切费用，包括但不限于：</w:t>
      </w:r>
    </w:p>
    <w:p w14:paraId="7C376E16">
      <w:pPr>
        <w:autoSpaceDE w:val="0"/>
        <w:autoSpaceDN w:val="0"/>
        <w:adjustRightInd w:val="0"/>
        <w:spacing w:line="360" w:lineRule="auto"/>
        <w:ind w:left="357" w:leftChars="-100" w:hanging="567"/>
        <w:rPr>
          <w:rFonts w:ascii="宋体" w:hAnsi="宋体" w:eastAsia="宋体" w:cs="宋体"/>
          <w:bCs/>
          <w:color w:val="auto"/>
          <w:szCs w:val="21"/>
        </w:rPr>
      </w:pPr>
      <w:r>
        <w:rPr>
          <w:rFonts w:hint="eastAsia" w:ascii="宋体" w:hAnsi="宋体" w:eastAsia="宋体" w:cs="宋体"/>
          <w:bCs/>
          <w:color w:val="auto"/>
          <w:szCs w:val="21"/>
        </w:rPr>
        <w:t>（1）货物及用户需求书采购清单中要求每项货物配备的附件、备品备件的采购、制造、检测、试验、送货、装卸（含二次搬运至</w:t>
      </w:r>
      <w:r>
        <w:rPr>
          <w:rFonts w:hint="eastAsia" w:ascii="宋体" w:hAnsi="宋体" w:eastAsia="宋体" w:cs="宋体"/>
          <w:bCs/>
          <w:color w:val="auto"/>
          <w:szCs w:val="21"/>
          <w:lang w:eastAsia="zh-CN"/>
        </w:rPr>
        <w:t>招标人（或招标人的下属公司）</w:t>
      </w:r>
      <w:r>
        <w:rPr>
          <w:rFonts w:hint="eastAsia" w:ascii="宋体" w:hAnsi="宋体" w:eastAsia="宋体" w:cs="宋体"/>
          <w:bCs/>
          <w:color w:val="auto"/>
          <w:szCs w:val="21"/>
        </w:rPr>
        <w:t>指定仓储地点）、包装费、运费、保险、现场仓储等相关服务的全部费用；</w:t>
      </w:r>
    </w:p>
    <w:p w14:paraId="2918C942">
      <w:pPr>
        <w:autoSpaceDE w:val="0"/>
        <w:autoSpaceDN w:val="0"/>
        <w:adjustRightInd w:val="0"/>
        <w:spacing w:line="360" w:lineRule="auto"/>
        <w:ind w:left="357" w:leftChars="-100" w:hanging="567"/>
        <w:rPr>
          <w:rFonts w:ascii="宋体" w:hAnsi="宋体" w:eastAsia="宋体" w:cs="宋体"/>
          <w:bCs/>
          <w:color w:val="auto"/>
          <w:szCs w:val="21"/>
        </w:rPr>
      </w:pPr>
      <w:r>
        <w:rPr>
          <w:rFonts w:hint="eastAsia" w:ascii="宋体" w:hAnsi="宋体" w:eastAsia="宋体" w:cs="宋体"/>
          <w:bCs/>
          <w:color w:val="auto"/>
          <w:szCs w:val="21"/>
        </w:rPr>
        <w:t>（2）免费的质保服务，包括但不限于质量问题处理或更换失效产品；</w:t>
      </w:r>
    </w:p>
    <w:p w14:paraId="3EF03462">
      <w:pPr>
        <w:autoSpaceDE w:val="0"/>
        <w:autoSpaceDN w:val="0"/>
        <w:adjustRightInd w:val="0"/>
        <w:spacing w:line="360" w:lineRule="auto"/>
        <w:ind w:left="357" w:leftChars="-100" w:hanging="567"/>
        <w:rPr>
          <w:rFonts w:ascii="宋体" w:hAnsi="宋体" w:eastAsia="宋体" w:cs="宋体"/>
          <w:bCs/>
          <w:color w:val="auto"/>
          <w:szCs w:val="21"/>
        </w:rPr>
      </w:pPr>
      <w:r>
        <w:rPr>
          <w:rFonts w:hint="eastAsia" w:ascii="宋体" w:hAnsi="宋体" w:eastAsia="宋体" w:cs="宋体"/>
          <w:bCs/>
          <w:color w:val="auto"/>
          <w:szCs w:val="21"/>
        </w:rPr>
        <w:t>（3）投标货物及其工艺所有制造方、使用方应支付的对专有技术、商标权、专利权和版权、设计或其他知识产权而需要向其他方支付的版税；</w:t>
      </w:r>
    </w:p>
    <w:p w14:paraId="721A1722">
      <w:pPr>
        <w:autoSpaceDE w:val="0"/>
        <w:autoSpaceDN w:val="0"/>
        <w:adjustRightInd w:val="0"/>
        <w:spacing w:line="360" w:lineRule="auto"/>
        <w:ind w:left="357" w:leftChars="-100" w:hanging="567"/>
        <w:rPr>
          <w:rFonts w:ascii="宋体" w:hAnsi="宋体" w:eastAsia="宋体" w:cs="宋体"/>
          <w:bCs/>
          <w:color w:val="auto"/>
          <w:szCs w:val="21"/>
        </w:rPr>
      </w:pPr>
      <w:r>
        <w:rPr>
          <w:rFonts w:hint="eastAsia" w:ascii="宋体" w:hAnsi="宋体" w:eastAsia="宋体" w:cs="宋体"/>
          <w:bCs/>
          <w:color w:val="auto"/>
          <w:szCs w:val="21"/>
        </w:rPr>
        <w:t>（4）货物验收合格前发生的安全事故所产生的一切费用；</w:t>
      </w:r>
    </w:p>
    <w:p w14:paraId="28F0C60F">
      <w:pPr>
        <w:autoSpaceDE w:val="0"/>
        <w:autoSpaceDN w:val="0"/>
        <w:adjustRightInd w:val="0"/>
        <w:spacing w:line="360" w:lineRule="auto"/>
        <w:ind w:left="357" w:leftChars="-100" w:hanging="567"/>
        <w:rPr>
          <w:rFonts w:ascii="宋体" w:hAnsi="宋体" w:eastAsia="宋体" w:cs="宋体"/>
          <w:bCs/>
          <w:color w:val="auto"/>
          <w:szCs w:val="21"/>
        </w:rPr>
      </w:pPr>
      <w:r>
        <w:rPr>
          <w:rFonts w:hint="eastAsia" w:ascii="宋体" w:hAnsi="宋体" w:eastAsia="宋体" w:cs="宋体"/>
          <w:bCs/>
          <w:color w:val="auto"/>
          <w:szCs w:val="21"/>
        </w:rPr>
        <w:t>（5）合理利润、投标人销项税额以外的税费等；</w:t>
      </w:r>
    </w:p>
    <w:p w14:paraId="34DB6A71">
      <w:pPr>
        <w:autoSpaceDE w:val="0"/>
        <w:autoSpaceDN w:val="0"/>
        <w:adjustRightInd w:val="0"/>
        <w:spacing w:line="360" w:lineRule="auto"/>
        <w:ind w:left="357" w:leftChars="-100" w:hanging="567"/>
        <w:rPr>
          <w:rFonts w:ascii="宋体" w:hAnsi="宋体" w:eastAsia="宋体" w:cs="宋体"/>
          <w:bCs/>
          <w:color w:val="auto"/>
          <w:szCs w:val="21"/>
        </w:rPr>
      </w:pPr>
      <w:r>
        <w:rPr>
          <w:rFonts w:hint="eastAsia" w:ascii="宋体" w:hAnsi="宋体" w:eastAsia="宋体" w:cs="宋体"/>
          <w:bCs/>
          <w:color w:val="auto"/>
          <w:szCs w:val="21"/>
        </w:rPr>
        <w:t>（6）法律法规、商业公认、招标文件规定由投标人承担的其他直接及间接费用。</w:t>
      </w:r>
    </w:p>
    <w:p w14:paraId="0B058311">
      <w:pPr>
        <w:autoSpaceDE w:val="0"/>
        <w:autoSpaceDN w:val="0"/>
        <w:adjustRightInd w:val="0"/>
        <w:spacing w:line="360" w:lineRule="auto"/>
        <w:ind w:left="357" w:leftChars="-100" w:hanging="567"/>
        <w:rPr>
          <w:rFonts w:ascii="宋体" w:hAnsi="宋体" w:eastAsia="宋体" w:cs="宋体"/>
          <w:color w:val="auto"/>
          <w:kern w:val="0"/>
          <w:szCs w:val="21"/>
        </w:rPr>
      </w:pPr>
      <w:r>
        <w:rPr>
          <w:rFonts w:hint="eastAsia" w:ascii="宋体" w:hAnsi="宋体" w:eastAsia="宋体" w:cs="宋体"/>
          <w:color w:val="auto"/>
          <w:kern w:val="0"/>
          <w:szCs w:val="21"/>
        </w:rPr>
        <w:t>11.3</w:t>
      </w:r>
      <w:r>
        <w:rPr>
          <w:rFonts w:ascii="宋体" w:hAnsi="宋体" w:eastAsia="宋体" w:cs="宋体"/>
          <w:color w:val="auto"/>
          <w:kern w:val="0"/>
          <w:szCs w:val="21"/>
        </w:rPr>
        <w:t xml:space="preserve"> </w:t>
      </w:r>
      <w:r>
        <w:rPr>
          <w:rFonts w:hint="eastAsia" w:ascii="宋体" w:hAnsi="宋体" w:eastAsia="宋体" w:cs="Times New Roman"/>
          <w:color w:val="auto"/>
          <w:szCs w:val="21"/>
          <w:lang w:val="zh-CN"/>
        </w:rPr>
        <w:t>投标人根据</w:t>
      </w:r>
      <w:r>
        <w:rPr>
          <w:color w:val="auto"/>
        </w:rPr>
        <w:fldChar w:fldCharType="begin"/>
      </w:r>
      <w:r>
        <w:rPr>
          <w:color w:val="auto"/>
        </w:rPr>
        <w:instrText xml:space="preserve"> HYPERLINK "file:///E:\\招标文件\\用户目录\\Documents\\WeChat%20Files\\wxid_d71qzxy6fjr811\\FileStorage\\File\\2021-09\\1、挂网资料、呈批表-抽取专家模板\\挂网资料（东莞市水务集团净水有限公司保安服务定点采购项目）\\挂网资料（东莞市长安锦厦三洲水质净化厂提标工程新增格栅机、闸门等设备采购项目）\\石鼓工作（201807）\\01%20%20项目资料\\Administrator\\AppData\\Roaming\\Microsoft\\Word\\AppData\\审核工作\\审核的文件\\l" </w:instrText>
      </w:r>
      <w:r>
        <w:rPr>
          <w:color w:val="auto"/>
        </w:rPr>
        <w:fldChar w:fldCharType="separate"/>
      </w:r>
      <w:r>
        <w:rPr>
          <w:rFonts w:hint="eastAsia" w:ascii="宋体" w:hAnsi="宋体" w:eastAsia="宋体" w:cs="Times New Roman"/>
          <w:color w:val="auto"/>
          <w:szCs w:val="21"/>
          <w:lang w:val="zh-CN"/>
        </w:rPr>
        <w:t>第</w:t>
      </w:r>
      <w:r>
        <w:rPr>
          <w:rFonts w:ascii="宋体" w:hAnsi="宋体" w:eastAsia="宋体" w:cs="Times New Roman"/>
          <w:color w:val="auto"/>
          <w:szCs w:val="21"/>
          <w:lang w:val="zh-CN"/>
        </w:rPr>
        <w:t>11.</w:t>
      </w:r>
      <w:r>
        <w:rPr>
          <w:rFonts w:hint="eastAsia" w:ascii="宋体" w:hAnsi="宋体" w:eastAsia="宋体" w:cs="Times New Roman"/>
          <w:color w:val="auto"/>
          <w:szCs w:val="21"/>
        </w:rPr>
        <w:t>2</w:t>
      </w:r>
      <w:r>
        <w:rPr>
          <w:rFonts w:hint="eastAsia" w:ascii="宋体" w:hAnsi="宋体" w:eastAsia="宋体" w:cs="Times New Roman"/>
          <w:color w:val="auto"/>
          <w:szCs w:val="21"/>
          <w:lang w:val="zh-CN"/>
        </w:rPr>
        <w:t>款</w:t>
      </w:r>
      <w:r>
        <w:rPr>
          <w:rFonts w:hint="eastAsia" w:ascii="宋体" w:hAnsi="宋体" w:eastAsia="宋体" w:cs="Times New Roman"/>
          <w:color w:val="auto"/>
          <w:szCs w:val="21"/>
          <w:lang w:val="zh-CN"/>
        </w:rPr>
        <w:fldChar w:fldCharType="end"/>
      </w:r>
      <w:r>
        <w:rPr>
          <w:rFonts w:hint="eastAsia" w:ascii="宋体" w:hAnsi="宋体" w:eastAsia="宋体" w:cs="Times New Roman"/>
          <w:color w:val="auto"/>
          <w:szCs w:val="21"/>
          <w:lang w:val="zh-CN"/>
        </w:rPr>
        <w:t>所报的价格分项仅供评标委员会评审时使用；在任何情况下不限制投标人以不同的条件中标的权利。</w:t>
      </w:r>
    </w:p>
    <w:p w14:paraId="2B08F43F">
      <w:pPr>
        <w:autoSpaceDE w:val="0"/>
        <w:autoSpaceDN w:val="0"/>
        <w:adjustRightInd w:val="0"/>
        <w:spacing w:line="360" w:lineRule="auto"/>
        <w:ind w:left="268" w:leftChars="-100" w:hanging="478" w:hangingChars="228"/>
        <w:jc w:val="left"/>
        <w:rPr>
          <w:rFonts w:ascii="宋体" w:hAnsi="宋体" w:eastAsia="宋体" w:cs="宋体"/>
          <w:color w:val="auto"/>
          <w:kern w:val="0"/>
          <w:szCs w:val="21"/>
        </w:rPr>
      </w:pPr>
      <w:r>
        <w:rPr>
          <w:rFonts w:hint="eastAsia" w:ascii="宋体" w:hAnsi="宋体" w:eastAsia="宋体" w:cs="宋体"/>
          <w:color w:val="auto"/>
          <w:kern w:val="0"/>
          <w:szCs w:val="21"/>
        </w:rPr>
        <w:t>11.4 在合同期间，投标报价不随国家政策或法规、标准、市场因素及采购数量的变化而进行调整</w:t>
      </w:r>
      <w:r>
        <w:rPr>
          <w:rFonts w:hint="eastAsia" w:ascii="宋体" w:hAnsi="宋体" w:eastAsia="宋体" w:cs="Times New Roman"/>
          <w:color w:val="auto"/>
          <w:kern w:val="0"/>
          <w:szCs w:val="21"/>
          <w:lang w:val="zh-CN"/>
        </w:rPr>
        <w:t>。</w:t>
      </w:r>
    </w:p>
    <w:p w14:paraId="54E608EE">
      <w:pPr>
        <w:autoSpaceDE w:val="0"/>
        <w:autoSpaceDN w:val="0"/>
        <w:adjustRightInd w:val="0"/>
        <w:spacing w:line="360" w:lineRule="auto"/>
        <w:ind w:left="357" w:leftChars="-100" w:hanging="567"/>
        <w:rPr>
          <w:rFonts w:ascii="宋体" w:hAnsi="宋体" w:eastAsia="宋体" w:cs="Times New Roman"/>
          <w:b/>
          <w:bCs/>
          <w:color w:val="auto"/>
          <w:szCs w:val="21"/>
          <w:lang w:val="zh-CN"/>
        </w:rPr>
      </w:pPr>
      <w:r>
        <w:rPr>
          <w:rFonts w:hint="eastAsia" w:ascii="宋体" w:hAnsi="宋体" w:eastAsia="宋体" w:cs="宋体"/>
          <w:color w:val="auto"/>
          <w:szCs w:val="21"/>
          <w:lang w:val="zh-CN"/>
        </w:rPr>
        <w:t xml:space="preserve">11.5 </w:t>
      </w:r>
      <w:r>
        <w:rPr>
          <w:rFonts w:hint="eastAsia" w:ascii="宋体" w:hAnsi="宋体" w:eastAsia="宋体" w:cs="Times New Roman"/>
          <w:b/>
          <w:bCs/>
          <w:color w:val="auto"/>
          <w:szCs w:val="21"/>
          <w:lang w:val="zh-CN"/>
        </w:rPr>
        <w:t>合同项下，招标人需要的货物及</w:t>
      </w:r>
      <w:r>
        <w:rPr>
          <w:rFonts w:hint="eastAsia" w:ascii="宋体" w:hAnsi="宋体" w:eastAsia="宋体" w:cs="Times New Roman"/>
          <w:b/>
          <w:bCs/>
          <w:color w:val="auto"/>
          <w:szCs w:val="21"/>
        </w:rPr>
        <w:t>有关</w:t>
      </w:r>
      <w:r>
        <w:rPr>
          <w:rFonts w:hint="eastAsia" w:ascii="宋体" w:hAnsi="宋体" w:eastAsia="宋体" w:cs="Times New Roman"/>
          <w:b/>
          <w:bCs/>
          <w:color w:val="auto"/>
          <w:szCs w:val="21"/>
          <w:lang w:val="zh-CN"/>
        </w:rPr>
        <w:t>服务所需的费用，投标人都应计入投标</w:t>
      </w:r>
      <w:r>
        <w:rPr>
          <w:rFonts w:hint="eastAsia" w:ascii="宋体" w:hAnsi="宋体" w:eastAsia="宋体" w:cs="Times New Roman"/>
          <w:b/>
          <w:bCs/>
          <w:color w:val="auto"/>
          <w:szCs w:val="21"/>
        </w:rPr>
        <w:t>总价</w:t>
      </w:r>
      <w:r>
        <w:rPr>
          <w:rFonts w:hint="eastAsia" w:ascii="宋体" w:hAnsi="宋体" w:eastAsia="宋体" w:cs="Times New Roman"/>
          <w:b/>
          <w:bCs/>
          <w:color w:val="auto"/>
          <w:szCs w:val="21"/>
          <w:lang w:val="zh-CN"/>
        </w:rPr>
        <w:t>。</w:t>
      </w:r>
    </w:p>
    <w:p w14:paraId="5C60D260">
      <w:pPr>
        <w:autoSpaceDE w:val="0"/>
        <w:autoSpaceDN w:val="0"/>
        <w:adjustRightInd w:val="0"/>
        <w:spacing w:line="360" w:lineRule="auto"/>
        <w:ind w:left="357" w:leftChars="-100" w:hanging="567"/>
        <w:rPr>
          <w:rFonts w:ascii="宋体" w:hAnsi="宋体" w:eastAsia="宋体" w:cs="宋体"/>
          <w:b/>
          <w:color w:val="auto"/>
          <w:szCs w:val="21"/>
          <w:lang w:val="zh-CN"/>
        </w:rPr>
      </w:pPr>
      <w:r>
        <w:rPr>
          <w:rFonts w:hint="eastAsia" w:ascii="宋体" w:hAnsi="宋体" w:eastAsia="宋体" w:cs="宋体"/>
          <w:color w:val="auto"/>
          <w:szCs w:val="21"/>
          <w:lang w:val="zh-CN"/>
        </w:rPr>
        <w:t>11.6</w:t>
      </w:r>
      <w:r>
        <w:rPr>
          <w:rFonts w:hint="eastAsia" w:ascii="宋体" w:hAnsi="宋体" w:eastAsia="宋体" w:cs="Times New Roman"/>
          <w:b/>
          <w:bCs/>
          <w:color w:val="auto"/>
          <w:szCs w:val="21"/>
          <w:u w:val="single"/>
        </w:rPr>
        <w:t xml:space="preserve"> </w:t>
      </w:r>
      <w:r>
        <w:rPr>
          <w:rFonts w:hint="eastAsia" w:ascii="宋体" w:hAnsi="宋体" w:eastAsia="宋体" w:cs="宋体"/>
          <w:b/>
          <w:color w:val="auto"/>
          <w:szCs w:val="21"/>
          <w:u w:val="single"/>
          <w:lang w:val="zh-CN"/>
        </w:rPr>
        <w:t>投标人的折扣系数报价不得超过1.00，且不能为0.00或负数，投标人未按招标文件要求进行折扣系数报价的，该投标人的投标文件将被视为无效投标。折扣系数报价需保留小数点后两位，否则评标委员会按去“尾”或补“零”的方式进行修正为保留小数点后两位，投标人须接受被修正后的报价（例：如投标折扣系数为0.789，则被修正为0.78；如投标折扣系数为0.7，则被修正为0.70）。本项目不含税暂定采购金额为5</w:t>
      </w:r>
      <w:r>
        <w:rPr>
          <w:rFonts w:hint="eastAsia" w:ascii="宋体" w:hAnsi="宋体" w:eastAsia="宋体" w:cs="宋体"/>
          <w:b/>
          <w:color w:val="auto"/>
          <w:szCs w:val="21"/>
          <w:u w:val="single"/>
          <w:lang w:val="en-US" w:eastAsia="zh-CN"/>
        </w:rPr>
        <w:t>,</w:t>
      </w:r>
      <w:r>
        <w:rPr>
          <w:rFonts w:hint="eastAsia" w:ascii="宋体" w:hAnsi="宋体" w:eastAsia="宋体" w:cs="宋体"/>
          <w:b/>
          <w:color w:val="auto"/>
          <w:szCs w:val="21"/>
          <w:u w:val="single"/>
          <w:lang w:val="zh-CN"/>
        </w:rPr>
        <w:t>176</w:t>
      </w:r>
      <w:r>
        <w:rPr>
          <w:rFonts w:hint="eastAsia" w:ascii="宋体" w:hAnsi="宋体" w:eastAsia="宋体" w:cs="宋体"/>
          <w:b/>
          <w:color w:val="auto"/>
          <w:szCs w:val="21"/>
          <w:u w:val="single"/>
          <w:lang w:val="en-US" w:eastAsia="zh-CN"/>
        </w:rPr>
        <w:t>,</w:t>
      </w:r>
      <w:r>
        <w:rPr>
          <w:rFonts w:hint="eastAsia" w:ascii="宋体" w:hAnsi="宋体" w:eastAsia="宋体" w:cs="宋体"/>
          <w:b/>
          <w:color w:val="auto"/>
          <w:szCs w:val="21"/>
          <w:u w:val="single"/>
          <w:lang w:val="zh-CN"/>
        </w:rPr>
        <w:t>153.48元(大写:人民币</w:t>
      </w:r>
      <w:r>
        <w:rPr>
          <w:rFonts w:hint="eastAsia" w:ascii="宋体" w:hAnsi="宋体" w:eastAsia="宋体" w:cs="宋体"/>
          <w:b/>
          <w:color w:val="auto"/>
          <w:szCs w:val="21"/>
          <w:u w:val="single"/>
          <w:lang w:val="en-US" w:eastAsia="zh-CN"/>
        </w:rPr>
        <w:t>伍佰壹拾柒万陆仟壹佰伍拾叁元肆角捌分</w:t>
      </w:r>
      <w:r>
        <w:rPr>
          <w:rFonts w:hint="eastAsia" w:ascii="宋体" w:hAnsi="宋体" w:eastAsia="宋体" w:cs="宋体"/>
          <w:b/>
          <w:color w:val="auto"/>
          <w:szCs w:val="21"/>
          <w:u w:val="single"/>
          <w:lang w:val="zh-CN"/>
        </w:rPr>
        <w:t>）。</w:t>
      </w:r>
    </w:p>
    <w:p w14:paraId="0FD7E26D">
      <w:pPr>
        <w:autoSpaceDE w:val="0"/>
        <w:autoSpaceDN w:val="0"/>
        <w:adjustRightInd w:val="0"/>
        <w:spacing w:line="360" w:lineRule="auto"/>
        <w:ind w:left="357" w:leftChars="-100" w:hanging="567"/>
        <w:rPr>
          <w:rFonts w:ascii="宋体" w:hAnsi="宋体" w:eastAsia="宋体" w:cs="宋体"/>
          <w:color w:val="auto"/>
          <w:szCs w:val="21"/>
        </w:rPr>
      </w:pPr>
      <w:r>
        <w:rPr>
          <w:rFonts w:ascii="宋体" w:hAnsi="宋体" w:eastAsia="宋体" w:cs="宋体"/>
          <w:color w:val="auto"/>
          <w:szCs w:val="21"/>
          <w:lang w:val="zh-CN"/>
        </w:rPr>
        <w:t xml:space="preserve">     </w:t>
      </w:r>
    </w:p>
    <w:p w14:paraId="0A9C8532">
      <w:pPr>
        <w:autoSpaceDE w:val="0"/>
        <w:autoSpaceDN w:val="0"/>
        <w:adjustRightInd w:val="0"/>
        <w:spacing w:line="360" w:lineRule="auto"/>
        <w:ind w:left="357" w:leftChars="-100" w:hanging="567"/>
        <w:jc w:val="left"/>
        <w:outlineLvl w:val="2"/>
        <w:rPr>
          <w:rFonts w:ascii="宋体" w:hAnsi="宋体" w:eastAsia="宋体" w:cs="宋体"/>
          <w:b/>
          <w:color w:val="auto"/>
          <w:szCs w:val="21"/>
          <w:lang w:val="zh-CN"/>
        </w:rPr>
      </w:pPr>
      <w:bookmarkStart w:id="136" w:name="_Toc173182271"/>
      <w:bookmarkStart w:id="137" w:name="_Toc14068"/>
      <w:bookmarkStart w:id="138" w:name="_Toc486167676"/>
      <w:bookmarkStart w:id="139" w:name="_Toc450662862"/>
      <w:bookmarkStart w:id="140" w:name="_Toc142508326"/>
      <w:bookmarkStart w:id="141" w:name="_Toc30042_WPSOffice_Level3"/>
      <w:bookmarkStart w:id="142" w:name="_Toc25685"/>
      <w:r>
        <w:rPr>
          <w:rFonts w:hint="eastAsia" w:ascii="宋体" w:hAnsi="宋体" w:eastAsia="宋体" w:cs="宋体"/>
          <w:b/>
          <w:color w:val="auto"/>
          <w:szCs w:val="21"/>
          <w:lang w:val="zh-CN"/>
        </w:rPr>
        <w:t>12</w:t>
      </w:r>
      <w:r>
        <w:rPr>
          <w:rFonts w:ascii="宋体" w:hAnsi="宋体" w:eastAsia="宋体" w:cs="宋体"/>
          <w:b/>
          <w:color w:val="auto"/>
          <w:szCs w:val="21"/>
          <w:lang w:val="zh-CN"/>
        </w:rPr>
        <w:t xml:space="preserve"> </w:t>
      </w:r>
      <w:r>
        <w:rPr>
          <w:rFonts w:hint="eastAsia" w:ascii="宋体" w:hAnsi="宋体" w:eastAsia="宋体" w:cs="宋体"/>
          <w:b/>
          <w:color w:val="auto"/>
          <w:szCs w:val="21"/>
          <w:lang w:val="zh-CN"/>
        </w:rPr>
        <w:t>投标报价货币</w:t>
      </w:r>
      <w:bookmarkEnd w:id="136"/>
      <w:bookmarkEnd w:id="137"/>
      <w:bookmarkEnd w:id="138"/>
      <w:bookmarkEnd w:id="139"/>
      <w:bookmarkEnd w:id="140"/>
      <w:bookmarkEnd w:id="141"/>
      <w:bookmarkEnd w:id="142"/>
    </w:p>
    <w:p w14:paraId="4B776A0C">
      <w:pPr>
        <w:autoSpaceDE w:val="0"/>
        <w:autoSpaceDN w:val="0"/>
        <w:adjustRightInd w:val="0"/>
        <w:spacing w:line="360" w:lineRule="auto"/>
        <w:ind w:left="265" w:leftChars="119" w:hanging="15"/>
        <w:rPr>
          <w:rFonts w:ascii="宋体" w:hAnsi="宋体" w:eastAsia="宋体" w:cs="宋体"/>
          <w:b/>
          <w:color w:val="auto"/>
          <w:szCs w:val="21"/>
          <w:lang w:val="zh-CN"/>
        </w:rPr>
      </w:pPr>
      <w:r>
        <w:rPr>
          <w:rFonts w:hint="eastAsia" w:ascii="宋体" w:hAnsi="宋体" w:eastAsia="宋体" w:cs="宋体"/>
          <w:b/>
          <w:color w:val="auto"/>
          <w:szCs w:val="21"/>
          <w:lang w:val="zh-CN"/>
        </w:rPr>
        <w:t>投标</w:t>
      </w:r>
      <w:r>
        <w:rPr>
          <w:rFonts w:hint="eastAsia" w:ascii="宋体" w:hAnsi="宋体" w:eastAsia="宋体" w:cs="Times New Roman"/>
          <w:b/>
          <w:color w:val="auto"/>
          <w:szCs w:val="21"/>
          <w:lang w:val="zh-CN"/>
        </w:rPr>
        <w:t>报价表上的价格须以人民币报价，以其</w:t>
      </w:r>
      <w:r>
        <w:rPr>
          <w:rFonts w:hint="eastAsia" w:ascii="宋体" w:hAnsi="宋体" w:eastAsia="宋体" w:cs="Times New Roman"/>
          <w:b/>
          <w:color w:val="auto"/>
          <w:szCs w:val="21"/>
        </w:rPr>
        <w:t>他</w:t>
      </w:r>
      <w:r>
        <w:rPr>
          <w:rFonts w:hint="eastAsia" w:ascii="宋体" w:hAnsi="宋体" w:eastAsia="宋体" w:cs="Times New Roman"/>
          <w:b/>
          <w:color w:val="auto"/>
          <w:szCs w:val="21"/>
          <w:lang w:val="zh-CN"/>
        </w:rPr>
        <w:t>货币标价的投标将予以拒绝</w:t>
      </w:r>
      <w:r>
        <w:rPr>
          <w:rFonts w:hint="eastAsia" w:ascii="宋体" w:hAnsi="宋体" w:eastAsia="宋体" w:cs="宋体"/>
          <w:b/>
          <w:color w:val="auto"/>
          <w:szCs w:val="21"/>
          <w:lang w:val="zh-CN"/>
        </w:rPr>
        <w:t>。</w:t>
      </w:r>
    </w:p>
    <w:p w14:paraId="6A15D633">
      <w:pPr>
        <w:autoSpaceDE w:val="0"/>
        <w:autoSpaceDN w:val="0"/>
        <w:adjustRightInd w:val="0"/>
        <w:spacing w:line="360" w:lineRule="auto"/>
        <w:ind w:left="265" w:leftChars="119" w:hanging="15"/>
        <w:rPr>
          <w:rFonts w:ascii="宋体" w:hAnsi="宋体" w:eastAsia="宋体" w:cs="宋体"/>
          <w:color w:val="auto"/>
          <w:szCs w:val="21"/>
        </w:rPr>
      </w:pPr>
    </w:p>
    <w:p w14:paraId="0F85ADD2">
      <w:pPr>
        <w:tabs>
          <w:tab w:val="left" w:pos="570"/>
        </w:tabs>
        <w:autoSpaceDE w:val="0"/>
        <w:autoSpaceDN w:val="0"/>
        <w:adjustRightInd w:val="0"/>
        <w:spacing w:line="360" w:lineRule="auto"/>
        <w:ind w:left="357" w:leftChars="-100" w:hanging="567"/>
        <w:jc w:val="left"/>
        <w:outlineLvl w:val="2"/>
        <w:rPr>
          <w:rFonts w:ascii="宋体" w:hAnsi="宋体" w:eastAsia="宋体" w:cs="宋体"/>
          <w:color w:val="auto"/>
          <w:szCs w:val="21"/>
          <w:lang w:val="zh-CN"/>
        </w:rPr>
      </w:pPr>
      <w:bookmarkStart w:id="143" w:name="_Toc25596"/>
      <w:bookmarkStart w:id="144" w:name="_Toc486167677"/>
      <w:bookmarkStart w:id="145" w:name="_Toc450662863"/>
      <w:bookmarkStart w:id="146" w:name="_Toc142508327"/>
      <w:bookmarkStart w:id="147" w:name="_Toc173182272"/>
      <w:bookmarkStart w:id="148" w:name="_Toc9411_WPSOffice_Level3"/>
      <w:bookmarkStart w:id="149" w:name="_Toc32605"/>
      <w:r>
        <w:rPr>
          <w:rFonts w:hint="eastAsia" w:ascii="宋体" w:hAnsi="宋体" w:eastAsia="宋体" w:cs="宋体"/>
          <w:color w:val="auto"/>
          <w:szCs w:val="21"/>
          <w:lang w:val="zh-CN"/>
        </w:rPr>
        <w:t>13</w:t>
      </w:r>
      <w:r>
        <w:rPr>
          <w:rFonts w:ascii="宋体" w:hAnsi="宋体" w:eastAsia="宋体" w:cs="宋体"/>
          <w:color w:val="auto"/>
          <w:szCs w:val="21"/>
          <w:lang w:val="zh-CN"/>
        </w:rPr>
        <w:t xml:space="preserve"> </w:t>
      </w:r>
      <w:r>
        <w:rPr>
          <w:rFonts w:hint="eastAsia" w:ascii="宋体" w:hAnsi="宋体" w:eastAsia="宋体" w:cs="宋体"/>
          <w:color w:val="auto"/>
          <w:szCs w:val="21"/>
          <w:lang w:val="zh-CN"/>
        </w:rPr>
        <w:t>证明投标人的合格性和资格的声明文件</w:t>
      </w:r>
      <w:bookmarkEnd w:id="143"/>
      <w:bookmarkEnd w:id="144"/>
      <w:bookmarkEnd w:id="145"/>
      <w:bookmarkEnd w:id="146"/>
      <w:bookmarkEnd w:id="147"/>
      <w:bookmarkEnd w:id="148"/>
      <w:bookmarkEnd w:id="149"/>
    </w:p>
    <w:p w14:paraId="53367222">
      <w:pPr>
        <w:tabs>
          <w:tab w:val="left" w:pos="567"/>
        </w:tabs>
        <w:autoSpaceDE w:val="0"/>
        <w:autoSpaceDN w:val="0"/>
        <w:adjustRightInd w:val="0"/>
        <w:spacing w:line="360" w:lineRule="auto"/>
        <w:ind w:left="357" w:leftChars="-100" w:hanging="567"/>
        <w:rPr>
          <w:rFonts w:ascii="宋体" w:hAnsi="宋体" w:eastAsia="宋体" w:cs="宋体"/>
          <w:color w:val="auto"/>
          <w:szCs w:val="21"/>
          <w:lang w:val="zh-CN"/>
        </w:rPr>
      </w:pPr>
      <w:r>
        <w:rPr>
          <w:rFonts w:hint="eastAsia" w:ascii="宋体" w:hAnsi="宋体" w:eastAsia="宋体" w:cs="宋体"/>
          <w:color w:val="auto"/>
          <w:szCs w:val="21"/>
          <w:lang w:val="zh-CN"/>
        </w:rPr>
        <w:t>13.1</w:t>
      </w:r>
      <w:r>
        <w:rPr>
          <w:rFonts w:hint="eastAsia" w:ascii="宋体" w:hAnsi="宋体" w:eastAsia="宋体" w:cs="宋体"/>
          <w:color w:val="auto"/>
          <w:szCs w:val="21"/>
          <w:lang w:val="zh-CN"/>
        </w:rPr>
        <w:tab/>
      </w:r>
      <w:r>
        <w:rPr>
          <w:rFonts w:hint="eastAsia" w:ascii="宋体" w:hAnsi="宋体" w:eastAsia="宋体" w:cs="宋体"/>
          <w:color w:val="auto"/>
          <w:szCs w:val="21"/>
          <w:lang w:val="zh-CN"/>
        </w:rPr>
        <w:t>根据第2条、第13.2款规定，投标人须提交证明其有资格进行投标和有能力履行合同的文件，作为投标文件的一部分。</w:t>
      </w:r>
    </w:p>
    <w:p w14:paraId="22F3829A">
      <w:pPr>
        <w:autoSpaceDE w:val="0"/>
        <w:autoSpaceDN w:val="0"/>
        <w:adjustRightInd w:val="0"/>
        <w:spacing w:line="360" w:lineRule="auto"/>
        <w:ind w:left="357" w:leftChars="-100" w:hanging="567"/>
        <w:rPr>
          <w:rFonts w:ascii="宋体" w:hAnsi="宋体" w:eastAsia="宋体" w:cs="宋体"/>
          <w:color w:val="auto"/>
          <w:szCs w:val="21"/>
          <w:vertAlign w:val="superscript"/>
          <w:lang w:val="zh-CN"/>
        </w:rPr>
      </w:pPr>
      <w:r>
        <w:rPr>
          <w:rFonts w:hint="eastAsia" w:ascii="宋体" w:hAnsi="宋体" w:eastAsia="宋体" w:cs="宋体"/>
          <w:color w:val="auto"/>
          <w:szCs w:val="21"/>
          <w:lang w:val="zh-CN"/>
        </w:rPr>
        <w:t>13.2</w:t>
      </w:r>
      <w:r>
        <w:rPr>
          <w:rFonts w:hint="eastAsia" w:ascii="宋体" w:hAnsi="宋体" w:eastAsia="宋体" w:cs="宋体"/>
          <w:color w:val="auto"/>
          <w:szCs w:val="21"/>
          <w:lang w:val="zh-CN"/>
        </w:rPr>
        <w:tab/>
      </w:r>
      <w:r>
        <w:rPr>
          <w:rFonts w:hint="eastAsia" w:ascii="宋体" w:hAnsi="宋体" w:eastAsia="宋体" w:cs="宋体"/>
          <w:color w:val="auto"/>
          <w:szCs w:val="21"/>
          <w:lang w:val="zh-CN"/>
        </w:rPr>
        <w:t>投标人提供的履行合同的资格声明文件应符合：</w:t>
      </w:r>
    </w:p>
    <w:p w14:paraId="05FBF6AC">
      <w:pPr>
        <w:autoSpaceDE w:val="0"/>
        <w:autoSpaceDN w:val="0"/>
        <w:adjustRightInd w:val="0"/>
        <w:spacing w:line="360" w:lineRule="auto"/>
        <w:ind w:left="357" w:leftChars="-100" w:hanging="567"/>
        <w:rPr>
          <w:rFonts w:ascii="宋体" w:hAnsi="宋体" w:eastAsia="宋体" w:cs="宋体"/>
          <w:color w:val="auto"/>
          <w:szCs w:val="21"/>
          <w:lang w:val="zh-CN"/>
        </w:rPr>
      </w:pPr>
      <w:r>
        <w:rPr>
          <w:rFonts w:hint="eastAsia" w:ascii="宋体" w:hAnsi="宋体" w:eastAsia="宋体" w:cs="宋体"/>
          <w:color w:val="auto"/>
          <w:szCs w:val="21"/>
          <w:lang w:val="zh-CN"/>
        </w:rPr>
        <w:t>（1）符合《中华人民共和国招标投标法》《中华人民共和国招标投标法实施条例》投标人应当具备的条件；</w:t>
      </w:r>
    </w:p>
    <w:p w14:paraId="344E3588">
      <w:pPr>
        <w:autoSpaceDE w:val="0"/>
        <w:autoSpaceDN w:val="0"/>
        <w:adjustRightInd w:val="0"/>
        <w:spacing w:line="360" w:lineRule="auto"/>
        <w:ind w:left="357" w:leftChars="-100" w:hanging="567"/>
        <w:rPr>
          <w:rFonts w:ascii="宋体" w:hAnsi="宋体" w:eastAsia="宋体" w:cs="宋体"/>
          <w:color w:val="auto"/>
          <w:szCs w:val="21"/>
          <w:lang w:val="zh-CN"/>
        </w:rPr>
      </w:pPr>
      <w:r>
        <w:rPr>
          <w:rFonts w:hint="eastAsia" w:ascii="宋体" w:hAnsi="宋体" w:eastAsia="宋体" w:cs="宋体"/>
          <w:color w:val="auto"/>
          <w:szCs w:val="21"/>
          <w:lang w:val="zh-CN"/>
        </w:rPr>
        <w:t>（2）投标人具有履行本项目所必须的证明文件；</w:t>
      </w:r>
    </w:p>
    <w:p w14:paraId="6EF8A803">
      <w:pPr>
        <w:autoSpaceDE w:val="0"/>
        <w:autoSpaceDN w:val="0"/>
        <w:adjustRightInd w:val="0"/>
        <w:spacing w:line="360" w:lineRule="auto"/>
        <w:ind w:left="357" w:leftChars="-100" w:hanging="567"/>
        <w:rPr>
          <w:rFonts w:ascii="宋体" w:hAnsi="宋体" w:eastAsia="宋体" w:cs="宋体"/>
          <w:color w:val="auto"/>
          <w:szCs w:val="21"/>
          <w:lang w:val="zh-CN"/>
        </w:rPr>
      </w:pPr>
      <w:r>
        <w:rPr>
          <w:rFonts w:hint="eastAsia" w:ascii="宋体" w:hAnsi="宋体" w:eastAsia="宋体" w:cs="宋体"/>
          <w:color w:val="auto"/>
          <w:szCs w:val="21"/>
          <w:lang w:val="zh-CN"/>
        </w:rPr>
        <w:t>（3）投标人证明其相应资格</w:t>
      </w:r>
      <w:r>
        <w:rPr>
          <w:rFonts w:hint="eastAsia" w:ascii="宋体" w:hAnsi="宋体" w:eastAsia="宋体" w:cs="Times New Roman"/>
          <w:color w:val="auto"/>
          <w:szCs w:val="21"/>
          <w:lang w:val="zh-CN"/>
        </w:rPr>
        <w:t>符合或</w:t>
      </w:r>
      <w:r>
        <w:rPr>
          <w:rFonts w:hint="eastAsia" w:ascii="宋体" w:hAnsi="宋体" w:eastAsia="宋体" w:cs="宋体"/>
          <w:color w:val="auto"/>
          <w:szCs w:val="21"/>
          <w:lang w:val="zh-CN"/>
        </w:rPr>
        <w:t>优于招标文件要求的其它文件。</w:t>
      </w:r>
    </w:p>
    <w:p w14:paraId="341F6E94">
      <w:pPr>
        <w:spacing w:line="360" w:lineRule="auto"/>
        <w:ind w:left="315" w:leftChars="-100" w:hanging="525" w:hangingChars="250"/>
        <w:rPr>
          <w:rFonts w:ascii="宋体" w:hAnsi="宋体" w:eastAsia="宋体" w:cs="宋体"/>
          <w:color w:val="auto"/>
          <w:szCs w:val="21"/>
          <w:lang w:val="zh-CN"/>
        </w:rPr>
      </w:pPr>
      <w:r>
        <w:rPr>
          <w:rFonts w:hint="eastAsia" w:ascii="宋体" w:hAnsi="宋体" w:eastAsia="宋体" w:cs="宋体"/>
          <w:color w:val="auto"/>
          <w:szCs w:val="21"/>
          <w:lang w:val="zh-CN"/>
        </w:rPr>
        <w:t>13.3</w:t>
      </w:r>
      <w:r>
        <w:rPr>
          <w:rFonts w:ascii="宋体" w:hAnsi="宋体" w:eastAsia="宋体" w:cs="宋体"/>
          <w:color w:val="auto"/>
          <w:szCs w:val="21"/>
          <w:lang w:val="zh-CN"/>
        </w:rPr>
        <w:t xml:space="preserve"> </w:t>
      </w:r>
      <w:r>
        <w:rPr>
          <w:rFonts w:hint="eastAsia" w:ascii="宋体" w:hAnsi="宋体" w:eastAsia="宋体" w:cs="宋体"/>
          <w:color w:val="auto"/>
          <w:szCs w:val="21"/>
          <w:lang w:val="zh-CN"/>
        </w:rPr>
        <w:t>投标人</w:t>
      </w:r>
      <w:r>
        <w:rPr>
          <w:rFonts w:hint="eastAsia" w:ascii="宋体" w:hAnsi="宋体" w:eastAsia="宋体" w:cs="Times New Roman"/>
          <w:color w:val="auto"/>
          <w:szCs w:val="21"/>
          <w:lang w:val="zh-CN"/>
        </w:rPr>
        <w:t>根据招标文件载明的货物及有关服务要求的实际情况，拟在中标后将中标项目的非主体、非关键性专业工作交由他人完成的，应当在投标文件中载明，并提供他人的资质、能力证明材料</w:t>
      </w:r>
      <w:r>
        <w:rPr>
          <w:rFonts w:hint="eastAsia" w:ascii="宋体" w:hAnsi="宋体" w:eastAsia="宋体" w:cs="宋体"/>
          <w:color w:val="auto"/>
          <w:szCs w:val="21"/>
          <w:lang w:val="zh-CN"/>
        </w:rPr>
        <w:t>。</w:t>
      </w:r>
    </w:p>
    <w:p w14:paraId="363C391B">
      <w:pPr>
        <w:autoSpaceDE w:val="0"/>
        <w:autoSpaceDN w:val="0"/>
        <w:adjustRightInd w:val="0"/>
        <w:spacing w:line="360" w:lineRule="auto"/>
        <w:ind w:left="560" w:leftChars="128" w:hanging="291" w:hangingChars="139"/>
        <w:rPr>
          <w:rFonts w:ascii="宋体" w:hAnsi="宋体" w:eastAsia="宋体" w:cs="宋体"/>
          <w:color w:val="auto"/>
          <w:szCs w:val="21"/>
        </w:rPr>
      </w:pPr>
    </w:p>
    <w:p w14:paraId="61C81A80">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lang w:val="zh-CN"/>
        </w:rPr>
      </w:pPr>
      <w:bookmarkStart w:id="150" w:name="_Toc30441"/>
      <w:bookmarkStart w:id="151" w:name="_Toc142508328"/>
      <w:bookmarkStart w:id="152" w:name="_Toc27771_WPSOffice_Level3"/>
      <w:bookmarkStart w:id="153" w:name="_Toc173182273"/>
      <w:bookmarkStart w:id="154" w:name="_Toc486167678"/>
      <w:bookmarkStart w:id="155" w:name="_Toc450662864"/>
      <w:bookmarkStart w:id="156" w:name="_Toc13658"/>
      <w:r>
        <w:rPr>
          <w:rFonts w:hint="eastAsia" w:ascii="宋体" w:hAnsi="宋体" w:eastAsia="宋体" w:cs="宋体"/>
          <w:color w:val="auto"/>
          <w:szCs w:val="21"/>
          <w:lang w:val="zh-CN"/>
        </w:rPr>
        <w:t>14</w:t>
      </w:r>
      <w:r>
        <w:rPr>
          <w:rFonts w:ascii="宋体" w:hAnsi="宋体" w:eastAsia="宋体" w:cs="宋体"/>
          <w:color w:val="auto"/>
          <w:szCs w:val="21"/>
          <w:lang w:val="zh-CN"/>
        </w:rPr>
        <w:t xml:space="preserve"> </w:t>
      </w:r>
      <w:r>
        <w:rPr>
          <w:rFonts w:hint="eastAsia" w:ascii="宋体" w:hAnsi="宋体" w:eastAsia="宋体" w:cs="宋体"/>
          <w:color w:val="auto"/>
          <w:szCs w:val="21"/>
          <w:lang w:val="zh-CN"/>
        </w:rPr>
        <w:t>证明货物的合格性并符合招标文件规定的声明文件</w:t>
      </w:r>
      <w:bookmarkEnd w:id="150"/>
      <w:bookmarkEnd w:id="151"/>
      <w:bookmarkEnd w:id="152"/>
      <w:bookmarkEnd w:id="153"/>
      <w:bookmarkEnd w:id="154"/>
      <w:bookmarkEnd w:id="155"/>
      <w:bookmarkEnd w:id="156"/>
    </w:p>
    <w:p w14:paraId="085A8A9C">
      <w:pPr>
        <w:spacing w:line="360" w:lineRule="auto"/>
        <w:ind w:left="315" w:leftChars="-100" w:hanging="525" w:hangingChars="250"/>
        <w:rPr>
          <w:rFonts w:ascii="宋体" w:hAnsi="宋体" w:eastAsia="宋体" w:cs="宋体"/>
          <w:color w:val="auto"/>
          <w:szCs w:val="21"/>
          <w:lang w:val="zh-CN"/>
        </w:rPr>
      </w:pPr>
      <w:r>
        <w:rPr>
          <w:rFonts w:hint="eastAsia" w:ascii="宋体" w:hAnsi="宋体" w:eastAsia="宋体" w:cs="宋体"/>
          <w:color w:val="auto"/>
          <w:szCs w:val="21"/>
          <w:lang w:val="zh-CN"/>
        </w:rPr>
        <w:t>14.1</w:t>
      </w:r>
      <w:r>
        <w:rPr>
          <w:rFonts w:hint="eastAsia" w:ascii="宋体" w:hAnsi="宋体" w:eastAsia="宋体" w:cs="宋体"/>
          <w:color w:val="auto"/>
          <w:szCs w:val="21"/>
          <w:lang w:val="zh-CN"/>
        </w:rPr>
        <w:tab/>
      </w:r>
      <w:r>
        <w:rPr>
          <w:rFonts w:hint="eastAsia" w:ascii="宋体" w:hAnsi="宋体" w:eastAsia="宋体" w:cs="宋体"/>
          <w:color w:val="auto"/>
          <w:szCs w:val="21"/>
          <w:lang w:val="zh-CN"/>
        </w:rPr>
        <w:t>根据</w:t>
      </w:r>
      <w:r>
        <w:rPr>
          <w:rFonts w:hint="eastAsia" w:ascii="宋体" w:hAnsi="宋体" w:eastAsia="宋体" w:cs="宋体"/>
          <w:color w:val="auto"/>
          <w:kern w:val="0"/>
          <w:szCs w:val="21"/>
        </w:rPr>
        <w:t>第9</w:t>
      </w:r>
      <w:r>
        <w:rPr>
          <w:rFonts w:hint="eastAsia" w:ascii="宋体" w:hAnsi="宋体" w:eastAsia="宋体" w:cs="宋体"/>
          <w:color w:val="auto"/>
          <w:szCs w:val="21"/>
          <w:lang w:val="zh-CN"/>
        </w:rPr>
        <w:t>条规定，投标人须提交证明其拟供货物的合格性并符合招标文件规定的声明文件，作为投标文件的一部分。</w:t>
      </w:r>
    </w:p>
    <w:p w14:paraId="5AE37815">
      <w:pPr>
        <w:spacing w:line="360" w:lineRule="auto"/>
        <w:ind w:left="315" w:leftChars="-100" w:hanging="525" w:hangingChars="250"/>
        <w:rPr>
          <w:rFonts w:ascii="宋体" w:hAnsi="宋体" w:eastAsia="宋体" w:cs="宋体"/>
          <w:color w:val="auto"/>
          <w:szCs w:val="21"/>
          <w:lang w:val="zh-CN"/>
        </w:rPr>
      </w:pPr>
      <w:r>
        <w:rPr>
          <w:rFonts w:hint="eastAsia" w:ascii="宋体" w:hAnsi="宋体" w:eastAsia="宋体" w:cs="宋体"/>
          <w:color w:val="auto"/>
          <w:szCs w:val="21"/>
          <w:lang w:val="zh-CN"/>
        </w:rPr>
        <w:t>14.2 证明</w:t>
      </w:r>
      <w:r>
        <w:rPr>
          <w:rFonts w:hint="eastAsia" w:ascii="宋体" w:hAnsi="宋体" w:eastAsia="宋体" w:cs="宋体"/>
          <w:color w:val="auto"/>
          <w:kern w:val="0"/>
          <w:szCs w:val="21"/>
        </w:rPr>
        <w:t>货物及有关服务</w:t>
      </w:r>
      <w:r>
        <w:rPr>
          <w:rFonts w:hint="eastAsia" w:ascii="宋体" w:hAnsi="宋体" w:eastAsia="宋体" w:cs="宋体"/>
          <w:color w:val="auto"/>
          <w:szCs w:val="21"/>
          <w:lang w:val="zh-CN"/>
        </w:rPr>
        <w:t>与招标文件的要求相一致的文件可以是文字资料、图纸和数据资料。</w:t>
      </w:r>
    </w:p>
    <w:p w14:paraId="11163654">
      <w:pPr>
        <w:autoSpaceDE w:val="0"/>
        <w:autoSpaceDN w:val="0"/>
        <w:adjustRightInd w:val="0"/>
        <w:spacing w:line="360" w:lineRule="auto"/>
        <w:ind w:left="317" w:leftChars="-100" w:hanging="527" w:hangingChars="251"/>
        <w:rPr>
          <w:rFonts w:ascii="宋体" w:hAnsi="宋体" w:eastAsia="宋体" w:cs="宋体"/>
          <w:b/>
          <w:color w:val="auto"/>
          <w:szCs w:val="21"/>
          <w:lang w:val="zh-CN"/>
        </w:rPr>
      </w:pPr>
      <w:r>
        <w:rPr>
          <w:rFonts w:hint="eastAsia" w:ascii="宋体" w:hAnsi="宋体" w:eastAsia="宋体" w:cs="宋体"/>
          <w:color w:val="auto"/>
          <w:szCs w:val="21"/>
          <w:lang w:val="zh-CN"/>
        </w:rPr>
        <w:t xml:space="preserve">14.3 </w:t>
      </w:r>
      <w:r>
        <w:rPr>
          <w:rFonts w:hint="eastAsia" w:ascii="宋体" w:hAnsi="宋体" w:eastAsia="宋体" w:cs="宋体"/>
          <w:b/>
          <w:color w:val="auto"/>
          <w:szCs w:val="21"/>
          <w:lang w:val="zh-CN"/>
        </w:rPr>
        <w:t>为说明第14.2款的规定，</w:t>
      </w:r>
      <w:r>
        <w:rPr>
          <w:rFonts w:hint="eastAsia" w:ascii="宋体" w:hAnsi="宋体" w:eastAsia="宋体" w:cs="Times New Roman"/>
          <w:b/>
          <w:color w:val="auto"/>
          <w:szCs w:val="21"/>
          <w:lang w:val="zh-CN"/>
        </w:rPr>
        <w:t>投标人应注意本招标文件在《用户需求书》中对货物的性能配置、技术参数、技术要求所描述的特征或说明只是概括性的，不能理解为所需要的全部产品工序的要求，投标人应按行业技术、质量和以往的研究、货物生产制造、售后服务经验，合格优质的完成采购内容和包含的全部服务。用户需求书中所有列出的相关货物技术要求和推荐品牌不是唯一指定，仅作参考，即投标人可就货物提出替代标准，只要相当于(或优于)规定的货物品质和性能等技术参数要求，并提供满足本招标文件要求的证明材料，则视为合格。但</w:t>
      </w:r>
      <w:r>
        <w:rPr>
          <w:rFonts w:ascii="宋体" w:hAnsi="宋体" w:eastAsia="宋体" w:cs="Times New Roman"/>
          <w:b/>
          <w:color w:val="auto"/>
          <w:szCs w:val="21"/>
          <w:lang w:val="zh-CN"/>
        </w:rPr>
        <w:t>凡标有“</w:t>
      </w:r>
      <w:r>
        <w:rPr>
          <w:rFonts w:hint="eastAsia" w:ascii="宋体" w:hAnsi="宋体" w:eastAsia="宋体" w:cs="Times New Roman"/>
          <w:b/>
          <w:color w:val="auto"/>
          <w:szCs w:val="21"/>
          <w:lang w:val="zh-CN"/>
        </w:rPr>
        <w:t>★</w:t>
      </w:r>
      <w:r>
        <w:rPr>
          <w:rFonts w:ascii="宋体" w:hAnsi="宋体" w:eastAsia="宋体" w:cs="Times New Roman"/>
          <w:b/>
          <w:color w:val="auto"/>
          <w:szCs w:val="21"/>
          <w:lang w:val="zh-CN"/>
        </w:rPr>
        <w:t>”的地方均被视为重要的技术指标要求或性能要求。投标</w:t>
      </w:r>
      <w:r>
        <w:rPr>
          <w:rFonts w:hint="eastAsia" w:ascii="宋体" w:hAnsi="宋体" w:eastAsia="宋体" w:cs="Times New Roman"/>
          <w:b/>
          <w:color w:val="auto"/>
          <w:szCs w:val="21"/>
          <w:lang w:val="zh-CN"/>
        </w:rPr>
        <w:t>人</w:t>
      </w:r>
      <w:r>
        <w:rPr>
          <w:rFonts w:ascii="宋体" w:hAnsi="宋体" w:eastAsia="宋体" w:cs="Times New Roman"/>
          <w:b/>
          <w:color w:val="auto"/>
          <w:szCs w:val="21"/>
          <w:lang w:val="zh-CN"/>
        </w:rPr>
        <w:t>要特别加以注意，必须对此回答并完全满足这些要求</w:t>
      </w:r>
      <w:r>
        <w:rPr>
          <w:rFonts w:hint="eastAsia" w:ascii="宋体" w:hAnsi="宋体" w:eastAsia="宋体" w:cs="Times New Roman"/>
          <w:b/>
          <w:color w:val="auto"/>
          <w:szCs w:val="21"/>
          <w:lang w:val="zh-CN"/>
        </w:rPr>
        <w:t>，</w:t>
      </w:r>
      <w:r>
        <w:rPr>
          <w:rFonts w:ascii="宋体" w:hAnsi="宋体" w:eastAsia="宋体" w:cs="Times New Roman"/>
          <w:b/>
          <w:color w:val="auto"/>
          <w:szCs w:val="21"/>
          <w:lang w:val="zh-CN"/>
        </w:rPr>
        <w:t>否则若有一项带“</w:t>
      </w:r>
      <w:r>
        <w:rPr>
          <w:rFonts w:hint="eastAsia" w:ascii="宋体" w:hAnsi="宋体" w:eastAsia="宋体" w:cs="Times New Roman"/>
          <w:b/>
          <w:color w:val="auto"/>
          <w:szCs w:val="21"/>
          <w:lang w:val="zh-CN"/>
        </w:rPr>
        <w:t>★</w:t>
      </w:r>
      <w:r>
        <w:rPr>
          <w:rFonts w:ascii="宋体" w:hAnsi="宋体" w:eastAsia="宋体" w:cs="Times New Roman"/>
          <w:b/>
          <w:color w:val="auto"/>
          <w:szCs w:val="21"/>
          <w:lang w:val="zh-CN"/>
        </w:rPr>
        <w:t>”的指标未响应或不满足，将按</w:t>
      </w:r>
      <w:r>
        <w:rPr>
          <w:rFonts w:hint="eastAsia" w:ascii="宋体" w:hAnsi="宋体" w:eastAsia="宋体" w:cs="Times New Roman"/>
          <w:b/>
          <w:color w:val="auto"/>
          <w:szCs w:val="21"/>
          <w:lang w:val="zh-CN"/>
        </w:rPr>
        <w:t>无效投标</w:t>
      </w:r>
      <w:r>
        <w:rPr>
          <w:rFonts w:ascii="宋体" w:hAnsi="宋体" w:eastAsia="宋体" w:cs="Times New Roman"/>
          <w:b/>
          <w:color w:val="auto"/>
          <w:szCs w:val="21"/>
          <w:lang w:val="zh-CN"/>
        </w:rPr>
        <w:t>处理</w:t>
      </w:r>
      <w:r>
        <w:rPr>
          <w:rFonts w:hint="eastAsia" w:ascii="宋体" w:hAnsi="宋体" w:eastAsia="宋体" w:cs="宋体"/>
          <w:b/>
          <w:color w:val="auto"/>
          <w:szCs w:val="21"/>
          <w:lang w:val="zh-CN"/>
        </w:rPr>
        <w:t>。</w:t>
      </w:r>
    </w:p>
    <w:p w14:paraId="09887FC6">
      <w:pPr>
        <w:autoSpaceDE w:val="0"/>
        <w:autoSpaceDN w:val="0"/>
        <w:adjustRightInd w:val="0"/>
        <w:spacing w:line="360" w:lineRule="auto"/>
        <w:ind w:left="392" w:leftChars="-100" w:hanging="602" w:hangingChars="251"/>
        <w:rPr>
          <w:rFonts w:ascii="宋体" w:hAnsi="宋体" w:eastAsia="宋体" w:cs="Times New Roman"/>
          <w:color w:val="auto"/>
          <w:kern w:val="0"/>
          <w:sz w:val="24"/>
          <w:szCs w:val="24"/>
        </w:rPr>
      </w:pPr>
    </w:p>
    <w:p w14:paraId="6CA064EE">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lang w:val="zh-CN"/>
        </w:rPr>
      </w:pPr>
      <w:bookmarkStart w:id="157" w:name="_Toc142508329"/>
      <w:bookmarkStart w:id="158" w:name="_Toc5356_WPSOffice_Level3"/>
      <w:bookmarkStart w:id="159" w:name="_Toc486167679"/>
      <w:bookmarkStart w:id="160" w:name="_Toc24774"/>
      <w:bookmarkStart w:id="161" w:name="_Toc173182274"/>
      <w:bookmarkStart w:id="162" w:name="_Toc599"/>
      <w:r>
        <w:rPr>
          <w:rFonts w:hint="eastAsia" w:ascii="宋体" w:hAnsi="宋体" w:eastAsia="宋体" w:cs="宋体"/>
          <w:color w:val="auto"/>
          <w:szCs w:val="21"/>
          <w:lang w:val="zh-CN"/>
        </w:rPr>
        <w:t>15</w:t>
      </w:r>
      <w:r>
        <w:rPr>
          <w:rFonts w:ascii="宋体" w:hAnsi="宋体" w:eastAsia="宋体" w:cs="宋体"/>
          <w:color w:val="auto"/>
          <w:szCs w:val="21"/>
          <w:lang w:val="zh-CN"/>
        </w:rPr>
        <w:t xml:space="preserve"> </w:t>
      </w:r>
      <w:r>
        <w:rPr>
          <w:rFonts w:hint="eastAsia" w:ascii="宋体" w:hAnsi="宋体" w:eastAsia="宋体" w:cs="宋体"/>
          <w:color w:val="auto"/>
          <w:szCs w:val="21"/>
          <w:lang w:val="zh-CN"/>
        </w:rPr>
        <w:t>投标保证金</w:t>
      </w:r>
      <w:bookmarkEnd w:id="157"/>
      <w:bookmarkEnd w:id="158"/>
      <w:bookmarkEnd w:id="159"/>
      <w:bookmarkEnd w:id="160"/>
      <w:bookmarkEnd w:id="161"/>
      <w:bookmarkEnd w:id="162"/>
    </w:p>
    <w:p w14:paraId="1559617F">
      <w:pPr>
        <w:tabs>
          <w:tab w:val="left" w:pos="567"/>
        </w:tabs>
        <w:autoSpaceDE w:val="0"/>
        <w:autoSpaceDN w:val="0"/>
        <w:adjustRightInd w:val="0"/>
        <w:spacing w:line="360" w:lineRule="auto"/>
        <w:ind w:left="357" w:leftChars="-100" w:hanging="567"/>
        <w:jc w:val="left"/>
        <w:rPr>
          <w:rFonts w:ascii="宋体" w:hAnsi="宋体" w:eastAsia="宋体" w:cs="宋体"/>
          <w:color w:val="auto"/>
          <w:kern w:val="0"/>
          <w:szCs w:val="21"/>
        </w:rPr>
      </w:pPr>
      <w:r>
        <w:rPr>
          <w:rFonts w:hint="eastAsia" w:ascii="宋体" w:hAnsi="宋体" w:eastAsia="宋体" w:cs="宋体"/>
          <w:bCs/>
          <w:color w:val="auto"/>
          <w:kern w:val="0"/>
          <w:szCs w:val="21"/>
          <w:lang w:val="zh-CN"/>
        </w:rPr>
        <w:t>15.1</w:t>
      </w:r>
      <w:r>
        <w:rPr>
          <w:rFonts w:ascii="宋体" w:hAnsi="宋体" w:eastAsia="宋体" w:cs="宋体"/>
          <w:b/>
          <w:bCs/>
          <w:color w:val="auto"/>
          <w:kern w:val="0"/>
          <w:szCs w:val="21"/>
          <w:lang w:val="zh-CN"/>
        </w:rPr>
        <w:t xml:space="preserve"> </w:t>
      </w:r>
      <w:r>
        <w:rPr>
          <w:rFonts w:hint="eastAsia" w:ascii="宋体" w:hAnsi="宋体" w:eastAsia="宋体" w:cs="宋体"/>
          <w:b/>
          <w:bCs/>
          <w:color w:val="auto"/>
          <w:kern w:val="0"/>
          <w:szCs w:val="21"/>
          <w:u w:val="single"/>
          <w:lang w:val="zh-CN"/>
        </w:rPr>
        <w:t>投标人投标时须附有投标保证金</w:t>
      </w:r>
      <w:r>
        <w:rPr>
          <w:rFonts w:hint="eastAsia" w:ascii="宋体" w:hAnsi="宋体" w:eastAsia="宋体" w:cs="宋体"/>
          <w:b/>
          <w:bCs/>
          <w:color w:val="auto"/>
          <w:kern w:val="0"/>
          <w:szCs w:val="21"/>
          <w:u w:val="single"/>
          <w:lang w:val="en-US" w:eastAsia="zh-CN"/>
        </w:rPr>
        <w:t>100,000.00</w:t>
      </w:r>
      <w:r>
        <w:rPr>
          <w:rFonts w:hint="eastAsia" w:ascii="宋体" w:hAnsi="宋体" w:eastAsia="宋体" w:cs="宋体"/>
          <w:b/>
          <w:color w:val="auto"/>
          <w:kern w:val="0"/>
          <w:szCs w:val="21"/>
          <w:u w:val="single"/>
        </w:rPr>
        <w:t>元（大写：人民币</w:t>
      </w:r>
      <w:r>
        <w:rPr>
          <w:rFonts w:hint="eastAsia" w:ascii="宋体" w:hAnsi="宋体" w:eastAsia="宋体" w:cs="宋体"/>
          <w:b/>
          <w:color w:val="auto"/>
          <w:kern w:val="0"/>
          <w:szCs w:val="21"/>
          <w:u w:val="single"/>
          <w:lang w:eastAsia="zh-CN"/>
        </w:rPr>
        <w:t>壹拾万元整</w:t>
      </w:r>
      <w:r>
        <w:rPr>
          <w:rFonts w:hint="eastAsia" w:ascii="宋体" w:hAnsi="宋体" w:eastAsia="宋体" w:cs="宋体"/>
          <w:b/>
          <w:color w:val="auto"/>
          <w:kern w:val="0"/>
          <w:szCs w:val="21"/>
          <w:u w:val="single"/>
        </w:rPr>
        <w:t>）</w:t>
      </w:r>
      <w:r>
        <w:rPr>
          <w:rFonts w:hint="eastAsia" w:ascii="宋体" w:hAnsi="宋体" w:eastAsia="宋体" w:cs="宋体"/>
          <w:b/>
          <w:color w:val="auto"/>
          <w:kern w:val="0"/>
          <w:szCs w:val="21"/>
        </w:rPr>
        <w:t>。</w:t>
      </w:r>
    </w:p>
    <w:p w14:paraId="43F716BB">
      <w:pPr>
        <w:spacing w:line="360" w:lineRule="auto"/>
        <w:ind w:left="315" w:leftChars="-100" w:hanging="525" w:hangingChars="250"/>
        <w:rPr>
          <w:rFonts w:ascii="宋体" w:hAnsi="宋体" w:eastAsia="宋体" w:cs="宋体"/>
          <w:b/>
          <w:color w:val="auto"/>
          <w:kern w:val="0"/>
          <w:szCs w:val="21"/>
        </w:rPr>
      </w:pPr>
      <w:r>
        <w:rPr>
          <w:rFonts w:hint="eastAsia" w:ascii="宋体" w:hAnsi="宋体" w:eastAsia="宋体" w:cs="宋体"/>
          <w:bCs/>
          <w:color w:val="auto"/>
          <w:kern w:val="0"/>
          <w:szCs w:val="21"/>
          <w:lang w:val="zh-CN"/>
        </w:rPr>
        <w:t xml:space="preserve">15.2 </w:t>
      </w:r>
      <w:r>
        <w:rPr>
          <w:rFonts w:hint="eastAsia" w:ascii="宋体" w:hAnsi="宋体" w:eastAsia="宋体" w:cs="宋体"/>
          <w:color w:val="auto"/>
          <w:szCs w:val="21"/>
          <w:lang w:val="zh-CN"/>
        </w:rPr>
        <w:t>投标人</w:t>
      </w:r>
      <w:r>
        <w:rPr>
          <w:rFonts w:hint="eastAsia" w:ascii="宋体" w:hAnsi="宋体" w:eastAsia="宋体" w:cs="宋体"/>
          <w:color w:val="auto"/>
          <w:kern w:val="0"/>
          <w:szCs w:val="21"/>
        </w:rPr>
        <w:t>应按要求提交投标保证金，</w:t>
      </w:r>
      <w:r>
        <w:rPr>
          <w:rFonts w:hint="eastAsia" w:ascii="宋体" w:hAnsi="宋体" w:eastAsia="宋体" w:cs="Times New Roman"/>
          <w:b/>
          <w:color w:val="auto"/>
          <w:kern w:val="0"/>
          <w:szCs w:val="21"/>
          <w:u w:val="single"/>
        </w:rPr>
        <w:t>投标人必须通过本单位银行基本账户采用银行转账、电汇形式缴交，投标人与交款人名称必须一致，非投标人缴纳的或未通过其基本账户提交的投标保证金无效</w:t>
      </w:r>
      <w:r>
        <w:rPr>
          <w:rFonts w:hint="eastAsia" w:ascii="宋体" w:hAnsi="宋体" w:eastAsia="宋体" w:cs="宋体"/>
          <w:b/>
          <w:color w:val="auto"/>
          <w:kern w:val="0"/>
          <w:szCs w:val="21"/>
        </w:rPr>
        <w:t>。</w:t>
      </w:r>
    </w:p>
    <w:p w14:paraId="2988A3DE">
      <w:pPr>
        <w:tabs>
          <w:tab w:val="left" w:pos="567"/>
        </w:tabs>
        <w:autoSpaceDE w:val="0"/>
        <w:autoSpaceDN w:val="0"/>
        <w:adjustRightInd w:val="0"/>
        <w:spacing w:line="360" w:lineRule="auto"/>
        <w:ind w:left="357" w:leftChars="-100" w:hanging="567"/>
        <w:jc w:val="left"/>
        <w:rPr>
          <w:rFonts w:ascii="宋体" w:hAnsi="宋体" w:eastAsia="宋体" w:cs="宋体"/>
          <w:bCs/>
          <w:color w:val="auto"/>
          <w:kern w:val="0"/>
          <w:szCs w:val="21"/>
          <w:lang w:val="zh-CN"/>
        </w:rPr>
      </w:pPr>
      <w:r>
        <w:rPr>
          <w:rFonts w:hint="eastAsia" w:ascii="宋体" w:hAnsi="宋体" w:eastAsia="宋体" w:cs="宋体"/>
          <w:bCs/>
          <w:color w:val="auto"/>
          <w:kern w:val="0"/>
          <w:szCs w:val="21"/>
          <w:lang w:val="zh-CN"/>
        </w:rPr>
        <w:t>15.3 提交保证金时应符合下列规定：</w:t>
      </w:r>
    </w:p>
    <w:p w14:paraId="3AA6F972">
      <w:pPr>
        <w:spacing w:line="360" w:lineRule="auto"/>
        <w:ind w:firstLine="777" w:firstLineChars="370"/>
        <w:rPr>
          <w:rFonts w:ascii="宋体" w:hAnsi="宋体" w:eastAsia="宋体" w:cs="宋体"/>
          <w:color w:val="auto"/>
          <w:kern w:val="0"/>
          <w:szCs w:val="21"/>
        </w:rPr>
      </w:pPr>
      <w:r>
        <w:rPr>
          <w:rFonts w:hint="eastAsia" w:ascii="宋体" w:hAnsi="宋体" w:eastAsia="宋体" w:cs="宋体"/>
          <w:color w:val="auto"/>
          <w:kern w:val="0"/>
          <w:szCs w:val="21"/>
        </w:rPr>
        <w:t>必须通过本单位基本账户采用银行转账、电汇方式提交，且在递交投标文件截止时间前</w:t>
      </w:r>
      <w:r>
        <w:rPr>
          <w:rFonts w:hint="eastAsia" w:ascii="宋体" w:hAnsi="宋体" w:eastAsia="宋体" w:cs="Times New Roman"/>
          <w:color w:val="auto"/>
          <w:kern w:val="0"/>
          <w:szCs w:val="21"/>
        </w:rPr>
        <w:t>到达</w:t>
      </w:r>
      <w:r>
        <w:rPr>
          <w:rFonts w:hint="eastAsia" w:ascii="宋体" w:hAnsi="宋体" w:eastAsia="宋体" w:cs="宋体"/>
          <w:color w:val="auto"/>
          <w:kern w:val="0"/>
          <w:szCs w:val="21"/>
        </w:rPr>
        <w:t>以下账户上</w:t>
      </w:r>
      <w:r>
        <w:rPr>
          <w:rFonts w:hint="eastAsia" w:ascii="宋体" w:hAnsi="宋体" w:eastAsia="宋体" w:cs="宋体"/>
          <w:b/>
          <w:bCs/>
          <w:color w:val="auto"/>
          <w:kern w:val="0"/>
          <w:szCs w:val="21"/>
        </w:rPr>
        <w:t>并注明招标编号</w:t>
      </w:r>
      <w:r>
        <w:rPr>
          <w:rFonts w:hint="eastAsia" w:ascii="宋体" w:hAnsi="宋体" w:eastAsia="宋体" w:cs="宋体"/>
          <w:color w:val="auto"/>
          <w:kern w:val="0"/>
          <w:szCs w:val="21"/>
        </w:rPr>
        <w:t>。</w:t>
      </w:r>
    </w:p>
    <w:p w14:paraId="5D91AE96">
      <w:pPr>
        <w:autoSpaceDE w:val="0"/>
        <w:autoSpaceDN w:val="0"/>
        <w:adjustRightInd w:val="0"/>
        <w:spacing w:line="360" w:lineRule="auto"/>
        <w:ind w:left="225" w:leftChars="107" w:firstLine="489" w:firstLineChars="233"/>
        <w:jc w:val="left"/>
        <w:rPr>
          <w:rFonts w:ascii="宋体" w:hAnsi="宋体" w:eastAsia="宋体" w:cs="Times New Roman"/>
          <w:color w:val="auto"/>
          <w:kern w:val="0"/>
          <w:szCs w:val="21"/>
          <w:lang w:val="zh-CN"/>
        </w:rPr>
      </w:pPr>
      <w:r>
        <w:rPr>
          <w:rFonts w:hint="eastAsia" w:ascii="宋体" w:hAnsi="宋体" w:eastAsia="宋体" w:cs="Times New Roman"/>
          <w:color w:val="auto"/>
          <w:kern w:val="0"/>
          <w:szCs w:val="21"/>
          <w:lang w:val="zh-CN"/>
        </w:rPr>
        <w:t>开户名称：东莞市水务集团有限公司</w:t>
      </w:r>
    </w:p>
    <w:p w14:paraId="4E4D1E2A">
      <w:pPr>
        <w:autoSpaceDE w:val="0"/>
        <w:autoSpaceDN w:val="0"/>
        <w:adjustRightInd w:val="0"/>
        <w:spacing w:line="360" w:lineRule="auto"/>
        <w:ind w:left="225" w:leftChars="107" w:firstLine="489" w:firstLineChars="233"/>
        <w:jc w:val="left"/>
        <w:rPr>
          <w:rFonts w:ascii="宋体" w:hAnsi="宋体" w:eastAsia="宋体" w:cs="Times New Roman"/>
          <w:b/>
          <w:bCs/>
          <w:color w:val="auto"/>
          <w:kern w:val="0"/>
          <w:szCs w:val="21"/>
          <w:lang w:val="zh-CN"/>
        </w:rPr>
      </w:pPr>
      <w:r>
        <w:rPr>
          <w:rFonts w:hint="eastAsia" w:ascii="宋体" w:hAnsi="宋体" w:eastAsia="宋体" w:cs="Times New Roman"/>
          <w:color w:val="auto"/>
          <w:kern w:val="0"/>
          <w:szCs w:val="21"/>
          <w:lang w:val="zh-CN"/>
        </w:rPr>
        <w:t>开户银行：东莞农村商业银行中心支行</w:t>
      </w:r>
    </w:p>
    <w:p w14:paraId="71601416">
      <w:pPr>
        <w:autoSpaceDE w:val="0"/>
        <w:autoSpaceDN w:val="0"/>
        <w:adjustRightInd w:val="0"/>
        <w:spacing w:line="360" w:lineRule="auto"/>
        <w:ind w:left="225" w:leftChars="107" w:firstLine="489" w:firstLineChars="233"/>
        <w:jc w:val="left"/>
        <w:rPr>
          <w:rFonts w:ascii="宋体" w:hAnsi="宋体" w:eastAsia="宋体" w:cs="Times New Roman"/>
          <w:b/>
          <w:bCs/>
          <w:color w:val="auto"/>
          <w:kern w:val="0"/>
          <w:szCs w:val="21"/>
          <w:u w:val="single"/>
        </w:rPr>
      </w:pPr>
      <w:r>
        <w:rPr>
          <w:rFonts w:hint="eastAsia" w:ascii="宋体" w:hAnsi="宋体" w:eastAsia="宋体" w:cs="Times New Roman"/>
          <w:color w:val="auto"/>
          <w:kern w:val="0"/>
          <w:szCs w:val="21"/>
          <w:lang w:val="zh-CN"/>
        </w:rPr>
        <w:t>银行账号：380010190010046195</w:t>
      </w:r>
    </w:p>
    <w:p w14:paraId="017BD887">
      <w:pPr>
        <w:spacing w:line="360" w:lineRule="auto"/>
        <w:ind w:left="210" w:leftChars="100" w:firstLine="211" w:firstLineChars="100"/>
        <w:rPr>
          <w:rFonts w:ascii="宋体" w:hAnsi="宋体" w:eastAsia="宋体" w:cs="宋体"/>
          <w:b/>
          <w:color w:val="auto"/>
          <w:kern w:val="0"/>
          <w:szCs w:val="21"/>
        </w:rPr>
      </w:pPr>
      <w:r>
        <w:rPr>
          <w:rFonts w:hint="eastAsia" w:ascii="宋体" w:hAnsi="宋体" w:eastAsia="宋体" w:cs="宋体"/>
          <w:b/>
          <w:color w:val="auto"/>
          <w:kern w:val="0"/>
          <w:szCs w:val="21"/>
          <w:u w:val="single"/>
        </w:rPr>
        <w:t>投标保证金未按规定时间到达指定账户或提交金额不足的，将被视为无效投标保证金</w:t>
      </w:r>
      <w:r>
        <w:rPr>
          <w:rFonts w:hint="eastAsia" w:ascii="宋体" w:hAnsi="宋体" w:eastAsia="宋体" w:cs="宋体"/>
          <w:b/>
          <w:color w:val="auto"/>
          <w:kern w:val="0"/>
          <w:szCs w:val="21"/>
        </w:rPr>
        <w:t>。</w:t>
      </w:r>
    </w:p>
    <w:p w14:paraId="0AD73B34">
      <w:pPr>
        <w:autoSpaceDE w:val="0"/>
        <w:autoSpaceDN w:val="0"/>
        <w:adjustRightInd w:val="0"/>
        <w:spacing w:line="360" w:lineRule="auto"/>
        <w:ind w:left="357" w:leftChars="-100" w:hanging="567" w:hangingChars="270"/>
        <w:jc w:val="left"/>
        <w:rPr>
          <w:rFonts w:ascii="宋体" w:hAnsi="宋体" w:eastAsia="宋体" w:cs="宋体"/>
          <w:b/>
          <w:bCs/>
          <w:color w:val="auto"/>
          <w:kern w:val="0"/>
          <w:szCs w:val="24"/>
        </w:rPr>
      </w:pPr>
      <w:r>
        <w:rPr>
          <w:rFonts w:hint="eastAsia" w:ascii="宋体" w:hAnsi="宋体" w:eastAsia="宋体" w:cs="宋体"/>
          <w:bCs/>
          <w:color w:val="auto"/>
          <w:szCs w:val="21"/>
          <w:lang w:val="zh-CN"/>
        </w:rPr>
        <w:t>15.4</w:t>
      </w:r>
      <w:r>
        <w:rPr>
          <w:rFonts w:ascii="宋体" w:hAnsi="宋体" w:eastAsia="宋体" w:cs="宋体"/>
          <w:bCs/>
          <w:color w:val="auto"/>
          <w:szCs w:val="21"/>
          <w:lang w:val="zh-CN"/>
        </w:rPr>
        <w:t xml:space="preserve"> </w:t>
      </w:r>
      <w:r>
        <w:rPr>
          <w:rFonts w:hint="eastAsia" w:ascii="宋体" w:hAnsi="宋体" w:eastAsia="宋体" w:cs="宋体"/>
          <w:b/>
          <w:color w:val="auto"/>
          <w:kern w:val="0"/>
          <w:szCs w:val="24"/>
          <w:u w:val="single"/>
        </w:rPr>
        <w:t>任何未按第15.1款、第15.2款、第15.3款规定提交投标保证金的投标，将被视为无效投标</w:t>
      </w:r>
      <w:r>
        <w:rPr>
          <w:rFonts w:hint="eastAsia" w:ascii="宋体" w:hAnsi="宋体" w:eastAsia="宋体" w:cs="宋体"/>
          <w:b/>
          <w:color w:val="auto"/>
          <w:kern w:val="0"/>
          <w:szCs w:val="24"/>
        </w:rPr>
        <w:t>。</w:t>
      </w:r>
    </w:p>
    <w:p w14:paraId="71FB68FD">
      <w:pPr>
        <w:spacing w:line="360" w:lineRule="auto"/>
        <w:ind w:left="315" w:leftChars="-100" w:hanging="525" w:hangingChars="250"/>
        <w:rPr>
          <w:rFonts w:ascii="宋体" w:hAnsi="宋体" w:eastAsia="宋体" w:cs="宋体"/>
          <w:color w:val="auto"/>
          <w:kern w:val="0"/>
          <w:szCs w:val="21"/>
        </w:rPr>
      </w:pPr>
      <w:r>
        <w:rPr>
          <w:rFonts w:hint="eastAsia" w:ascii="宋体" w:hAnsi="宋体" w:eastAsia="宋体" w:cs="宋体"/>
          <w:bCs/>
          <w:color w:val="auto"/>
          <w:szCs w:val="21"/>
          <w:lang w:val="zh-CN"/>
        </w:rPr>
        <w:t xml:space="preserve">15.5 </w:t>
      </w:r>
      <w:r>
        <w:rPr>
          <w:rFonts w:hint="eastAsia" w:ascii="宋体" w:hAnsi="宋体" w:eastAsia="宋体" w:cs="宋体"/>
          <w:color w:val="auto"/>
          <w:kern w:val="0"/>
          <w:szCs w:val="21"/>
        </w:rPr>
        <w:t>未</w:t>
      </w:r>
      <w:r>
        <w:rPr>
          <w:rFonts w:hint="eastAsia" w:ascii="宋体" w:hAnsi="宋体" w:eastAsia="宋体" w:cs="宋体"/>
          <w:color w:val="auto"/>
          <w:szCs w:val="21"/>
          <w:lang w:val="zh-CN"/>
        </w:rPr>
        <w:t>中标</w:t>
      </w:r>
      <w:r>
        <w:rPr>
          <w:rFonts w:hint="eastAsia" w:ascii="宋体" w:hAnsi="宋体" w:eastAsia="宋体" w:cs="宋体"/>
          <w:color w:val="auto"/>
          <w:kern w:val="0"/>
          <w:szCs w:val="21"/>
        </w:rPr>
        <w:t>的投标人的投标保证金，最迟应在本项目的书面合同签订后5日内，按照其投标保证金支付凭证上注明的收款人名称和账号予以退还，除非</w:t>
      </w:r>
      <w:r>
        <w:rPr>
          <w:rFonts w:hint="eastAsia" w:ascii="宋体" w:hAnsi="宋体" w:eastAsia="宋体" w:cs="Times New Roman"/>
          <w:color w:val="auto"/>
          <w:kern w:val="0"/>
          <w:szCs w:val="21"/>
        </w:rPr>
        <w:t>投标保证金</w:t>
      </w:r>
      <w:r>
        <w:rPr>
          <w:rFonts w:hint="eastAsia" w:ascii="宋体" w:hAnsi="宋体" w:eastAsia="宋体" w:cs="宋体"/>
          <w:color w:val="auto"/>
          <w:kern w:val="0"/>
          <w:szCs w:val="21"/>
        </w:rPr>
        <w:t>有效期已延长。</w:t>
      </w:r>
    </w:p>
    <w:p w14:paraId="27D83EB8">
      <w:pPr>
        <w:spacing w:line="360" w:lineRule="auto"/>
        <w:ind w:left="357" w:leftChars="-100" w:hanging="567" w:hangingChars="270"/>
        <w:rPr>
          <w:rFonts w:ascii="宋体" w:hAnsi="宋体" w:eastAsia="宋体" w:cs="宋体"/>
          <w:color w:val="auto"/>
          <w:kern w:val="0"/>
          <w:szCs w:val="21"/>
        </w:rPr>
      </w:pPr>
      <w:r>
        <w:rPr>
          <w:rFonts w:hint="eastAsia" w:ascii="宋体" w:hAnsi="宋体" w:eastAsia="宋体" w:cs="宋体"/>
          <w:bCs/>
          <w:color w:val="auto"/>
          <w:szCs w:val="21"/>
          <w:lang w:val="zh-CN"/>
        </w:rPr>
        <w:t xml:space="preserve">15.6 </w:t>
      </w:r>
      <w:r>
        <w:rPr>
          <w:rFonts w:hint="eastAsia" w:ascii="宋体" w:hAnsi="宋体" w:eastAsia="宋体" w:cs="宋体"/>
          <w:color w:val="auto"/>
          <w:kern w:val="0"/>
          <w:szCs w:val="21"/>
        </w:rPr>
        <w:t>中标人的投标保证金，满足下列要求，并最迟应在本项目的书面合同签订后5日内退还。</w:t>
      </w:r>
    </w:p>
    <w:p w14:paraId="26702CFD">
      <w:pPr>
        <w:autoSpaceDE w:val="0"/>
        <w:autoSpaceDN w:val="0"/>
        <w:adjustRightInd w:val="0"/>
        <w:spacing w:line="360" w:lineRule="auto"/>
        <w:ind w:left="357" w:leftChars="-100" w:hanging="567"/>
        <w:rPr>
          <w:rFonts w:ascii="宋体" w:hAnsi="宋体" w:eastAsia="宋体" w:cs="宋体"/>
          <w:color w:val="auto"/>
          <w:szCs w:val="21"/>
          <w:lang w:val="zh-CN"/>
        </w:rPr>
      </w:pPr>
      <w:r>
        <w:rPr>
          <w:rFonts w:hint="eastAsia" w:ascii="宋体" w:hAnsi="宋体" w:eastAsia="宋体" w:cs="宋体"/>
          <w:color w:val="auto"/>
          <w:kern w:val="0"/>
          <w:szCs w:val="21"/>
        </w:rPr>
        <w:t>（1）中标</w:t>
      </w:r>
      <w:r>
        <w:rPr>
          <w:rFonts w:hint="eastAsia" w:ascii="宋体" w:hAnsi="宋体" w:eastAsia="宋体" w:cs="宋体"/>
          <w:color w:val="auto"/>
          <w:szCs w:val="21"/>
          <w:lang w:val="zh-CN"/>
        </w:rPr>
        <w:t>人提交了履约担保；</w:t>
      </w:r>
    </w:p>
    <w:p w14:paraId="61B9AEEE">
      <w:pPr>
        <w:autoSpaceDE w:val="0"/>
        <w:autoSpaceDN w:val="0"/>
        <w:adjustRightInd w:val="0"/>
        <w:spacing w:line="360" w:lineRule="auto"/>
        <w:ind w:left="357" w:leftChars="-100" w:hanging="567"/>
        <w:rPr>
          <w:rFonts w:ascii="宋体" w:hAnsi="宋体" w:eastAsia="宋体" w:cs="宋体"/>
          <w:color w:val="auto"/>
          <w:kern w:val="0"/>
          <w:szCs w:val="21"/>
        </w:rPr>
      </w:pPr>
      <w:r>
        <w:rPr>
          <w:rFonts w:hint="eastAsia" w:ascii="宋体" w:hAnsi="宋体" w:eastAsia="宋体" w:cs="宋体"/>
          <w:color w:val="auto"/>
          <w:szCs w:val="21"/>
          <w:lang w:val="zh-CN"/>
        </w:rPr>
        <w:t>（2）在投标过程中</w:t>
      </w:r>
      <w:r>
        <w:rPr>
          <w:rFonts w:hint="eastAsia" w:ascii="宋体" w:hAnsi="宋体" w:eastAsia="宋体" w:cs="宋体"/>
          <w:color w:val="auto"/>
          <w:kern w:val="0"/>
          <w:szCs w:val="21"/>
        </w:rPr>
        <w:t>不存在违反本招标文件或《中华人民共和国招标投标法》及其实施条例等规定的行为。</w:t>
      </w:r>
    </w:p>
    <w:p w14:paraId="5AE94B00">
      <w:pPr>
        <w:spacing w:line="360" w:lineRule="auto"/>
        <w:ind w:left="315" w:leftChars="-100" w:hanging="525" w:hangingChars="250"/>
        <w:rPr>
          <w:rFonts w:ascii="宋体" w:hAnsi="宋体" w:eastAsia="宋体" w:cs="宋体"/>
          <w:b/>
          <w:bCs/>
          <w:color w:val="auto"/>
          <w:kern w:val="0"/>
          <w:szCs w:val="20"/>
        </w:rPr>
      </w:pPr>
      <w:r>
        <w:rPr>
          <w:rFonts w:hint="eastAsia" w:ascii="宋体" w:hAnsi="宋体" w:eastAsia="宋体" w:cs="宋体"/>
          <w:bCs/>
          <w:color w:val="auto"/>
          <w:szCs w:val="21"/>
          <w:lang w:val="zh-CN"/>
        </w:rPr>
        <w:t xml:space="preserve">15.7 </w:t>
      </w:r>
      <w:r>
        <w:rPr>
          <w:rFonts w:hint="eastAsia" w:ascii="宋体" w:hAnsi="宋体" w:eastAsia="宋体" w:cs="宋体"/>
          <w:color w:val="auto"/>
          <w:kern w:val="0"/>
          <w:szCs w:val="20"/>
        </w:rPr>
        <w:t>若</w:t>
      </w:r>
      <w:r>
        <w:rPr>
          <w:rFonts w:hint="eastAsia" w:ascii="宋体" w:hAnsi="宋体" w:eastAsia="宋体" w:cs="宋体"/>
          <w:color w:val="auto"/>
          <w:szCs w:val="21"/>
          <w:lang w:val="zh-CN"/>
        </w:rPr>
        <w:t>发生</w:t>
      </w:r>
      <w:r>
        <w:rPr>
          <w:rFonts w:hint="eastAsia" w:ascii="宋体" w:hAnsi="宋体" w:eastAsia="宋体" w:cs="宋体"/>
          <w:color w:val="auto"/>
          <w:kern w:val="0"/>
          <w:szCs w:val="20"/>
        </w:rPr>
        <w:t>下列情况，招标人在书面通知投标人（或中标人）后有权不予退还投标保证金：</w:t>
      </w:r>
    </w:p>
    <w:p w14:paraId="43AA5A4E">
      <w:pPr>
        <w:numPr>
          <w:ilvl w:val="2"/>
          <w:numId w:val="0"/>
        </w:numPr>
        <w:autoSpaceDE w:val="0"/>
        <w:autoSpaceDN w:val="0"/>
        <w:adjustRightInd w:val="0"/>
        <w:spacing w:line="360" w:lineRule="auto"/>
        <w:ind w:left="853" w:leftChars="136" w:hanging="567"/>
        <w:jc w:val="left"/>
        <w:rPr>
          <w:rFonts w:ascii="宋体" w:hAnsi="宋体" w:eastAsia="宋体" w:cs="宋体"/>
          <w:color w:val="auto"/>
          <w:kern w:val="0"/>
          <w:szCs w:val="24"/>
        </w:rPr>
      </w:pPr>
      <w:r>
        <w:rPr>
          <w:rFonts w:hint="eastAsia" w:ascii="宋体" w:hAnsi="宋体" w:eastAsia="宋体" w:cs="宋体"/>
          <w:color w:val="auto"/>
          <w:kern w:val="0"/>
          <w:szCs w:val="24"/>
        </w:rPr>
        <w:t>如果投标人（或中标人）：</w:t>
      </w:r>
    </w:p>
    <w:p w14:paraId="3BC5FE05">
      <w:pPr>
        <w:autoSpaceDE w:val="0"/>
        <w:autoSpaceDN w:val="0"/>
        <w:adjustRightInd w:val="0"/>
        <w:spacing w:line="360" w:lineRule="auto"/>
        <w:ind w:left="357" w:leftChars="-100" w:hanging="567"/>
        <w:rPr>
          <w:rFonts w:ascii="宋体" w:hAnsi="宋体" w:eastAsia="宋体" w:cs="宋体"/>
          <w:color w:val="auto"/>
          <w:szCs w:val="21"/>
          <w:lang w:val="zh-CN"/>
        </w:rPr>
      </w:pPr>
      <w:r>
        <w:rPr>
          <w:rFonts w:hint="eastAsia" w:ascii="宋体" w:hAnsi="宋体" w:eastAsia="宋体" w:cs="宋体"/>
          <w:color w:val="auto"/>
          <w:kern w:val="0"/>
          <w:szCs w:val="21"/>
        </w:rPr>
        <w:t>（1）投标</w:t>
      </w:r>
      <w:r>
        <w:rPr>
          <w:rFonts w:hint="eastAsia" w:ascii="宋体" w:hAnsi="宋体" w:eastAsia="宋体" w:cs="宋体"/>
          <w:color w:val="auto"/>
          <w:szCs w:val="21"/>
          <w:lang w:val="zh-CN"/>
        </w:rPr>
        <w:t>人在规定的投标截止时间后至投标有效期满之前撤销或修改其投标文件；</w:t>
      </w:r>
    </w:p>
    <w:p w14:paraId="40AB30ED">
      <w:pPr>
        <w:autoSpaceDE w:val="0"/>
        <w:autoSpaceDN w:val="0"/>
        <w:adjustRightInd w:val="0"/>
        <w:spacing w:line="360" w:lineRule="auto"/>
        <w:ind w:left="357" w:leftChars="-100" w:hanging="567"/>
        <w:rPr>
          <w:rFonts w:ascii="宋体" w:hAnsi="宋体" w:eastAsia="宋体" w:cs="宋体"/>
          <w:color w:val="auto"/>
          <w:szCs w:val="21"/>
          <w:lang w:val="zh-CN"/>
        </w:rPr>
      </w:pPr>
      <w:r>
        <w:rPr>
          <w:rFonts w:hint="eastAsia" w:ascii="宋体" w:hAnsi="宋体" w:eastAsia="宋体" w:cs="宋体"/>
          <w:color w:val="auto"/>
          <w:szCs w:val="21"/>
          <w:lang w:val="zh-CN"/>
        </w:rPr>
        <w:t>（2）中标人未能在规定期限内提交履约担保；</w:t>
      </w:r>
    </w:p>
    <w:p w14:paraId="342A3208">
      <w:pPr>
        <w:autoSpaceDE w:val="0"/>
        <w:autoSpaceDN w:val="0"/>
        <w:adjustRightInd w:val="0"/>
        <w:spacing w:line="360" w:lineRule="auto"/>
        <w:ind w:left="357" w:leftChars="-100" w:hanging="567"/>
        <w:rPr>
          <w:rFonts w:ascii="宋体" w:hAnsi="宋体" w:eastAsia="宋体" w:cs="宋体"/>
          <w:color w:val="auto"/>
          <w:szCs w:val="21"/>
          <w:lang w:val="zh-CN"/>
        </w:rPr>
      </w:pPr>
      <w:r>
        <w:rPr>
          <w:rFonts w:hint="eastAsia" w:ascii="宋体" w:hAnsi="宋体" w:eastAsia="宋体" w:cs="宋体"/>
          <w:color w:val="auto"/>
          <w:szCs w:val="21"/>
          <w:lang w:val="zh-CN"/>
        </w:rPr>
        <w:t>（3）未根据第34条规定签署合同；</w:t>
      </w:r>
    </w:p>
    <w:p w14:paraId="7CEC0960">
      <w:pPr>
        <w:autoSpaceDE w:val="0"/>
        <w:autoSpaceDN w:val="0"/>
        <w:adjustRightInd w:val="0"/>
        <w:spacing w:line="360" w:lineRule="auto"/>
        <w:ind w:left="357" w:leftChars="-100" w:hanging="567"/>
        <w:rPr>
          <w:rFonts w:ascii="宋体" w:hAnsi="宋体" w:eastAsia="宋体" w:cs="宋体"/>
          <w:color w:val="auto"/>
          <w:szCs w:val="21"/>
          <w:lang w:val="zh-CN"/>
        </w:rPr>
      </w:pPr>
      <w:r>
        <w:rPr>
          <w:rFonts w:hint="eastAsia" w:ascii="宋体" w:hAnsi="宋体" w:eastAsia="宋体" w:cs="宋体"/>
          <w:color w:val="auto"/>
          <w:szCs w:val="21"/>
          <w:lang w:val="zh-CN"/>
        </w:rPr>
        <w:t>（</w:t>
      </w:r>
      <w:r>
        <w:rPr>
          <w:rFonts w:ascii="宋体" w:hAnsi="宋体" w:eastAsia="宋体" w:cs="宋体"/>
          <w:color w:val="auto"/>
          <w:szCs w:val="21"/>
          <w:lang w:val="zh-CN"/>
        </w:rPr>
        <w:t>4</w:t>
      </w:r>
      <w:r>
        <w:rPr>
          <w:rFonts w:hint="eastAsia" w:ascii="宋体" w:hAnsi="宋体" w:eastAsia="宋体" w:cs="宋体"/>
          <w:color w:val="auto"/>
          <w:szCs w:val="21"/>
          <w:lang w:val="zh-CN"/>
        </w:rPr>
        <w:t>）将中标项目转让给他人，或者在投标文件中未说明，且未经招标人同意，将中标项目的合同</w:t>
      </w:r>
      <w:r>
        <w:rPr>
          <w:rFonts w:ascii="宋体" w:hAnsi="宋体" w:eastAsia="宋体" w:cs="宋体"/>
          <w:color w:val="auto"/>
          <w:szCs w:val="21"/>
          <w:lang w:val="zh-CN"/>
        </w:rPr>
        <w:t>的权利义务转让</w:t>
      </w:r>
      <w:r>
        <w:rPr>
          <w:rFonts w:hint="eastAsia" w:ascii="宋体" w:hAnsi="宋体" w:eastAsia="宋体" w:cs="宋体"/>
          <w:color w:val="auto"/>
          <w:szCs w:val="21"/>
          <w:lang w:val="zh-CN"/>
        </w:rPr>
        <w:t>给第三</w:t>
      </w:r>
      <w:r>
        <w:rPr>
          <w:rFonts w:ascii="宋体" w:hAnsi="宋体" w:eastAsia="宋体" w:cs="宋体"/>
          <w:color w:val="auto"/>
          <w:szCs w:val="21"/>
          <w:lang w:val="zh-CN"/>
        </w:rPr>
        <w:t>方</w:t>
      </w:r>
      <w:r>
        <w:rPr>
          <w:rFonts w:hint="eastAsia" w:ascii="宋体" w:hAnsi="宋体" w:eastAsia="宋体" w:cs="宋体"/>
          <w:color w:val="auto"/>
          <w:szCs w:val="21"/>
          <w:lang w:val="zh-CN"/>
        </w:rPr>
        <w:t>的；</w:t>
      </w:r>
    </w:p>
    <w:p w14:paraId="14B39201">
      <w:pPr>
        <w:autoSpaceDE w:val="0"/>
        <w:autoSpaceDN w:val="0"/>
        <w:adjustRightInd w:val="0"/>
        <w:spacing w:line="360" w:lineRule="auto"/>
        <w:ind w:left="357" w:leftChars="-100" w:hanging="567"/>
        <w:rPr>
          <w:rFonts w:ascii="宋体" w:hAnsi="宋体" w:eastAsia="宋体" w:cs="宋体"/>
          <w:color w:val="auto"/>
          <w:kern w:val="0"/>
          <w:szCs w:val="21"/>
        </w:rPr>
      </w:pPr>
      <w:r>
        <w:rPr>
          <w:rFonts w:hint="eastAsia" w:ascii="宋体" w:hAnsi="宋体" w:eastAsia="宋体" w:cs="宋体"/>
          <w:color w:val="auto"/>
          <w:szCs w:val="21"/>
          <w:lang w:val="zh-CN"/>
        </w:rPr>
        <w:t>（</w:t>
      </w:r>
      <w:r>
        <w:rPr>
          <w:rFonts w:ascii="宋体" w:hAnsi="宋体" w:eastAsia="宋体" w:cs="宋体"/>
          <w:color w:val="auto"/>
          <w:szCs w:val="21"/>
          <w:lang w:val="zh-CN"/>
        </w:rPr>
        <w:t>5</w:t>
      </w:r>
      <w:r>
        <w:rPr>
          <w:rFonts w:hint="eastAsia" w:ascii="宋体" w:hAnsi="宋体" w:eastAsia="宋体" w:cs="宋体"/>
          <w:color w:val="auto"/>
          <w:szCs w:val="21"/>
          <w:lang w:val="zh-CN"/>
        </w:rPr>
        <w:t>）提供虚假投标文</w:t>
      </w:r>
      <w:r>
        <w:rPr>
          <w:rFonts w:hint="eastAsia" w:ascii="宋体" w:hAnsi="宋体" w:eastAsia="宋体" w:cs="宋体"/>
          <w:color w:val="auto"/>
          <w:kern w:val="0"/>
          <w:szCs w:val="21"/>
        </w:rPr>
        <w:t>件或虚假补充文件的，或违反《中华人民共和国招标投标法》等有关法律、法规、规章及招标投标相关规定的行为。</w:t>
      </w:r>
    </w:p>
    <w:p w14:paraId="778C3C37">
      <w:pPr>
        <w:tabs>
          <w:tab w:val="left" w:pos="1134"/>
        </w:tabs>
        <w:autoSpaceDE w:val="0"/>
        <w:autoSpaceDN w:val="0"/>
        <w:adjustRightInd w:val="0"/>
        <w:spacing w:line="360" w:lineRule="auto"/>
        <w:ind w:left="840" w:leftChars="150" w:hanging="525" w:hangingChars="250"/>
        <w:jc w:val="left"/>
        <w:rPr>
          <w:rFonts w:ascii="宋体" w:hAnsi="宋体" w:eastAsia="宋体" w:cs="宋体"/>
          <w:color w:val="auto"/>
          <w:kern w:val="0"/>
          <w:szCs w:val="21"/>
        </w:rPr>
      </w:pPr>
    </w:p>
    <w:p w14:paraId="74EDB9E8">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lang w:val="zh-CN"/>
        </w:rPr>
      </w:pPr>
      <w:bookmarkStart w:id="163" w:name="_Toc142508330"/>
      <w:bookmarkStart w:id="164" w:name="_Toc173182275"/>
      <w:bookmarkStart w:id="165" w:name="_Toc22649_WPSOffice_Level3"/>
      <w:bookmarkStart w:id="166" w:name="_Toc450662865"/>
      <w:bookmarkStart w:id="167" w:name="_Toc486167680"/>
      <w:bookmarkStart w:id="168" w:name="_Toc10550"/>
      <w:bookmarkStart w:id="169" w:name="_Toc494"/>
      <w:r>
        <w:rPr>
          <w:rFonts w:hint="eastAsia" w:ascii="宋体" w:hAnsi="宋体" w:eastAsia="宋体" w:cs="宋体"/>
          <w:color w:val="auto"/>
          <w:szCs w:val="21"/>
          <w:lang w:val="zh-CN"/>
        </w:rPr>
        <w:t>16</w:t>
      </w:r>
      <w:r>
        <w:rPr>
          <w:rFonts w:ascii="宋体" w:hAnsi="宋体" w:eastAsia="宋体" w:cs="宋体"/>
          <w:color w:val="auto"/>
          <w:szCs w:val="21"/>
          <w:lang w:val="zh-CN"/>
        </w:rPr>
        <w:t xml:space="preserve"> </w:t>
      </w:r>
      <w:r>
        <w:rPr>
          <w:rFonts w:hint="eastAsia" w:ascii="宋体" w:hAnsi="宋体" w:eastAsia="宋体" w:cs="宋体"/>
          <w:color w:val="auto"/>
          <w:szCs w:val="21"/>
          <w:lang w:val="zh-CN"/>
        </w:rPr>
        <w:t>投标有效期</w:t>
      </w:r>
      <w:bookmarkEnd w:id="163"/>
      <w:bookmarkEnd w:id="164"/>
      <w:bookmarkEnd w:id="165"/>
      <w:bookmarkEnd w:id="166"/>
      <w:bookmarkEnd w:id="167"/>
      <w:bookmarkEnd w:id="168"/>
      <w:bookmarkEnd w:id="169"/>
    </w:p>
    <w:p w14:paraId="57A84C4D">
      <w:pPr>
        <w:tabs>
          <w:tab w:val="left" w:pos="567"/>
        </w:tabs>
        <w:autoSpaceDE w:val="0"/>
        <w:autoSpaceDN w:val="0"/>
        <w:adjustRightInd w:val="0"/>
        <w:spacing w:line="360" w:lineRule="auto"/>
        <w:ind w:left="357" w:leftChars="-100" w:hanging="567"/>
        <w:rPr>
          <w:rFonts w:ascii="宋体" w:hAnsi="宋体" w:eastAsia="宋体" w:cs="宋体"/>
          <w:b/>
          <w:bCs/>
          <w:color w:val="auto"/>
          <w:szCs w:val="21"/>
          <w:lang w:val="zh-CN"/>
        </w:rPr>
      </w:pPr>
      <w:r>
        <w:rPr>
          <w:rFonts w:hint="eastAsia" w:ascii="宋体" w:hAnsi="宋体" w:eastAsia="宋体" w:cs="宋体"/>
          <w:color w:val="auto"/>
          <w:szCs w:val="21"/>
          <w:lang w:val="zh-CN"/>
        </w:rPr>
        <w:t>16.1</w:t>
      </w:r>
      <w:r>
        <w:rPr>
          <w:rFonts w:hint="eastAsia" w:ascii="宋体" w:hAnsi="宋体" w:eastAsia="宋体" w:cs="宋体"/>
          <w:color w:val="auto"/>
          <w:szCs w:val="21"/>
          <w:lang w:val="zh-CN"/>
        </w:rPr>
        <w:tab/>
      </w:r>
      <w:r>
        <w:rPr>
          <w:rFonts w:hint="eastAsia" w:ascii="宋体" w:hAnsi="宋体" w:eastAsia="宋体" w:cs="宋体"/>
          <w:b/>
          <w:bCs/>
          <w:color w:val="auto"/>
          <w:szCs w:val="21"/>
          <w:u w:val="single"/>
          <w:lang w:val="zh-CN"/>
        </w:rPr>
        <w:t>投标文件将在递交投标文件截止时间届满后90日内有效。投标有效期比规定时间短的按无效投标文件处理</w:t>
      </w:r>
      <w:r>
        <w:rPr>
          <w:rFonts w:hint="eastAsia" w:ascii="宋体" w:hAnsi="宋体" w:eastAsia="宋体" w:cs="宋体"/>
          <w:b/>
          <w:bCs/>
          <w:color w:val="auto"/>
          <w:szCs w:val="21"/>
          <w:lang w:val="zh-CN"/>
        </w:rPr>
        <w:t>。</w:t>
      </w:r>
    </w:p>
    <w:p w14:paraId="0270408D">
      <w:pPr>
        <w:autoSpaceDE w:val="0"/>
        <w:autoSpaceDN w:val="0"/>
        <w:adjustRightInd w:val="0"/>
        <w:spacing w:line="360" w:lineRule="auto"/>
        <w:ind w:left="357" w:leftChars="-100" w:hanging="567"/>
        <w:rPr>
          <w:rFonts w:ascii="宋体" w:hAnsi="宋体" w:eastAsia="宋体" w:cs="宋体"/>
          <w:color w:val="auto"/>
          <w:szCs w:val="21"/>
          <w:lang w:val="zh-CN"/>
        </w:rPr>
      </w:pPr>
      <w:r>
        <w:rPr>
          <w:rFonts w:hint="eastAsia" w:ascii="宋体" w:hAnsi="宋体" w:eastAsia="宋体" w:cs="宋体"/>
          <w:color w:val="auto"/>
          <w:szCs w:val="21"/>
          <w:lang w:val="zh-CN"/>
        </w:rPr>
        <w:t>16.2</w:t>
      </w:r>
      <w:r>
        <w:rPr>
          <w:rFonts w:hint="eastAsia" w:ascii="宋体" w:hAnsi="宋体" w:eastAsia="宋体" w:cs="宋体"/>
          <w:color w:val="auto"/>
          <w:szCs w:val="21"/>
          <w:lang w:val="zh-CN"/>
        </w:rPr>
        <w:tab/>
      </w:r>
      <w:r>
        <w:rPr>
          <w:rFonts w:hint="eastAsia" w:ascii="宋体" w:hAnsi="宋体" w:eastAsia="宋体" w:cs="宋体"/>
          <w:color w:val="auto"/>
          <w:szCs w:val="21"/>
          <w:lang w:val="zh-CN"/>
        </w:rPr>
        <w:t>中标人的投标文件作为合同附件，合同失效时同时失效。</w:t>
      </w:r>
    </w:p>
    <w:p w14:paraId="238E5828">
      <w:pPr>
        <w:autoSpaceDE w:val="0"/>
        <w:autoSpaceDN w:val="0"/>
        <w:adjustRightInd w:val="0"/>
        <w:spacing w:line="360" w:lineRule="auto"/>
        <w:ind w:left="357" w:leftChars="-100" w:hanging="567"/>
        <w:rPr>
          <w:rFonts w:ascii="宋体" w:hAnsi="宋体" w:eastAsia="宋体" w:cs="宋体"/>
          <w:color w:val="auto"/>
          <w:szCs w:val="21"/>
          <w:lang w:val="zh-CN"/>
        </w:rPr>
      </w:pPr>
      <w:r>
        <w:rPr>
          <w:rFonts w:hint="eastAsia" w:ascii="宋体" w:hAnsi="宋体" w:eastAsia="宋体" w:cs="宋体"/>
          <w:color w:val="auto"/>
          <w:szCs w:val="21"/>
          <w:lang w:val="zh-CN"/>
        </w:rPr>
        <w:t>16.3</w:t>
      </w:r>
      <w:r>
        <w:rPr>
          <w:rFonts w:hint="eastAsia" w:ascii="宋体" w:hAnsi="宋体" w:eastAsia="宋体" w:cs="宋体"/>
          <w:color w:val="auto"/>
          <w:szCs w:val="21"/>
          <w:lang w:val="zh-CN"/>
        </w:rPr>
        <w:tab/>
      </w:r>
      <w:r>
        <w:rPr>
          <w:rFonts w:hint="eastAsia" w:ascii="宋体" w:hAnsi="宋体" w:eastAsia="宋体" w:cs="宋体"/>
          <w:color w:val="auto"/>
          <w:szCs w:val="21"/>
          <w:lang w:val="zh-CN"/>
        </w:rPr>
        <w:t>在特殊情况下，招标代理机构可于投标有效期满之前要求投标人同意延长投标有效期。要求与答复均应为书面形式往来。投标人可以拒绝上述要求</w:t>
      </w:r>
      <w:r>
        <w:rPr>
          <w:rFonts w:hint="eastAsia" w:ascii="宋体" w:hAnsi="宋体" w:eastAsia="宋体" w:cs="Times New Roman"/>
          <w:color w:val="auto"/>
          <w:szCs w:val="21"/>
          <w:lang w:val="zh-CN"/>
        </w:rPr>
        <w:t>，招标</w:t>
      </w:r>
      <w:r>
        <w:rPr>
          <w:rFonts w:hint="eastAsia" w:ascii="宋体" w:hAnsi="宋体" w:eastAsia="宋体" w:cs="Times New Roman"/>
          <w:color w:val="auto"/>
          <w:szCs w:val="21"/>
        </w:rPr>
        <w:t>人</w:t>
      </w:r>
      <w:r>
        <w:rPr>
          <w:rFonts w:hint="eastAsia" w:ascii="宋体" w:hAnsi="宋体" w:eastAsia="宋体" w:cs="Times New Roman"/>
          <w:color w:val="auto"/>
          <w:szCs w:val="21"/>
          <w:lang w:val="zh-CN"/>
        </w:rPr>
        <w:t>将退还</w:t>
      </w:r>
      <w:r>
        <w:rPr>
          <w:rFonts w:hint="eastAsia" w:ascii="宋体" w:hAnsi="宋体" w:eastAsia="宋体" w:cs="宋体"/>
          <w:color w:val="auto"/>
          <w:szCs w:val="21"/>
          <w:lang w:val="zh-CN"/>
        </w:rPr>
        <w:t>其投标保证金。对于同意该要求的投标人，既不要求也不允许其修改投标文件，但将要求其相应延长投标保证金的有效期。第15条投标保证金的有关规定在投标保证金延长期内仍适用。</w:t>
      </w:r>
    </w:p>
    <w:p w14:paraId="2164729B">
      <w:pPr>
        <w:autoSpaceDE w:val="0"/>
        <w:autoSpaceDN w:val="0"/>
        <w:adjustRightInd w:val="0"/>
        <w:spacing w:line="360" w:lineRule="auto"/>
        <w:ind w:left="357" w:leftChars="-100" w:hanging="567"/>
        <w:rPr>
          <w:rFonts w:ascii="宋体" w:hAnsi="宋体" w:eastAsia="宋体" w:cs="宋体"/>
          <w:color w:val="auto"/>
          <w:szCs w:val="21"/>
          <w:lang w:val="zh-CN"/>
        </w:rPr>
      </w:pPr>
    </w:p>
    <w:p w14:paraId="4625E97B">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lang w:val="zh-CN"/>
        </w:rPr>
      </w:pPr>
      <w:bookmarkStart w:id="170" w:name="_Toc142508331"/>
      <w:bookmarkStart w:id="171" w:name="_Toc450662866"/>
      <w:bookmarkStart w:id="172" w:name="_Toc173182276"/>
      <w:bookmarkStart w:id="173" w:name="_Toc13311"/>
      <w:bookmarkStart w:id="174" w:name="_Toc25637_WPSOffice_Level3"/>
      <w:bookmarkStart w:id="175" w:name="_Toc486167681"/>
      <w:bookmarkStart w:id="176" w:name="_Toc30001"/>
      <w:r>
        <w:rPr>
          <w:rFonts w:hint="eastAsia" w:ascii="宋体" w:hAnsi="宋体" w:eastAsia="宋体" w:cs="宋体"/>
          <w:color w:val="auto"/>
          <w:szCs w:val="21"/>
          <w:lang w:val="zh-CN"/>
        </w:rPr>
        <w:t>17</w:t>
      </w:r>
      <w:r>
        <w:rPr>
          <w:rFonts w:ascii="宋体" w:hAnsi="宋体" w:eastAsia="宋体" w:cs="宋体"/>
          <w:color w:val="auto"/>
          <w:szCs w:val="21"/>
          <w:lang w:val="zh-CN"/>
        </w:rPr>
        <w:t xml:space="preserve"> </w:t>
      </w:r>
      <w:r>
        <w:rPr>
          <w:rFonts w:hint="eastAsia" w:ascii="宋体" w:hAnsi="宋体" w:eastAsia="宋体" w:cs="宋体"/>
          <w:color w:val="auto"/>
          <w:szCs w:val="21"/>
          <w:lang w:val="zh-CN"/>
        </w:rPr>
        <w:t>投标文件的式样和签署</w:t>
      </w:r>
      <w:bookmarkEnd w:id="170"/>
      <w:bookmarkEnd w:id="171"/>
      <w:bookmarkEnd w:id="172"/>
      <w:bookmarkEnd w:id="173"/>
      <w:bookmarkEnd w:id="174"/>
      <w:bookmarkEnd w:id="175"/>
      <w:bookmarkEnd w:id="176"/>
    </w:p>
    <w:p w14:paraId="034EE9E4">
      <w:pPr>
        <w:tabs>
          <w:tab w:val="left" w:pos="567"/>
        </w:tabs>
        <w:autoSpaceDE w:val="0"/>
        <w:autoSpaceDN w:val="0"/>
        <w:adjustRightInd w:val="0"/>
        <w:spacing w:line="360" w:lineRule="auto"/>
        <w:ind w:left="357" w:leftChars="-100" w:hanging="567"/>
        <w:rPr>
          <w:rFonts w:ascii="宋体" w:hAnsi="宋体" w:eastAsia="宋体" w:cs="宋体"/>
          <w:color w:val="auto"/>
          <w:szCs w:val="21"/>
          <w:lang w:val="zh-CN"/>
        </w:rPr>
      </w:pPr>
      <w:r>
        <w:rPr>
          <w:rFonts w:hint="eastAsia" w:ascii="宋体" w:hAnsi="宋体" w:eastAsia="宋体" w:cs="宋体"/>
          <w:color w:val="auto"/>
          <w:szCs w:val="21"/>
          <w:lang w:val="zh-CN"/>
        </w:rPr>
        <w:t>17.1</w:t>
      </w:r>
      <w:r>
        <w:rPr>
          <w:rFonts w:hint="eastAsia" w:ascii="宋体" w:hAnsi="宋体" w:eastAsia="宋体" w:cs="宋体"/>
          <w:color w:val="auto"/>
          <w:szCs w:val="21"/>
          <w:lang w:val="zh-CN"/>
        </w:rPr>
        <w:tab/>
      </w:r>
      <w:r>
        <w:rPr>
          <w:rFonts w:hint="eastAsia" w:ascii="宋体" w:hAnsi="宋体" w:eastAsia="宋体" w:cs="宋体"/>
          <w:b/>
          <w:color w:val="auto"/>
          <w:szCs w:val="21"/>
          <w:u w:val="single"/>
          <w:lang w:val="zh-CN"/>
        </w:rPr>
        <w:t>投标人应准备一份“唱标信封”、</w:t>
      </w:r>
      <w:r>
        <w:rPr>
          <w:rFonts w:hint="eastAsia" w:ascii="宋体" w:hAnsi="宋体" w:eastAsia="宋体" w:cs="Times New Roman"/>
          <w:b/>
          <w:color w:val="auto"/>
          <w:szCs w:val="21"/>
          <w:u w:val="single"/>
          <w:lang w:val="zh-CN"/>
        </w:rPr>
        <w:t>一份投标文件电子文件、</w:t>
      </w:r>
      <w:r>
        <w:rPr>
          <w:rFonts w:hint="eastAsia" w:ascii="宋体" w:hAnsi="宋体" w:eastAsia="宋体" w:cs="宋体"/>
          <w:b/>
          <w:color w:val="auto"/>
          <w:szCs w:val="21"/>
          <w:u w:val="single"/>
          <w:lang w:val="zh-CN"/>
        </w:rPr>
        <w:t>一份正本和五份副本“投标文件”</w:t>
      </w:r>
      <w:r>
        <w:rPr>
          <w:rFonts w:hint="eastAsia" w:ascii="宋体" w:hAnsi="宋体" w:eastAsia="宋体" w:cs="宋体"/>
          <w:color w:val="auto"/>
          <w:szCs w:val="21"/>
          <w:lang w:val="zh-CN"/>
        </w:rPr>
        <w:t>，</w:t>
      </w:r>
      <w:r>
        <w:rPr>
          <w:rFonts w:hint="eastAsia" w:ascii="宋体" w:hAnsi="宋体" w:eastAsia="宋体" w:cs="Times New Roman"/>
          <w:color w:val="auto"/>
          <w:szCs w:val="21"/>
          <w:lang w:val="zh-CN"/>
        </w:rPr>
        <w:t>在每一份投标文件上编上目录（目录内的页码必须与实际内容对应）、页次，装订成册（不允许使用活页夹），并要明确注明“正本”或“副本”，一旦正本和副本发现差异，以正本为准</w:t>
      </w:r>
      <w:r>
        <w:rPr>
          <w:rFonts w:hint="eastAsia" w:ascii="宋体" w:hAnsi="宋体" w:eastAsia="宋体" w:cs="宋体"/>
          <w:color w:val="auto"/>
          <w:szCs w:val="21"/>
          <w:lang w:val="zh-CN"/>
        </w:rPr>
        <w:t>。</w:t>
      </w:r>
    </w:p>
    <w:p w14:paraId="5203CCFE">
      <w:pPr>
        <w:tabs>
          <w:tab w:val="left" w:pos="567"/>
        </w:tabs>
        <w:autoSpaceDE w:val="0"/>
        <w:autoSpaceDN w:val="0"/>
        <w:adjustRightInd w:val="0"/>
        <w:spacing w:line="360" w:lineRule="auto"/>
        <w:ind w:left="357" w:leftChars="-100" w:hanging="567"/>
        <w:rPr>
          <w:rFonts w:ascii="宋体" w:hAnsi="宋体" w:eastAsia="宋体" w:cs="宋体"/>
          <w:color w:val="auto"/>
          <w:szCs w:val="21"/>
          <w:lang w:val="zh-CN"/>
        </w:rPr>
      </w:pPr>
      <w:r>
        <w:rPr>
          <w:rFonts w:hint="eastAsia" w:ascii="宋体" w:hAnsi="宋体" w:eastAsia="宋体" w:cs="宋体"/>
          <w:color w:val="auto"/>
          <w:szCs w:val="21"/>
          <w:lang w:val="zh-CN"/>
        </w:rPr>
        <w:t>17.2</w:t>
      </w:r>
      <w:r>
        <w:rPr>
          <w:rFonts w:hint="eastAsia" w:ascii="宋体" w:hAnsi="宋体" w:eastAsia="宋体" w:cs="宋体"/>
          <w:color w:val="auto"/>
          <w:szCs w:val="21"/>
          <w:lang w:val="zh-CN"/>
        </w:rPr>
        <w:tab/>
      </w:r>
      <w:r>
        <w:rPr>
          <w:rFonts w:hint="eastAsia" w:ascii="宋体" w:hAnsi="宋体" w:eastAsia="宋体" w:cs="Times New Roman"/>
          <w:bCs/>
          <w:color w:val="auto"/>
          <w:szCs w:val="21"/>
          <w:lang w:val="zh-CN"/>
        </w:rPr>
        <w:t>投标文件正本和副本须打印或用不褪色墨水书写，招标文件提供的格式文件或投标文件中明确要求签署的，由投标人法定代表人或其授权代表签字（或盖私章），后者须将</w:t>
      </w:r>
      <w:r>
        <w:rPr>
          <w:rFonts w:ascii="宋体" w:hAnsi="宋体" w:eastAsia="宋体" w:cs="Times New Roman"/>
          <w:bCs/>
          <w:color w:val="auto"/>
          <w:szCs w:val="21"/>
          <w:lang w:val="zh-CN"/>
        </w:rPr>
        <w:t>“</w:t>
      </w:r>
      <w:r>
        <w:rPr>
          <w:rFonts w:hint="eastAsia" w:ascii="宋体" w:hAnsi="宋体" w:eastAsia="宋体" w:cs="Times New Roman"/>
          <w:bCs/>
          <w:color w:val="auto"/>
          <w:szCs w:val="21"/>
          <w:lang w:val="zh-CN"/>
        </w:rPr>
        <w:t>法定代表人授权书</w:t>
      </w:r>
      <w:r>
        <w:rPr>
          <w:rFonts w:ascii="宋体" w:hAnsi="宋体" w:eastAsia="宋体" w:cs="Times New Roman"/>
          <w:bCs/>
          <w:color w:val="auto"/>
          <w:szCs w:val="21"/>
          <w:lang w:val="zh-CN"/>
        </w:rPr>
        <w:t>”</w:t>
      </w:r>
      <w:r>
        <w:rPr>
          <w:rFonts w:hint="eastAsia" w:ascii="宋体" w:hAnsi="宋体" w:eastAsia="宋体" w:cs="Times New Roman"/>
          <w:bCs/>
          <w:color w:val="auto"/>
          <w:szCs w:val="21"/>
          <w:lang w:val="zh-CN"/>
        </w:rPr>
        <w:t>以书面形式附在投标文件中。</w:t>
      </w:r>
      <w:r>
        <w:rPr>
          <w:rFonts w:hint="eastAsia" w:ascii="宋体" w:hAnsi="宋体" w:eastAsia="宋体" w:cs="Times New Roman"/>
          <w:color w:val="auto"/>
          <w:szCs w:val="21"/>
          <w:lang w:val="zh-CN"/>
        </w:rPr>
        <w:t>副本文件可由正本文件复印而成。</w:t>
      </w:r>
    </w:p>
    <w:p w14:paraId="41ED5475">
      <w:pPr>
        <w:autoSpaceDE w:val="0"/>
        <w:autoSpaceDN w:val="0"/>
        <w:adjustRightInd w:val="0"/>
        <w:spacing w:line="360" w:lineRule="auto"/>
        <w:ind w:left="357" w:leftChars="-100" w:hanging="567"/>
        <w:rPr>
          <w:rFonts w:ascii="宋体" w:hAnsi="宋体" w:eastAsia="宋体" w:cs="宋体"/>
          <w:bCs/>
          <w:color w:val="auto"/>
          <w:szCs w:val="21"/>
          <w:lang w:val="zh-CN"/>
        </w:rPr>
      </w:pPr>
      <w:r>
        <w:rPr>
          <w:rFonts w:hint="eastAsia" w:ascii="宋体" w:hAnsi="宋体" w:eastAsia="宋体" w:cs="宋体"/>
          <w:color w:val="auto"/>
          <w:szCs w:val="21"/>
          <w:lang w:val="zh-CN"/>
        </w:rPr>
        <w:t>17.</w:t>
      </w:r>
      <w:r>
        <w:rPr>
          <w:rFonts w:ascii="宋体" w:hAnsi="宋体" w:eastAsia="宋体" w:cs="宋体"/>
          <w:color w:val="auto"/>
          <w:szCs w:val="21"/>
          <w:lang w:val="zh-CN"/>
        </w:rPr>
        <w:t>3</w:t>
      </w:r>
      <w:r>
        <w:rPr>
          <w:rFonts w:hint="eastAsia" w:ascii="宋体" w:hAnsi="宋体" w:eastAsia="宋体" w:cs="宋体"/>
          <w:color w:val="auto"/>
          <w:szCs w:val="21"/>
          <w:lang w:val="zh-CN"/>
        </w:rPr>
        <w:tab/>
      </w:r>
      <w:r>
        <w:rPr>
          <w:rFonts w:hint="eastAsia" w:ascii="宋体" w:hAnsi="宋体" w:eastAsia="宋体" w:cs="宋体"/>
          <w:color w:val="auto"/>
          <w:szCs w:val="21"/>
          <w:lang w:val="zh-CN"/>
        </w:rPr>
        <w:t>除投标人对错处作必要修改外，投标文件中不许有加行、涂抹或改写。</w:t>
      </w:r>
      <w:r>
        <w:rPr>
          <w:rFonts w:hint="eastAsia" w:ascii="宋体" w:hAnsi="宋体" w:eastAsia="宋体" w:cs="宋体"/>
          <w:bCs/>
          <w:color w:val="auto"/>
          <w:szCs w:val="21"/>
          <w:lang w:val="zh-CN"/>
        </w:rPr>
        <w:t>若有修改须由签署投标文件的人进行签字（或盖私章），并加盖投标人</w:t>
      </w:r>
      <w:r>
        <w:rPr>
          <w:rFonts w:hint="eastAsia" w:ascii="宋体" w:hAnsi="宋体" w:eastAsia="宋体" w:cs="Times New Roman"/>
          <w:bCs/>
          <w:color w:val="auto"/>
          <w:szCs w:val="21"/>
          <w:lang w:val="zh-CN"/>
        </w:rPr>
        <w:t>法人</w:t>
      </w:r>
      <w:r>
        <w:rPr>
          <w:rFonts w:hint="eastAsia" w:ascii="宋体" w:hAnsi="宋体" w:eastAsia="宋体" w:cs="宋体"/>
          <w:bCs/>
          <w:color w:val="auto"/>
          <w:szCs w:val="21"/>
          <w:lang w:val="zh-CN"/>
        </w:rPr>
        <w:t>公章。</w:t>
      </w:r>
    </w:p>
    <w:p w14:paraId="3198A4B3">
      <w:pPr>
        <w:autoSpaceDE w:val="0"/>
        <w:autoSpaceDN w:val="0"/>
        <w:adjustRightInd w:val="0"/>
        <w:spacing w:line="360" w:lineRule="auto"/>
        <w:ind w:left="357" w:leftChars="-100" w:hanging="567"/>
        <w:rPr>
          <w:rFonts w:ascii="宋体" w:hAnsi="宋体" w:eastAsia="宋体" w:cs="宋体"/>
          <w:b/>
          <w:bCs/>
          <w:color w:val="auto"/>
          <w:szCs w:val="21"/>
          <w:u w:val="single"/>
          <w:lang w:val="zh-CN"/>
        </w:rPr>
      </w:pPr>
      <w:r>
        <w:rPr>
          <w:rFonts w:hint="eastAsia" w:ascii="宋体" w:hAnsi="宋体" w:eastAsia="宋体" w:cs="宋体"/>
          <w:color w:val="auto"/>
          <w:szCs w:val="21"/>
          <w:lang w:val="zh-CN"/>
        </w:rPr>
        <w:t>17.</w:t>
      </w:r>
      <w:r>
        <w:rPr>
          <w:rFonts w:ascii="宋体" w:hAnsi="宋体" w:eastAsia="宋体" w:cs="宋体"/>
          <w:color w:val="auto"/>
          <w:szCs w:val="21"/>
          <w:lang w:val="zh-CN"/>
        </w:rPr>
        <w:t>4</w:t>
      </w:r>
      <w:r>
        <w:rPr>
          <w:rFonts w:hint="eastAsia" w:ascii="宋体" w:hAnsi="宋体" w:eastAsia="宋体" w:cs="宋体"/>
          <w:color w:val="auto"/>
          <w:szCs w:val="21"/>
          <w:lang w:val="zh-CN"/>
        </w:rPr>
        <w:tab/>
      </w:r>
      <w:r>
        <w:rPr>
          <w:rFonts w:hint="eastAsia" w:ascii="宋体" w:hAnsi="宋体" w:eastAsia="宋体" w:cs="宋体"/>
          <w:color w:val="auto"/>
          <w:szCs w:val="21"/>
          <w:lang w:val="zh-CN"/>
        </w:rPr>
        <w:t>投标文件的封面应注明“项目名称、招标编号、投标人名称、投标日期等”。</w:t>
      </w:r>
    </w:p>
    <w:p w14:paraId="48A3B2F6">
      <w:pPr>
        <w:autoSpaceDE w:val="0"/>
        <w:autoSpaceDN w:val="0"/>
        <w:adjustRightInd w:val="0"/>
        <w:spacing w:line="360" w:lineRule="auto"/>
        <w:ind w:left="357" w:leftChars="-100" w:hanging="567"/>
        <w:rPr>
          <w:rFonts w:ascii="宋体" w:hAnsi="宋体" w:eastAsia="宋体" w:cs="宋体"/>
          <w:b/>
          <w:bCs/>
          <w:color w:val="auto"/>
          <w:szCs w:val="21"/>
          <w:lang w:val="zh-CN"/>
        </w:rPr>
      </w:pPr>
      <w:r>
        <w:rPr>
          <w:rFonts w:hint="eastAsia" w:ascii="宋体" w:hAnsi="宋体" w:eastAsia="宋体" w:cs="宋体"/>
          <w:color w:val="auto"/>
          <w:szCs w:val="21"/>
          <w:lang w:val="zh-CN"/>
        </w:rPr>
        <w:t>17.</w:t>
      </w:r>
      <w:r>
        <w:rPr>
          <w:rFonts w:ascii="宋体" w:hAnsi="宋体" w:eastAsia="宋体" w:cs="宋体"/>
          <w:color w:val="auto"/>
          <w:szCs w:val="21"/>
          <w:lang w:val="zh-CN"/>
        </w:rPr>
        <w:t>5</w:t>
      </w:r>
      <w:r>
        <w:rPr>
          <w:rFonts w:hint="eastAsia" w:ascii="宋体" w:hAnsi="宋体" w:eastAsia="宋体" w:cs="宋体"/>
          <w:color w:val="auto"/>
          <w:szCs w:val="21"/>
          <w:lang w:val="zh-CN"/>
        </w:rPr>
        <w:tab/>
      </w:r>
      <w:r>
        <w:rPr>
          <w:rFonts w:hint="eastAsia" w:ascii="宋体" w:hAnsi="宋体" w:eastAsia="宋体" w:cs="宋体"/>
          <w:color w:val="auto"/>
          <w:szCs w:val="21"/>
          <w:lang w:val="zh-CN"/>
        </w:rPr>
        <w:t>电子文件内容包括：电子文件不可设置密码，用DVD或CD-R光盘或U盘储存，</w:t>
      </w:r>
      <w:r>
        <w:rPr>
          <w:rFonts w:hint="eastAsia" w:ascii="宋体" w:hAnsi="宋体" w:eastAsia="宋体" w:cs="Times New Roman"/>
          <w:color w:val="auto"/>
          <w:szCs w:val="21"/>
          <w:lang w:val="zh-CN"/>
        </w:rPr>
        <w:t>可密封于</w:t>
      </w:r>
      <w:r>
        <w:rPr>
          <w:rFonts w:ascii="宋体" w:hAnsi="宋体" w:eastAsia="宋体" w:cs="Times New Roman"/>
          <w:color w:val="auto"/>
          <w:szCs w:val="21"/>
          <w:lang w:val="zh-CN"/>
        </w:rPr>
        <w:t>“</w:t>
      </w:r>
      <w:r>
        <w:rPr>
          <w:rFonts w:hint="eastAsia" w:ascii="宋体" w:hAnsi="宋体" w:eastAsia="宋体" w:cs="Times New Roman"/>
          <w:color w:val="auto"/>
          <w:szCs w:val="21"/>
          <w:lang w:val="zh-CN"/>
        </w:rPr>
        <w:t>唱标信封</w:t>
      </w:r>
      <w:r>
        <w:rPr>
          <w:rFonts w:ascii="宋体" w:hAnsi="宋体" w:eastAsia="宋体" w:cs="Times New Roman"/>
          <w:color w:val="auto"/>
          <w:szCs w:val="21"/>
          <w:lang w:val="zh-CN"/>
        </w:rPr>
        <w:t>”</w:t>
      </w:r>
      <w:r>
        <w:rPr>
          <w:rFonts w:hint="eastAsia" w:ascii="宋体" w:hAnsi="宋体" w:eastAsia="宋体" w:cs="Times New Roman"/>
          <w:color w:val="auto"/>
          <w:szCs w:val="21"/>
          <w:lang w:val="zh-CN"/>
        </w:rPr>
        <w:t>内（若电子文件单独密封，其包装封面需注明项目名称、招标编号、投标人单位名称，并加盖投标人法人公章）</w:t>
      </w:r>
      <w:r>
        <w:rPr>
          <w:rFonts w:hint="eastAsia" w:ascii="宋体" w:hAnsi="宋体" w:eastAsia="宋体" w:cs="宋体"/>
          <w:color w:val="auto"/>
          <w:szCs w:val="21"/>
          <w:lang w:val="zh-CN"/>
        </w:rPr>
        <w:t>。</w:t>
      </w:r>
    </w:p>
    <w:p w14:paraId="4BFEA449">
      <w:pPr>
        <w:autoSpaceDE w:val="0"/>
        <w:autoSpaceDN w:val="0"/>
        <w:adjustRightInd w:val="0"/>
        <w:spacing w:line="360" w:lineRule="auto"/>
        <w:ind w:left="357" w:leftChars="-100" w:hanging="567"/>
        <w:rPr>
          <w:rFonts w:ascii="宋体" w:hAnsi="宋体" w:eastAsia="宋体" w:cs="宋体"/>
          <w:color w:val="auto"/>
          <w:szCs w:val="21"/>
          <w:lang w:val="zh-CN"/>
        </w:rPr>
      </w:pPr>
      <w:r>
        <w:rPr>
          <w:rFonts w:hint="eastAsia" w:ascii="宋体" w:hAnsi="宋体" w:eastAsia="宋体" w:cs="宋体"/>
          <w:color w:val="auto"/>
          <w:szCs w:val="21"/>
          <w:lang w:val="zh-CN"/>
        </w:rPr>
        <w:t>17.</w:t>
      </w:r>
      <w:r>
        <w:rPr>
          <w:rFonts w:ascii="宋体" w:hAnsi="宋体" w:eastAsia="宋体" w:cs="宋体"/>
          <w:color w:val="auto"/>
          <w:szCs w:val="21"/>
          <w:lang w:val="zh-CN"/>
        </w:rPr>
        <w:t>6</w:t>
      </w:r>
      <w:r>
        <w:rPr>
          <w:rFonts w:hint="eastAsia" w:ascii="宋体" w:hAnsi="宋体" w:eastAsia="宋体" w:cs="宋体"/>
          <w:color w:val="auto"/>
          <w:szCs w:val="21"/>
          <w:lang w:val="zh-CN"/>
        </w:rPr>
        <w:tab/>
      </w:r>
      <w:r>
        <w:rPr>
          <w:rFonts w:hint="eastAsia" w:ascii="宋体" w:hAnsi="宋体" w:eastAsia="宋体" w:cs="宋体"/>
          <w:color w:val="auto"/>
          <w:szCs w:val="21"/>
          <w:lang w:val="zh-CN"/>
        </w:rPr>
        <w:t>电报、电传、传真的投标概不接受。</w:t>
      </w:r>
    </w:p>
    <w:p w14:paraId="2218C12C">
      <w:pPr>
        <w:autoSpaceDE w:val="0"/>
        <w:autoSpaceDN w:val="0"/>
        <w:adjustRightInd w:val="0"/>
        <w:jc w:val="left"/>
        <w:rPr>
          <w:rFonts w:ascii="宋体" w:hAnsi="宋体" w:eastAsia="宋体" w:cs="宋体"/>
          <w:color w:val="auto"/>
          <w:kern w:val="0"/>
          <w:sz w:val="24"/>
          <w:szCs w:val="24"/>
        </w:rPr>
      </w:pPr>
      <w:bookmarkStart w:id="177" w:name="_Toc450662867"/>
    </w:p>
    <w:p w14:paraId="69E78DB5">
      <w:pPr>
        <w:keepNext/>
        <w:keepLines/>
        <w:tabs>
          <w:tab w:val="left" w:pos="509"/>
        </w:tabs>
        <w:autoSpaceDE w:val="0"/>
        <w:autoSpaceDN w:val="0"/>
        <w:adjustRightInd w:val="0"/>
        <w:spacing w:line="360" w:lineRule="auto"/>
        <w:jc w:val="left"/>
        <w:outlineLvl w:val="0"/>
        <w:rPr>
          <w:rFonts w:ascii="宋体" w:hAnsi="宋体" w:eastAsia="宋体" w:cs="宋体"/>
          <w:color w:val="auto"/>
          <w:kern w:val="0"/>
          <w:sz w:val="24"/>
          <w:szCs w:val="24"/>
        </w:rPr>
      </w:pPr>
      <w:bookmarkStart w:id="178" w:name="_Toc17608"/>
      <w:bookmarkStart w:id="179" w:name="_Toc22356_WPSOffice_Level2"/>
      <w:bookmarkStart w:id="180" w:name="_Toc173182277"/>
      <w:bookmarkStart w:id="181" w:name="_Toc142508332"/>
      <w:bookmarkStart w:id="182" w:name="_Toc140596891"/>
      <w:bookmarkStart w:id="183" w:name="_Toc486167682"/>
      <w:bookmarkStart w:id="184" w:name="_Toc5186"/>
      <w:r>
        <w:rPr>
          <w:rFonts w:hint="eastAsia" w:ascii="宋体" w:hAnsi="宋体" w:eastAsia="宋体" w:cs="宋体"/>
          <w:b/>
          <w:bCs/>
          <w:color w:val="auto"/>
          <w:kern w:val="44"/>
          <w:szCs w:val="21"/>
          <w:lang w:val="zh-CN"/>
        </w:rPr>
        <w:t>四、投标文件的递交</w:t>
      </w:r>
      <w:bookmarkEnd w:id="177"/>
      <w:bookmarkEnd w:id="178"/>
      <w:bookmarkEnd w:id="179"/>
      <w:bookmarkEnd w:id="180"/>
      <w:bookmarkEnd w:id="181"/>
      <w:bookmarkEnd w:id="182"/>
      <w:bookmarkEnd w:id="183"/>
      <w:bookmarkEnd w:id="184"/>
    </w:p>
    <w:p w14:paraId="39E309F6">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lang w:val="zh-CN"/>
        </w:rPr>
      </w:pPr>
      <w:bookmarkStart w:id="185" w:name="_Toc12192_WPSOffice_Level3"/>
      <w:bookmarkStart w:id="186" w:name="_Toc450662868"/>
      <w:bookmarkStart w:id="187" w:name="_Toc173182278"/>
      <w:bookmarkStart w:id="188" w:name="_Toc9900"/>
      <w:bookmarkStart w:id="189" w:name="_Toc486167683"/>
      <w:bookmarkStart w:id="190" w:name="_Toc142508333"/>
      <w:bookmarkStart w:id="191" w:name="_Toc8111"/>
      <w:r>
        <w:rPr>
          <w:rFonts w:hint="eastAsia" w:ascii="宋体" w:hAnsi="宋体" w:eastAsia="宋体" w:cs="宋体"/>
          <w:color w:val="auto"/>
          <w:szCs w:val="21"/>
          <w:lang w:val="zh-CN"/>
        </w:rPr>
        <w:t>18</w:t>
      </w:r>
      <w:r>
        <w:rPr>
          <w:rFonts w:ascii="宋体" w:hAnsi="宋体" w:eastAsia="宋体" w:cs="宋体"/>
          <w:color w:val="auto"/>
          <w:szCs w:val="21"/>
          <w:lang w:val="zh-CN"/>
        </w:rPr>
        <w:t xml:space="preserve"> </w:t>
      </w:r>
      <w:r>
        <w:rPr>
          <w:rFonts w:hint="eastAsia" w:ascii="宋体" w:hAnsi="宋体" w:eastAsia="宋体" w:cs="宋体"/>
          <w:color w:val="auto"/>
          <w:szCs w:val="21"/>
          <w:lang w:val="zh-CN"/>
        </w:rPr>
        <w:t>投标文件的密封和标记</w:t>
      </w:r>
      <w:bookmarkEnd w:id="185"/>
      <w:bookmarkEnd w:id="186"/>
      <w:bookmarkEnd w:id="187"/>
      <w:bookmarkEnd w:id="188"/>
      <w:bookmarkEnd w:id="189"/>
      <w:bookmarkEnd w:id="190"/>
      <w:bookmarkEnd w:id="191"/>
    </w:p>
    <w:p w14:paraId="585F859B">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lang w:val="zh-CN"/>
        </w:rPr>
      </w:pPr>
      <w:r>
        <w:rPr>
          <w:rFonts w:hint="eastAsia" w:ascii="宋体" w:hAnsi="宋体" w:eastAsia="宋体" w:cs="宋体"/>
          <w:color w:val="auto"/>
          <w:szCs w:val="21"/>
          <w:lang w:val="zh-CN"/>
        </w:rPr>
        <w:t>18.1</w:t>
      </w:r>
      <w:r>
        <w:rPr>
          <w:rFonts w:hint="eastAsia" w:ascii="宋体" w:hAnsi="宋体" w:eastAsia="宋体" w:cs="宋体"/>
          <w:color w:val="auto"/>
          <w:szCs w:val="21"/>
          <w:lang w:val="zh-CN"/>
        </w:rPr>
        <w:tab/>
      </w:r>
      <w:r>
        <w:rPr>
          <w:rFonts w:hint="eastAsia" w:ascii="宋体" w:hAnsi="宋体" w:eastAsia="宋体" w:cs="宋体"/>
          <w:color w:val="auto"/>
          <w:szCs w:val="21"/>
          <w:lang w:val="zh-CN"/>
        </w:rPr>
        <w:t>投标人应将正本和副本投标文件（本处不含唱标信封</w:t>
      </w:r>
      <w:r>
        <w:rPr>
          <w:rFonts w:hint="eastAsia" w:ascii="宋体" w:hAnsi="宋体" w:eastAsia="宋体" w:cs="Times New Roman"/>
          <w:color w:val="auto"/>
          <w:szCs w:val="21"/>
          <w:lang w:val="zh-CN"/>
        </w:rPr>
        <w:t>、投标文件电子文件</w:t>
      </w:r>
      <w:r>
        <w:rPr>
          <w:rFonts w:hint="eastAsia" w:ascii="宋体" w:hAnsi="宋体" w:eastAsia="宋体" w:cs="宋体"/>
          <w:color w:val="auto"/>
          <w:szCs w:val="21"/>
          <w:lang w:val="zh-CN"/>
        </w:rPr>
        <w:t>）密封在不透明的外层封装中。</w:t>
      </w:r>
    </w:p>
    <w:p w14:paraId="4B68139C">
      <w:pPr>
        <w:autoSpaceDE w:val="0"/>
        <w:autoSpaceDN w:val="0"/>
        <w:adjustRightInd w:val="0"/>
        <w:spacing w:line="360" w:lineRule="auto"/>
        <w:ind w:left="357" w:leftChars="-100" w:hanging="567"/>
        <w:rPr>
          <w:rFonts w:ascii="宋体" w:hAnsi="宋体" w:eastAsia="宋体" w:cs="宋体"/>
          <w:b/>
          <w:bCs/>
          <w:color w:val="auto"/>
          <w:szCs w:val="21"/>
          <w:u w:val="single"/>
          <w:lang w:val="zh-CN"/>
        </w:rPr>
      </w:pPr>
      <w:r>
        <w:rPr>
          <w:rFonts w:hint="eastAsia" w:ascii="宋体" w:hAnsi="宋体" w:eastAsia="宋体" w:cs="宋体"/>
          <w:color w:val="auto"/>
          <w:szCs w:val="21"/>
          <w:lang w:val="zh-CN"/>
        </w:rPr>
        <w:t>18.2</w:t>
      </w:r>
      <w:r>
        <w:rPr>
          <w:rFonts w:hint="eastAsia" w:ascii="宋体" w:hAnsi="宋体" w:eastAsia="宋体" w:cs="宋体"/>
          <w:color w:val="auto"/>
          <w:szCs w:val="21"/>
          <w:lang w:val="zh-CN"/>
        </w:rPr>
        <w:tab/>
      </w:r>
      <w:r>
        <w:rPr>
          <w:rFonts w:hint="eastAsia" w:ascii="宋体" w:hAnsi="宋体" w:eastAsia="宋体" w:cs="宋体"/>
          <w:b/>
          <w:bCs/>
          <w:color w:val="auto"/>
          <w:szCs w:val="21"/>
          <w:lang w:val="zh-CN"/>
        </w:rPr>
        <w:t>唱标信封应单独密封</w:t>
      </w:r>
      <w:r>
        <w:rPr>
          <w:rFonts w:hint="eastAsia" w:ascii="宋体" w:hAnsi="宋体" w:eastAsia="宋体" w:cs="Times New Roman"/>
          <w:b/>
          <w:bCs/>
          <w:color w:val="auto"/>
          <w:szCs w:val="21"/>
          <w:lang w:val="zh-CN"/>
        </w:rPr>
        <w:t>，与18.1款的投标文件一同提交。</w:t>
      </w:r>
    </w:p>
    <w:p w14:paraId="06BA96DF">
      <w:pPr>
        <w:autoSpaceDE w:val="0"/>
        <w:autoSpaceDN w:val="0"/>
        <w:adjustRightInd w:val="0"/>
        <w:spacing w:line="360" w:lineRule="auto"/>
        <w:ind w:left="357" w:leftChars="-100" w:right="15" w:rightChars="7" w:hanging="567"/>
        <w:rPr>
          <w:rFonts w:ascii="宋体" w:hAnsi="宋体" w:eastAsia="宋体" w:cs="宋体"/>
          <w:color w:val="auto"/>
          <w:szCs w:val="21"/>
          <w:lang w:val="zh-CN"/>
        </w:rPr>
      </w:pPr>
      <w:r>
        <w:rPr>
          <w:rFonts w:hint="eastAsia" w:ascii="宋体" w:hAnsi="宋体" w:eastAsia="宋体" w:cs="宋体"/>
          <w:color w:val="auto"/>
          <w:szCs w:val="21"/>
          <w:lang w:val="zh-CN"/>
        </w:rPr>
        <w:t>18.3</w:t>
      </w:r>
      <w:r>
        <w:rPr>
          <w:rFonts w:hint="eastAsia" w:ascii="宋体" w:hAnsi="宋体" w:eastAsia="宋体" w:cs="宋体"/>
          <w:color w:val="auto"/>
          <w:szCs w:val="21"/>
          <w:lang w:val="zh-CN"/>
        </w:rPr>
        <w:tab/>
      </w:r>
      <w:r>
        <w:rPr>
          <w:rFonts w:hint="eastAsia" w:ascii="宋体" w:hAnsi="宋体" w:eastAsia="宋体" w:cs="宋体"/>
          <w:color w:val="auto"/>
          <w:szCs w:val="21"/>
          <w:lang w:val="zh-CN"/>
        </w:rPr>
        <w:t>投标文件密封封装标记：</w:t>
      </w:r>
    </w:p>
    <w:p w14:paraId="7CE87ADF">
      <w:pPr>
        <w:autoSpaceDE w:val="0"/>
        <w:autoSpaceDN w:val="0"/>
        <w:adjustRightInd w:val="0"/>
        <w:spacing w:line="360" w:lineRule="auto"/>
        <w:ind w:left="319" w:leftChars="-118" w:hanging="567" w:hangingChars="270"/>
        <w:rPr>
          <w:rFonts w:ascii="宋体" w:hAnsi="宋体" w:eastAsia="宋体" w:cs="Times New Roman"/>
          <w:color w:val="auto"/>
          <w:szCs w:val="21"/>
          <w:lang w:val="zh-CN"/>
        </w:rPr>
      </w:pPr>
      <w:r>
        <w:rPr>
          <w:rFonts w:hint="eastAsia" w:ascii="宋体" w:hAnsi="宋体" w:eastAsia="宋体" w:cs="Times New Roman"/>
          <w:color w:val="auto"/>
          <w:szCs w:val="21"/>
          <w:lang w:val="zh-CN"/>
        </w:rPr>
        <w:t>（</w:t>
      </w:r>
      <w:r>
        <w:rPr>
          <w:rFonts w:ascii="宋体" w:hAnsi="宋体" w:eastAsia="宋体" w:cs="Times New Roman"/>
          <w:color w:val="auto"/>
          <w:szCs w:val="21"/>
        </w:rPr>
        <w:t>1</w:t>
      </w:r>
      <w:r>
        <w:rPr>
          <w:rFonts w:hint="eastAsia" w:ascii="宋体" w:hAnsi="宋体" w:eastAsia="宋体" w:cs="Times New Roman"/>
          <w:color w:val="auto"/>
          <w:szCs w:val="21"/>
          <w:lang w:val="zh-CN"/>
        </w:rPr>
        <w:t>）外层密封封装表面应正确注明项目名称、招标编号、投标人单位名称、并注明投标文件递交截止时间之前不得开封（在封口位置的封条上标注注明），封口位置的封条上须加盖投标人法人公章；</w:t>
      </w:r>
    </w:p>
    <w:p w14:paraId="7D08A69D">
      <w:pPr>
        <w:autoSpaceDE w:val="0"/>
        <w:autoSpaceDN w:val="0"/>
        <w:adjustRightInd w:val="0"/>
        <w:spacing w:line="360" w:lineRule="auto"/>
        <w:ind w:left="319" w:leftChars="-118" w:hanging="567" w:hangingChars="270"/>
        <w:rPr>
          <w:rFonts w:ascii="宋体" w:hAnsi="宋体" w:eastAsia="宋体" w:cs="Times New Roman"/>
          <w:color w:val="auto"/>
          <w:szCs w:val="21"/>
          <w:lang w:val="zh-CN"/>
        </w:rPr>
      </w:pPr>
      <w:r>
        <w:rPr>
          <w:rFonts w:hint="eastAsia" w:ascii="宋体" w:hAnsi="宋体" w:eastAsia="宋体" w:cs="Times New Roman"/>
          <w:color w:val="auto"/>
          <w:szCs w:val="21"/>
          <w:lang w:val="zh-CN"/>
        </w:rPr>
        <w:t>（</w:t>
      </w:r>
      <w:r>
        <w:rPr>
          <w:rFonts w:ascii="宋体" w:hAnsi="宋体" w:eastAsia="宋体" w:cs="Times New Roman"/>
          <w:color w:val="auto"/>
          <w:szCs w:val="21"/>
        </w:rPr>
        <w:t>2</w:t>
      </w:r>
      <w:r>
        <w:rPr>
          <w:rFonts w:hint="eastAsia" w:ascii="宋体" w:hAnsi="宋体" w:eastAsia="宋体" w:cs="Times New Roman"/>
          <w:color w:val="auto"/>
          <w:szCs w:val="21"/>
          <w:lang w:val="zh-CN"/>
        </w:rPr>
        <w:t>）投标文件已密封但不按前述标志封包，由此而引起的提前开封或错放责任由投标人承担；</w:t>
      </w:r>
    </w:p>
    <w:p w14:paraId="6B6F02C0">
      <w:pPr>
        <w:autoSpaceDE w:val="0"/>
        <w:autoSpaceDN w:val="0"/>
        <w:adjustRightInd w:val="0"/>
        <w:spacing w:line="360" w:lineRule="auto"/>
        <w:ind w:left="319" w:leftChars="-118" w:hanging="567" w:hangingChars="270"/>
        <w:rPr>
          <w:rFonts w:ascii="宋体" w:hAnsi="宋体" w:eastAsia="宋体" w:cs="Times New Roman"/>
          <w:color w:val="auto"/>
          <w:szCs w:val="21"/>
          <w:lang w:val="zh-CN"/>
        </w:rPr>
      </w:pPr>
      <w:r>
        <w:rPr>
          <w:rFonts w:hint="eastAsia" w:ascii="宋体" w:hAnsi="宋体" w:eastAsia="宋体" w:cs="Times New Roman"/>
          <w:color w:val="auto"/>
          <w:szCs w:val="21"/>
          <w:lang w:val="zh-CN"/>
        </w:rPr>
        <w:t>（3）不足以造成投标文件可以从外包装内散出而导致投标文件泄密的，不认定为投标文件未密封。</w:t>
      </w:r>
    </w:p>
    <w:p w14:paraId="24536C8D">
      <w:pPr>
        <w:tabs>
          <w:tab w:val="left" w:pos="567"/>
        </w:tabs>
        <w:autoSpaceDE w:val="0"/>
        <w:autoSpaceDN w:val="0"/>
        <w:adjustRightInd w:val="0"/>
        <w:spacing w:line="360" w:lineRule="auto"/>
        <w:ind w:left="357" w:leftChars="-100" w:right="15" w:rightChars="7" w:hanging="567"/>
        <w:rPr>
          <w:rFonts w:ascii="宋体" w:hAnsi="宋体" w:eastAsia="宋体" w:cs="宋体"/>
          <w:b/>
          <w:color w:val="auto"/>
          <w:szCs w:val="21"/>
          <w:lang w:val="zh-CN"/>
        </w:rPr>
      </w:pPr>
      <w:r>
        <w:rPr>
          <w:rFonts w:hint="eastAsia" w:ascii="宋体" w:hAnsi="宋体" w:eastAsia="宋体" w:cs="宋体"/>
          <w:b/>
          <w:color w:val="auto"/>
          <w:szCs w:val="21"/>
          <w:lang w:val="zh-CN"/>
        </w:rPr>
        <w:t>18.4</w:t>
      </w:r>
      <w:r>
        <w:rPr>
          <w:rFonts w:hint="eastAsia" w:ascii="宋体" w:hAnsi="宋体" w:eastAsia="宋体" w:cs="宋体"/>
          <w:b/>
          <w:color w:val="auto"/>
          <w:szCs w:val="21"/>
          <w:lang w:val="zh-CN"/>
        </w:rPr>
        <w:tab/>
      </w:r>
      <w:r>
        <w:rPr>
          <w:rFonts w:hint="eastAsia" w:ascii="宋体" w:hAnsi="宋体" w:eastAsia="宋体" w:cs="宋体"/>
          <w:b/>
          <w:color w:val="auto"/>
          <w:szCs w:val="21"/>
          <w:lang w:val="zh-CN"/>
        </w:rPr>
        <w:t>如果</w:t>
      </w:r>
      <w:r>
        <w:rPr>
          <w:rFonts w:hint="eastAsia" w:ascii="宋体" w:hAnsi="宋体" w:eastAsia="宋体" w:cs="Times New Roman"/>
          <w:b/>
          <w:color w:val="auto"/>
          <w:szCs w:val="21"/>
          <w:lang w:val="zh-CN"/>
        </w:rPr>
        <w:t>密封封装未按本款规定密封和标记，招标代理机构对投标文件的误投或提前拆封不负责任。对由此造成提前开封的投标文件，招标代理机构予以拒绝，并退回投标人</w:t>
      </w:r>
      <w:r>
        <w:rPr>
          <w:rFonts w:hint="eastAsia" w:ascii="宋体" w:hAnsi="宋体" w:eastAsia="宋体" w:cs="宋体"/>
          <w:b/>
          <w:color w:val="auto"/>
          <w:szCs w:val="21"/>
          <w:lang w:val="zh-CN"/>
        </w:rPr>
        <w:t>。</w:t>
      </w:r>
    </w:p>
    <w:p w14:paraId="44163E02">
      <w:pPr>
        <w:autoSpaceDE w:val="0"/>
        <w:autoSpaceDN w:val="0"/>
        <w:adjustRightInd w:val="0"/>
        <w:spacing w:line="360" w:lineRule="auto"/>
        <w:ind w:left="355" w:leftChars="-101" w:right="15" w:rightChars="7" w:hanging="567" w:hangingChars="270"/>
        <w:rPr>
          <w:rFonts w:ascii="宋体" w:hAnsi="宋体" w:eastAsia="宋体" w:cs="宋体"/>
          <w:color w:val="auto"/>
          <w:szCs w:val="21"/>
          <w:lang w:val="zh-CN"/>
        </w:rPr>
      </w:pPr>
      <w:r>
        <w:rPr>
          <w:rFonts w:hint="eastAsia" w:ascii="宋体" w:hAnsi="宋体" w:eastAsia="宋体" w:cs="宋体"/>
          <w:color w:val="auto"/>
          <w:szCs w:val="21"/>
          <w:lang w:val="zh-CN"/>
        </w:rPr>
        <w:t>18.5 开标前，</w:t>
      </w:r>
      <w:r>
        <w:rPr>
          <w:rFonts w:hint="eastAsia" w:ascii="宋体" w:hAnsi="宋体" w:eastAsia="宋体" w:cs="Times New Roman"/>
          <w:color w:val="auto"/>
          <w:szCs w:val="21"/>
          <w:lang w:val="zh-CN"/>
        </w:rPr>
        <w:t>由投标人代表</w:t>
      </w:r>
      <w:r>
        <w:rPr>
          <w:rFonts w:ascii="宋体" w:hAnsi="宋体" w:eastAsia="宋体" w:cs="Times New Roman"/>
          <w:color w:val="auto"/>
          <w:szCs w:val="21"/>
          <w:lang w:val="zh-CN"/>
        </w:rPr>
        <w:t>（</w:t>
      </w:r>
      <w:r>
        <w:rPr>
          <w:rFonts w:hint="eastAsia" w:ascii="宋体" w:hAnsi="宋体" w:eastAsia="宋体" w:cs="Times New Roman"/>
          <w:color w:val="auto"/>
          <w:szCs w:val="21"/>
          <w:lang w:val="zh-CN"/>
        </w:rPr>
        <w:t>第一位递交投标文件的投标人代表及主动自愿参与检查的投标人代表</w:t>
      </w:r>
      <w:r>
        <w:rPr>
          <w:rFonts w:ascii="宋体" w:hAnsi="宋体" w:eastAsia="宋体" w:cs="Times New Roman"/>
          <w:color w:val="auto"/>
          <w:szCs w:val="21"/>
          <w:lang w:val="zh-CN"/>
        </w:rPr>
        <w:t>）和招标人代表</w:t>
      </w:r>
      <w:r>
        <w:rPr>
          <w:rFonts w:hint="eastAsia" w:ascii="宋体" w:hAnsi="宋体" w:eastAsia="宋体" w:cs="Times New Roman"/>
          <w:color w:val="auto"/>
          <w:kern w:val="0"/>
          <w:szCs w:val="21"/>
          <w:lang w:val="zh-CN"/>
        </w:rPr>
        <w:t>将对所有的投标文件的密封性进行检查</w:t>
      </w:r>
      <w:r>
        <w:rPr>
          <w:rFonts w:ascii="宋体" w:hAnsi="宋体" w:eastAsia="宋体" w:cs="Times New Roman"/>
          <w:color w:val="auto"/>
          <w:szCs w:val="21"/>
          <w:lang w:val="zh-CN"/>
        </w:rPr>
        <w:t>，并签署进行确认</w:t>
      </w:r>
      <w:r>
        <w:rPr>
          <w:rFonts w:hint="eastAsia" w:ascii="宋体" w:hAnsi="宋体" w:eastAsia="宋体" w:cs="宋体"/>
          <w:color w:val="auto"/>
          <w:szCs w:val="21"/>
          <w:lang w:val="zh-CN"/>
        </w:rPr>
        <w:t>。</w:t>
      </w:r>
    </w:p>
    <w:p w14:paraId="5BDB3307">
      <w:pPr>
        <w:tabs>
          <w:tab w:val="left" w:pos="567"/>
        </w:tabs>
        <w:autoSpaceDE w:val="0"/>
        <w:autoSpaceDN w:val="0"/>
        <w:adjustRightInd w:val="0"/>
        <w:spacing w:line="360" w:lineRule="auto"/>
        <w:ind w:right="15" w:rightChars="7" w:firstLine="525" w:firstLineChars="250"/>
        <w:rPr>
          <w:rFonts w:ascii="宋体" w:hAnsi="宋体" w:eastAsia="宋体" w:cs="宋体"/>
          <w:color w:val="auto"/>
          <w:szCs w:val="21"/>
          <w:lang w:val="zh-CN"/>
        </w:rPr>
      </w:pPr>
    </w:p>
    <w:p w14:paraId="741D8805">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lang w:val="zh-CN"/>
        </w:rPr>
      </w:pPr>
      <w:bookmarkStart w:id="192" w:name="_Toc3384"/>
      <w:bookmarkStart w:id="193" w:name="_Toc142508334"/>
      <w:bookmarkStart w:id="194" w:name="_Toc486167684"/>
      <w:bookmarkStart w:id="195" w:name="_Toc29665_WPSOffice_Level3"/>
      <w:bookmarkStart w:id="196" w:name="_Toc450662869"/>
      <w:bookmarkStart w:id="197" w:name="_Toc173182279"/>
      <w:bookmarkStart w:id="198" w:name="_Toc2555"/>
      <w:r>
        <w:rPr>
          <w:rFonts w:hint="eastAsia" w:ascii="宋体" w:hAnsi="宋体" w:eastAsia="宋体" w:cs="宋体"/>
          <w:color w:val="auto"/>
          <w:szCs w:val="21"/>
          <w:lang w:val="zh-CN"/>
        </w:rPr>
        <w:t>19</w:t>
      </w:r>
      <w:r>
        <w:rPr>
          <w:rFonts w:ascii="宋体" w:hAnsi="宋体" w:eastAsia="宋体" w:cs="宋体"/>
          <w:color w:val="auto"/>
          <w:szCs w:val="21"/>
          <w:lang w:val="zh-CN"/>
        </w:rPr>
        <w:t xml:space="preserve"> </w:t>
      </w:r>
      <w:r>
        <w:rPr>
          <w:rFonts w:hint="eastAsia" w:ascii="宋体" w:hAnsi="宋体" w:eastAsia="宋体" w:cs="宋体"/>
          <w:color w:val="auto"/>
          <w:szCs w:val="21"/>
          <w:lang w:val="zh-CN"/>
        </w:rPr>
        <w:t>递交投标文件的截止日期</w:t>
      </w:r>
      <w:bookmarkEnd w:id="192"/>
      <w:bookmarkEnd w:id="193"/>
      <w:bookmarkEnd w:id="194"/>
      <w:bookmarkEnd w:id="195"/>
      <w:bookmarkEnd w:id="196"/>
      <w:bookmarkEnd w:id="197"/>
      <w:bookmarkEnd w:id="198"/>
    </w:p>
    <w:p w14:paraId="5063BA37">
      <w:pPr>
        <w:tabs>
          <w:tab w:val="left" w:pos="567"/>
        </w:tabs>
        <w:autoSpaceDE w:val="0"/>
        <w:autoSpaceDN w:val="0"/>
        <w:adjustRightInd w:val="0"/>
        <w:spacing w:line="360" w:lineRule="auto"/>
        <w:ind w:left="357" w:leftChars="-100" w:hanging="567"/>
        <w:rPr>
          <w:rFonts w:ascii="宋体" w:hAnsi="宋体" w:eastAsia="宋体" w:cs="宋体"/>
          <w:color w:val="auto"/>
          <w:szCs w:val="21"/>
          <w:lang w:val="zh-CN"/>
        </w:rPr>
      </w:pPr>
      <w:r>
        <w:rPr>
          <w:rFonts w:hint="eastAsia" w:ascii="宋体" w:hAnsi="宋体" w:eastAsia="宋体" w:cs="宋体"/>
          <w:color w:val="auto"/>
          <w:szCs w:val="21"/>
          <w:lang w:val="zh-CN"/>
        </w:rPr>
        <w:t>19.1</w:t>
      </w:r>
      <w:r>
        <w:rPr>
          <w:rFonts w:hint="eastAsia" w:ascii="宋体" w:hAnsi="宋体" w:eastAsia="宋体" w:cs="宋体"/>
          <w:color w:val="auto"/>
          <w:szCs w:val="21"/>
          <w:lang w:val="zh-CN"/>
        </w:rPr>
        <w:tab/>
      </w:r>
      <w:r>
        <w:rPr>
          <w:rFonts w:hint="eastAsia" w:ascii="宋体" w:hAnsi="宋体" w:eastAsia="宋体" w:cs="宋体"/>
          <w:color w:val="auto"/>
          <w:szCs w:val="21"/>
          <w:lang w:val="zh-CN"/>
        </w:rPr>
        <w:t>招标代理机构</w:t>
      </w:r>
      <w:r>
        <w:rPr>
          <w:rFonts w:hint="eastAsia" w:ascii="宋体" w:hAnsi="宋体" w:eastAsia="宋体" w:cs="Times New Roman"/>
          <w:color w:val="auto"/>
          <w:szCs w:val="21"/>
          <w:lang w:val="zh-CN"/>
        </w:rPr>
        <w:t>收到投标文件的时间不得迟于第一篇</w:t>
      </w:r>
      <w:r>
        <w:rPr>
          <w:rFonts w:ascii="宋体" w:hAnsi="宋体" w:eastAsia="宋体" w:cs="Times New Roman"/>
          <w:color w:val="auto"/>
          <w:szCs w:val="21"/>
          <w:lang w:val="zh-CN"/>
        </w:rPr>
        <w:t>“</w:t>
      </w:r>
      <w:r>
        <w:rPr>
          <w:rFonts w:hint="eastAsia" w:ascii="宋体" w:hAnsi="宋体" w:eastAsia="宋体" w:cs="Times New Roman"/>
          <w:color w:val="auto"/>
          <w:szCs w:val="21"/>
          <w:lang w:val="zh-CN"/>
        </w:rPr>
        <w:t>招标公告</w:t>
      </w:r>
      <w:r>
        <w:rPr>
          <w:rFonts w:ascii="宋体" w:hAnsi="宋体" w:eastAsia="宋体" w:cs="Times New Roman"/>
          <w:color w:val="auto"/>
          <w:szCs w:val="21"/>
          <w:lang w:val="zh-CN"/>
        </w:rPr>
        <w:t>”</w:t>
      </w:r>
      <w:r>
        <w:rPr>
          <w:rFonts w:hint="eastAsia" w:ascii="宋体" w:hAnsi="宋体" w:eastAsia="宋体" w:cs="Times New Roman"/>
          <w:color w:val="auto"/>
          <w:szCs w:val="21"/>
          <w:lang w:val="zh-CN"/>
        </w:rPr>
        <w:t>中规定的截止时间</w:t>
      </w:r>
      <w:r>
        <w:rPr>
          <w:rFonts w:hint="eastAsia" w:ascii="宋体" w:hAnsi="宋体" w:eastAsia="宋体" w:cs="宋体"/>
          <w:color w:val="auto"/>
          <w:szCs w:val="21"/>
          <w:lang w:val="zh-CN"/>
        </w:rPr>
        <w:t>。</w:t>
      </w:r>
    </w:p>
    <w:p w14:paraId="37B1C50B">
      <w:pPr>
        <w:autoSpaceDE w:val="0"/>
        <w:autoSpaceDN w:val="0"/>
        <w:adjustRightInd w:val="0"/>
        <w:spacing w:line="360" w:lineRule="auto"/>
        <w:ind w:left="357" w:leftChars="-100" w:hanging="567"/>
        <w:rPr>
          <w:rFonts w:ascii="宋体" w:hAnsi="宋体" w:eastAsia="宋体" w:cs="宋体"/>
          <w:color w:val="auto"/>
          <w:szCs w:val="21"/>
          <w:lang w:val="zh-CN"/>
        </w:rPr>
      </w:pPr>
      <w:r>
        <w:rPr>
          <w:rFonts w:hint="eastAsia" w:ascii="宋体" w:hAnsi="宋体" w:eastAsia="宋体" w:cs="宋体"/>
          <w:color w:val="auto"/>
          <w:szCs w:val="21"/>
          <w:lang w:val="zh-CN"/>
        </w:rPr>
        <w:t>19.2</w:t>
      </w:r>
      <w:r>
        <w:rPr>
          <w:rFonts w:hint="eastAsia" w:ascii="宋体" w:hAnsi="宋体" w:eastAsia="宋体" w:cs="宋体"/>
          <w:color w:val="auto"/>
          <w:szCs w:val="21"/>
          <w:lang w:val="zh-CN"/>
        </w:rPr>
        <w:tab/>
      </w:r>
      <w:r>
        <w:rPr>
          <w:rFonts w:hint="eastAsia" w:ascii="宋体" w:hAnsi="宋体" w:eastAsia="宋体" w:cs="宋体"/>
          <w:color w:val="auto"/>
          <w:szCs w:val="21"/>
          <w:lang w:val="zh-CN"/>
        </w:rPr>
        <w:t>招标代理机构</w:t>
      </w:r>
      <w:r>
        <w:rPr>
          <w:rFonts w:hint="eastAsia" w:ascii="宋体" w:hAnsi="宋体" w:eastAsia="宋体" w:cs="Times New Roman"/>
          <w:color w:val="auto"/>
          <w:szCs w:val="21"/>
          <w:lang w:val="zh-CN"/>
        </w:rPr>
        <w:t>可按照第</w:t>
      </w:r>
      <w:r>
        <w:rPr>
          <w:rFonts w:ascii="宋体" w:hAnsi="宋体" w:eastAsia="宋体" w:cs="Times New Roman"/>
          <w:color w:val="auto"/>
          <w:szCs w:val="21"/>
          <w:lang w:val="zh-CN"/>
        </w:rPr>
        <w:t>7</w:t>
      </w:r>
      <w:r>
        <w:rPr>
          <w:rFonts w:hint="eastAsia" w:ascii="宋体" w:hAnsi="宋体" w:eastAsia="宋体" w:cs="Times New Roman"/>
          <w:color w:val="auto"/>
          <w:szCs w:val="21"/>
          <w:lang w:val="zh-CN"/>
        </w:rPr>
        <w:t>条的规定修改招标文件并酌情延长递交投标文件的截止时间，因此，已规定的招标代理机构和投标人的一切权利和义务将按延期后的递交投标文件截止时间履行</w:t>
      </w:r>
      <w:r>
        <w:rPr>
          <w:rFonts w:hint="eastAsia" w:ascii="宋体" w:hAnsi="宋体" w:eastAsia="宋体" w:cs="宋体"/>
          <w:color w:val="auto"/>
          <w:szCs w:val="21"/>
          <w:lang w:val="zh-CN"/>
        </w:rPr>
        <w:t>。</w:t>
      </w:r>
    </w:p>
    <w:p w14:paraId="0A3B0447">
      <w:pPr>
        <w:autoSpaceDE w:val="0"/>
        <w:autoSpaceDN w:val="0"/>
        <w:adjustRightInd w:val="0"/>
        <w:spacing w:line="360" w:lineRule="auto"/>
        <w:ind w:left="357" w:leftChars="-100" w:hanging="567"/>
        <w:rPr>
          <w:rFonts w:ascii="宋体" w:hAnsi="宋体" w:eastAsia="宋体" w:cs="宋体"/>
          <w:color w:val="auto"/>
          <w:szCs w:val="21"/>
          <w:lang w:val="zh-CN"/>
        </w:rPr>
      </w:pPr>
    </w:p>
    <w:p w14:paraId="7DECE9AE">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kern w:val="0"/>
          <w:sz w:val="24"/>
          <w:szCs w:val="24"/>
        </w:rPr>
      </w:pPr>
      <w:bookmarkStart w:id="199" w:name="_Toc486167685"/>
      <w:bookmarkStart w:id="200" w:name="_Toc22431_WPSOffice_Level3"/>
      <w:bookmarkStart w:id="201" w:name="_Toc450662870"/>
      <w:bookmarkStart w:id="202" w:name="_Toc173182280"/>
      <w:bookmarkStart w:id="203" w:name="_Toc6684"/>
      <w:bookmarkStart w:id="204" w:name="_Toc142508335"/>
      <w:bookmarkStart w:id="205" w:name="_Toc4622"/>
      <w:r>
        <w:rPr>
          <w:rFonts w:hint="eastAsia" w:ascii="宋体" w:hAnsi="宋体" w:eastAsia="宋体" w:cs="宋体"/>
          <w:color w:val="auto"/>
          <w:szCs w:val="21"/>
          <w:lang w:val="zh-CN"/>
        </w:rPr>
        <w:t>20 迟交的投标文件</w:t>
      </w:r>
      <w:bookmarkEnd w:id="199"/>
      <w:bookmarkEnd w:id="200"/>
      <w:bookmarkEnd w:id="201"/>
      <w:bookmarkEnd w:id="202"/>
      <w:bookmarkEnd w:id="203"/>
      <w:bookmarkEnd w:id="204"/>
      <w:bookmarkEnd w:id="205"/>
    </w:p>
    <w:p w14:paraId="6CFF77A6">
      <w:pPr>
        <w:autoSpaceDE w:val="0"/>
        <w:autoSpaceDN w:val="0"/>
        <w:adjustRightInd w:val="0"/>
        <w:spacing w:line="360" w:lineRule="auto"/>
        <w:ind w:firstLine="315" w:firstLineChars="150"/>
        <w:jc w:val="left"/>
        <w:rPr>
          <w:rFonts w:ascii="宋体" w:hAnsi="宋体" w:eastAsia="宋体" w:cs="宋体"/>
          <w:color w:val="auto"/>
          <w:szCs w:val="21"/>
          <w:lang w:val="zh-CN"/>
        </w:rPr>
      </w:pPr>
      <w:r>
        <w:rPr>
          <w:rFonts w:hint="eastAsia" w:ascii="宋体" w:hAnsi="宋体" w:eastAsia="宋体" w:cs="宋体"/>
          <w:color w:val="auto"/>
          <w:szCs w:val="21"/>
          <w:lang w:val="zh-CN"/>
        </w:rPr>
        <w:t>根据第19条规定，招标代理机构将拒绝任何晚于递交投标文件的截止时间交到的投标文件。</w:t>
      </w:r>
    </w:p>
    <w:p w14:paraId="32C0FC7D">
      <w:pPr>
        <w:autoSpaceDE w:val="0"/>
        <w:autoSpaceDN w:val="0"/>
        <w:adjustRightInd w:val="0"/>
        <w:jc w:val="left"/>
        <w:rPr>
          <w:rFonts w:ascii="宋体" w:hAnsi="宋体" w:eastAsia="宋体" w:cs="宋体"/>
          <w:color w:val="auto"/>
          <w:kern w:val="0"/>
          <w:sz w:val="24"/>
          <w:szCs w:val="24"/>
        </w:rPr>
      </w:pPr>
    </w:p>
    <w:p w14:paraId="7EFF8777">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lang w:val="zh-CN"/>
        </w:rPr>
      </w:pPr>
      <w:bookmarkStart w:id="206" w:name="_Toc173182281"/>
      <w:bookmarkStart w:id="207" w:name="_Toc4883_WPSOffice_Level3"/>
      <w:bookmarkStart w:id="208" w:name="_Toc142508336"/>
      <w:bookmarkStart w:id="209" w:name="_Toc450662871"/>
      <w:bookmarkStart w:id="210" w:name="_Toc486167686"/>
      <w:bookmarkStart w:id="211" w:name="_Toc16964"/>
      <w:bookmarkStart w:id="212" w:name="_Toc7906"/>
      <w:r>
        <w:rPr>
          <w:rFonts w:hint="eastAsia" w:ascii="宋体" w:hAnsi="宋体" w:eastAsia="宋体" w:cs="宋体"/>
          <w:color w:val="auto"/>
          <w:szCs w:val="21"/>
          <w:lang w:val="zh-CN"/>
        </w:rPr>
        <w:t>21</w:t>
      </w:r>
      <w:r>
        <w:rPr>
          <w:rFonts w:ascii="宋体" w:hAnsi="宋体" w:eastAsia="宋体" w:cs="宋体"/>
          <w:color w:val="auto"/>
          <w:szCs w:val="21"/>
          <w:lang w:val="zh-CN"/>
        </w:rPr>
        <w:t xml:space="preserve"> </w:t>
      </w:r>
      <w:r>
        <w:rPr>
          <w:rFonts w:hint="eastAsia" w:ascii="宋体" w:hAnsi="宋体" w:eastAsia="宋体" w:cs="宋体"/>
          <w:color w:val="auto"/>
          <w:szCs w:val="21"/>
          <w:lang w:val="zh-CN"/>
        </w:rPr>
        <w:t>投标文件的修改和撤回</w:t>
      </w:r>
      <w:bookmarkEnd w:id="206"/>
      <w:bookmarkEnd w:id="207"/>
      <w:bookmarkEnd w:id="208"/>
      <w:bookmarkEnd w:id="209"/>
      <w:bookmarkEnd w:id="210"/>
      <w:bookmarkEnd w:id="211"/>
      <w:bookmarkEnd w:id="212"/>
    </w:p>
    <w:p w14:paraId="0C2C7F71">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lang w:val="zh-CN"/>
        </w:rPr>
      </w:pPr>
      <w:r>
        <w:rPr>
          <w:rFonts w:hint="eastAsia" w:ascii="宋体" w:hAnsi="宋体" w:eastAsia="宋体" w:cs="宋体"/>
          <w:color w:val="auto"/>
          <w:szCs w:val="21"/>
          <w:lang w:val="zh-CN"/>
        </w:rPr>
        <w:t>21.1</w:t>
      </w:r>
      <w:r>
        <w:rPr>
          <w:rFonts w:hint="eastAsia" w:ascii="宋体" w:hAnsi="宋体" w:eastAsia="宋体" w:cs="宋体"/>
          <w:color w:val="auto"/>
          <w:szCs w:val="21"/>
          <w:lang w:val="zh-CN"/>
        </w:rPr>
        <w:tab/>
      </w:r>
      <w:r>
        <w:rPr>
          <w:rFonts w:hint="eastAsia" w:ascii="宋体" w:hAnsi="宋体" w:eastAsia="宋体" w:cs="宋体"/>
          <w:color w:val="auto"/>
          <w:szCs w:val="21"/>
          <w:lang w:val="zh-CN"/>
        </w:rPr>
        <w:t>投标人在提交投标文件后可对其投标文件进行修改或撤回，但招标代理机构须在提交投标文件截止日期前收到该修改或撤回的书面通知。</w:t>
      </w:r>
    </w:p>
    <w:p w14:paraId="26977CC2">
      <w:pPr>
        <w:autoSpaceDE w:val="0"/>
        <w:autoSpaceDN w:val="0"/>
        <w:adjustRightInd w:val="0"/>
        <w:spacing w:line="360" w:lineRule="auto"/>
        <w:ind w:left="357" w:leftChars="-100" w:right="15" w:rightChars="7" w:hanging="567"/>
        <w:rPr>
          <w:rFonts w:ascii="宋体" w:hAnsi="宋体" w:eastAsia="宋体" w:cs="宋体"/>
          <w:color w:val="auto"/>
          <w:szCs w:val="21"/>
          <w:lang w:val="zh-CN"/>
        </w:rPr>
      </w:pPr>
      <w:r>
        <w:rPr>
          <w:rFonts w:hint="eastAsia" w:ascii="宋体" w:hAnsi="宋体" w:eastAsia="宋体" w:cs="宋体"/>
          <w:color w:val="auto"/>
          <w:szCs w:val="21"/>
          <w:lang w:val="zh-CN"/>
        </w:rPr>
        <w:t>21.2</w:t>
      </w:r>
      <w:r>
        <w:rPr>
          <w:rFonts w:hint="eastAsia" w:ascii="宋体" w:hAnsi="宋体" w:eastAsia="宋体" w:cs="宋体"/>
          <w:color w:val="auto"/>
          <w:szCs w:val="21"/>
          <w:lang w:val="zh-CN"/>
        </w:rPr>
        <w:tab/>
      </w:r>
      <w:r>
        <w:rPr>
          <w:rFonts w:hint="eastAsia" w:ascii="宋体" w:hAnsi="宋体" w:eastAsia="宋体" w:cs="Times New Roman"/>
          <w:color w:val="auto"/>
          <w:szCs w:val="21"/>
          <w:lang w:val="zh-CN"/>
        </w:rPr>
        <w:t>投标人对投标文件的修改或撤回的通知应按第</w:t>
      </w:r>
      <w:r>
        <w:rPr>
          <w:rFonts w:ascii="宋体" w:hAnsi="宋体" w:eastAsia="宋体" w:cs="Times New Roman"/>
          <w:color w:val="auto"/>
          <w:szCs w:val="21"/>
          <w:lang w:val="zh-CN"/>
        </w:rPr>
        <w:t>17</w:t>
      </w:r>
      <w:r>
        <w:rPr>
          <w:rFonts w:hint="eastAsia" w:ascii="宋体" w:hAnsi="宋体" w:eastAsia="宋体" w:cs="Times New Roman"/>
          <w:color w:val="auto"/>
          <w:szCs w:val="21"/>
          <w:lang w:val="zh-CN"/>
        </w:rPr>
        <w:t>条和第18条规定进行准备、密封、标注和递送</w:t>
      </w:r>
      <w:r>
        <w:rPr>
          <w:rFonts w:hint="eastAsia" w:ascii="宋体" w:hAnsi="宋体" w:eastAsia="宋体" w:cs="宋体"/>
          <w:color w:val="auto"/>
          <w:szCs w:val="21"/>
          <w:lang w:val="zh-CN"/>
        </w:rPr>
        <w:t>。</w:t>
      </w:r>
    </w:p>
    <w:p w14:paraId="321D1828">
      <w:pPr>
        <w:autoSpaceDE w:val="0"/>
        <w:autoSpaceDN w:val="0"/>
        <w:adjustRightInd w:val="0"/>
        <w:spacing w:line="360" w:lineRule="auto"/>
        <w:ind w:left="357" w:leftChars="-100" w:right="15" w:rightChars="7" w:hanging="567"/>
        <w:rPr>
          <w:rFonts w:ascii="宋体" w:hAnsi="宋体" w:eastAsia="宋体" w:cs="宋体"/>
          <w:color w:val="auto"/>
          <w:szCs w:val="21"/>
          <w:lang w:val="zh-CN"/>
        </w:rPr>
      </w:pPr>
      <w:r>
        <w:rPr>
          <w:rFonts w:hint="eastAsia" w:ascii="宋体" w:hAnsi="宋体" w:eastAsia="宋体" w:cs="宋体"/>
          <w:color w:val="auto"/>
          <w:szCs w:val="21"/>
          <w:lang w:val="zh-CN"/>
        </w:rPr>
        <w:t>21.3</w:t>
      </w:r>
      <w:r>
        <w:rPr>
          <w:rFonts w:hint="eastAsia" w:ascii="宋体" w:hAnsi="宋体" w:eastAsia="宋体" w:cs="宋体"/>
          <w:color w:val="auto"/>
          <w:szCs w:val="21"/>
          <w:lang w:val="zh-CN"/>
        </w:rPr>
        <w:tab/>
      </w:r>
      <w:r>
        <w:rPr>
          <w:rFonts w:hint="eastAsia" w:ascii="宋体" w:hAnsi="宋体" w:eastAsia="宋体" w:cs="宋体"/>
          <w:color w:val="auto"/>
          <w:szCs w:val="21"/>
          <w:lang w:val="zh-CN"/>
        </w:rPr>
        <w:t>递交投标文件截止时间后不得修改投标文件。</w:t>
      </w:r>
    </w:p>
    <w:p w14:paraId="216B0BDF">
      <w:pPr>
        <w:autoSpaceDE w:val="0"/>
        <w:autoSpaceDN w:val="0"/>
        <w:adjustRightInd w:val="0"/>
        <w:spacing w:line="360" w:lineRule="auto"/>
        <w:ind w:left="357" w:leftChars="-100" w:right="15" w:rightChars="7" w:hanging="567"/>
        <w:rPr>
          <w:rFonts w:ascii="宋体" w:hAnsi="宋体" w:eastAsia="宋体" w:cs="宋体"/>
          <w:color w:val="auto"/>
          <w:szCs w:val="21"/>
          <w:lang w:val="zh-CN"/>
        </w:rPr>
      </w:pPr>
      <w:r>
        <w:rPr>
          <w:rFonts w:hint="eastAsia" w:ascii="宋体" w:hAnsi="宋体" w:eastAsia="宋体" w:cs="宋体"/>
          <w:color w:val="auto"/>
          <w:szCs w:val="21"/>
          <w:lang w:val="zh-CN"/>
        </w:rPr>
        <w:t>21.4</w:t>
      </w:r>
      <w:r>
        <w:rPr>
          <w:rFonts w:hint="eastAsia" w:ascii="宋体" w:hAnsi="宋体" w:eastAsia="宋体" w:cs="宋体"/>
          <w:color w:val="auto"/>
          <w:szCs w:val="21"/>
          <w:lang w:val="zh-CN"/>
        </w:rPr>
        <w:tab/>
      </w:r>
      <w:r>
        <w:rPr>
          <w:rFonts w:hint="eastAsia" w:ascii="宋体" w:hAnsi="宋体" w:eastAsia="宋体" w:cs="宋体"/>
          <w:color w:val="auto"/>
          <w:szCs w:val="21"/>
          <w:lang w:val="zh-CN"/>
        </w:rPr>
        <w:t>投标人不得在递交投标文件截止时间起至第16条规定的投标文件有效期期满前撤销投标文件。否则招标</w:t>
      </w:r>
      <w:r>
        <w:rPr>
          <w:rFonts w:hint="eastAsia" w:ascii="宋体" w:hAnsi="宋体" w:eastAsia="宋体" w:cs="宋体"/>
          <w:color w:val="auto"/>
          <w:szCs w:val="21"/>
        </w:rPr>
        <w:t>人</w:t>
      </w:r>
      <w:r>
        <w:rPr>
          <w:rFonts w:hint="eastAsia" w:ascii="宋体" w:hAnsi="宋体" w:eastAsia="宋体" w:cs="宋体"/>
          <w:color w:val="auto"/>
          <w:szCs w:val="21"/>
          <w:lang w:val="zh-CN"/>
        </w:rPr>
        <w:t>将按第15.7款（1）规定不予退还其投标保证金。</w:t>
      </w:r>
    </w:p>
    <w:p w14:paraId="3F530234">
      <w:pPr>
        <w:autoSpaceDE w:val="0"/>
        <w:autoSpaceDN w:val="0"/>
        <w:adjustRightInd w:val="0"/>
        <w:spacing w:line="360" w:lineRule="auto"/>
        <w:ind w:left="357" w:leftChars="-100" w:right="15" w:rightChars="7" w:hanging="567"/>
        <w:rPr>
          <w:rFonts w:ascii="宋体" w:hAnsi="宋体" w:eastAsia="宋体" w:cs="宋体"/>
          <w:color w:val="auto"/>
          <w:szCs w:val="21"/>
          <w:lang w:val="zh-CN"/>
        </w:rPr>
      </w:pPr>
    </w:p>
    <w:p w14:paraId="7101C180">
      <w:pPr>
        <w:keepNext/>
        <w:keepLines/>
        <w:tabs>
          <w:tab w:val="left" w:pos="509"/>
        </w:tabs>
        <w:autoSpaceDE w:val="0"/>
        <w:autoSpaceDN w:val="0"/>
        <w:adjustRightInd w:val="0"/>
        <w:spacing w:line="360" w:lineRule="auto"/>
        <w:jc w:val="left"/>
        <w:outlineLvl w:val="0"/>
        <w:rPr>
          <w:rFonts w:ascii="宋体" w:hAnsi="宋体" w:eastAsia="宋体" w:cs="宋体"/>
          <w:b/>
          <w:bCs/>
          <w:color w:val="auto"/>
          <w:kern w:val="44"/>
          <w:szCs w:val="21"/>
          <w:lang w:val="zh-CN"/>
        </w:rPr>
      </w:pPr>
      <w:bookmarkStart w:id="213" w:name="_Toc486167687"/>
      <w:bookmarkStart w:id="214" w:name="_Toc173182282"/>
      <w:bookmarkStart w:id="215" w:name="_Toc140596896"/>
      <w:bookmarkStart w:id="216" w:name="_Toc450662872"/>
      <w:bookmarkStart w:id="217" w:name="_Toc142508337"/>
      <w:bookmarkStart w:id="218" w:name="_Toc27648"/>
      <w:bookmarkStart w:id="219" w:name="_Toc1049_WPSOffice_Level2"/>
      <w:bookmarkStart w:id="220" w:name="_Toc23401"/>
      <w:r>
        <w:rPr>
          <w:rFonts w:hint="eastAsia" w:ascii="宋体" w:hAnsi="宋体" w:eastAsia="宋体" w:cs="宋体"/>
          <w:b/>
          <w:bCs/>
          <w:color w:val="auto"/>
          <w:kern w:val="44"/>
          <w:szCs w:val="21"/>
          <w:lang w:val="zh-CN"/>
        </w:rPr>
        <w:t>五、开标与评标</w:t>
      </w:r>
      <w:bookmarkEnd w:id="213"/>
      <w:bookmarkEnd w:id="214"/>
      <w:bookmarkEnd w:id="215"/>
      <w:bookmarkEnd w:id="216"/>
      <w:bookmarkEnd w:id="217"/>
      <w:bookmarkEnd w:id="218"/>
      <w:bookmarkEnd w:id="219"/>
      <w:bookmarkEnd w:id="220"/>
    </w:p>
    <w:p w14:paraId="2124ECF3">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lang w:val="zh-CN"/>
        </w:rPr>
      </w:pPr>
      <w:bookmarkStart w:id="221" w:name="_Toc142508338"/>
      <w:bookmarkStart w:id="222" w:name="_Toc450662873"/>
      <w:bookmarkStart w:id="223" w:name="_Toc7200"/>
      <w:bookmarkStart w:id="224" w:name="_Toc486167688"/>
      <w:bookmarkStart w:id="225" w:name="_Toc173182283"/>
      <w:bookmarkStart w:id="226" w:name="_Toc144_WPSOffice_Level3"/>
      <w:bookmarkStart w:id="227" w:name="_Toc17978"/>
      <w:r>
        <w:rPr>
          <w:rFonts w:hint="eastAsia" w:ascii="宋体" w:hAnsi="宋体" w:eastAsia="宋体" w:cs="宋体"/>
          <w:color w:val="auto"/>
          <w:szCs w:val="21"/>
          <w:lang w:val="zh-CN"/>
        </w:rPr>
        <w:t>22</w:t>
      </w:r>
      <w:r>
        <w:rPr>
          <w:rFonts w:ascii="宋体" w:hAnsi="宋体" w:eastAsia="宋体" w:cs="宋体"/>
          <w:color w:val="auto"/>
          <w:szCs w:val="21"/>
          <w:lang w:val="zh-CN"/>
        </w:rPr>
        <w:t xml:space="preserve"> </w:t>
      </w:r>
      <w:r>
        <w:rPr>
          <w:rFonts w:hint="eastAsia" w:ascii="宋体" w:hAnsi="宋体" w:eastAsia="宋体" w:cs="宋体"/>
          <w:color w:val="auto"/>
          <w:szCs w:val="21"/>
          <w:lang w:val="zh-CN"/>
        </w:rPr>
        <w:t>开标</w:t>
      </w:r>
      <w:bookmarkEnd w:id="221"/>
      <w:bookmarkEnd w:id="222"/>
      <w:bookmarkEnd w:id="223"/>
      <w:bookmarkEnd w:id="224"/>
      <w:bookmarkEnd w:id="225"/>
      <w:bookmarkEnd w:id="226"/>
      <w:bookmarkEnd w:id="227"/>
    </w:p>
    <w:p w14:paraId="77EE42CC">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lang w:val="zh-CN"/>
        </w:rPr>
      </w:pPr>
      <w:r>
        <w:rPr>
          <w:rFonts w:hint="eastAsia" w:ascii="宋体" w:hAnsi="宋体" w:eastAsia="宋体" w:cs="宋体"/>
          <w:color w:val="auto"/>
          <w:szCs w:val="21"/>
          <w:lang w:val="zh-CN"/>
        </w:rPr>
        <w:t>22.1</w:t>
      </w:r>
      <w:r>
        <w:rPr>
          <w:rFonts w:hint="eastAsia" w:ascii="宋体" w:hAnsi="宋体" w:eastAsia="宋体" w:cs="宋体"/>
          <w:color w:val="auto"/>
          <w:szCs w:val="21"/>
          <w:lang w:val="zh-CN"/>
        </w:rPr>
        <w:tab/>
      </w:r>
      <w:r>
        <w:rPr>
          <w:rFonts w:hint="eastAsia" w:ascii="宋体" w:hAnsi="宋体" w:eastAsia="宋体" w:cs="宋体"/>
          <w:color w:val="auto"/>
          <w:szCs w:val="21"/>
          <w:lang w:val="zh-CN"/>
        </w:rPr>
        <w:t>招标代理机构在投标人代表自愿出席的情况下，在第一篇“招标公告”规定的地点和时间开标,出席代表需登记以示出席。</w:t>
      </w:r>
    </w:p>
    <w:p w14:paraId="32021D51">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lang w:val="zh-CN"/>
        </w:rPr>
      </w:pPr>
      <w:r>
        <w:rPr>
          <w:rFonts w:hint="eastAsia" w:ascii="宋体" w:hAnsi="宋体" w:eastAsia="宋体" w:cs="宋体"/>
          <w:color w:val="auto"/>
          <w:szCs w:val="21"/>
          <w:lang w:val="zh-CN"/>
        </w:rPr>
        <w:t>22.2</w:t>
      </w:r>
      <w:r>
        <w:rPr>
          <w:rFonts w:hint="eastAsia" w:ascii="宋体" w:hAnsi="宋体" w:eastAsia="宋体" w:cs="宋体"/>
          <w:color w:val="auto"/>
          <w:szCs w:val="21"/>
          <w:lang w:val="zh-CN"/>
        </w:rPr>
        <w:tab/>
      </w:r>
      <w:r>
        <w:rPr>
          <w:rFonts w:hint="eastAsia" w:ascii="宋体" w:hAnsi="宋体" w:eastAsia="宋体" w:cs="宋体"/>
          <w:color w:val="auto"/>
          <w:szCs w:val="21"/>
          <w:lang w:val="zh-CN"/>
        </w:rPr>
        <w:t>按照第21条规定，提交了可接受的“撤回”通知的投标文件将不予开封。</w:t>
      </w:r>
    </w:p>
    <w:p w14:paraId="2A6E8A26">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lang w:val="zh-CN"/>
        </w:rPr>
      </w:pPr>
      <w:r>
        <w:rPr>
          <w:rFonts w:hint="eastAsia" w:ascii="宋体" w:hAnsi="宋体" w:eastAsia="宋体" w:cs="宋体"/>
          <w:color w:val="auto"/>
          <w:szCs w:val="21"/>
          <w:lang w:val="zh-CN"/>
        </w:rPr>
        <w:t>22.3 开标时，招标代理机构将当众宣读投标人名称、投标报价以及招标代理机构认为合适的其他内容。若招标代理机构宣读的结果与投标文件不符时，投标人有权在开标现场提出异议，经招标人采购活动的监督人员</w:t>
      </w:r>
      <w:r>
        <w:rPr>
          <w:rFonts w:hint="eastAsia" w:ascii="宋体" w:hAnsi="宋体" w:eastAsia="宋体" w:cs="宋体"/>
          <w:color w:val="auto"/>
          <w:szCs w:val="21"/>
        </w:rPr>
        <w:t>当</w:t>
      </w:r>
      <w:r>
        <w:rPr>
          <w:rFonts w:hint="eastAsia" w:ascii="宋体" w:hAnsi="宋体" w:eastAsia="宋体" w:cs="宋体"/>
          <w:color w:val="auto"/>
          <w:szCs w:val="21"/>
          <w:lang w:val="zh-CN"/>
        </w:rPr>
        <w:t>场核查确认之后，可重新宣读其投标文件</w:t>
      </w:r>
      <w:r>
        <w:rPr>
          <w:rFonts w:hint="eastAsia" w:ascii="宋体" w:hAnsi="宋体" w:eastAsia="宋体" w:cs="宋体"/>
          <w:color w:val="auto"/>
          <w:szCs w:val="21"/>
        </w:rPr>
        <w:t>相关内容</w:t>
      </w:r>
      <w:r>
        <w:rPr>
          <w:rFonts w:hint="eastAsia" w:ascii="宋体" w:hAnsi="宋体" w:eastAsia="宋体" w:cs="宋体"/>
          <w:color w:val="auto"/>
          <w:szCs w:val="21"/>
          <w:lang w:val="zh-CN"/>
        </w:rPr>
        <w:t>。若投标人现场未提出异议，则视为投标人确认宣读的结果。</w:t>
      </w:r>
    </w:p>
    <w:p w14:paraId="6FC4CF0B">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lang w:val="zh-CN"/>
        </w:rPr>
      </w:pPr>
      <w:r>
        <w:rPr>
          <w:rFonts w:hint="eastAsia" w:ascii="宋体" w:hAnsi="宋体" w:eastAsia="宋体" w:cs="宋体"/>
          <w:color w:val="auto"/>
          <w:szCs w:val="21"/>
          <w:lang w:val="zh-CN"/>
        </w:rPr>
        <w:t>22.4</w:t>
      </w:r>
      <w:r>
        <w:rPr>
          <w:rFonts w:hint="eastAsia" w:ascii="宋体" w:hAnsi="宋体" w:eastAsia="宋体" w:cs="宋体"/>
          <w:color w:val="auto"/>
          <w:szCs w:val="21"/>
          <w:lang w:val="zh-CN"/>
        </w:rPr>
        <w:tab/>
      </w:r>
      <w:r>
        <w:rPr>
          <w:rFonts w:hint="eastAsia" w:ascii="宋体" w:hAnsi="宋体" w:eastAsia="宋体" w:cs="宋体"/>
          <w:color w:val="auto"/>
          <w:szCs w:val="21"/>
          <w:lang w:val="zh-CN"/>
        </w:rPr>
        <w:t>投标报价表内当以数字表示的报价系数与以文字表示的报价系数不一致时，以文字表示的报价系数为准；投标报价表内折扣系数报价需保留小数点后两位，否则评标委员会按去“尾”或补“零”的方式进行修正为保留小数点后两位，投标人须接受被修正后的报价（例：如投标折扣系数为0.789，则被修正为0.78；如投标折扣系数为0.7，则被修正为0.70）。对不同文字文本投标文件的解释发生异议的，以中文文本为准。</w:t>
      </w:r>
    </w:p>
    <w:p w14:paraId="4CF2859B">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lang w:val="zh-CN"/>
        </w:rPr>
      </w:pPr>
      <w:r>
        <w:rPr>
          <w:rFonts w:hint="eastAsia" w:ascii="宋体" w:hAnsi="宋体" w:eastAsia="宋体" w:cs="宋体"/>
          <w:color w:val="auto"/>
          <w:szCs w:val="21"/>
          <w:lang w:val="zh-CN"/>
        </w:rPr>
        <w:t>22.5 投标人对开标有异议的，应当在开标现场提出，招标代理机构应当当场作出答复，并制作记录。投标人法定代表人或其授权代表未出席的，视同认可开标结果。</w:t>
      </w:r>
    </w:p>
    <w:p w14:paraId="4D3D0FC7">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lang w:val="zh-CN"/>
        </w:rPr>
      </w:pPr>
      <w:r>
        <w:rPr>
          <w:rFonts w:hint="eastAsia" w:ascii="宋体" w:hAnsi="宋体" w:eastAsia="宋体" w:cs="宋体"/>
          <w:color w:val="auto"/>
          <w:szCs w:val="21"/>
          <w:lang w:val="zh-CN"/>
        </w:rPr>
        <w:t>22.6 招标代理机构将做开标记录，开标记录包括第22.5款发生的异议及答复、按第22.3款的规定在开标时宣读的全部内容。</w:t>
      </w:r>
    </w:p>
    <w:p w14:paraId="56A0EC2D">
      <w:pPr>
        <w:autoSpaceDE w:val="0"/>
        <w:autoSpaceDN w:val="0"/>
        <w:adjustRightInd w:val="0"/>
        <w:spacing w:line="360" w:lineRule="auto"/>
        <w:ind w:left="357" w:leftChars="-100" w:right="15" w:rightChars="7" w:hanging="567"/>
        <w:rPr>
          <w:rFonts w:ascii="宋体" w:hAnsi="宋体" w:eastAsia="宋体" w:cs="宋体"/>
          <w:color w:val="auto"/>
          <w:kern w:val="0"/>
          <w:szCs w:val="21"/>
        </w:rPr>
      </w:pPr>
    </w:p>
    <w:p w14:paraId="0E8C51B5">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lang w:val="zh-CN"/>
        </w:rPr>
      </w:pPr>
      <w:bookmarkStart w:id="228" w:name="_Toc450662874"/>
      <w:bookmarkStart w:id="229" w:name="_Toc12165_WPSOffice_Level3"/>
      <w:bookmarkStart w:id="230" w:name="_Toc173182284"/>
      <w:bookmarkStart w:id="231" w:name="_Toc486167689"/>
      <w:bookmarkStart w:id="232" w:name="_Toc142508339"/>
      <w:bookmarkStart w:id="233" w:name="_Toc2038"/>
      <w:bookmarkStart w:id="234" w:name="_Toc2119"/>
      <w:r>
        <w:rPr>
          <w:rFonts w:hint="eastAsia" w:ascii="宋体" w:hAnsi="宋体" w:eastAsia="宋体" w:cs="宋体"/>
          <w:color w:val="auto"/>
          <w:szCs w:val="21"/>
          <w:lang w:val="zh-CN"/>
        </w:rPr>
        <w:t>23</w:t>
      </w:r>
      <w:r>
        <w:rPr>
          <w:rFonts w:ascii="宋体" w:hAnsi="宋体" w:eastAsia="宋体" w:cs="宋体"/>
          <w:color w:val="auto"/>
          <w:szCs w:val="21"/>
          <w:lang w:val="zh-CN"/>
        </w:rPr>
        <w:t xml:space="preserve"> </w:t>
      </w:r>
      <w:r>
        <w:rPr>
          <w:rFonts w:hint="eastAsia" w:ascii="宋体" w:hAnsi="宋体" w:eastAsia="宋体" w:cs="宋体"/>
          <w:color w:val="auto"/>
          <w:kern w:val="0"/>
          <w:szCs w:val="24"/>
        </w:rPr>
        <w:t>评标过程的保密性</w:t>
      </w:r>
      <w:bookmarkEnd w:id="228"/>
      <w:bookmarkEnd w:id="229"/>
      <w:bookmarkEnd w:id="230"/>
      <w:bookmarkEnd w:id="231"/>
      <w:bookmarkEnd w:id="232"/>
      <w:bookmarkEnd w:id="233"/>
      <w:bookmarkEnd w:id="234"/>
    </w:p>
    <w:p w14:paraId="1807D0C1">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lang w:val="zh-CN"/>
        </w:rPr>
      </w:pPr>
      <w:r>
        <w:rPr>
          <w:rFonts w:hint="eastAsia" w:ascii="宋体" w:hAnsi="宋体" w:eastAsia="宋体" w:cs="宋体"/>
          <w:color w:val="auto"/>
          <w:szCs w:val="21"/>
          <w:lang w:val="zh-CN"/>
        </w:rPr>
        <w:t>23.1</w:t>
      </w:r>
      <w:r>
        <w:rPr>
          <w:rFonts w:hint="eastAsia" w:ascii="宋体" w:hAnsi="宋体" w:eastAsia="宋体" w:cs="宋体"/>
          <w:color w:val="auto"/>
          <w:szCs w:val="21"/>
          <w:lang w:val="zh-CN"/>
        </w:rPr>
        <w:tab/>
      </w:r>
      <w:r>
        <w:rPr>
          <w:rFonts w:hint="eastAsia" w:ascii="宋体" w:hAnsi="宋体" w:eastAsia="宋体" w:cs="宋体"/>
          <w:color w:val="auto"/>
          <w:szCs w:val="21"/>
          <w:lang w:val="zh-CN"/>
        </w:rPr>
        <w:t>递交投标文件后，</w:t>
      </w:r>
      <w:r>
        <w:rPr>
          <w:rFonts w:hint="eastAsia" w:ascii="宋体" w:hAnsi="宋体" w:eastAsia="宋体" w:cs="Times New Roman"/>
          <w:color w:val="auto"/>
          <w:szCs w:val="21"/>
          <w:lang w:val="zh-CN"/>
        </w:rPr>
        <w:t>直至向中标人授予合同期间，凡与审查、澄清、评估和比较投标报价的有关资料以及意见等，均不得向投标人及与评审无关的其他人透露，否则追究有关当事人的法律责任</w:t>
      </w:r>
      <w:r>
        <w:rPr>
          <w:rFonts w:hint="eastAsia" w:ascii="宋体" w:hAnsi="宋体" w:eastAsia="宋体" w:cs="宋体"/>
          <w:color w:val="auto"/>
          <w:szCs w:val="21"/>
          <w:lang w:val="zh-CN"/>
        </w:rPr>
        <w:t>。</w:t>
      </w:r>
    </w:p>
    <w:p w14:paraId="25EF5058">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lang w:val="zh-CN"/>
        </w:rPr>
      </w:pPr>
      <w:r>
        <w:rPr>
          <w:rFonts w:hint="eastAsia" w:ascii="宋体" w:hAnsi="宋体" w:eastAsia="宋体" w:cs="宋体"/>
          <w:color w:val="auto"/>
          <w:szCs w:val="21"/>
          <w:lang w:val="zh-CN"/>
        </w:rPr>
        <w:t>23.2</w:t>
      </w:r>
      <w:r>
        <w:rPr>
          <w:rFonts w:hint="eastAsia" w:ascii="宋体" w:hAnsi="宋体" w:eastAsia="宋体" w:cs="宋体"/>
          <w:color w:val="auto"/>
          <w:szCs w:val="21"/>
          <w:lang w:val="zh-CN"/>
        </w:rPr>
        <w:tab/>
      </w:r>
      <w:r>
        <w:rPr>
          <w:rFonts w:hint="eastAsia" w:ascii="宋体" w:hAnsi="宋体" w:eastAsia="宋体" w:cs="宋体"/>
          <w:color w:val="auto"/>
          <w:szCs w:val="21"/>
          <w:lang w:val="zh-CN"/>
        </w:rPr>
        <w:t>在评标过程中，如果投标人试图在投标文件审查、澄清、比较及授予合同方面向招标代理机构和招标人施加任何影响，其投标文件将被拒绝。</w:t>
      </w:r>
    </w:p>
    <w:p w14:paraId="3A84AD71">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lang w:val="zh-CN"/>
        </w:rPr>
      </w:pPr>
    </w:p>
    <w:p w14:paraId="3AA22FEF">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lang w:val="zh-CN"/>
        </w:rPr>
      </w:pPr>
      <w:bookmarkStart w:id="235" w:name="_Toc833"/>
      <w:bookmarkStart w:id="236" w:name="_Toc15565_WPSOffice_Level3"/>
      <w:bookmarkStart w:id="237" w:name="_Toc142508340"/>
      <w:bookmarkStart w:id="238" w:name="_Toc486167690"/>
      <w:bookmarkStart w:id="239" w:name="_Toc450662875"/>
      <w:bookmarkStart w:id="240" w:name="_Toc173182285"/>
      <w:bookmarkStart w:id="241" w:name="_Toc20368"/>
      <w:r>
        <w:rPr>
          <w:rFonts w:hint="eastAsia" w:ascii="宋体" w:hAnsi="宋体" w:eastAsia="宋体" w:cs="宋体"/>
          <w:color w:val="auto"/>
          <w:szCs w:val="21"/>
          <w:lang w:val="zh-CN"/>
        </w:rPr>
        <w:t>24</w:t>
      </w:r>
      <w:r>
        <w:rPr>
          <w:rFonts w:ascii="宋体" w:hAnsi="宋体" w:eastAsia="宋体" w:cs="宋体"/>
          <w:color w:val="auto"/>
          <w:szCs w:val="21"/>
          <w:lang w:val="zh-CN"/>
        </w:rPr>
        <w:t xml:space="preserve"> </w:t>
      </w:r>
      <w:r>
        <w:rPr>
          <w:rFonts w:hint="eastAsia" w:ascii="宋体" w:hAnsi="宋体" w:eastAsia="宋体" w:cs="宋体"/>
          <w:color w:val="auto"/>
          <w:szCs w:val="21"/>
          <w:lang w:val="zh-CN"/>
        </w:rPr>
        <w:t>评标委员会</w:t>
      </w:r>
      <w:bookmarkEnd w:id="235"/>
      <w:bookmarkEnd w:id="236"/>
      <w:bookmarkEnd w:id="237"/>
      <w:bookmarkEnd w:id="238"/>
      <w:bookmarkEnd w:id="239"/>
      <w:bookmarkEnd w:id="240"/>
      <w:bookmarkEnd w:id="241"/>
    </w:p>
    <w:p w14:paraId="7FE1F87D">
      <w:pPr>
        <w:tabs>
          <w:tab w:val="left" w:pos="567"/>
        </w:tabs>
        <w:autoSpaceDE w:val="0"/>
        <w:autoSpaceDN w:val="0"/>
        <w:adjustRightInd w:val="0"/>
        <w:spacing w:line="360" w:lineRule="auto"/>
        <w:ind w:left="357" w:leftChars="-100" w:hanging="567"/>
        <w:rPr>
          <w:rFonts w:ascii="宋体" w:hAnsi="宋体" w:eastAsia="宋体" w:cs="宋体"/>
          <w:color w:val="auto"/>
          <w:szCs w:val="21"/>
          <w:lang w:val="zh-CN"/>
        </w:rPr>
      </w:pPr>
      <w:r>
        <w:rPr>
          <w:rFonts w:hint="eastAsia" w:ascii="宋体" w:hAnsi="宋体" w:eastAsia="宋体" w:cs="宋体"/>
          <w:color w:val="auto"/>
          <w:szCs w:val="21"/>
          <w:lang w:val="zh-CN"/>
        </w:rPr>
        <w:t>24.1</w:t>
      </w:r>
      <w:r>
        <w:rPr>
          <w:rFonts w:hint="eastAsia" w:ascii="宋体" w:hAnsi="宋体" w:eastAsia="宋体" w:cs="宋体"/>
          <w:color w:val="auto"/>
          <w:szCs w:val="21"/>
          <w:lang w:val="zh-CN"/>
        </w:rPr>
        <w:tab/>
      </w:r>
      <w:r>
        <w:rPr>
          <w:rFonts w:hint="eastAsia" w:ascii="宋体" w:hAnsi="宋体" w:eastAsia="宋体" w:cs="宋体"/>
          <w:color w:val="auto"/>
          <w:szCs w:val="21"/>
          <w:lang w:val="zh-CN"/>
        </w:rPr>
        <w:t>依法组建评标委员会。评标委员会的成员在评审过程中必须严格遵守国家及地方招标投标的有关规定。</w:t>
      </w:r>
    </w:p>
    <w:p w14:paraId="517C6980">
      <w:pPr>
        <w:autoSpaceDE w:val="0"/>
        <w:autoSpaceDN w:val="0"/>
        <w:adjustRightInd w:val="0"/>
        <w:spacing w:line="360" w:lineRule="auto"/>
        <w:ind w:left="357" w:leftChars="-100" w:hanging="567"/>
        <w:rPr>
          <w:rFonts w:ascii="宋体" w:hAnsi="宋体" w:eastAsia="宋体" w:cs="宋体"/>
          <w:color w:val="auto"/>
          <w:szCs w:val="21"/>
          <w:lang w:val="zh-CN"/>
        </w:rPr>
      </w:pPr>
      <w:r>
        <w:rPr>
          <w:rFonts w:hint="eastAsia" w:ascii="宋体" w:hAnsi="宋体" w:eastAsia="宋体" w:cs="宋体"/>
          <w:color w:val="auto"/>
          <w:szCs w:val="21"/>
          <w:lang w:val="zh-CN"/>
        </w:rPr>
        <w:t>24.2</w:t>
      </w:r>
      <w:r>
        <w:rPr>
          <w:rFonts w:hint="eastAsia" w:ascii="宋体" w:hAnsi="宋体" w:eastAsia="宋体" w:cs="宋体"/>
          <w:color w:val="auto"/>
          <w:szCs w:val="21"/>
          <w:lang w:val="zh-CN"/>
        </w:rPr>
        <w:tab/>
      </w:r>
      <w:r>
        <w:rPr>
          <w:rFonts w:hint="eastAsia" w:ascii="宋体" w:hAnsi="宋体" w:eastAsia="宋体" w:cs="宋体"/>
          <w:color w:val="auto"/>
          <w:szCs w:val="21"/>
          <w:lang w:val="zh-CN"/>
        </w:rPr>
        <w:t>评标委员会依法根据招标文件的规定，进行投标文件的评审、得出评审结果，并向招标人推荐中标候选人。</w:t>
      </w:r>
    </w:p>
    <w:p w14:paraId="4F9E53CA">
      <w:pPr>
        <w:autoSpaceDE w:val="0"/>
        <w:autoSpaceDN w:val="0"/>
        <w:adjustRightInd w:val="0"/>
        <w:spacing w:line="360" w:lineRule="auto"/>
        <w:ind w:left="357" w:leftChars="-100" w:hanging="567"/>
        <w:rPr>
          <w:rFonts w:ascii="宋体" w:hAnsi="宋体" w:eastAsia="宋体" w:cs="宋体"/>
          <w:color w:val="auto"/>
          <w:szCs w:val="21"/>
          <w:lang w:val="zh-CN"/>
        </w:rPr>
      </w:pPr>
    </w:p>
    <w:p w14:paraId="37F9DF63">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szCs w:val="21"/>
          <w:lang w:val="zh-CN"/>
        </w:rPr>
      </w:pPr>
      <w:bookmarkStart w:id="242" w:name="_Toc28910_WPSOffice_Level3"/>
      <w:bookmarkStart w:id="243" w:name="_Toc450662876"/>
      <w:bookmarkStart w:id="244" w:name="_Toc173182286"/>
      <w:bookmarkStart w:id="245" w:name="_Toc142508341"/>
      <w:bookmarkStart w:id="246" w:name="_Toc486167691"/>
      <w:bookmarkStart w:id="247" w:name="_Toc31399"/>
      <w:bookmarkStart w:id="248" w:name="_Toc21146"/>
      <w:r>
        <w:rPr>
          <w:rFonts w:hint="eastAsia" w:ascii="宋体" w:hAnsi="宋体" w:eastAsia="宋体" w:cs="宋体"/>
          <w:b/>
          <w:color w:val="auto"/>
          <w:szCs w:val="21"/>
          <w:lang w:val="zh-CN"/>
        </w:rPr>
        <w:t>25</w:t>
      </w:r>
      <w:r>
        <w:rPr>
          <w:rFonts w:ascii="宋体" w:hAnsi="宋体" w:eastAsia="宋体" w:cs="宋体"/>
          <w:b/>
          <w:color w:val="auto"/>
          <w:szCs w:val="21"/>
          <w:lang w:val="zh-CN"/>
        </w:rPr>
        <w:t xml:space="preserve"> </w:t>
      </w:r>
      <w:r>
        <w:rPr>
          <w:rFonts w:hint="eastAsia" w:ascii="宋体" w:hAnsi="宋体" w:eastAsia="宋体" w:cs="宋体"/>
          <w:b/>
          <w:color w:val="auto"/>
          <w:szCs w:val="21"/>
          <w:lang w:val="zh-CN"/>
        </w:rPr>
        <w:t>投标文件的初审</w:t>
      </w:r>
      <w:bookmarkEnd w:id="242"/>
      <w:bookmarkEnd w:id="243"/>
      <w:bookmarkEnd w:id="244"/>
      <w:bookmarkEnd w:id="245"/>
      <w:bookmarkEnd w:id="246"/>
      <w:bookmarkEnd w:id="247"/>
      <w:bookmarkEnd w:id="248"/>
    </w:p>
    <w:p w14:paraId="7CD3F1E7">
      <w:pPr>
        <w:autoSpaceDE w:val="0"/>
        <w:autoSpaceDN w:val="0"/>
        <w:adjustRightInd w:val="0"/>
        <w:spacing w:line="360" w:lineRule="auto"/>
        <w:ind w:left="357" w:leftChars="-100" w:hanging="567"/>
        <w:rPr>
          <w:rFonts w:ascii="宋体" w:hAnsi="宋体" w:eastAsia="宋体" w:cs="宋体"/>
          <w:b/>
          <w:color w:val="auto"/>
          <w:szCs w:val="21"/>
        </w:rPr>
      </w:pPr>
      <w:r>
        <w:rPr>
          <w:rFonts w:hint="eastAsia" w:ascii="宋体" w:hAnsi="宋体" w:eastAsia="宋体" w:cs="宋体"/>
          <w:b/>
          <w:color w:val="auto"/>
          <w:szCs w:val="21"/>
          <w:lang w:val="zh-CN"/>
        </w:rPr>
        <w:t>25.1 资格性检查：依据法律法规和招标文件的规定，对投标文件中的资格证明、投标保证金等进行审查，以确定投标人是否具备投标资格。</w:t>
      </w:r>
    </w:p>
    <w:p w14:paraId="357C7D75">
      <w:pPr>
        <w:autoSpaceDE w:val="0"/>
        <w:autoSpaceDN w:val="0"/>
        <w:adjustRightInd w:val="0"/>
        <w:spacing w:line="360" w:lineRule="auto"/>
        <w:ind w:left="330" w:leftChars="-100" w:hanging="540"/>
        <w:rPr>
          <w:rFonts w:ascii="宋体" w:hAnsi="宋体" w:eastAsia="宋体" w:cs="宋体"/>
          <w:b/>
          <w:color w:val="auto"/>
          <w:szCs w:val="21"/>
          <w:lang w:val="zh-CN"/>
        </w:rPr>
      </w:pPr>
      <w:r>
        <w:rPr>
          <w:rFonts w:hint="eastAsia" w:ascii="宋体" w:hAnsi="宋体" w:eastAsia="宋体" w:cs="宋体"/>
          <w:b/>
          <w:color w:val="auto"/>
          <w:szCs w:val="21"/>
          <w:lang w:val="zh-CN"/>
        </w:rPr>
        <w:t>25.2 符合性检查：依据招标文件的规定，从投标文件的有效性、完整性和对招标文件的响应程度进行审查，以确定是否对招标文件的实质性要求作出响应。</w:t>
      </w:r>
    </w:p>
    <w:p w14:paraId="3A20387A">
      <w:pPr>
        <w:autoSpaceDE w:val="0"/>
        <w:autoSpaceDN w:val="0"/>
        <w:adjustRightInd w:val="0"/>
        <w:spacing w:line="360" w:lineRule="auto"/>
        <w:ind w:left="330" w:leftChars="-100" w:hanging="540"/>
        <w:rPr>
          <w:rFonts w:ascii="宋体" w:hAnsi="宋体" w:eastAsia="宋体" w:cs="宋体"/>
          <w:b/>
          <w:color w:val="auto"/>
          <w:szCs w:val="21"/>
          <w:lang w:val="zh-CN"/>
        </w:rPr>
      </w:pPr>
    </w:p>
    <w:p w14:paraId="44AD76CB">
      <w:pPr>
        <w:tabs>
          <w:tab w:val="left" w:pos="525"/>
        </w:tabs>
        <w:autoSpaceDE w:val="0"/>
        <w:autoSpaceDN w:val="0"/>
        <w:adjustRightInd w:val="0"/>
        <w:spacing w:line="360" w:lineRule="auto"/>
        <w:ind w:left="357" w:leftChars="-100" w:hanging="567"/>
        <w:jc w:val="left"/>
        <w:outlineLvl w:val="2"/>
        <w:rPr>
          <w:rFonts w:ascii="宋体" w:hAnsi="宋体" w:eastAsia="宋体" w:cs="宋体"/>
          <w:color w:val="auto"/>
          <w:szCs w:val="21"/>
          <w:lang w:val="zh-CN"/>
        </w:rPr>
      </w:pPr>
      <w:bookmarkStart w:id="249" w:name="_Toc486167692"/>
      <w:bookmarkStart w:id="250" w:name="_Toc450662877"/>
      <w:bookmarkStart w:id="251" w:name="_Toc173182287"/>
      <w:bookmarkStart w:id="252" w:name="_Toc10130"/>
      <w:bookmarkStart w:id="253" w:name="_Toc338_WPSOffice_Level3"/>
      <w:bookmarkStart w:id="254" w:name="_Toc142508342"/>
      <w:bookmarkStart w:id="255" w:name="_Toc31551"/>
      <w:r>
        <w:rPr>
          <w:rFonts w:hint="eastAsia" w:ascii="宋体" w:hAnsi="宋体" w:eastAsia="宋体" w:cs="宋体"/>
          <w:color w:val="auto"/>
          <w:szCs w:val="21"/>
          <w:lang w:val="zh-CN"/>
        </w:rPr>
        <w:t>26</w:t>
      </w:r>
      <w:r>
        <w:rPr>
          <w:rFonts w:ascii="宋体" w:hAnsi="宋体" w:eastAsia="宋体" w:cs="宋体"/>
          <w:color w:val="auto"/>
          <w:szCs w:val="21"/>
          <w:lang w:val="zh-CN"/>
        </w:rPr>
        <w:t xml:space="preserve"> </w:t>
      </w:r>
      <w:r>
        <w:rPr>
          <w:rFonts w:hint="eastAsia" w:ascii="宋体" w:hAnsi="宋体" w:eastAsia="宋体" w:cs="宋体"/>
          <w:color w:val="auto"/>
          <w:szCs w:val="21"/>
          <w:lang w:val="zh-CN"/>
        </w:rPr>
        <w:t>投标文件的澄清</w:t>
      </w:r>
      <w:bookmarkEnd w:id="249"/>
      <w:bookmarkEnd w:id="250"/>
      <w:bookmarkEnd w:id="251"/>
      <w:bookmarkEnd w:id="252"/>
      <w:bookmarkEnd w:id="253"/>
      <w:bookmarkEnd w:id="254"/>
      <w:bookmarkEnd w:id="255"/>
    </w:p>
    <w:p w14:paraId="7CA4365C">
      <w:pPr>
        <w:autoSpaceDE w:val="0"/>
        <w:autoSpaceDN w:val="0"/>
        <w:adjustRightInd w:val="0"/>
        <w:spacing w:line="360" w:lineRule="auto"/>
        <w:ind w:left="315" w:leftChars="-100" w:hanging="525" w:hangingChars="250"/>
        <w:rPr>
          <w:rFonts w:ascii="宋体" w:hAnsi="宋体" w:eastAsia="宋体" w:cs="宋体"/>
          <w:color w:val="auto"/>
          <w:szCs w:val="21"/>
          <w:lang w:val="zh-CN"/>
        </w:rPr>
      </w:pPr>
      <w:r>
        <w:rPr>
          <w:rFonts w:hint="eastAsia" w:ascii="宋体" w:hAnsi="宋体" w:eastAsia="宋体" w:cs="宋体"/>
          <w:color w:val="auto"/>
          <w:szCs w:val="21"/>
          <w:lang w:val="zh-CN"/>
        </w:rPr>
        <w:t>26.1 对投标文件中含义不明确、同类问题表述不一致或者有明显文字和计算错误的内容，评标委员会可以书面形式（应当由评标委员会专家签字）要求投标人作出必要的澄清、说明或者纠正。投标人的澄清、说明或者补正应当采用书面形式，由其授权的代表签字，并不得超出投标文件的范围或者改变投标文件的实质性内容。</w:t>
      </w:r>
    </w:p>
    <w:p w14:paraId="2DF23155">
      <w:pPr>
        <w:autoSpaceDE w:val="0"/>
        <w:autoSpaceDN w:val="0"/>
        <w:adjustRightInd w:val="0"/>
        <w:spacing w:line="360" w:lineRule="auto"/>
        <w:ind w:left="330" w:leftChars="-100" w:right="15" w:rightChars="7" w:hanging="540"/>
        <w:rPr>
          <w:rFonts w:ascii="宋体" w:hAnsi="宋体" w:eastAsia="宋体" w:cs="宋体"/>
          <w:color w:val="auto"/>
          <w:szCs w:val="21"/>
          <w:lang w:val="zh-CN"/>
        </w:rPr>
      </w:pPr>
      <w:bookmarkStart w:id="256" w:name="_Toc450662879"/>
      <w:r>
        <w:rPr>
          <w:rFonts w:hint="eastAsia" w:ascii="宋体" w:hAnsi="宋体" w:eastAsia="宋体" w:cs="宋体"/>
          <w:color w:val="auto"/>
          <w:szCs w:val="21"/>
          <w:lang w:val="zh-CN"/>
        </w:rPr>
        <w:t xml:space="preserve">26.2 </w:t>
      </w:r>
      <w:r>
        <w:rPr>
          <w:rFonts w:hint="eastAsia" w:ascii="宋体" w:hAnsi="宋体" w:eastAsia="宋体" w:cs="宋体"/>
          <w:color w:val="auto"/>
          <w:szCs w:val="21"/>
        </w:rPr>
        <w:t>开标当天</w:t>
      </w:r>
      <w:r>
        <w:rPr>
          <w:rFonts w:hint="eastAsia" w:ascii="宋体" w:hAnsi="宋体" w:eastAsia="宋体" w:cs="宋体"/>
          <w:color w:val="auto"/>
          <w:szCs w:val="21"/>
          <w:lang w:val="zh-CN"/>
        </w:rPr>
        <w:t>，投标人法定代表人或法定代表人授权书列明的被授权人的联系电话应保持开机状态，以便在评标期间，评标委员会要求投标人对投标文件进行澄清时能够收到有关通知，否则视为投标人放弃澄清的权利，对评标委员会就该项内容的评审意见无异议。</w:t>
      </w:r>
    </w:p>
    <w:bookmarkEnd w:id="256"/>
    <w:p w14:paraId="03E9E245">
      <w:pPr>
        <w:tabs>
          <w:tab w:val="left" w:pos="525"/>
        </w:tabs>
        <w:autoSpaceDE w:val="0"/>
        <w:autoSpaceDN w:val="0"/>
        <w:adjustRightInd w:val="0"/>
        <w:spacing w:line="360" w:lineRule="auto"/>
        <w:ind w:left="357" w:leftChars="-100" w:hanging="567"/>
        <w:jc w:val="left"/>
        <w:rPr>
          <w:rFonts w:ascii="宋体" w:hAnsi="宋体" w:eastAsia="宋体" w:cs="宋体"/>
          <w:color w:val="auto"/>
          <w:szCs w:val="21"/>
          <w:lang w:val="zh-CN"/>
        </w:rPr>
      </w:pPr>
      <w:bookmarkStart w:id="257" w:name="_Toc142508343"/>
      <w:bookmarkStart w:id="258" w:name="_Toc521918096"/>
      <w:bookmarkStart w:id="259" w:name="_Toc522047355"/>
      <w:bookmarkStart w:id="260" w:name="_Toc18368_WPSOffice_Level3"/>
    </w:p>
    <w:p w14:paraId="4A92B990">
      <w:pPr>
        <w:tabs>
          <w:tab w:val="left" w:pos="525"/>
        </w:tabs>
        <w:autoSpaceDE w:val="0"/>
        <w:autoSpaceDN w:val="0"/>
        <w:adjustRightInd w:val="0"/>
        <w:spacing w:line="360" w:lineRule="auto"/>
        <w:ind w:left="357" w:leftChars="-100" w:hanging="567"/>
        <w:jc w:val="left"/>
        <w:outlineLvl w:val="2"/>
        <w:rPr>
          <w:rFonts w:ascii="宋体" w:hAnsi="宋体" w:eastAsia="宋体" w:cs="宋体"/>
          <w:color w:val="auto"/>
          <w:szCs w:val="21"/>
          <w:lang w:val="zh-CN"/>
        </w:rPr>
      </w:pPr>
      <w:bookmarkStart w:id="261" w:name="_Toc15022"/>
      <w:bookmarkStart w:id="262" w:name="_Toc173182288"/>
      <w:bookmarkStart w:id="263" w:name="_Toc30390"/>
      <w:r>
        <w:rPr>
          <w:rFonts w:hint="eastAsia" w:ascii="宋体" w:hAnsi="宋体" w:eastAsia="宋体" w:cs="宋体"/>
          <w:color w:val="auto"/>
          <w:szCs w:val="21"/>
          <w:lang w:val="zh-CN"/>
        </w:rPr>
        <w:t>27</w:t>
      </w:r>
      <w:r>
        <w:rPr>
          <w:rFonts w:ascii="宋体" w:hAnsi="宋体" w:eastAsia="宋体" w:cs="宋体"/>
          <w:color w:val="auto"/>
          <w:szCs w:val="21"/>
          <w:lang w:val="zh-CN"/>
        </w:rPr>
        <w:t xml:space="preserve"> </w:t>
      </w:r>
      <w:r>
        <w:rPr>
          <w:rFonts w:hint="eastAsia" w:ascii="宋体" w:hAnsi="宋体" w:eastAsia="宋体" w:cs="宋体"/>
          <w:color w:val="auto"/>
          <w:szCs w:val="21"/>
          <w:lang w:val="zh-CN"/>
        </w:rPr>
        <w:t>对投标文件的比较和评价</w:t>
      </w:r>
      <w:bookmarkEnd w:id="257"/>
      <w:bookmarkEnd w:id="258"/>
      <w:bookmarkEnd w:id="259"/>
      <w:bookmarkEnd w:id="260"/>
      <w:bookmarkEnd w:id="261"/>
      <w:bookmarkEnd w:id="262"/>
      <w:bookmarkEnd w:id="263"/>
    </w:p>
    <w:p w14:paraId="66513C6A">
      <w:pPr>
        <w:tabs>
          <w:tab w:val="left" w:pos="540"/>
        </w:tabs>
        <w:autoSpaceDE w:val="0"/>
        <w:autoSpaceDN w:val="0"/>
        <w:adjustRightInd w:val="0"/>
        <w:spacing w:line="360" w:lineRule="auto"/>
        <w:ind w:left="330" w:leftChars="-100" w:right="15" w:rightChars="7" w:hanging="540"/>
        <w:rPr>
          <w:rFonts w:ascii="宋体" w:hAnsi="宋体" w:eastAsia="宋体" w:cs="宋体"/>
          <w:color w:val="auto"/>
          <w:szCs w:val="21"/>
          <w:lang w:val="zh-CN"/>
        </w:rPr>
      </w:pPr>
      <w:r>
        <w:rPr>
          <w:rFonts w:hint="eastAsia" w:ascii="宋体" w:hAnsi="宋体" w:eastAsia="宋体" w:cs="宋体"/>
          <w:color w:val="auto"/>
          <w:szCs w:val="21"/>
          <w:lang w:val="zh-CN"/>
        </w:rPr>
        <w:t>27.1</w:t>
      </w:r>
      <w:r>
        <w:rPr>
          <w:rFonts w:hint="eastAsia" w:ascii="宋体" w:hAnsi="宋体" w:eastAsia="宋体" w:cs="宋体"/>
          <w:color w:val="auto"/>
          <w:szCs w:val="21"/>
          <w:lang w:val="zh-CN"/>
        </w:rPr>
        <w:tab/>
      </w:r>
      <w:r>
        <w:rPr>
          <w:rFonts w:hint="eastAsia" w:ascii="宋体" w:hAnsi="宋体" w:eastAsia="宋体" w:cs="宋体"/>
          <w:color w:val="auto"/>
          <w:szCs w:val="21"/>
          <w:lang w:val="zh-CN"/>
        </w:rPr>
        <w:t>评标委员会将对资格性检查和符合性检查合格的投标文件进行比较和评价，包括商务、技术和价格的详细评审。</w:t>
      </w:r>
    </w:p>
    <w:p w14:paraId="5DEB895A">
      <w:pPr>
        <w:autoSpaceDE w:val="0"/>
        <w:autoSpaceDN w:val="0"/>
        <w:adjustRightInd w:val="0"/>
        <w:spacing w:line="360" w:lineRule="auto"/>
        <w:ind w:left="330" w:leftChars="-100" w:right="15" w:rightChars="7" w:hanging="540"/>
        <w:rPr>
          <w:rFonts w:ascii="宋体" w:hAnsi="宋体" w:eastAsia="宋体" w:cs="宋体"/>
          <w:color w:val="auto"/>
          <w:szCs w:val="21"/>
          <w:lang w:val="zh-CN"/>
        </w:rPr>
      </w:pPr>
      <w:r>
        <w:rPr>
          <w:rFonts w:hint="eastAsia" w:ascii="宋体" w:hAnsi="宋体" w:eastAsia="宋体" w:cs="宋体"/>
          <w:color w:val="auto"/>
          <w:szCs w:val="21"/>
          <w:lang w:val="zh-CN"/>
        </w:rPr>
        <w:t>27.2</w:t>
      </w:r>
      <w:r>
        <w:rPr>
          <w:rFonts w:hint="eastAsia" w:ascii="宋体" w:hAnsi="宋体" w:eastAsia="宋体" w:cs="宋体"/>
          <w:color w:val="auto"/>
          <w:szCs w:val="21"/>
          <w:lang w:val="zh-CN"/>
        </w:rPr>
        <w:tab/>
      </w:r>
      <w:r>
        <w:rPr>
          <w:rFonts w:hint="eastAsia" w:ascii="宋体" w:hAnsi="宋体" w:eastAsia="宋体" w:cs="宋体"/>
          <w:color w:val="auto"/>
          <w:szCs w:val="21"/>
          <w:lang w:val="zh-CN"/>
        </w:rPr>
        <w:t>对投标文件商务的评审详见评标工作大纲。</w:t>
      </w:r>
    </w:p>
    <w:p w14:paraId="5043954B">
      <w:pPr>
        <w:autoSpaceDE w:val="0"/>
        <w:autoSpaceDN w:val="0"/>
        <w:adjustRightInd w:val="0"/>
        <w:spacing w:line="360" w:lineRule="auto"/>
        <w:ind w:left="330" w:leftChars="-100" w:right="15" w:rightChars="7" w:hanging="540"/>
        <w:rPr>
          <w:rFonts w:ascii="宋体" w:hAnsi="宋体" w:eastAsia="宋体" w:cs="宋体"/>
          <w:color w:val="auto"/>
          <w:szCs w:val="21"/>
          <w:lang w:val="zh-CN"/>
        </w:rPr>
      </w:pPr>
      <w:r>
        <w:rPr>
          <w:rFonts w:hint="eastAsia" w:ascii="宋体" w:hAnsi="宋体" w:eastAsia="宋体" w:cs="宋体"/>
          <w:color w:val="auto"/>
          <w:szCs w:val="21"/>
          <w:lang w:val="zh-CN"/>
        </w:rPr>
        <w:t>27.3</w:t>
      </w:r>
      <w:r>
        <w:rPr>
          <w:rFonts w:hint="eastAsia" w:ascii="宋体" w:hAnsi="宋体" w:eastAsia="宋体" w:cs="宋体"/>
          <w:color w:val="auto"/>
          <w:szCs w:val="21"/>
          <w:lang w:val="zh-CN"/>
        </w:rPr>
        <w:tab/>
      </w:r>
      <w:r>
        <w:rPr>
          <w:rFonts w:hint="eastAsia" w:ascii="宋体" w:hAnsi="宋体" w:eastAsia="宋体" w:cs="宋体"/>
          <w:color w:val="auto"/>
          <w:szCs w:val="21"/>
          <w:lang w:val="zh-CN"/>
        </w:rPr>
        <w:t>对投标文件技术的评审详见评标工作大纲。</w:t>
      </w:r>
    </w:p>
    <w:p w14:paraId="5FADBE47">
      <w:pPr>
        <w:autoSpaceDE w:val="0"/>
        <w:autoSpaceDN w:val="0"/>
        <w:adjustRightInd w:val="0"/>
        <w:spacing w:line="360" w:lineRule="auto"/>
        <w:ind w:left="330" w:leftChars="-100" w:right="15" w:rightChars="7" w:hanging="540"/>
        <w:rPr>
          <w:rFonts w:ascii="宋体" w:hAnsi="宋体" w:eastAsia="宋体" w:cs="宋体"/>
          <w:color w:val="auto"/>
          <w:szCs w:val="21"/>
          <w:lang w:val="zh-CN"/>
        </w:rPr>
      </w:pPr>
      <w:r>
        <w:rPr>
          <w:rFonts w:hint="eastAsia" w:ascii="宋体" w:hAnsi="宋体" w:eastAsia="宋体" w:cs="宋体"/>
          <w:color w:val="auto"/>
          <w:szCs w:val="21"/>
          <w:lang w:val="zh-CN"/>
        </w:rPr>
        <w:t>27.4</w:t>
      </w:r>
      <w:r>
        <w:rPr>
          <w:rFonts w:hint="eastAsia" w:ascii="宋体" w:hAnsi="宋体" w:eastAsia="宋体" w:cs="宋体"/>
          <w:color w:val="auto"/>
          <w:szCs w:val="21"/>
          <w:lang w:val="zh-CN"/>
        </w:rPr>
        <w:tab/>
      </w:r>
      <w:r>
        <w:rPr>
          <w:rFonts w:hint="eastAsia" w:ascii="宋体" w:hAnsi="宋体" w:eastAsia="宋体" w:cs="宋体"/>
          <w:color w:val="auto"/>
          <w:szCs w:val="21"/>
          <w:lang w:val="zh-CN"/>
        </w:rPr>
        <w:t>对投标价格的评审详见评标工作大纲。</w:t>
      </w:r>
    </w:p>
    <w:p w14:paraId="182BCF31">
      <w:pPr>
        <w:autoSpaceDE w:val="0"/>
        <w:autoSpaceDN w:val="0"/>
        <w:adjustRightInd w:val="0"/>
        <w:spacing w:line="360" w:lineRule="auto"/>
        <w:ind w:left="330" w:leftChars="-100" w:right="15" w:rightChars="7" w:hanging="540"/>
        <w:rPr>
          <w:rFonts w:ascii="宋体" w:hAnsi="宋体" w:eastAsia="宋体" w:cs="宋体"/>
          <w:color w:val="auto"/>
          <w:szCs w:val="21"/>
          <w:lang w:val="zh-CN"/>
        </w:rPr>
      </w:pPr>
      <w:r>
        <w:rPr>
          <w:rFonts w:hint="eastAsia" w:ascii="宋体" w:hAnsi="宋体" w:eastAsia="宋体" w:cs="宋体"/>
          <w:color w:val="auto"/>
          <w:szCs w:val="21"/>
          <w:lang w:val="zh-CN"/>
        </w:rPr>
        <w:t>27.5</w:t>
      </w:r>
      <w:r>
        <w:rPr>
          <w:rFonts w:hint="eastAsia" w:ascii="宋体" w:hAnsi="宋体" w:eastAsia="宋体" w:cs="宋体"/>
          <w:color w:val="auto"/>
          <w:szCs w:val="21"/>
          <w:lang w:val="zh-CN"/>
        </w:rPr>
        <w:tab/>
      </w:r>
      <w:r>
        <w:rPr>
          <w:rFonts w:hint="eastAsia" w:ascii="宋体" w:hAnsi="宋体" w:eastAsia="宋体" w:cs="宋体"/>
          <w:color w:val="auto"/>
          <w:szCs w:val="21"/>
          <w:lang w:val="zh-CN"/>
        </w:rPr>
        <w:t>本次评标的评分权重详见评标工作大纲。</w:t>
      </w:r>
    </w:p>
    <w:p w14:paraId="057F794E">
      <w:pPr>
        <w:autoSpaceDE w:val="0"/>
        <w:autoSpaceDN w:val="0"/>
        <w:adjustRightInd w:val="0"/>
        <w:spacing w:line="360" w:lineRule="auto"/>
        <w:ind w:left="330" w:leftChars="-100" w:right="15" w:rightChars="7" w:hanging="540"/>
        <w:rPr>
          <w:rFonts w:ascii="宋体" w:hAnsi="宋体" w:eastAsia="宋体" w:cs="宋体"/>
          <w:color w:val="auto"/>
          <w:szCs w:val="21"/>
          <w:lang w:val="zh-CN"/>
        </w:rPr>
      </w:pPr>
      <w:r>
        <w:rPr>
          <w:rFonts w:hint="eastAsia" w:ascii="宋体" w:hAnsi="宋体" w:eastAsia="宋体" w:cs="宋体"/>
          <w:color w:val="auto"/>
          <w:szCs w:val="21"/>
          <w:lang w:val="zh-CN"/>
        </w:rPr>
        <w:t>27.6</w:t>
      </w:r>
      <w:r>
        <w:rPr>
          <w:rFonts w:hint="eastAsia" w:ascii="宋体" w:hAnsi="宋体" w:eastAsia="宋体" w:cs="宋体"/>
          <w:color w:val="auto"/>
          <w:szCs w:val="21"/>
          <w:lang w:val="zh-CN"/>
        </w:rPr>
        <w:tab/>
      </w:r>
      <w:r>
        <w:rPr>
          <w:rFonts w:hint="eastAsia" w:ascii="宋体" w:hAnsi="宋体" w:eastAsia="宋体" w:cs="宋体"/>
          <w:color w:val="auto"/>
          <w:szCs w:val="21"/>
          <w:lang w:val="zh-CN"/>
        </w:rPr>
        <w:t>根据上述商务、技术及价格综合评价的权重分配计算出各投标人的综合得分。</w:t>
      </w:r>
    </w:p>
    <w:p w14:paraId="0D98DE53">
      <w:pPr>
        <w:tabs>
          <w:tab w:val="left" w:pos="567"/>
        </w:tabs>
        <w:autoSpaceDE w:val="0"/>
        <w:autoSpaceDN w:val="0"/>
        <w:adjustRightInd w:val="0"/>
        <w:spacing w:line="360" w:lineRule="auto"/>
        <w:ind w:left="357" w:leftChars="-100" w:hanging="567"/>
        <w:jc w:val="left"/>
        <w:rPr>
          <w:rFonts w:ascii="宋体" w:hAnsi="宋体" w:eastAsia="宋体" w:cs="宋体"/>
          <w:color w:val="auto"/>
          <w:szCs w:val="21"/>
          <w:lang w:val="zh-CN"/>
        </w:rPr>
      </w:pPr>
      <w:bookmarkStart w:id="264" w:name="_Toc521918097"/>
      <w:bookmarkStart w:id="265" w:name="_Toc522047356"/>
    </w:p>
    <w:p w14:paraId="1050EF63">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lang w:val="zh-CN"/>
        </w:rPr>
      </w:pPr>
      <w:bookmarkStart w:id="266" w:name="_Toc21460_WPSOffice_Level3"/>
      <w:bookmarkStart w:id="267" w:name="_Toc31279"/>
      <w:bookmarkStart w:id="268" w:name="_Toc173182289"/>
      <w:bookmarkStart w:id="269" w:name="_Toc142508344"/>
      <w:bookmarkStart w:id="270" w:name="_Toc17419"/>
      <w:r>
        <w:rPr>
          <w:rFonts w:hint="eastAsia" w:ascii="宋体" w:hAnsi="宋体" w:eastAsia="宋体" w:cs="宋体"/>
          <w:color w:val="auto"/>
          <w:szCs w:val="21"/>
          <w:lang w:val="zh-CN"/>
        </w:rPr>
        <w:t>28</w:t>
      </w:r>
      <w:r>
        <w:rPr>
          <w:rFonts w:ascii="宋体" w:hAnsi="宋体" w:eastAsia="宋体" w:cs="宋体"/>
          <w:color w:val="auto"/>
          <w:szCs w:val="21"/>
          <w:lang w:val="zh-CN"/>
        </w:rPr>
        <w:t xml:space="preserve"> </w:t>
      </w:r>
      <w:r>
        <w:rPr>
          <w:rFonts w:hint="eastAsia" w:ascii="宋体" w:hAnsi="宋体" w:eastAsia="宋体" w:cs="宋体"/>
          <w:color w:val="auto"/>
          <w:szCs w:val="21"/>
          <w:lang w:val="zh-CN"/>
        </w:rPr>
        <w:t>评标原则及方法</w:t>
      </w:r>
      <w:bookmarkEnd w:id="264"/>
      <w:bookmarkEnd w:id="265"/>
      <w:bookmarkEnd w:id="266"/>
      <w:bookmarkEnd w:id="267"/>
      <w:bookmarkEnd w:id="268"/>
      <w:bookmarkEnd w:id="269"/>
      <w:bookmarkEnd w:id="270"/>
    </w:p>
    <w:p w14:paraId="242F6A2B">
      <w:pPr>
        <w:tabs>
          <w:tab w:val="left" w:pos="567"/>
        </w:tabs>
        <w:autoSpaceDE w:val="0"/>
        <w:autoSpaceDN w:val="0"/>
        <w:adjustRightInd w:val="0"/>
        <w:spacing w:line="360" w:lineRule="auto"/>
        <w:ind w:left="357" w:leftChars="-100" w:hanging="567"/>
        <w:rPr>
          <w:rFonts w:ascii="宋体" w:hAnsi="宋体" w:eastAsia="宋体" w:cs="宋体"/>
          <w:color w:val="auto"/>
          <w:szCs w:val="21"/>
          <w:lang w:val="zh-CN"/>
        </w:rPr>
      </w:pPr>
      <w:r>
        <w:rPr>
          <w:rFonts w:hint="eastAsia" w:ascii="宋体" w:hAnsi="宋体" w:eastAsia="宋体" w:cs="宋体"/>
          <w:color w:val="auto"/>
          <w:szCs w:val="21"/>
          <w:lang w:val="zh-CN"/>
        </w:rPr>
        <w:t>28.1</w:t>
      </w:r>
      <w:r>
        <w:rPr>
          <w:rFonts w:hint="eastAsia" w:ascii="宋体" w:hAnsi="宋体" w:eastAsia="宋体" w:cs="宋体"/>
          <w:color w:val="auto"/>
          <w:szCs w:val="21"/>
          <w:lang w:val="zh-CN"/>
        </w:rPr>
        <w:tab/>
      </w:r>
      <w:r>
        <w:rPr>
          <w:rFonts w:hint="eastAsia" w:ascii="宋体" w:hAnsi="宋体" w:eastAsia="宋体" w:cs="宋体"/>
          <w:color w:val="auto"/>
          <w:szCs w:val="21"/>
          <w:lang w:val="zh-CN"/>
        </w:rPr>
        <w:t>对所有投标文件的评审，都采用相同的程序和标准。按步骤先进行初步评审，再进行商务、技术、价格评审。</w:t>
      </w:r>
    </w:p>
    <w:p w14:paraId="3BF4334A">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lang w:val="zh-CN"/>
        </w:rPr>
      </w:pPr>
      <w:r>
        <w:rPr>
          <w:rFonts w:hint="eastAsia" w:ascii="宋体" w:hAnsi="宋体" w:eastAsia="宋体" w:cs="宋体"/>
          <w:color w:val="auto"/>
          <w:szCs w:val="21"/>
          <w:lang w:val="zh-CN"/>
        </w:rPr>
        <w:t>28.2 评标严格按照招标文件的要求和条件进行。</w:t>
      </w:r>
    </w:p>
    <w:p w14:paraId="01F332A7">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lang w:val="zh-CN"/>
        </w:rPr>
      </w:pPr>
      <w:r>
        <w:rPr>
          <w:rFonts w:hint="eastAsia" w:ascii="宋体" w:hAnsi="宋体" w:eastAsia="宋体" w:cs="宋体"/>
          <w:color w:val="auto"/>
          <w:szCs w:val="21"/>
          <w:lang w:val="zh-CN"/>
        </w:rPr>
        <w:t xml:space="preserve">     在评标时将根据第27</w:t>
      </w:r>
      <w:r>
        <w:rPr>
          <w:rFonts w:hint="eastAsia" w:ascii="宋体" w:hAnsi="宋体" w:eastAsia="宋体" w:cs="Times New Roman"/>
          <w:color w:val="auto"/>
          <w:szCs w:val="21"/>
          <w:lang w:val="zh-CN"/>
        </w:rPr>
        <w:t>条</w:t>
      </w:r>
      <w:r>
        <w:rPr>
          <w:rFonts w:hint="eastAsia" w:ascii="宋体" w:hAnsi="宋体" w:eastAsia="宋体" w:cs="宋体"/>
          <w:color w:val="auto"/>
          <w:szCs w:val="21"/>
          <w:lang w:val="zh-CN"/>
        </w:rPr>
        <w:t>，采用综合评分法的评审方法，对所有实质响应性投标文件进行综合打分。</w:t>
      </w:r>
    </w:p>
    <w:p w14:paraId="45676FFF">
      <w:pPr>
        <w:autoSpaceDE w:val="0"/>
        <w:autoSpaceDN w:val="0"/>
        <w:adjustRightInd w:val="0"/>
        <w:spacing w:line="360" w:lineRule="auto"/>
        <w:ind w:left="330" w:leftChars="-100" w:right="15" w:rightChars="7" w:hanging="540"/>
        <w:rPr>
          <w:rFonts w:ascii="宋体" w:hAnsi="宋体" w:eastAsia="宋体" w:cs="宋体"/>
          <w:color w:val="auto"/>
          <w:szCs w:val="21"/>
          <w:lang w:val="zh-CN"/>
        </w:rPr>
      </w:pPr>
      <w:r>
        <w:rPr>
          <w:rFonts w:hint="eastAsia" w:ascii="宋体" w:hAnsi="宋体" w:eastAsia="宋体" w:cs="宋体"/>
          <w:color w:val="auto"/>
          <w:szCs w:val="21"/>
          <w:lang w:val="zh-CN"/>
        </w:rPr>
        <w:t xml:space="preserve">28.3 </w:t>
      </w:r>
      <w:r>
        <w:rPr>
          <w:rFonts w:hint="eastAsia" w:ascii="宋体" w:hAnsi="宋体" w:eastAsia="宋体" w:cs="宋体"/>
          <w:b/>
          <w:bCs/>
          <w:color w:val="auto"/>
          <w:szCs w:val="21"/>
          <w:lang w:val="zh-CN"/>
        </w:rPr>
        <w:t>若</w:t>
      </w:r>
      <w:r>
        <w:rPr>
          <w:rFonts w:hint="eastAsia" w:ascii="宋体" w:hAnsi="宋体" w:eastAsia="宋体" w:cs="宋体"/>
          <w:b/>
          <w:bCs/>
          <w:color w:val="auto"/>
          <w:szCs w:val="21"/>
        </w:rPr>
        <w:t>本次招标过程中有效投标人不足三个时，公开招标失败。</w:t>
      </w:r>
    </w:p>
    <w:p w14:paraId="592A9E4E">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lang w:val="zh-CN"/>
        </w:rPr>
      </w:pPr>
    </w:p>
    <w:p w14:paraId="0B2FB997">
      <w:pPr>
        <w:tabs>
          <w:tab w:val="left" w:pos="525"/>
        </w:tabs>
        <w:autoSpaceDE w:val="0"/>
        <w:autoSpaceDN w:val="0"/>
        <w:adjustRightInd w:val="0"/>
        <w:spacing w:line="360" w:lineRule="auto"/>
        <w:ind w:left="357" w:leftChars="-100" w:hanging="567"/>
        <w:jc w:val="left"/>
        <w:outlineLvl w:val="2"/>
        <w:rPr>
          <w:rFonts w:ascii="宋体" w:hAnsi="宋体" w:eastAsia="宋体" w:cs="宋体"/>
          <w:color w:val="auto"/>
          <w:szCs w:val="21"/>
          <w:lang w:val="zh-CN"/>
        </w:rPr>
      </w:pPr>
      <w:bookmarkStart w:id="271" w:name="_Toc466882017"/>
      <w:bookmarkStart w:id="272" w:name="_Toc142508345"/>
      <w:bookmarkStart w:id="273" w:name="_Toc32498_WPSOffice_Level3"/>
      <w:bookmarkStart w:id="274" w:name="_Toc465358969"/>
      <w:bookmarkStart w:id="275" w:name="_Toc15841"/>
      <w:bookmarkStart w:id="276" w:name="_Toc486167694"/>
      <w:bookmarkStart w:id="277" w:name="_Toc173182290"/>
      <w:bookmarkStart w:id="278" w:name="_Toc32014"/>
      <w:r>
        <w:rPr>
          <w:rFonts w:hint="eastAsia" w:ascii="宋体" w:hAnsi="宋体" w:eastAsia="宋体" w:cs="宋体"/>
          <w:color w:val="auto"/>
          <w:szCs w:val="21"/>
          <w:lang w:val="zh-CN"/>
        </w:rPr>
        <w:t>2</w:t>
      </w:r>
      <w:r>
        <w:rPr>
          <w:rFonts w:hint="eastAsia" w:ascii="宋体" w:hAnsi="宋体" w:eastAsia="宋体" w:cs="宋体"/>
          <w:color w:val="auto"/>
          <w:szCs w:val="21"/>
        </w:rPr>
        <w:t xml:space="preserve">9 </w:t>
      </w:r>
      <w:r>
        <w:rPr>
          <w:rFonts w:hint="eastAsia" w:ascii="宋体" w:hAnsi="宋体" w:eastAsia="宋体" w:cs="宋体"/>
          <w:color w:val="auto"/>
          <w:szCs w:val="21"/>
          <w:lang w:val="zh-CN"/>
        </w:rPr>
        <w:t>评标结果公</w:t>
      </w:r>
      <w:r>
        <w:rPr>
          <w:rFonts w:hint="eastAsia" w:ascii="宋体" w:hAnsi="宋体" w:eastAsia="宋体" w:cs="Times New Roman"/>
          <w:color w:val="auto"/>
          <w:szCs w:val="21"/>
          <w:lang w:val="zh-CN"/>
        </w:rPr>
        <w:t>示</w:t>
      </w:r>
      <w:r>
        <w:rPr>
          <w:rFonts w:hint="eastAsia" w:ascii="宋体" w:hAnsi="宋体" w:eastAsia="宋体" w:cs="宋体"/>
          <w:color w:val="auto"/>
          <w:szCs w:val="21"/>
          <w:lang w:val="zh-CN"/>
        </w:rPr>
        <w:t>及异议、投诉</w:t>
      </w:r>
      <w:bookmarkEnd w:id="271"/>
      <w:bookmarkEnd w:id="272"/>
      <w:bookmarkEnd w:id="273"/>
      <w:bookmarkEnd w:id="274"/>
      <w:bookmarkEnd w:id="275"/>
      <w:bookmarkEnd w:id="276"/>
      <w:bookmarkEnd w:id="277"/>
      <w:bookmarkEnd w:id="278"/>
    </w:p>
    <w:p w14:paraId="2E08647E">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lang w:val="zh-CN"/>
        </w:rPr>
      </w:pPr>
      <w:r>
        <w:rPr>
          <w:rFonts w:hint="eastAsia" w:ascii="宋体" w:hAnsi="宋体" w:eastAsia="宋体" w:cs="宋体"/>
          <w:color w:val="auto"/>
          <w:szCs w:val="21"/>
          <w:lang w:val="zh-CN"/>
        </w:rPr>
        <w:t>2</w:t>
      </w:r>
      <w:r>
        <w:rPr>
          <w:rFonts w:hint="eastAsia" w:ascii="宋体" w:hAnsi="宋体" w:eastAsia="宋体" w:cs="宋体"/>
          <w:color w:val="auto"/>
          <w:szCs w:val="21"/>
        </w:rPr>
        <w:t>9</w:t>
      </w:r>
      <w:r>
        <w:rPr>
          <w:rFonts w:hint="eastAsia" w:ascii="宋体" w:hAnsi="宋体" w:eastAsia="宋体" w:cs="宋体"/>
          <w:color w:val="auto"/>
          <w:szCs w:val="21"/>
          <w:lang w:val="zh-CN"/>
        </w:rPr>
        <w:t>.1</w:t>
      </w:r>
      <w:r>
        <w:rPr>
          <w:rFonts w:ascii="宋体" w:hAnsi="宋体" w:eastAsia="宋体" w:cs="宋体"/>
          <w:color w:val="auto"/>
          <w:szCs w:val="21"/>
          <w:lang w:val="zh-CN"/>
        </w:rPr>
        <w:t xml:space="preserve"> </w:t>
      </w:r>
      <w:r>
        <w:rPr>
          <w:rFonts w:hint="eastAsia" w:ascii="宋体" w:hAnsi="宋体" w:eastAsia="宋体" w:cs="Times New Roman"/>
          <w:color w:val="auto"/>
          <w:szCs w:val="21"/>
          <w:lang w:val="zh-CN"/>
        </w:rPr>
        <w:t>招标代理机构在招标公告发布媒介公示中标候选人，公示期为3日。投标人或者其他利害关系人对评标结果有异议的，应当在</w:t>
      </w:r>
      <w:r>
        <w:rPr>
          <w:rFonts w:hint="eastAsia" w:ascii="宋体" w:hAnsi="宋体" w:eastAsia="宋体" w:cs="Times New Roman"/>
          <w:color w:val="auto"/>
          <w:szCs w:val="21"/>
        </w:rPr>
        <w:t>评标结果</w:t>
      </w:r>
      <w:r>
        <w:rPr>
          <w:rFonts w:hint="eastAsia" w:ascii="宋体" w:hAnsi="宋体" w:eastAsia="宋体" w:cs="Times New Roman"/>
          <w:color w:val="auto"/>
          <w:szCs w:val="21"/>
          <w:lang w:val="zh-CN"/>
        </w:rPr>
        <w:t>公示期间向招标代理机构以书面的形式提出，</w:t>
      </w:r>
      <w:r>
        <w:rPr>
          <w:rFonts w:ascii="宋体" w:hAnsi="宋体" w:eastAsia="宋体" w:cs="Times New Roman"/>
          <w:color w:val="auto"/>
          <w:szCs w:val="21"/>
          <w:lang w:val="zh-CN"/>
        </w:rPr>
        <w:t>并</w:t>
      </w:r>
      <w:r>
        <w:rPr>
          <w:rFonts w:hint="eastAsia" w:ascii="宋体" w:hAnsi="宋体" w:eastAsia="宋体" w:cs="Times New Roman"/>
          <w:color w:val="auto"/>
          <w:szCs w:val="21"/>
          <w:lang w:val="zh-CN"/>
        </w:rPr>
        <w:t>将完整的异议书面材料原件</w:t>
      </w:r>
      <w:r>
        <w:rPr>
          <w:rFonts w:ascii="宋体" w:hAnsi="宋体" w:eastAsia="宋体" w:cs="Times New Roman"/>
          <w:color w:val="auto"/>
          <w:szCs w:val="21"/>
          <w:lang w:val="zh-CN"/>
        </w:rPr>
        <w:t>送</w:t>
      </w:r>
      <w:r>
        <w:rPr>
          <w:rFonts w:hint="eastAsia" w:ascii="宋体" w:hAnsi="宋体" w:eastAsia="宋体" w:cs="Times New Roman"/>
          <w:color w:val="auto"/>
          <w:szCs w:val="21"/>
          <w:lang w:val="zh-CN"/>
        </w:rPr>
        <w:t>达招标代理机构，</w:t>
      </w:r>
      <w:r>
        <w:rPr>
          <w:rFonts w:ascii="宋体" w:hAnsi="宋体" w:eastAsia="宋体" w:cs="Times New Roman"/>
          <w:color w:val="auto"/>
          <w:szCs w:val="21"/>
          <w:lang w:val="zh-CN"/>
        </w:rPr>
        <w:t>逾期则视为</w:t>
      </w:r>
      <w:r>
        <w:rPr>
          <w:rFonts w:hint="eastAsia" w:ascii="宋体" w:hAnsi="宋体" w:eastAsia="宋体" w:cs="Times New Roman"/>
          <w:color w:val="auto"/>
          <w:szCs w:val="21"/>
          <w:lang w:val="zh-CN"/>
        </w:rPr>
        <w:t>对评标结果无异议。超出提交异议截止时间而提出的任何疑问，招标代理机构可不予答复</w:t>
      </w:r>
      <w:r>
        <w:rPr>
          <w:rFonts w:hint="eastAsia" w:ascii="宋体" w:hAnsi="宋体" w:eastAsia="宋体" w:cs="宋体"/>
          <w:color w:val="auto"/>
          <w:szCs w:val="21"/>
          <w:lang w:val="zh-CN"/>
        </w:rPr>
        <w:t>。</w:t>
      </w:r>
    </w:p>
    <w:p w14:paraId="2811594D">
      <w:pPr>
        <w:autoSpaceDE w:val="0"/>
        <w:autoSpaceDN w:val="0"/>
        <w:adjustRightInd w:val="0"/>
        <w:snapToGrid w:val="0"/>
        <w:spacing w:line="360" w:lineRule="auto"/>
        <w:ind w:left="210" w:leftChars="100" w:firstLine="525" w:firstLineChars="250"/>
        <w:jc w:val="left"/>
        <w:rPr>
          <w:rFonts w:ascii="宋体" w:hAnsi="宋体" w:eastAsia="宋体" w:cs="宋体"/>
          <w:color w:val="auto"/>
          <w:kern w:val="0"/>
          <w:szCs w:val="21"/>
          <w:lang w:val="zh-CN"/>
        </w:rPr>
      </w:pPr>
      <w:r>
        <w:rPr>
          <w:rFonts w:hint="eastAsia" w:ascii="宋体" w:hAnsi="宋体" w:eastAsia="宋体" w:cs="Times New Roman"/>
          <w:color w:val="auto"/>
          <w:szCs w:val="21"/>
          <w:lang w:val="zh-CN"/>
        </w:rPr>
        <w:t>招标代理机构将拒收未能提供完整异议书面材料的异议，完整的异议书面材料必须同时包含：异议书（加盖法人</w:t>
      </w:r>
      <w:r>
        <w:rPr>
          <w:rFonts w:ascii="宋体" w:hAnsi="宋体" w:eastAsia="宋体" w:cs="Times New Roman"/>
          <w:color w:val="auto"/>
          <w:szCs w:val="21"/>
          <w:lang w:val="zh-CN"/>
        </w:rPr>
        <w:t>公章</w:t>
      </w:r>
      <w:r>
        <w:rPr>
          <w:rFonts w:hint="eastAsia" w:ascii="宋体" w:hAnsi="宋体" w:eastAsia="宋体" w:cs="Times New Roman"/>
          <w:color w:val="auto"/>
          <w:szCs w:val="21"/>
          <w:lang w:val="zh-CN"/>
        </w:rPr>
        <w:t>，并注明联系人、联系电话、联系地址）、授权提交异议的法定代表人授权书原件、反映异议人主体资格的营业执照复印件（加盖法人</w:t>
      </w:r>
      <w:r>
        <w:rPr>
          <w:rFonts w:ascii="宋体" w:hAnsi="宋体" w:eastAsia="宋体" w:cs="Times New Roman"/>
          <w:color w:val="auto"/>
          <w:szCs w:val="21"/>
          <w:lang w:val="zh-CN"/>
        </w:rPr>
        <w:t>公章</w:t>
      </w:r>
      <w:r>
        <w:rPr>
          <w:rFonts w:hint="eastAsia" w:ascii="宋体" w:hAnsi="宋体" w:eastAsia="宋体" w:cs="Times New Roman"/>
          <w:color w:val="auto"/>
          <w:szCs w:val="21"/>
          <w:lang w:val="zh-CN"/>
        </w:rPr>
        <w:t>）、以及合法来源的证据证明材料</w:t>
      </w:r>
      <w:r>
        <w:rPr>
          <w:rFonts w:hint="eastAsia" w:ascii="宋体" w:hAnsi="宋体" w:eastAsia="宋体" w:cs="宋体"/>
          <w:color w:val="auto"/>
          <w:kern w:val="0"/>
          <w:szCs w:val="21"/>
          <w:lang w:val="zh-CN"/>
        </w:rPr>
        <w:t>。</w:t>
      </w:r>
    </w:p>
    <w:p w14:paraId="32F3377D">
      <w:pPr>
        <w:autoSpaceDE w:val="0"/>
        <w:autoSpaceDN w:val="0"/>
        <w:adjustRightInd w:val="0"/>
        <w:spacing w:line="360" w:lineRule="auto"/>
        <w:ind w:left="284" w:hanging="568"/>
        <w:rPr>
          <w:rFonts w:ascii="宋体" w:hAnsi="宋体" w:eastAsia="宋体" w:cs="Times New Roman"/>
          <w:b/>
          <w:color w:val="auto"/>
          <w:szCs w:val="21"/>
          <w:lang w:val="zh-CN"/>
        </w:rPr>
      </w:pPr>
      <w:r>
        <w:rPr>
          <w:rFonts w:hint="eastAsia" w:ascii="宋体" w:hAnsi="宋体" w:eastAsia="宋体" w:cs="Times New Roman"/>
          <w:b/>
          <w:color w:val="auto"/>
          <w:szCs w:val="21"/>
        </w:rPr>
        <w:t xml:space="preserve">29.2 </w:t>
      </w:r>
      <w:r>
        <w:rPr>
          <w:rFonts w:hint="eastAsia" w:ascii="宋体" w:hAnsi="宋体" w:eastAsia="宋体" w:cs="Times New Roman"/>
          <w:b/>
          <w:color w:val="auto"/>
          <w:szCs w:val="21"/>
          <w:lang w:val="zh-CN"/>
        </w:rPr>
        <w:t>结果公示后，招标人有权要求中标候选人在结果公示之日起3日内提交投标文件中所提供的资格证明文件、业绩证明文件、对招标文件实质性条款响应文件、履约能力证明文件的原件供招标人核查。招标人如有需要，中标候选人有义务提供投标文件外其他相关证明资料原件（包括但不限于业绩合同对应的发票等）供招标人核查。招标人如发现投标人提供虚假证明文件、虚假响应文件等弄虚作假行为骗取中标的，招标人将取消其中标资格，不予退还其投标保证金。涉嫌违法犯罪的，将</w:t>
      </w:r>
      <w:r>
        <w:rPr>
          <w:rFonts w:ascii="宋体" w:hAnsi="宋体" w:eastAsia="宋体" w:cs="Times New Roman"/>
          <w:b/>
          <w:color w:val="auto"/>
          <w:szCs w:val="21"/>
          <w:lang w:val="zh-CN"/>
        </w:rPr>
        <w:t>移交司法机关处理</w:t>
      </w:r>
      <w:r>
        <w:rPr>
          <w:rFonts w:hint="eastAsia" w:ascii="宋体" w:hAnsi="宋体" w:eastAsia="宋体" w:cs="Times New Roman"/>
          <w:b/>
          <w:color w:val="auto"/>
          <w:szCs w:val="21"/>
          <w:lang w:val="zh-CN"/>
        </w:rPr>
        <w:t>。</w:t>
      </w:r>
    </w:p>
    <w:p w14:paraId="7D58C7D5">
      <w:pPr>
        <w:autoSpaceDE w:val="0"/>
        <w:autoSpaceDN w:val="0"/>
        <w:adjustRightInd w:val="0"/>
        <w:snapToGrid w:val="0"/>
        <w:spacing w:line="360" w:lineRule="auto"/>
        <w:ind w:left="246" w:leftChars="117" w:firstLine="422" w:firstLineChars="200"/>
        <w:jc w:val="left"/>
        <w:rPr>
          <w:rFonts w:ascii="宋体" w:hAnsi="宋体" w:eastAsia="宋体" w:cs="Times New Roman"/>
          <w:b/>
          <w:color w:val="auto"/>
          <w:szCs w:val="21"/>
          <w:lang w:val="zh-CN"/>
        </w:rPr>
      </w:pPr>
      <w:r>
        <w:rPr>
          <w:rFonts w:hint="eastAsia" w:ascii="宋体" w:hAnsi="宋体" w:eastAsia="宋体" w:cs="Times New Roman"/>
          <w:b/>
          <w:color w:val="auto"/>
          <w:szCs w:val="21"/>
          <w:lang w:val="zh-CN"/>
        </w:rPr>
        <w:t>当招标人（或其委托的招标代理机构）向中标候选人发出提供上述投标文件或投标文件外其他相关（包括但不限于业绩合同对应的发票等）的证明资料原件进行核查的书面通知后，</w:t>
      </w:r>
      <w:r>
        <w:rPr>
          <w:rFonts w:hint="eastAsia" w:ascii="宋体" w:hAnsi="宋体" w:eastAsia="宋体" w:cs="Times New Roman"/>
          <w:b/>
          <w:color w:val="auto"/>
          <w:kern w:val="0"/>
          <w:szCs w:val="21"/>
        </w:rPr>
        <w:t>第一中标候选人未能在招标人（或其委托的招标代理机构</w:t>
      </w:r>
      <w:r>
        <w:rPr>
          <w:rFonts w:ascii="宋体" w:hAnsi="宋体" w:eastAsia="宋体" w:cs="Times New Roman"/>
          <w:b/>
          <w:color w:val="auto"/>
          <w:kern w:val="0"/>
          <w:szCs w:val="21"/>
        </w:rPr>
        <w:t>) 书面要求的时间(一般不少于三个工作日) 内提供完整的材料原件进行核查的</w:t>
      </w:r>
      <w:r>
        <w:rPr>
          <w:rFonts w:hint="eastAsia" w:ascii="宋体" w:hAnsi="宋体" w:eastAsia="宋体" w:cs="Times New Roman"/>
          <w:b/>
          <w:color w:val="auto"/>
          <w:szCs w:val="21"/>
          <w:lang w:val="zh-CN"/>
        </w:rPr>
        <w:t>，视为其无法提供真实的资料，招标人有权取消其中标候选人资格。</w:t>
      </w:r>
    </w:p>
    <w:p w14:paraId="29392F44">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lang w:val="zh-CN"/>
        </w:rPr>
      </w:pPr>
      <w:r>
        <w:rPr>
          <w:rFonts w:hint="eastAsia" w:ascii="宋体" w:hAnsi="宋体" w:eastAsia="宋体" w:cs="宋体"/>
          <w:color w:val="auto"/>
          <w:szCs w:val="21"/>
          <w:lang w:val="zh-CN"/>
        </w:rPr>
        <w:t>2</w:t>
      </w:r>
      <w:r>
        <w:rPr>
          <w:rFonts w:hint="eastAsia" w:ascii="宋体" w:hAnsi="宋体" w:eastAsia="宋体" w:cs="宋体"/>
          <w:color w:val="auto"/>
          <w:szCs w:val="21"/>
        </w:rPr>
        <w:t>9</w:t>
      </w:r>
      <w:r>
        <w:rPr>
          <w:rFonts w:hint="eastAsia" w:ascii="宋体" w:hAnsi="宋体" w:eastAsia="宋体" w:cs="宋体"/>
          <w:color w:val="auto"/>
          <w:szCs w:val="21"/>
          <w:lang w:val="zh-CN"/>
        </w:rPr>
        <w:t>.3 投标人或者其他利害关系人认为招标投标活动不符合法律、行政法规规定的，可以自知道或者应当知道之日起10日内，按程序向招标人采购活动的监督部门投诉。投诉应当提供纸质投诉书及必要的证明材料。投诉书应当包括下列内容：</w:t>
      </w:r>
    </w:p>
    <w:p w14:paraId="5C019D59">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lang w:val="zh-CN"/>
        </w:rPr>
      </w:pPr>
      <w:r>
        <w:rPr>
          <w:rFonts w:hint="eastAsia" w:ascii="宋体" w:hAnsi="宋体" w:eastAsia="宋体" w:cs="宋体"/>
          <w:color w:val="auto"/>
          <w:szCs w:val="21"/>
          <w:lang w:val="zh-CN"/>
        </w:rPr>
        <w:t>　　（一）投诉人和被投诉人的姓名或者名称、通讯地址、邮编、联系人及联系电话；</w:t>
      </w:r>
    </w:p>
    <w:p w14:paraId="4CD79CD4">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lang w:val="zh-CN"/>
        </w:rPr>
      </w:pPr>
      <w:r>
        <w:rPr>
          <w:rFonts w:hint="eastAsia" w:ascii="宋体" w:hAnsi="宋体" w:eastAsia="宋体" w:cs="宋体"/>
          <w:color w:val="auto"/>
          <w:szCs w:val="21"/>
          <w:lang w:val="zh-CN"/>
        </w:rPr>
        <w:t>　　（二）异议和异议答复情况说明及相关证明材料；</w:t>
      </w:r>
    </w:p>
    <w:p w14:paraId="57AA243A">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lang w:val="zh-CN"/>
        </w:rPr>
      </w:pPr>
      <w:r>
        <w:rPr>
          <w:rFonts w:hint="eastAsia" w:ascii="宋体" w:hAnsi="宋体" w:eastAsia="宋体" w:cs="宋体"/>
          <w:color w:val="auto"/>
          <w:szCs w:val="21"/>
          <w:lang w:val="zh-CN"/>
        </w:rPr>
        <w:t>　　（三）具体、明确的投诉事项和与投诉事项相关的投诉请求；</w:t>
      </w:r>
    </w:p>
    <w:p w14:paraId="74222918">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lang w:val="zh-CN"/>
        </w:rPr>
      </w:pPr>
      <w:r>
        <w:rPr>
          <w:rFonts w:hint="eastAsia" w:ascii="宋体" w:hAnsi="宋体" w:eastAsia="宋体" w:cs="宋体"/>
          <w:color w:val="auto"/>
          <w:szCs w:val="21"/>
          <w:lang w:val="zh-CN"/>
        </w:rPr>
        <w:t>　　（四）事实依据；</w:t>
      </w:r>
    </w:p>
    <w:p w14:paraId="1132579A">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lang w:val="zh-CN"/>
        </w:rPr>
      </w:pPr>
      <w:r>
        <w:rPr>
          <w:rFonts w:hint="eastAsia" w:ascii="宋体" w:hAnsi="宋体" w:eastAsia="宋体" w:cs="宋体"/>
          <w:color w:val="auto"/>
          <w:szCs w:val="21"/>
          <w:lang w:val="zh-CN"/>
        </w:rPr>
        <w:t>　　（五）法律依据；</w:t>
      </w:r>
    </w:p>
    <w:p w14:paraId="6390E591">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lang w:val="zh-CN"/>
        </w:rPr>
      </w:pPr>
      <w:r>
        <w:rPr>
          <w:rFonts w:hint="eastAsia" w:ascii="宋体" w:hAnsi="宋体" w:eastAsia="宋体" w:cs="宋体"/>
          <w:color w:val="auto"/>
          <w:szCs w:val="21"/>
          <w:lang w:val="zh-CN"/>
        </w:rPr>
        <w:t>　　（六）提起投诉的日期。</w:t>
      </w:r>
    </w:p>
    <w:p w14:paraId="2EC4044C">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lang w:val="zh-CN"/>
        </w:rPr>
      </w:pPr>
      <w:r>
        <w:rPr>
          <w:rFonts w:hint="eastAsia" w:ascii="宋体" w:hAnsi="宋体" w:eastAsia="宋体" w:cs="宋体"/>
          <w:color w:val="auto"/>
          <w:szCs w:val="21"/>
          <w:lang w:val="zh-CN"/>
        </w:rPr>
        <w:t xml:space="preserve">     投诉人为法人或者其他组织的，应当由法定代表人、主要负责人，或者其授权代表签字或者盖章，并加盖公章。</w:t>
      </w:r>
    </w:p>
    <w:p w14:paraId="08B1E0A5">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lang w:val="zh-CN"/>
        </w:rPr>
      </w:pPr>
      <w:r>
        <w:rPr>
          <w:rFonts w:hint="eastAsia" w:ascii="宋体" w:hAnsi="宋体" w:eastAsia="宋体" w:cs="宋体"/>
          <w:color w:val="auto"/>
          <w:szCs w:val="21"/>
          <w:lang w:val="zh-CN"/>
        </w:rPr>
        <w:t xml:space="preserve">    </w:t>
      </w:r>
      <w:r>
        <w:rPr>
          <w:rFonts w:ascii="宋体" w:hAnsi="宋体" w:eastAsia="宋体" w:cs="宋体"/>
          <w:color w:val="auto"/>
          <w:szCs w:val="21"/>
          <w:lang w:val="zh-CN"/>
        </w:rPr>
        <w:t xml:space="preserve"> </w:t>
      </w:r>
      <w:r>
        <w:rPr>
          <w:rFonts w:hint="eastAsia" w:ascii="宋体" w:hAnsi="宋体" w:eastAsia="宋体" w:cs="宋体"/>
          <w:color w:val="auto"/>
          <w:szCs w:val="21"/>
          <w:lang w:val="zh-CN"/>
        </w:rPr>
        <w:t>投诉人投诉的事项不得超出已异议事项的范围，但基于异议答复内容提出的投诉事项除外。</w:t>
      </w:r>
    </w:p>
    <w:p w14:paraId="013CB45B">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lang w:val="zh-CN"/>
        </w:rPr>
      </w:pPr>
      <w:r>
        <w:rPr>
          <w:rFonts w:hint="eastAsia" w:ascii="宋体" w:hAnsi="宋体" w:eastAsia="宋体" w:cs="宋体"/>
          <w:color w:val="auto"/>
          <w:szCs w:val="21"/>
          <w:lang w:val="zh-CN"/>
        </w:rPr>
        <w:t xml:space="preserve">    </w:t>
      </w:r>
      <w:r>
        <w:rPr>
          <w:rFonts w:ascii="宋体" w:hAnsi="宋体" w:eastAsia="宋体" w:cs="宋体"/>
          <w:color w:val="auto"/>
          <w:szCs w:val="21"/>
          <w:lang w:val="zh-CN"/>
        </w:rPr>
        <w:t xml:space="preserve"> </w:t>
      </w:r>
      <w:r>
        <w:rPr>
          <w:rFonts w:hint="eastAsia" w:ascii="宋体" w:hAnsi="宋体" w:eastAsia="宋体" w:cs="宋体"/>
          <w:color w:val="auto"/>
          <w:szCs w:val="21"/>
          <w:lang w:val="zh-CN"/>
        </w:rPr>
        <w:t>监督部门：东莞市水务集团有限公司，联系人：莫先生，联系电话：0769-28823251。</w:t>
      </w:r>
    </w:p>
    <w:p w14:paraId="015E3408">
      <w:pPr>
        <w:autoSpaceDE w:val="0"/>
        <w:autoSpaceDN w:val="0"/>
        <w:adjustRightInd w:val="0"/>
        <w:snapToGrid w:val="0"/>
        <w:spacing w:line="360" w:lineRule="auto"/>
        <w:ind w:left="296" w:leftChars="100" w:hanging="86" w:hangingChars="41"/>
        <w:jc w:val="left"/>
        <w:rPr>
          <w:rFonts w:ascii="宋体" w:hAnsi="宋体" w:eastAsia="宋体" w:cs="宋体"/>
          <w:color w:val="auto"/>
          <w:szCs w:val="21"/>
          <w:lang w:val="zh-CN"/>
        </w:rPr>
      </w:pPr>
    </w:p>
    <w:p w14:paraId="0DCE0B67">
      <w:pPr>
        <w:tabs>
          <w:tab w:val="left" w:pos="567"/>
        </w:tabs>
        <w:autoSpaceDE w:val="0"/>
        <w:autoSpaceDN w:val="0"/>
        <w:adjustRightInd w:val="0"/>
        <w:spacing w:line="360" w:lineRule="auto"/>
        <w:ind w:left="288" w:leftChars="-100" w:hanging="498" w:hangingChars="236"/>
        <w:outlineLvl w:val="2"/>
        <w:rPr>
          <w:rFonts w:ascii="宋体" w:hAnsi="宋体" w:eastAsia="宋体" w:cs="宋体"/>
          <w:b/>
          <w:color w:val="auto"/>
          <w:szCs w:val="21"/>
          <w:lang w:val="zh-CN"/>
        </w:rPr>
      </w:pPr>
      <w:bookmarkStart w:id="279" w:name="_Toc1848_WPSOffice_Level3"/>
      <w:bookmarkStart w:id="280" w:name="_Toc486167695"/>
      <w:bookmarkStart w:id="281" w:name="_Toc173182291"/>
      <w:bookmarkStart w:id="282" w:name="_Toc142508346"/>
      <w:bookmarkStart w:id="283" w:name="_Toc465358970"/>
      <w:bookmarkStart w:id="284" w:name="_Toc26138"/>
      <w:bookmarkStart w:id="285" w:name="_Toc466882018"/>
      <w:bookmarkStart w:id="286" w:name="_Toc3698"/>
      <w:r>
        <w:rPr>
          <w:rFonts w:hint="eastAsia" w:ascii="宋体" w:hAnsi="宋体" w:eastAsia="宋体" w:cs="宋体"/>
          <w:b/>
          <w:color w:val="auto"/>
          <w:szCs w:val="21"/>
        </w:rPr>
        <w:t>30</w:t>
      </w:r>
      <w:r>
        <w:rPr>
          <w:rFonts w:hint="eastAsia" w:ascii="宋体" w:hAnsi="宋体" w:eastAsia="宋体" w:cs="宋体"/>
          <w:b/>
          <w:color w:val="auto"/>
          <w:szCs w:val="21"/>
          <w:lang w:val="zh-CN"/>
        </w:rPr>
        <w:t xml:space="preserve"> 真实性审查</w:t>
      </w:r>
      <w:bookmarkEnd w:id="279"/>
      <w:bookmarkEnd w:id="280"/>
      <w:bookmarkEnd w:id="281"/>
      <w:bookmarkEnd w:id="282"/>
      <w:bookmarkEnd w:id="283"/>
      <w:bookmarkEnd w:id="284"/>
      <w:bookmarkEnd w:id="285"/>
      <w:bookmarkEnd w:id="286"/>
    </w:p>
    <w:p w14:paraId="4C500154">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rPr>
      </w:pPr>
      <w:r>
        <w:rPr>
          <w:rFonts w:hint="eastAsia" w:ascii="宋体" w:hAnsi="宋体" w:eastAsia="宋体" w:cs="宋体"/>
          <w:b/>
          <w:color w:val="auto"/>
          <w:szCs w:val="21"/>
        </w:rPr>
        <w:t>30.1 在</w:t>
      </w:r>
      <w:r>
        <w:rPr>
          <w:rFonts w:hint="eastAsia" w:ascii="宋体" w:hAnsi="宋体" w:eastAsia="宋体" w:cs="Times New Roman"/>
          <w:b/>
          <w:color w:val="auto"/>
          <w:kern w:val="0"/>
          <w:szCs w:val="21"/>
        </w:rPr>
        <w:t>授予合同前，招标人（或其委托的招标代理机构）、或评标委员会有权组织对投标人的真实性审查。包括对投标人的资格证明文件、业绩证明文件、对招标文件实质性条款响应文件、履约能力证明文件的原件真实性进行核查。招标人</w:t>
      </w:r>
      <w:r>
        <w:rPr>
          <w:rFonts w:hint="eastAsia" w:ascii="宋体" w:hAnsi="宋体" w:eastAsia="宋体" w:cs="Times New Roman"/>
          <w:b/>
          <w:color w:val="auto"/>
          <w:szCs w:val="21"/>
          <w:lang w:val="zh-CN"/>
        </w:rPr>
        <w:t>如有需要，投标人有义务提供投标文件外其他相关证明资料原件（包括但不限于业绩合同对应的发票等）供招标人核查。</w:t>
      </w:r>
      <w:r>
        <w:rPr>
          <w:rFonts w:hint="eastAsia" w:ascii="宋体" w:hAnsi="宋体" w:eastAsia="宋体" w:cs="Times New Roman"/>
          <w:b/>
          <w:color w:val="auto"/>
          <w:kern w:val="0"/>
          <w:szCs w:val="21"/>
        </w:rPr>
        <w:t>若发现投标人提供虚假证明文件、虚假响应文件等弄虚作假行为的，或经审查确认其经营、财务状况发生较大变化（或者存在违法行为）导致无法按照投标文件的承诺履约的，或其明确表示不按照投标文件承诺履约的，等影响中标结果的行为，招标人有权按照评标委员会提出的中标候选人名单排序依次确定其他中标候选人为中标人或重新招标</w:t>
      </w:r>
      <w:r>
        <w:rPr>
          <w:rFonts w:hint="eastAsia" w:ascii="宋体" w:hAnsi="宋体" w:eastAsia="宋体" w:cs="宋体"/>
          <w:b/>
          <w:color w:val="auto"/>
          <w:szCs w:val="21"/>
        </w:rPr>
        <w:t>。</w:t>
      </w:r>
    </w:p>
    <w:p w14:paraId="1766A870">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rPr>
      </w:pPr>
      <w:r>
        <w:rPr>
          <w:rFonts w:hint="eastAsia" w:ascii="宋体" w:hAnsi="宋体" w:eastAsia="宋体" w:cs="宋体"/>
          <w:b/>
          <w:color w:val="auto"/>
          <w:szCs w:val="21"/>
        </w:rPr>
        <w:t>30.2 投标人</w:t>
      </w:r>
      <w:r>
        <w:rPr>
          <w:rFonts w:hint="eastAsia" w:ascii="宋体" w:hAnsi="宋体" w:eastAsia="宋体" w:cs="Times New Roman"/>
          <w:b/>
          <w:color w:val="auto"/>
          <w:kern w:val="0"/>
          <w:szCs w:val="21"/>
        </w:rPr>
        <w:t>在招标人（或其委托的招标代理机构）、或评标委员会通知其提供</w:t>
      </w:r>
      <w:r>
        <w:rPr>
          <w:rFonts w:hint="eastAsia" w:ascii="宋体" w:hAnsi="宋体" w:eastAsia="宋体" w:cs="Times New Roman"/>
          <w:b/>
          <w:color w:val="auto"/>
          <w:szCs w:val="21"/>
          <w:lang w:val="zh-CN"/>
        </w:rPr>
        <w:t>上述投标文件或投标文件外其他相关（包括但不限于业绩合同对应的发票等）的证明资料原件</w:t>
      </w:r>
      <w:r>
        <w:rPr>
          <w:rFonts w:hint="eastAsia" w:ascii="宋体" w:hAnsi="宋体" w:eastAsia="宋体" w:cs="Times New Roman"/>
          <w:b/>
          <w:color w:val="auto"/>
          <w:kern w:val="0"/>
          <w:szCs w:val="21"/>
        </w:rPr>
        <w:t>进行核查的要求后，未能在约定的时间内提供原件进行核查的，视为投标人无法提供真实的资料，招标人有权按照评标委员会提出的中标候选人名单排序依次确定其他中标候选人为中标人或重新招标</w:t>
      </w:r>
      <w:r>
        <w:rPr>
          <w:rFonts w:hint="eastAsia" w:ascii="宋体" w:hAnsi="宋体" w:eastAsia="宋体" w:cs="宋体"/>
          <w:b/>
          <w:color w:val="auto"/>
          <w:szCs w:val="21"/>
        </w:rPr>
        <w:t>。</w:t>
      </w:r>
    </w:p>
    <w:p w14:paraId="7B3E1402">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rPr>
      </w:pPr>
      <w:r>
        <w:rPr>
          <w:rFonts w:hint="eastAsia" w:ascii="宋体" w:hAnsi="宋体" w:eastAsia="宋体" w:cs="宋体"/>
          <w:b/>
          <w:color w:val="auto"/>
          <w:szCs w:val="21"/>
        </w:rPr>
        <w:t>30.3 若投标人在投标或履约过程中存在提供虚假材料、</w:t>
      </w:r>
      <w:r>
        <w:rPr>
          <w:rFonts w:ascii="宋体" w:hAnsi="宋体" w:eastAsia="宋体" w:cs="宋体"/>
          <w:b/>
          <w:color w:val="auto"/>
          <w:szCs w:val="21"/>
        </w:rPr>
        <w:t>虚假响应</w:t>
      </w:r>
      <w:r>
        <w:rPr>
          <w:rFonts w:hint="eastAsia" w:ascii="宋体" w:hAnsi="宋体" w:eastAsia="宋体" w:cs="宋体"/>
          <w:b/>
          <w:color w:val="auto"/>
          <w:szCs w:val="21"/>
        </w:rPr>
        <w:t>招标</w:t>
      </w:r>
      <w:r>
        <w:rPr>
          <w:rFonts w:ascii="宋体" w:hAnsi="宋体" w:eastAsia="宋体" w:cs="宋体"/>
          <w:b/>
          <w:color w:val="auto"/>
          <w:szCs w:val="21"/>
        </w:rPr>
        <w:t>文件</w:t>
      </w:r>
      <w:r>
        <w:rPr>
          <w:rFonts w:hint="eastAsia" w:ascii="宋体" w:hAnsi="宋体" w:eastAsia="宋体" w:cs="宋体"/>
          <w:b/>
          <w:color w:val="auto"/>
          <w:szCs w:val="21"/>
        </w:rPr>
        <w:t>要求等弄虚作假行为，或未能根据本须知2</w:t>
      </w:r>
      <w:r>
        <w:rPr>
          <w:rFonts w:ascii="宋体" w:hAnsi="宋体" w:eastAsia="宋体" w:cs="宋体"/>
          <w:b/>
          <w:color w:val="auto"/>
          <w:szCs w:val="21"/>
        </w:rPr>
        <w:t>9.2</w:t>
      </w:r>
      <w:r>
        <w:rPr>
          <w:rFonts w:hint="eastAsia" w:ascii="宋体" w:hAnsi="宋体" w:eastAsia="宋体" w:cs="宋体"/>
          <w:b/>
          <w:color w:val="auto"/>
          <w:szCs w:val="21"/>
        </w:rPr>
        <w:t>款约定按时提供原件进行核查的，</w:t>
      </w:r>
      <w:r>
        <w:rPr>
          <w:rFonts w:ascii="宋体" w:hAnsi="宋体" w:eastAsia="宋体" w:cs="宋体"/>
          <w:b/>
          <w:color w:val="auto"/>
          <w:szCs w:val="21"/>
        </w:rPr>
        <w:t>或不按照投标文件承诺履约</w:t>
      </w:r>
      <w:r>
        <w:rPr>
          <w:rFonts w:hint="eastAsia" w:ascii="宋体" w:hAnsi="宋体" w:eastAsia="宋体" w:cs="宋体"/>
          <w:b/>
          <w:color w:val="auto"/>
          <w:szCs w:val="21"/>
        </w:rPr>
        <w:t>或撤回投标或放弃中标资格或</w:t>
      </w:r>
      <w:r>
        <w:rPr>
          <w:rFonts w:ascii="宋体" w:hAnsi="宋体" w:eastAsia="宋体" w:cs="宋体"/>
          <w:b/>
          <w:color w:val="auto"/>
          <w:szCs w:val="21"/>
        </w:rPr>
        <w:t>不按要求与</w:t>
      </w:r>
      <w:r>
        <w:rPr>
          <w:rFonts w:hint="eastAsia" w:ascii="宋体" w:hAnsi="宋体" w:eastAsia="宋体" w:cs="宋体"/>
          <w:b/>
          <w:color w:val="auto"/>
          <w:szCs w:val="21"/>
        </w:rPr>
        <w:t>招标人（或招标人的下属公司）</w:t>
      </w:r>
      <w:r>
        <w:rPr>
          <w:rFonts w:ascii="宋体" w:hAnsi="宋体" w:eastAsia="宋体" w:cs="宋体"/>
          <w:b/>
          <w:color w:val="auto"/>
          <w:szCs w:val="21"/>
        </w:rPr>
        <w:t>签订合同等影响中标结果的行为</w:t>
      </w:r>
      <w:r>
        <w:rPr>
          <w:rFonts w:hint="eastAsia" w:ascii="宋体" w:hAnsi="宋体" w:eastAsia="宋体" w:cs="宋体"/>
          <w:b/>
          <w:color w:val="auto"/>
          <w:szCs w:val="21"/>
        </w:rPr>
        <w:t>，因此导致投标人无法参与东莞市水务集团有限公司相关招标采购等活动的，由投标人自行承担全部后果。</w:t>
      </w:r>
    </w:p>
    <w:p w14:paraId="6E5D17DA">
      <w:pPr>
        <w:autoSpaceDE w:val="0"/>
        <w:autoSpaceDN w:val="0"/>
        <w:adjustRightInd w:val="0"/>
        <w:snapToGrid w:val="0"/>
        <w:spacing w:line="360" w:lineRule="auto"/>
        <w:jc w:val="left"/>
        <w:rPr>
          <w:rFonts w:ascii="宋体" w:hAnsi="宋体" w:eastAsia="宋体" w:cs="宋体"/>
          <w:color w:val="auto"/>
          <w:szCs w:val="21"/>
        </w:rPr>
      </w:pPr>
      <w:bookmarkStart w:id="287" w:name="_Toc465358971"/>
      <w:bookmarkStart w:id="288" w:name="_Toc466882019"/>
    </w:p>
    <w:p w14:paraId="43AF4DBD">
      <w:pPr>
        <w:tabs>
          <w:tab w:val="left" w:pos="567"/>
        </w:tabs>
        <w:autoSpaceDE w:val="0"/>
        <w:autoSpaceDN w:val="0"/>
        <w:adjustRightInd w:val="0"/>
        <w:spacing w:line="360" w:lineRule="auto"/>
        <w:ind w:left="16" w:leftChars="-59" w:hanging="140" w:hangingChars="67"/>
        <w:outlineLvl w:val="2"/>
        <w:rPr>
          <w:rFonts w:ascii="宋体" w:hAnsi="宋体" w:eastAsia="宋体" w:cs="宋体"/>
          <w:color w:val="auto"/>
          <w:szCs w:val="21"/>
          <w:lang w:val="zh-CN"/>
        </w:rPr>
      </w:pPr>
      <w:bookmarkStart w:id="289" w:name="_Toc142508347"/>
      <w:bookmarkStart w:id="290" w:name="_Toc26035"/>
      <w:bookmarkStart w:id="291" w:name="_Toc10867_WPSOffice_Level3"/>
      <w:bookmarkStart w:id="292" w:name="_Toc486167696"/>
      <w:bookmarkStart w:id="293" w:name="_Toc173182292"/>
      <w:bookmarkStart w:id="294" w:name="_Toc1712"/>
      <w:r>
        <w:rPr>
          <w:rFonts w:hint="eastAsia" w:ascii="宋体" w:hAnsi="宋体" w:eastAsia="宋体" w:cs="宋体"/>
          <w:color w:val="auto"/>
          <w:szCs w:val="21"/>
        </w:rPr>
        <w:t>31</w:t>
      </w:r>
      <w:r>
        <w:rPr>
          <w:rFonts w:hint="eastAsia" w:ascii="宋体" w:hAnsi="宋体" w:eastAsia="宋体" w:cs="宋体"/>
          <w:color w:val="auto"/>
          <w:szCs w:val="21"/>
          <w:lang w:val="zh-CN"/>
        </w:rPr>
        <w:t xml:space="preserve"> 评标委员会和招标人接受或拒绝任何投标或所有投标的权利</w:t>
      </w:r>
      <w:bookmarkEnd w:id="287"/>
      <w:bookmarkEnd w:id="288"/>
      <w:bookmarkEnd w:id="289"/>
      <w:bookmarkEnd w:id="290"/>
      <w:bookmarkEnd w:id="291"/>
      <w:bookmarkEnd w:id="292"/>
      <w:bookmarkEnd w:id="293"/>
      <w:bookmarkEnd w:id="294"/>
    </w:p>
    <w:p w14:paraId="4845B7B5">
      <w:pPr>
        <w:autoSpaceDE w:val="0"/>
        <w:autoSpaceDN w:val="0"/>
        <w:adjustRightInd w:val="0"/>
        <w:spacing w:line="360" w:lineRule="auto"/>
        <w:ind w:left="248" w:leftChars="118" w:firstLine="1"/>
        <w:jc w:val="left"/>
        <w:rPr>
          <w:rFonts w:ascii="宋体" w:hAnsi="宋体" w:eastAsia="宋体" w:cs="宋体"/>
          <w:color w:val="auto"/>
          <w:kern w:val="0"/>
          <w:szCs w:val="21"/>
        </w:rPr>
      </w:pPr>
      <w:r>
        <w:rPr>
          <w:rFonts w:hint="eastAsia" w:ascii="宋体" w:hAnsi="宋体" w:eastAsia="宋体" w:cs="宋体"/>
          <w:color w:val="auto"/>
          <w:kern w:val="0"/>
          <w:szCs w:val="21"/>
        </w:rPr>
        <w:t>在授予合同前的任何时候，招标人仍保留接受或拒绝任何投标，宣布招标程序无效或拒绝所有投标的权利，无需向受影响的投标人承担任何责任。</w:t>
      </w:r>
    </w:p>
    <w:p w14:paraId="678424BF">
      <w:pPr>
        <w:autoSpaceDE w:val="0"/>
        <w:autoSpaceDN w:val="0"/>
        <w:adjustRightInd w:val="0"/>
        <w:snapToGrid w:val="0"/>
        <w:spacing w:line="360" w:lineRule="auto"/>
        <w:ind w:left="436" w:leftChars="-158" w:hanging="768" w:hangingChars="320"/>
        <w:jc w:val="left"/>
        <w:rPr>
          <w:rFonts w:ascii="宋体" w:hAnsi="宋体" w:eastAsia="宋体" w:cs="宋体"/>
          <w:color w:val="auto"/>
          <w:kern w:val="44"/>
          <w:sz w:val="24"/>
          <w:szCs w:val="24"/>
          <w:lang w:val="zh-CN"/>
        </w:rPr>
      </w:pPr>
      <w:bookmarkStart w:id="295" w:name="_Toc450662880"/>
    </w:p>
    <w:p w14:paraId="4534A172">
      <w:pPr>
        <w:keepNext/>
        <w:keepLines/>
        <w:autoSpaceDE w:val="0"/>
        <w:autoSpaceDN w:val="0"/>
        <w:adjustRightInd w:val="0"/>
        <w:spacing w:line="360" w:lineRule="auto"/>
        <w:jc w:val="left"/>
        <w:outlineLvl w:val="0"/>
        <w:rPr>
          <w:rFonts w:ascii="宋体" w:hAnsi="宋体" w:eastAsia="宋体" w:cs="宋体"/>
          <w:b/>
          <w:bCs/>
          <w:color w:val="auto"/>
          <w:kern w:val="44"/>
          <w:szCs w:val="21"/>
          <w:lang w:val="zh-CN"/>
        </w:rPr>
      </w:pPr>
      <w:bookmarkStart w:id="296" w:name="_Toc16848_WPSOffice_Level2"/>
      <w:bookmarkStart w:id="297" w:name="_Toc486167697"/>
      <w:bookmarkStart w:id="298" w:name="_Toc140596907"/>
      <w:bookmarkStart w:id="299" w:name="_Toc173182293"/>
      <w:bookmarkStart w:id="300" w:name="_Toc18316"/>
      <w:bookmarkStart w:id="301" w:name="_Toc142508348"/>
      <w:bookmarkStart w:id="302" w:name="_Toc13222"/>
      <w:r>
        <w:rPr>
          <w:rFonts w:hint="eastAsia" w:ascii="宋体" w:hAnsi="宋体" w:eastAsia="宋体" w:cs="宋体"/>
          <w:b/>
          <w:bCs/>
          <w:color w:val="auto"/>
          <w:kern w:val="44"/>
          <w:szCs w:val="21"/>
          <w:lang w:val="zh-CN"/>
        </w:rPr>
        <w:t>六、授予合同</w:t>
      </w:r>
      <w:bookmarkEnd w:id="295"/>
      <w:bookmarkEnd w:id="296"/>
      <w:bookmarkEnd w:id="297"/>
      <w:bookmarkEnd w:id="298"/>
      <w:bookmarkEnd w:id="299"/>
      <w:bookmarkEnd w:id="300"/>
      <w:bookmarkEnd w:id="301"/>
      <w:bookmarkEnd w:id="302"/>
    </w:p>
    <w:p w14:paraId="67EB7488">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lang w:val="zh-CN"/>
        </w:rPr>
      </w:pPr>
      <w:bookmarkStart w:id="303" w:name="_Toc173182294"/>
      <w:bookmarkStart w:id="304" w:name="_Toc486167698"/>
      <w:bookmarkStart w:id="305" w:name="_Toc6401_WPSOffice_Level3"/>
      <w:bookmarkStart w:id="306" w:name="_Toc450662881"/>
      <w:bookmarkStart w:id="307" w:name="_Toc142508349"/>
      <w:bookmarkStart w:id="308" w:name="_Toc25540"/>
      <w:bookmarkStart w:id="309" w:name="_Toc23263"/>
      <w:r>
        <w:rPr>
          <w:rFonts w:hint="eastAsia" w:ascii="宋体" w:hAnsi="宋体" w:eastAsia="宋体" w:cs="宋体"/>
          <w:color w:val="auto"/>
          <w:szCs w:val="21"/>
        </w:rPr>
        <w:t>32</w:t>
      </w:r>
      <w:r>
        <w:rPr>
          <w:rFonts w:ascii="宋体" w:hAnsi="宋体" w:eastAsia="宋体" w:cs="宋体"/>
          <w:color w:val="auto"/>
          <w:szCs w:val="21"/>
          <w:lang w:val="zh-CN"/>
        </w:rPr>
        <w:t xml:space="preserve"> </w:t>
      </w:r>
      <w:r>
        <w:rPr>
          <w:rFonts w:hint="eastAsia" w:ascii="宋体" w:hAnsi="宋体" w:eastAsia="宋体" w:cs="宋体"/>
          <w:color w:val="auto"/>
          <w:szCs w:val="21"/>
          <w:lang w:val="zh-CN"/>
        </w:rPr>
        <w:t>授予合同的准则</w:t>
      </w:r>
      <w:bookmarkEnd w:id="303"/>
      <w:bookmarkEnd w:id="304"/>
      <w:bookmarkEnd w:id="305"/>
      <w:bookmarkEnd w:id="306"/>
      <w:bookmarkEnd w:id="307"/>
      <w:bookmarkEnd w:id="308"/>
      <w:bookmarkEnd w:id="309"/>
    </w:p>
    <w:p w14:paraId="5569FFC5">
      <w:pPr>
        <w:tabs>
          <w:tab w:val="left" w:pos="645"/>
        </w:tabs>
        <w:autoSpaceDE w:val="0"/>
        <w:autoSpaceDN w:val="0"/>
        <w:adjustRightInd w:val="0"/>
        <w:spacing w:line="360" w:lineRule="auto"/>
        <w:ind w:left="330" w:leftChars="-100" w:right="44" w:rightChars="21" w:hanging="540"/>
        <w:rPr>
          <w:rFonts w:ascii="宋体" w:hAnsi="宋体" w:eastAsia="宋体" w:cs="宋体"/>
          <w:color w:val="auto"/>
          <w:szCs w:val="21"/>
          <w:lang w:val="zh-CN"/>
        </w:rPr>
      </w:pPr>
      <w:r>
        <w:rPr>
          <w:rFonts w:hint="eastAsia" w:ascii="宋体" w:hAnsi="宋体" w:eastAsia="宋体" w:cs="宋体"/>
          <w:color w:val="auto"/>
          <w:szCs w:val="21"/>
        </w:rPr>
        <w:t>32</w:t>
      </w:r>
      <w:r>
        <w:rPr>
          <w:rFonts w:hint="eastAsia" w:ascii="宋体" w:hAnsi="宋体" w:eastAsia="宋体" w:cs="宋体"/>
          <w:color w:val="auto"/>
          <w:szCs w:val="21"/>
          <w:lang w:val="zh-CN"/>
        </w:rPr>
        <w:t>.1</w:t>
      </w:r>
      <w:r>
        <w:rPr>
          <w:rFonts w:hint="eastAsia" w:ascii="宋体" w:hAnsi="宋体" w:eastAsia="宋体" w:cs="宋体"/>
          <w:color w:val="auto"/>
          <w:szCs w:val="21"/>
          <w:lang w:val="zh-CN"/>
        </w:rPr>
        <w:tab/>
      </w:r>
      <w:r>
        <w:rPr>
          <w:rFonts w:hint="eastAsia" w:ascii="宋体" w:hAnsi="宋体" w:eastAsia="宋体" w:cs="宋体"/>
          <w:color w:val="auto"/>
          <w:szCs w:val="21"/>
          <w:lang w:val="zh-CN"/>
        </w:rPr>
        <w:t>除第29条、30条</w:t>
      </w:r>
      <w:r>
        <w:rPr>
          <w:rFonts w:hint="eastAsia" w:ascii="宋体" w:hAnsi="宋体" w:eastAsia="宋体" w:cs="宋体"/>
          <w:color w:val="auto"/>
          <w:kern w:val="0"/>
          <w:sz w:val="24"/>
          <w:szCs w:val="24"/>
        </w:rPr>
        <w:t>、</w:t>
      </w:r>
      <w:r>
        <w:rPr>
          <w:rFonts w:hint="eastAsia" w:ascii="宋体" w:hAnsi="宋体" w:eastAsia="宋体" w:cs="宋体"/>
          <w:color w:val="auto"/>
          <w:kern w:val="0"/>
          <w:szCs w:val="24"/>
        </w:rPr>
        <w:t>31</w:t>
      </w:r>
      <w:r>
        <w:rPr>
          <w:rFonts w:hint="eastAsia" w:ascii="宋体" w:hAnsi="宋体" w:eastAsia="宋体" w:cs="宋体"/>
          <w:color w:val="auto"/>
          <w:szCs w:val="21"/>
          <w:lang w:val="zh-CN"/>
        </w:rPr>
        <w:t>条规定外，招标人（或招标人的下属公司）将合同授予其投标文件符合招标文件要求，并且能承诺履行合同，对招标人（或招标人的下属公司）最为有利的投标人。</w:t>
      </w:r>
    </w:p>
    <w:p w14:paraId="23E79B69">
      <w:pPr>
        <w:numPr>
          <w:ilvl w:val="1"/>
          <w:numId w:val="0"/>
        </w:numPr>
        <w:tabs>
          <w:tab w:val="left" w:pos="540"/>
        </w:tabs>
        <w:autoSpaceDE w:val="0"/>
        <w:autoSpaceDN w:val="0"/>
        <w:adjustRightInd w:val="0"/>
        <w:spacing w:line="360" w:lineRule="auto"/>
        <w:ind w:left="330" w:leftChars="-100" w:right="44" w:rightChars="21" w:hanging="540"/>
        <w:rPr>
          <w:rFonts w:ascii="宋体" w:hAnsi="宋体" w:eastAsia="宋体" w:cs="宋体"/>
          <w:color w:val="auto"/>
          <w:szCs w:val="21"/>
          <w:lang w:val="zh-CN"/>
        </w:rPr>
      </w:pPr>
      <w:r>
        <w:rPr>
          <w:rFonts w:hint="eastAsia" w:ascii="宋体" w:hAnsi="宋体" w:eastAsia="宋体" w:cs="宋体"/>
          <w:color w:val="auto"/>
          <w:szCs w:val="21"/>
          <w:lang w:val="zh-CN"/>
        </w:rPr>
        <w:t>32.2 招标人依法</w:t>
      </w:r>
      <w:r>
        <w:rPr>
          <w:rFonts w:hint="eastAsia" w:ascii="宋体" w:hAnsi="宋体" w:eastAsia="宋体" w:cs="宋体"/>
          <w:color w:val="auto"/>
          <w:kern w:val="0"/>
          <w:szCs w:val="21"/>
        </w:rPr>
        <w:t>按照评标报告中推荐的中标候选人顺序</w:t>
      </w:r>
      <w:r>
        <w:rPr>
          <w:rFonts w:hint="eastAsia" w:ascii="宋体" w:hAnsi="宋体" w:eastAsia="宋体" w:cs="宋体"/>
          <w:color w:val="auto"/>
          <w:szCs w:val="21"/>
          <w:lang w:val="zh-CN"/>
        </w:rPr>
        <w:t>确定中标人。</w:t>
      </w:r>
    </w:p>
    <w:p w14:paraId="2ABF307F">
      <w:pPr>
        <w:autoSpaceDE w:val="0"/>
        <w:autoSpaceDN w:val="0"/>
        <w:adjustRightInd w:val="0"/>
        <w:snapToGrid w:val="0"/>
        <w:spacing w:line="360" w:lineRule="auto"/>
        <w:ind w:left="315" w:leftChars="-100" w:hanging="525" w:hangingChars="250"/>
        <w:jc w:val="left"/>
        <w:rPr>
          <w:rFonts w:ascii="宋体" w:hAnsi="宋体" w:eastAsia="宋体" w:cs="宋体"/>
          <w:b/>
          <w:color w:val="auto"/>
          <w:kern w:val="0"/>
          <w:szCs w:val="21"/>
        </w:rPr>
      </w:pPr>
      <w:r>
        <w:rPr>
          <w:rFonts w:hint="eastAsia" w:ascii="宋体" w:hAnsi="宋体" w:eastAsia="宋体" w:cs="宋体"/>
          <w:color w:val="auto"/>
          <w:szCs w:val="21"/>
          <w:lang w:val="zh-CN"/>
        </w:rPr>
        <w:t>32</w:t>
      </w:r>
      <w:r>
        <w:rPr>
          <w:rFonts w:hint="eastAsia" w:ascii="宋体" w:hAnsi="宋体" w:eastAsia="宋体" w:cs="宋体"/>
          <w:color w:val="auto"/>
          <w:kern w:val="0"/>
          <w:szCs w:val="21"/>
        </w:rPr>
        <w:t>.3 因不可抗力或自身原因不能履行合同的、不按要求与招标人（或招标人的下属公司）签订合同、中标人放弃中标、中标资格被依法确认无效的，招标人可以按照评标委员会提出的中标候选人名单排序依次确定其他中标候选人为中标人或重新招标</w:t>
      </w:r>
      <w:r>
        <w:rPr>
          <w:rFonts w:hint="eastAsia" w:ascii="宋体" w:hAnsi="宋体" w:eastAsia="宋体" w:cs="宋体"/>
          <w:b/>
          <w:color w:val="auto"/>
          <w:kern w:val="0"/>
          <w:szCs w:val="21"/>
        </w:rPr>
        <w:t>。</w:t>
      </w:r>
    </w:p>
    <w:p w14:paraId="0E85282A">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lang w:val="zh-CN"/>
        </w:rPr>
      </w:pPr>
      <w:bookmarkStart w:id="310" w:name="_Toc450662885"/>
    </w:p>
    <w:p w14:paraId="533A02AD">
      <w:pPr>
        <w:autoSpaceDE w:val="0"/>
        <w:autoSpaceDN w:val="0"/>
        <w:adjustRightInd w:val="0"/>
        <w:spacing w:line="360" w:lineRule="auto"/>
        <w:ind w:left="357" w:leftChars="-100" w:hanging="567"/>
        <w:jc w:val="left"/>
        <w:outlineLvl w:val="2"/>
        <w:rPr>
          <w:rFonts w:ascii="宋体" w:hAnsi="宋体" w:eastAsia="宋体" w:cs="宋体"/>
          <w:color w:val="auto"/>
          <w:szCs w:val="21"/>
          <w:lang w:val="zh-CN"/>
        </w:rPr>
      </w:pPr>
      <w:bookmarkStart w:id="311" w:name="_Toc142508350"/>
      <w:bookmarkStart w:id="312" w:name="_Toc24266"/>
      <w:bookmarkStart w:id="313" w:name="_Toc173182295"/>
      <w:bookmarkStart w:id="314" w:name="_Toc6726_WPSOffice_Level3"/>
      <w:bookmarkStart w:id="315" w:name="_Toc486167699"/>
      <w:bookmarkStart w:id="316" w:name="_Toc19799"/>
      <w:r>
        <w:rPr>
          <w:rFonts w:hint="eastAsia" w:ascii="宋体" w:hAnsi="宋体" w:eastAsia="宋体" w:cs="宋体"/>
          <w:color w:val="auto"/>
          <w:szCs w:val="21"/>
          <w:lang w:val="zh-CN"/>
        </w:rPr>
        <w:t>33</w:t>
      </w:r>
      <w:r>
        <w:rPr>
          <w:rFonts w:ascii="宋体" w:hAnsi="宋体" w:eastAsia="宋体" w:cs="宋体"/>
          <w:color w:val="auto"/>
          <w:szCs w:val="21"/>
          <w:lang w:val="zh-CN"/>
        </w:rPr>
        <w:t xml:space="preserve"> </w:t>
      </w:r>
      <w:r>
        <w:rPr>
          <w:rFonts w:hint="eastAsia" w:ascii="宋体" w:hAnsi="宋体" w:eastAsia="宋体" w:cs="宋体"/>
          <w:color w:val="auto"/>
          <w:szCs w:val="21"/>
          <w:lang w:val="zh-CN"/>
        </w:rPr>
        <w:t>中标通知</w:t>
      </w:r>
      <w:bookmarkEnd w:id="310"/>
      <w:bookmarkEnd w:id="311"/>
      <w:bookmarkEnd w:id="312"/>
      <w:bookmarkEnd w:id="313"/>
      <w:bookmarkEnd w:id="314"/>
      <w:bookmarkEnd w:id="315"/>
      <w:bookmarkEnd w:id="316"/>
    </w:p>
    <w:p w14:paraId="041BD868">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lang w:val="zh-CN"/>
        </w:rPr>
      </w:pPr>
      <w:bookmarkStart w:id="317" w:name="_Toc450662886"/>
      <w:r>
        <w:rPr>
          <w:rFonts w:hint="eastAsia" w:ascii="宋体" w:hAnsi="宋体" w:eastAsia="宋体" w:cs="宋体"/>
          <w:color w:val="auto"/>
          <w:szCs w:val="21"/>
          <w:lang w:val="zh-CN"/>
        </w:rPr>
        <w:t>33.1</w:t>
      </w:r>
      <w:r>
        <w:rPr>
          <w:rFonts w:hint="eastAsia" w:ascii="宋体" w:hAnsi="宋体" w:eastAsia="宋体" w:cs="宋体"/>
          <w:color w:val="auto"/>
          <w:szCs w:val="21"/>
          <w:lang w:val="zh-CN"/>
        </w:rPr>
        <w:tab/>
      </w:r>
      <w:r>
        <w:rPr>
          <w:rFonts w:hint="eastAsia" w:ascii="宋体" w:hAnsi="宋体" w:eastAsia="宋体" w:cs="宋体"/>
          <w:color w:val="auto"/>
          <w:szCs w:val="21"/>
          <w:lang w:val="zh-CN"/>
        </w:rPr>
        <w:t>招标代理机构向中标人发出书面通知，中标通知书是合同的一个组成部分。</w:t>
      </w:r>
    </w:p>
    <w:p w14:paraId="3F9B179B">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lang w:val="zh-CN"/>
        </w:rPr>
      </w:pPr>
      <w:r>
        <w:rPr>
          <w:rFonts w:hint="eastAsia" w:ascii="宋体" w:hAnsi="宋体" w:eastAsia="宋体" w:cs="宋体"/>
          <w:color w:val="auto"/>
          <w:szCs w:val="21"/>
          <w:lang w:val="zh-CN"/>
        </w:rPr>
        <w:t>33.2</w:t>
      </w:r>
      <w:r>
        <w:rPr>
          <w:rFonts w:hint="eastAsia" w:ascii="宋体" w:hAnsi="宋体" w:eastAsia="宋体" w:cs="宋体"/>
          <w:color w:val="auto"/>
          <w:szCs w:val="21"/>
          <w:lang w:val="zh-CN"/>
        </w:rPr>
        <w:tab/>
      </w:r>
      <w:r>
        <w:rPr>
          <w:rFonts w:hint="eastAsia" w:ascii="宋体" w:hAnsi="宋体" w:eastAsia="宋体" w:cs="宋体"/>
          <w:color w:val="auto"/>
          <w:szCs w:val="21"/>
          <w:lang w:val="zh-CN"/>
        </w:rPr>
        <w:t>招标代理机构向中标人发出书面通知的同时，招标代理机构通知落选的投标人其投标文件未被接受而不提原因。</w:t>
      </w:r>
    </w:p>
    <w:p w14:paraId="391B7731">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lang w:val="zh-CN"/>
        </w:rPr>
      </w:pPr>
    </w:p>
    <w:p w14:paraId="737FC204">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lang w:val="zh-CN"/>
        </w:rPr>
      </w:pPr>
      <w:bookmarkStart w:id="318" w:name="_Toc173182296"/>
      <w:bookmarkStart w:id="319" w:name="_Toc9694_WPSOffice_Level3"/>
      <w:bookmarkStart w:id="320" w:name="_Toc142508351"/>
      <w:bookmarkStart w:id="321" w:name="_Toc32732"/>
      <w:bookmarkStart w:id="322" w:name="_Toc486167700"/>
      <w:bookmarkStart w:id="323" w:name="_Toc9784"/>
      <w:r>
        <w:rPr>
          <w:rFonts w:hint="eastAsia" w:ascii="宋体" w:hAnsi="宋体" w:eastAsia="宋体" w:cs="宋体"/>
          <w:color w:val="auto"/>
          <w:szCs w:val="21"/>
        </w:rPr>
        <w:t>34</w:t>
      </w:r>
      <w:r>
        <w:rPr>
          <w:rFonts w:ascii="宋体" w:hAnsi="宋体" w:eastAsia="宋体" w:cs="宋体"/>
          <w:color w:val="auto"/>
          <w:szCs w:val="21"/>
          <w:lang w:val="zh-CN"/>
        </w:rPr>
        <w:t xml:space="preserve"> </w:t>
      </w:r>
      <w:r>
        <w:rPr>
          <w:rFonts w:hint="eastAsia" w:ascii="宋体" w:hAnsi="宋体" w:eastAsia="宋体" w:cs="宋体"/>
          <w:color w:val="auto"/>
          <w:szCs w:val="21"/>
          <w:lang w:val="zh-CN"/>
        </w:rPr>
        <w:t>签署合同</w:t>
      </w:r>
      <w:bookmarkEnd w:id="317"/>
      <w:bookmarkEnd w:id="318"/>
      <w:bookmarkEnd w:id="319"/>
      <w:bookmarkEnd w:id="320"/>
      <w:bookmarkEnd w:id="321"/>
      <w:bookmarkEnd w:id="322"/>
      <w:bookmarkEnd w:id="323"/>
    </w:p>
    <w:p w14:paraId="65801F5E">
      <w:pPr>
        <w:tabs>
          <w:tab w:val="left" w:pos="540"/>
        </w:tabs>
        <w:autoSpaceDE w:val="0"/>
        <w:autoSpaceDN w:val="0"/>
        <w:adjustRightInd w:val="0"/>
        <w:spacing w:line="360" w:lineRule="auto"/>
        <w:ind w:left="330" w:leftChars="-100" w:right="15" w:rightChars="7" w:hanging="540"/>
        <w:rPr>
          <w:rFonts w:ascii="宋体" w:hAnsi="宋体" w:eastAsia="宋体" w:cs="宋体"/>
          <w:color w:val="auto"/>
          <w:szCs w:val="21"/>
          <w:lang w:val="zh-CN"/>
        </w:rPr>
      </w:pPr>
      <w:r>
        <w:rPr>
          <w:rFonts w:hint="eastAsia" w:ascii="宋体" w:hAnsi="宋体" w:eastAsia="宋体" w:cs="宋体"/>
          <w:color w:val="auto"/>
          <w:szCs w:val="21"/>
        </w:rPr>
        <w:t>34</w:t>
      </w:r>
      <w:r>
        <w:rPr>
          <w:rFonts w:hint="eastAsia" w:ascii="宋体" w:hAnsi="宋体" w:eastAsia="宋体" w:cs="宋体"/>
          <w:color w:val="auto"/>
          <w:szCs w:val="21"/>
          <w:lang w:val="zh-CN"/>
        </w:rPr>
        <w:t>.1</w:t>
      </w:r>
      <w:r>
        <w:rPr>
          <w:rFonts w:hint="eastAsia" w:ascii="宋体" w:hAnsi="宋体" w:eastAsia="宋体" w:cs="宋体"/>
          <w:color w:val="auto"/>
          <w:szCs w:val="21"/>
          <w:lang w:val="zh-CN"/>
        </w:rPr>
        <w:tab/>
      </w:r>
      <w:r>
        <w:rPr>
          <w:rFonts w:hint="eastAsia" w:ascii="宋体" w:hAnsi="宋体" w:eastAsia="宋体" w:cs="Times New Roman"/>
          <w:b/>
          <w:color w:val="auto"/>
          <w:szCs w:val="21"/>
          <w:u w:val="single"/>
          <w:lang w:val="zh-CN"/>
        </w:rPr>
        <w:t>中标人在自中标通知书发出之日起30日内，按照招标文件和中标人的投标文件的约定，与招标人（或招标人的下属公司）签订书面合同，具体签订方式以招标人通知为准。否则招标人有权取消中标资格并按招标文件及法律、法规的规定进行处理</w:t>
      </w:r>
      <w:r>
        <w:rPr>
          <w:rFonts w:hint="eastAsia" w:ascii="宋体" w:hAnsi="宋体" w:eastAsia="宋体" w:cs="宋体"/>
          <w:color w:val="auto"/>
          <w:szCs w:val="21"/>
          <w:lang w:val="zh-CN"/>
        </w:rPr>
        <w:t>。</w:t>
      </w:r>
    </w:p>
    <w:p w14:paraId="195DF595">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lang w:val="zh-CN"/>
        </w:rPr>
      </w:pPr>
      <w:r>
        <w:rPr>
          <w:rFonts w:hint="eastAsia" w:ascii="宋体" w:hAnsi="宋体" w:eastAsia="宋体" w:cs="Times New Roman"/>
          <w:color w:val="auto"/>
          <w:szCs w:val="21"/>
          <w:lang w:val="zh-CN"/>
        </w:rPr>
        <w:t>34.2 在签署合同前，招标人可对中标人投标报价明细及附表内的算术性错误进行修正，修正原则为：</w:t>
      </w:r>
      <w:r>
        <w:rPr>
          <w:rFonts w:ascii="宋体" w:hAnsi="宋体" w:eastAsia="宋体" w:cs="Times New Roman"/>
          <w:color w:val="auto"/>
          <w:szCs w:val="21"/>
          <w:lang w:val="zh-CN"/>
        </w:rPr>
        <w:t xml:space="preserve"> </w:t>
      </w:r>
    </w:p>
    <w:p w14:paraId="7C04735C">
      <w:pPr>
        <w:autoSpaceDE w:val="0"/>
        <w:autoSpaceDN w:val="0"/>
        <w:adjustRightInd w:val="0"/>
        <w:snapToGrid w:val="0"/>
        <w:spacing w:line="360" w:lineRule="auto"/>
        <w:ind w:left="315" w:leftChars="100" w:hanging="105" w:hangingChars="50"/>
        <w:jc w:val="left"/>
        <w:rPr>
          <w:rFonts w:ascii="宋体" w:hAnsi="宋体" w:eastAsia="宋体" w:cs="Times New Roman"/>
          <w:color w:val="auto"/>
          <w:szCs w:val="21"/>
          <w:lang w:val="zh-CN"/>
        </w:rPr>
      </w:pPr>
      <w:r>
        <w:rPr>
          <w:rFonts w:hint="eastAsia" w:ascii="宋体" w:hAnsi="宋体" w:eastAsia="宋体" w:cs="Times New Roman"/>
          <w:color w:val="auto"/>
          <w:szCs w:val="21"/>
          <w:lang w:val="zh-CN"/>
        </w:rPr>
        <w:t>当以数字表示的报价系数与以文字表示的报价系数不一致时，以文字表示的报价系数为准；经双方确认后，作为合同文件的组成部分。</w:t>
      </w:r>
    </w:p>
    <w:p w14:paraId="435CF2CE">
      <w:pPr>
        <w:spacing w:line="360" w:lineRule="auto"/>
        <w:ind w:left="317" w:leftChars="-100" w:hanging="527" w:hangingChars="250"/>
        <w:rPr>
          <w:rFonts w:ascii="宋体" w:hAnsi="宋体" w:eastAsia="宋体" w:cs="宋体"/>
          <w:b/>
          <w:bCs/>
          <w:color w:val="auto"/>
          <w:szCs w:val="21"/>
        </w:rPr>
      </w:pPr>
      <w:bookmarkStart w:id="324" w:name="_Toc142508352"/>
      <w:bookmarkStart w:id="325" w:name="_Toc450662887"/>
      <w:bookmarkStart w:id="326" w:name="_Toc10513_WPSOffice_Level3"/>
      <w:bookmarkStart w:id="327" w:name="_Toc486167701"/>
      <w:r>
        <w:rPr>
          <w:rFonts w:hint="eastAsia" w:ascii="宋体" w:hAnsi="宋体" w:eastAsia="宋体" w:cs="宋体"/>
          <w:b/>
          <w:bCs/>
          <w:color w:val="auto"/>
          <w:szCs w:val="21"/>
        </w:rPr>
        <w:t xml:space="preserve">34.3 </w:t>
      </w:r>
      <w:r>
        <w:rPr>
          <w:rFonts w:hint="eastAsia" w:ascii="宋体" w:hAnsi="宋体" w:eastAsia="宋体" w:cs="宋体"/>
          <w:b/>
          <w:bCs/>
          <w:color w:val="auto"/>
          <w:szCs w:val="21"/>
          <w:lang w:val="zh-CN"/>
        </w:rPr>
        <w:t>本项目中标人须与招标人（或招标人的下属公司）</w:t>
      </w:r>
      <w:r>
        <w:rPr>
          <w:rFonts w:hint="eastAsia" w:ascii="宋体" w:hAnsi="宋体" w:eastAsia="宋体" w:cs="宋体"/>
          <w:b/>
          <w:bCs/>
          <w:color w:val="auto"/>
          <w:szCs w:val="21"/>
          <w:lang w:eastAsia="zh-CN"/>
        </w:rPr>
        <w:t>分别</w:t>
      </w:r>
      <w:r>
        <w:rPr>
          <w:rFonts w:hint="eastAsia" w:ascii="宋体" w:hAnsi="宋体" w:eastAsia="宋体" w:cs="宋体"/>
          <w:b/>
          <w:bCs/>
          <w:color w:val="auto"/>
          <w:szCs w:val="21"/>
          <w:lang w:val="zh-CN"/>
        </w:rPr>
        <w:t>签署合同，招标人有权按实际情况调整本项目合同的签订主体（招标人下属公司范围内）或履约担保的受益人主体。招标人及其下属公司的合同签订主体暂定为：东莞市水务集团有限公司、东莞市水务集团供水有限公司及其下属公司、东莞市水务集团净水有限公司及其下属公司、东莞市水务集团管网有限公司及其下属公司、东莞市水务集团实业有限公司及其下属公司、东莞市水务集团建设管理有限公司及其下属公司等。</w:t>
      </w:r>
    </w:p>
    <w:p w14:paraId="58400F30">
      <w:pPr>
        <w:tabs>
          <w:tab w:val="left" w:pos="360"/>
        </w:tabs>
        <w:autoSpaceDE w:val="0"/>
        <w:autoSpaceDN w:val="0"/>
        <w:adjustRightInd w:val="0"/>
        <w:spacing w:line="360" w:lineRule="auto"/>
        <w:ind w:left="357" w:leftChars="-100" w:hanging="567"/>
        <w:jc w:val="left"/>
        <w:rPr>
          <w:rFonts w:ascii="宋体" w:hAnsi="宋体" w:eastAsia="宋体" w:cs="宋体"/>
          <w:color w:val="auto"/>
          <w:szCs w:val="21"/>
        </w:rPr>
      </w:pPr>
    </w:p>
    <w:p w14:paraId="2487F39B">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lang w:val="zh-CN"/>
        </w:rPr>
      </w:pPr>
      <w:bookmarkStart w:id="328" w:name="_Toc173182297"/>
      <w:bookmarkStart w:id="329" w:name="_Toc8873"/>
      <w:bookmarkStart w:id="330" w:name="_Toc4265"/>
      <w:r>
        <w:rPr>
          <w:rFonts w:hint="eastAsia" w:ascii="宋体" w:hAnsi="宋体" w:eastAsia="宋体" w:cs="宋体"/>
          <w:color w:val="auto"/>
          <w:szCs w:val="21"/>
        </w:rPr>
        <w:t>35</w:t>
      </w:r>
      <w:r>
        <w:rPr>
          <w:rFonts w:ascii="宋体" w:hAnsi="宋体" w:eastAsia="宋体" w:cs="宋体"/>
          <w:color w:val="auto"/>
          <w:szCs w:val="21"/>
        </w:rPr>
        <w:t xml:space="preserve"> </w:t>
      </w:r>
      <w:r>
        <w:rPr>
          <w:rFonts w:hint="eastAsia" w:ascii="宋体" w:hAnsi="宋体" w:eastAsia="宋体" w:cs="宋体"/>
          <w:color w:val="auto"/>
          <w:szCs w:val="21"/>
          <w:lang w:val="zh-CN"/>
        </w:rPr>
        <w:t>履约担保</w:t>
      </w:r>
      <w:bookmarkEnd w:id="324"/>
      <w:bookmarkEnd w:id="325"/>
      <w:bookmarkEnd w:id="326"/>
      <w:bookmarkEnd w:id="327"/>
      <w:bookmarkEnd w:id="328"/>
      <w:bookmarkEnd w:id="329"/>
      <w:bookmarkEnd w:id="330"/>
    </w:p>
    <w:p w14:paraId="5C292167">
      <w:pPr>
        <w:numPr>
          <w:ilvl w:val="1"/>
          <w:numId w:val="0"/>
        </w:numPr>
        <w:autoSpaceDE w:val="0"/>
        <w:autoSpaceDN w:val="0"/>
        <w:adjustRightInd w:val="0"/>
        <w:spacing w:line="360" w:lineRule="auto"/>
        <w:ind w:left="354" w:leftChars="-100" w:right="15" w:rightChars="7" w:hanging="564" w:hangingChars="269"/>
        <w:rPr>
          <w:rFonts w:ascii="宋体" w:hAnsi="宋体" w:eastAsia="宋体" w:cs="Times New Roman"/>
          <w:color w:val="auto"/>
          <w:szCs w:val="21"/>
          <w:u w:val="single"/>
          <w:lang w:val="zh-CN"/>
        </w:rPr>
      </w:pPr>
      <w:bookmarkStart w:id="331" w:name="_Toc466882025"/>
      <w:bookmarkStart w:id="332" w:name="_Toc465358977"/>
      <w:r>
        <w:rPr>
          <w:rFonts w:hint="eastAsia" w:ascii="宋体" w:hAnsi="宋体" w:eastAsia="宋体" w:cs="宋体"/>
          <w:bCs/>
          <w:color w:val="auto"/>
          <w:szCs w:val="21"/>
        </w:rPr>
        <w:t>35</w:t>
      </w:r>
      <w:r>
        <w:rPr>
          <w:rFonts w:hint="eastAsia" w:ascii="宋体" w:hAnsi="宋体" w:eastAsia="宋体" w:cs="宋体"/>
          <w:bCs/>
          <w:color w:val="auto"/>
          <w:szCs w:val="21"/>
          <w:lang w:val="zh-CN"/>
        </w:rPr>
        <w:t>.1</w:t>
      </w:r>
      <w:r>
        <w:rPr>
          <w:rFonts w:hint="eastAsia" w:ascii="宋体" w:hAnsi="宋体" w:eastAsia="宋体" w:cs="宋体"/>
          <w:b/>
          <w:bCs/>
          <w:color w:val="auto"/>
          <w:szCs w:val="21"/>
          <w:lang w:val="zh-CN"/>
        </w:rPr>
        <w:t xml:space="preserve"> </w:t>
      </w:r>
      <w:r>
        <w:rPr>
          <w:rFonts w:hint="eastAsia" w:ascii="宋体" w:hAnsi="宋体" w:eastAsia="宋体" w:cs="Times New Roman"/>
          <w:b/>
          <w:bCs/>
          <w:color w:val="auto"/>
          <w:szCs w:val="21"/>
          <w:u w:val="single"/>
          <w:lang w:val="zh-CN"/>
        </w:rPr>
        <w:t>中标人应在签订合同前，按本招标文件规定金额及形式要求，向招标人提交不可撤销银行履约保函（或履约保证金或履约保证保险或担保公司履约担保书），作为履约担保（所需费用由中标人自行承担），否则招标人可取消中标人的中标资格，不予退还其投标保证金。其中，采用履约保证金（银行转账形式）的金额为不含税暂定合同价的5%，采用不可撤销银行履约保函(或履约保证保险)形式的金额为不含税暂定合同价的</w:t>
      </w:r>
      <w:r>
        <w:rPr>
          <w:rFonts w:hint="eastAsia" w:ascii="宋体" w:hAnsi="宋体" w:eastAsia="宋体" w:cs="Times New Roman"/>
          <w:b/>
          <w:bCs/>
          <w:color w:val="auto"/>
          <w:szCs w:val="21"/>
          <w:u w:val="single"/>
          <w:lang w:val="en-US" w:eastAsia="zh-CN"/>
        </w:rPr>
        <w:t>8</w:t>
      </w:r>
      <w:r>
        <w:rPr>
          <w:rFonts w:hint="eastAsia" w:ascii="宋体" w:hAnsi="宋体" w:eastAsia="宋体" w:cs="Times New Roman"/>
          <w:b/>
          <w:bCs/>
          <w:color w:val="auto"/>
          <w:szCs w:val="21"/>
          <w:u w:val="single"/>
          <w:lang w:val="zh-CN"/>
        </w:rPr>
        <w:t>%，采用担保公司履约担保书形式的金额为不含税暂定合同价的10%，</w:t>
      </w:r>
      <w:r>
        <w:rPr>
          <w:rFonts w:hint="eastAsia" w:ascii="宋体" w:hAnsi="宋体" w:eastAsia="宋体" w:cs="Times New Roman"/>
          <w:color w:val="auto"/>
          <w:szCs w:val="21"/>
          <w:u w:val="single"/>
          <w:lang w:val="zh-CN"/>
        </w:rPr>
        <w:t>合同履行过程中，中标人给招标人（或招标人的下属公司）造成的损失超过履约担保数额的，中标人还应当对超过部分予以赔偿，招标人并依法追究中标人的相应责任。</w:t>
      </w:r>
    </w:p>
    <w:p w14:paraId="0B4DE1A4">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rPr>
      </w:pPr>
      <w:r>
        <w:rPr>
          <w:rFonts w:hint="eastAsia" w:ascii="宋体" w:hAnsi="宋体" w:eastAsia="宋体" w:cs="宋体"/>
          <w:color w:val="auto"/>
          <w:kern w:val="0"/>
          <w:szCs w:val="21"/>
        </w:rPr>
        <w:t xml:space="preserve">35.2 </w:t>
      </w:r>
      <w:r>
        <w:rPr>
          <w:rFonts w:hint="eastAsia" w:ascii="宋体" w:hAnsi="宋体" w:eastAsia="宋体" w:cs="Times New Roman"/>
          <w:color w:val="auto"/>
          <w:kern w:val="0"/>
          <w:szCs w:val="21"/>
        </w:rPr>
        <w:t>履约担保用于补偿招标人（或招标人的下属公司）因中标人不能完全履行其合同义务而蒙受的损失或其他合同约定的事项。如发生下列任一情况时，招标人有权依合同追究违约责任外，同时有权提取履约担保并进行相应处理</w:t>
      </w:r>
      <w:r>
        <w:rPr>
          <w:rFonts w:hint="eastAsia" w:ascii="宋体" w:hAnsi="宋体" w:eastAsia="宋体" w:cs="宋体"/>
          <w:color w:val="auto"/>
          <w:kern w:val="0"/>
          <w:szCs w:val="21"/>
        </w:rPr>
        <w:t>：</w:t>
      </w:r>
    </w:p>
    <w:p w14:paraId="368F0BAB">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rPr>
      </w:pPr>
      <w:r>
        <w:rPr>
          <w:rFonts w:hint="eastAsia" w:ascii="宋体" w:hAnsi="宋体" w:eastAsia="宋体" w:cs="Times New Roman"/>
          <w:color w:val="auto"/>
          <w:kern w:val="0"/>
          <w:szCs w:val="21"/>
        </w:rPr>
        <w:t>（</w:t>
      </w:r>
      <w:r>
        <w:rPr>
          <w:rFonts w:ascii="宋体" w:hAnsi="宋体" w:eastAsia="宋体" w:cs="Times New Roman"/>
          <w:color w:val="auto"/>
          <w:kern w:val="0"/>
          <w:szCs w:val="21"/>
        </w:rPr>
        <w:t>1）</w:t>
      </w:r>
      <w:r>
        <w:rPr>
          <w:rFonts w:hint="eastAsia" w:ascii="宋体" w:hAnsi="宋体" w:eastAsia="宋体" w:cs="Times New Roman"/>
          <w:color w:val="auto"/>
          <w:kern w:val="0"/>
          <w:szCs w:val="21"/>
        </w:rPr>
        <w:t>中标人将合同项下中标人的权利义务全部转让给第三方，或未经招标人书面同意将部分权利义务转让给第三方的，招标人有权没收其履约担保。</w:t>
      </w:r>
    </w:p>
    <w:p w14:paraId="5C20EB3D">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rPr>
      </w:pPr>
      <w:r>
        <w:rPr>
          <w:rFonts w:hint="eastAsia" w:ascii="宋体" w:hAnsi="宋体" w:eastAsia="宋体" w:cs="Times New Roman"/>
          <w:color w:val="auto"/>
          <w:kern w:val="0"/>
          <w:szCs w:val="21"/>
        </w:rPr>
        <w:t>（</w:t>
      </w:r>
      <w:r>
        <w:rPr>
          <w:rFonts w:ascii="宋体" w:hAnsi="宋体" w:eastAsia="宋体" w:cs="Times New Roman"/>
          <w:color w:val="auto"/>
          <w:kern w:val="0"/>
          <w:szCs w:val="21"/>
        </w:rPr>
        <w:t>2）在合同履行期间，中标人</w:t>
      </w:r>
      <w:r>
        <w:rPr>
          <w:rFonts w:hint="eastAsia" w:ascii="宋体" w:hAnsi="宋体" w:eastAsia="宋体" w:cs="Times New Roman"/>
          <w:color w:val="auto"/>
          <w:kern w:val="0"/>
          <w:szCs w:val="21"/>
        </w:rPr>
        <w:t>怠于履行合同义务，经招标人通知或要求承担违约金后仍拒不改正的，招标人可依法没收或适当扣除其履约担保。</w:t>
      </w:r>
    </w:p>
    <w:p w14:paraId="20A85291">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rPr>
      </w:pPr>
      <w:r>
        <w:rPr>
          <w:rFonts w:hint="eastAsia" w:ascii="宋体" w:hAnsi="宋体" w:eastAsia="宋体" w:cs="Times New Roman"/>
          <w:color w:val="auto"/>
          <w:kern w:val="0"/>
          <w:szCs w:val="21"/>
        </w:rPr>
        <w:t>（</w:t>
      </w:r>
      <w:r>
        <w:rPr>
          <w:rFonts w:ascii="宋体" w:hAnsi="宋体" w:eastAsia="宋体" w:cs="Times New Roman"/>
          <w:color w:val="auto"/>
          <w:kern w:val="0"/>
          <w:szCs w:val="21"/>
        </w:rPr>
        <w:t>3）在合同履行期间，因中标人</w:t>
      </w:r>
      <w:r>
        <w:rPr>
          <w:rFonts w:hint="eastAsia" w:ascii="宋体" w:hAnsi="宋体" w:eastAsia="宋体" w:cs="宋体"/>
          <w:color w:val="auto"/>
          <w:kern w:val="0"/>
          <w:szCs w:val="21"/>
        </w:rPr>
        <w:t>货物、</w:t>
      </w:r>
      <w:r>
        <w:rPr>
          <w:rFonts w:ascii="宋体" w:hAnsi="宋体" w:eastAsia="宋体" w:cs="Times New Roman"/>
          <w:color w:val="auto"/>
          <w:kern w:val="0"/>
          <w:szCs w:val="21"/>
        </w:rPr>
        <w:t>服务质量问题造成损害、侵权损失（包括但不限于招标人</w:t>
      </w:r>
      <w:r>
        <w:rPr>
          <w:rFonts w:hint="eastAsia" w:ascii="宋体" w:hAnsi="宋体" w:eastAsia="宋体" w:cs="Times New Roman"/>
          <w:color w:val="auto"/>
          <w:kern w:val="0"/>
          <w:szCs w:val="21"/>
        </w:rPr>
        <w:t>（或招标人的下属公司）</w:t>
      </w:r>
      <w:r>
        <w:rPr>
          <w:rFonts w:ascii="宋体" w:hAnsi="宋体" w:eastAsia="宋体" w:cs="Times New Roman"/>
          <w:color w:val="auto"/>
          <w:kern w:val="0"/>
          <w:szCs w:val="21"/>
        </w:rPr>
        <w:t>经济损失、中标人</w:t>
      </w:r>
      <w:r>
        <w:rPr>
          <w:rFonts w:hint="eastAsia" w:ascii="宋体" w:hAnsi="宋体" w:eastAsia="宋体" w:cs="宋体"/>
          <w:color w:val="auto"/>
          <w:kern w:val="0"/>
          <w:szCs w:val="21"/>
        </w:rPr>
        <w:t>所雇佣人员</w:t>
      </w:r>
      <w:r>
        <w:rPr>
          <w:rFonts w:ascii="宋体" w:hAnsi="宋体" w:eastAsia="宋体" w:cs="Times New Roman"/>
          <w:color w:val="auto"/>
          <w:kern w:val="0"/>
          <w:szCs w:val="21"/>
        </w:rPr>
        <w:t>第三人人身财产损失等）、</w:t>
      </w:r>
      <w:r>
        <w:rPr>
          <w:rFonts w:hint="eastAsia" w:ascii="宋体" w:hAnsi="宋体" w:eastAsia="宋体" w:cs="Times New Roman"/>
          <w:color w:val="auto"/>
          <w:kern w:val="0"/>
          <w:szCs w:val="21"/>
        </w:rPr>
        <w:t>拖欠原材料供应商货款或与其所雇用员工发生劳资纠纷、上访、闹事或其他影响招标人（或招标人的下属公司）生产经营等情况而其未及时妥善处理的</w:t>
      </w:r>
      <w:r>
        <w:rPr>
          <w:rFonts w:ascii="宋体" w:hAnsi="宋体" w:eastAsia="宋体" w:cs="Times New Roman"/>
          <w:color w:val="auto"/>
          <w:kern w:val="0"/>
          <w:szCs w:val="21"/>
        </w:rPr>
        <w:t>，</w:t>
      </w:r>
      <w:r>
        <w:rPr>
          <w:rFonts w:hint="eastAsia" w:ascii="宋体" w:hAnsi="宋体" w:eastAsia="宋体" w:cs="Times New Roman"/>
          <w:color w:val="auto"/>
          <w:kern w:val="0"/>
          <w:szCs w:val="21"/>
        </w:rPr>
        <w:t>招标人有权使用履约担保予以支付或作出相应处理，由此产生的一切法律后果由中标人承担。</w:t>
      </w:r>
    </w:p>
    <w:p w14:paraId="4CFF5EA7">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rPr>
      </w:pPr>
      <w:r>
        <w:rPr>
          <w:rFonts w:hint="eastAsia" w:ascii="宋体" w:hAnsi="宋体" w:eastAsia="宋体" w:cs="Times New Roman"/>
          <w:color w:val="auto"/>
          <w:kern w:val="0"/>
          <w:szCs w:val="21"/>
        </w:rPr>
        <w:t>（</w:t>
      </w:r>
      <w:r>
        <w:rPr>
          <w:rFonts w:ascii="宋体" w:hAnsi="宋体" w:eastAsia="宋体" w:cs="Times New Roman"/>
          <w:color w:val="auto"/>
          <w:kern w:val="0"/>
          <w:szCs w:val="21"/>
        </w:rPr>
        <w:t>4）在合同履行期间，中标人违约产生的违约金、赔偿、罚款或其他应付费用等款项，</w:t>
      </w:r>
      <w:r>
        <w:rPr>
          <w:rFonts w:hint="eastAsia" w:ascii="宋体" w:hAnsi="宋体" w:eastAsia="宋体" w:cs="Times New Roman"/>
          <w:color w:val="auto"/>
          <w:kern w:val="0"/>
          <w:szCs w:val="21"/>
          <w:lang w:eastAsia="zh-CN"/>
        </w:rPr>
        <w:t>招标人</w:t>
      </w:r>
      <w:r>
        <w:rPr>
          <w:rFonts w:ascii="宋体" w:hAnsi="宋体" w:eastAsia="宋体" w:cs="Times New Roman"/>
          <w:color w:val="auto"/>
          <w:kern w:val="0"/>
          <w:szCs w:val="21"/>
        </w:rPr>
        <w:t>有权直接从未付款项中直接扣除或启用履约</w:t>
      </w:r>
      <w:r>
        <w:rPr>
          <w:rFonts w:hint="eastAsia" w:ascii="宋体" w:hAnsi="宋体" w:eastAsia="宋体" w:cs="Times New Roman"/>
          <w:color w:val="auto"/>
          <w:kern w:val="0"/>
          <w:szCs w:val="21"/>
        </w:rPr>
        <w:t>担保</w:t>
      </w:r>
      <w:r>
        <w:rPr>
          <w:rFonts w:ascii="宋体" w:hAnsi="宋体" w:eastAsia="宋体" w:cs="Times New Roman"/>
          <w:color w:val="auto"/>
          <w:kern w:val="0"/>
          <w:szCs w:val="21"/>
        </w:rPr>
        <w:t>予以支付。</w:t>
      </w:r>
    </w:p>
    <w:p w14:paraId="19E9CCAD">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rPr>
      </w:pPr>
      <w:r>
        <w:rPr>
          <w:rFonts w:hint="eastAsia" w:ascii="宋体" w:hAnsi="宋体" w:eastAsia="宋体" w:cs="Times New Roman"/>
          <w:color w:val="auto"/>
          <w:kern w:val="0"/>
          <w:szCs w:val="21"/>
        </w:rPr>
        <w:t>（</w:t>
      </w:r>
      <w:r>
        <w:rPr>
          <w:rFonts w:ascii="宋体" w:hAnsi="宋体" w:eastAsia="宋体" w:cs="Times New Roman"/>
          <w:color w:val="auto"/>
          <w:kern w:val="0"/>
          <w:szCs w:val="21"/>
        </w:rPr>
        <w:t>5）合同期内，中标人不能及时完成合同某项义务的，</w:t>
      </w:r>
      <w:r>
        <w:rPr>
          <w:rFonts w:hint="eastAsia" w:ascii="宋体" w:hAnsi="宋体" w:eastAsia="宋体" w:cs="Times New Roman"/>
          <w:color w:val="auto"/>
          <w:kern w:val="0"/>
          <w:szCs w:val="21"/>
          <w:lang w:eastAsia="zh-CN"/>
        </w:rPr>
        <w:t>招标人</w:t>
      </w:r>
      <w:r>
        <w:rPr>
          <w:rFonts w:ascii="宋体" w:hAnsi="宋体" w:eastAsia="宋体" w:cs="Times New Roman"/>
          <w:color w:val="auto"/>
          <w:kern w:val="0"/>
          <w:szCs w:val="21"/>
        </w:rPr>
        <w:t>有权提取履约</w:t>
      </w:r>
      <w:r>
        <w:rPr>
          <w:rFonts w:hint="eastAsia" w:ascii="宋体" w:hAnsi="宋体" w:eastAsia="宋体" w:cs="Times New Roman"/>
          <w:color w:val="auto"/>
          <w:kern w:val="0"/>
          <w:szCs w:val="21"/>
        </w:rPr>
        <w:t>担保</w:t>
      </w:r>
      <w:r>
        <w:rPr>
          <w:rFonts w:ascii="宋体" w:hAnsi="宋体" w:eastAsia="宋体" w:cs="Times New Roman"/>
          <w:color w:val="auto"/>
          <w:kern w:val="0"/>
          <w:szCs w:val="21"/>
        </w:rPr>
        <w:t>用于处理该项工作。</w:t>
      </w:r>
    </w:p>
    <w:p w14:paraId="36518748">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rPr>
      </w:pPr>
      <w:r>
        <w:rPr>
          <w:rFonts w:hint="eastAsia" w:ascii="宋体" w:hAnsi="宋体" w:eastAsia="宋体" w:cs="Times New Roman"/>
          <w:color w:val="auto"/>
          <w:kern w:val="0"/>
          <w:szCs w:val="21"/>
        </w:rPr>
        <w:t>（</w:t>
      </w:r>
      <w:r>
        <w:rPr>
          <w:rFonts w:ascii="宋体" w:hAnsi="宋体" w:eastAsia="宋体" w:cs="Times New Roman"/>
          <w:color w:val="auto"/>
          <w:kern w:val="0"/>
          <w:szCs w:val="21"/>
        </w:rPr>
        <w:t>6）其他根据本合同约定或法律规定，</w:t>
      </w:r>
      <w:r>
        <w:rPr>
          <w:rFonts w:hint="eastAsia" w:ascii="宋体" w:hAnsi="宋体" w:eastAsia="宋体" w:cs="Times New Roman"/>
          <w:color w:val="auto"/>
          <w:kern w:val="0"/>
          <w:szCs w:val="21"/>
          <w:lang w:eastAsia="zh-CN"/>
        </w:rPr>
        <w:t>招标人</w:t>
      </w:r>
      <w:r>
        <w:rPr>
          <w:rFonts w:ascii="宋体" w:hAnsi="宋体" w:eastAsia="宋体" w:cs="Times New Roman"/>
          <w:color w:val="auto"/>
          <w:kern w:val="0"/>
          <w:szCs w:val="21"/>
        </w:rPr>
        <w:t>可启用履约</w:t>
      </w:r>
      <w:r>
        <w:rPr>
          <w:rFonts w:hint="eastAsia" w:ascii="宋体" w:hAnsi="宋体" w:eastAsia="宋体" w:cs="Times New Roman"/>
          <w:color w:val="auto"/>
          <w:kern w:val="0"/>
          <w:szCs w:val="21"/>
        </w:rPr>
        <w:t>担保</w:t>
      </w:r>
      <w:r>
        <w:rPr>
          <w:rFonts w:ascii="宋体" w:hAnsi="宋体" w:eastAsia="宋体" w:cs="Times New Roman"/>
          <w:color w:val="auto"/>
          <w:kern w:val="0"/>
          <w:szCs w:val="21"/>
        </w:rPr>
        <w:t>的情形。</w:t>
      </w:r>
    </w:p>
    <w:p w14:paraId="1B20C241">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rPr>
      </w:pPr>
      <w:r>
        <w:rPr>
          <w:rFonts w:hint="eastAsia" w:ascii="宋体" w:hAnsi="宋体" w:eastAsia="宋体" w:cs="宋体"/>
          <w:color w:val="auto"/>
          <w:kern w:val="0"/>
          <w:szCs w:val="21"/>
        </w:rPr>
        <w:t>35.3  履约担保应符合如下规定：</w:t>
      </w:r>
    </w:p>
    <w:p w14:paraId="00E31297">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rPr>
      </w:pPr>
      <w:r>
        <w:rPr>
          <w:rFonts w:hint="eastAsia" w:ascii="宋体" w:hAnsi="宋体" w:eastAsia="宋体" w:cs="Times New Roman"/>
          <w:color w:val="auto"/>
          <w:kern w:val="0"/>
          <w:szCs w:val="21"/>
        </w:rPr>
        <w:t>（1）</w:t>
      </w:r>
      <w:r>
        <w:rPr>
          <w:rFonts w:ascii="宋体" w:hAnsi="宋体" w:eastAsia="宋体" w:cs="Times New Roman"/>
          <w:color w:val="auto"/>
          <w:kern w:val="0"/>
          <w:szCs w:val="21"/>
        </w:rPr>
        <w:t>出具履约保函的银行必须是</w:t>
      </w:r>
      <w:r>
        <w:rPr>
          <w:rFonts w:hint="eastAsia" w:ascii="宋体" w:hAnsi="宋体" w:eastAsia="宋体" w:cs="Times New Roman"/>
          <w:color w:val="auto"/>
          <w:kern w:val="0"/>
          <w:szCs w:val="21"/>
        </w:rPr>
        <w:t>境内</w:t>
      </w:r>
      <w:r>
        <w:rPr>
          <w:rFonts w:ascii="宋体" w:hAnsi="宋体" w:eastAsia="宋体" w:cs="Times New Roman"/>
          <w:color w:val="auto"/>
          <w:kern w:val="0"/>
          <w:szCs w:val="21"/>
        </w:rPr>
        <w:t>支行一级以上机构，并经</w:t>
      </w:r>
      <w:r>
        <w:rPr>
          <w:rFonts w:hint="eastAsia" w:ascii="宋体" w:hAnsi="宋体" w:eastAsia="宋体" w:cs="Times New Roman"/>
          <w:color w:val="auto"/>
          <w:kern w:val="0"/>
          <w:szCs w:val="21"/>
          <w:lang w:eastAsia="zh-CN"/>
        </w:rPr>
        <w:t>招标</w:t>
      </w:r>
      <w:r>
        <w:rPr>
          <w:rFonts w:ascii="宋体" w:hAnsi="宋体" w:eastAsia="宋体" w:cs="Times New Roman"/>
          <w:color w:val="auto"/>
          <w:kern w:val="0"/>
          <w:szCs w:val="21"/>
        </w:rPr>
        <w:t>同意，执行本款时所发生的费用由中标人</w:t>
      </w:r>
      <w:r>
        <w:rPr>
          <w:rFonts w:hint="eastAsia" w:ascii="宋体" w:hAnsi="宋体" w:eastAsia="宋体" w:cs="Times New Roman"/>
          <w:color w:val="auto"/>
          <w:kern w:val="0"/>
          <w:szCs w:val="21"/>
        </w:rPr>
        <w:t>承担</w:t>
      </w:r>
      <w:r>
        <w:rPr>
          <w:rFonts w:ascii="宋体" w:hAnsi="宋体" w:eastAsia="宋体" w:cs="Times New Roman"/>
          <w:color w:val="auto"/>
          <w:kern w:val="0"/>
          <w:szCs w:val="21"/>
        </w:rPr>
        <w:t>。</w:t>
      </w:r>
    </w:p>
    <w:p w14:paraId="3ED6A0D5">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rPr>
      </w:pPr>
      <w:r>
        <w:rPr>
          <w:rFonts w:hint="eastAsia" w:ascii="宋体" w:hAnsi="宋体" w:eastAsia="宋体" w:cs="Times New Roman"/>
          <w:color w:val="auto"/>
          <w:kern w:val="0"/>
          <w:szCs w:val="21"/>
        </w:rPr>
        <w:t>（2）</w:t>
      </w:r>
      <w:r>
        <w:rPr>
          <w:rFonts w:ascii="宋体" w:hAnsi="宋体" w:eastAsia="宋体" w:cs="Times New Roman"/>
          <w:color w:val="auto"/>
          <w:kern w:val="0"/>
          <w:szCs w:val="21"/>
        </w:rPr>
        <w:t>履约担保格式应采用招标文件中提供的（格式参见第</w:t>
      </w:r>
      <w:r>
        <w:rPr>
          <w:rFonts w:hint="eastAsia" w:ascii="宋体" w:hAnsi="宋体" w:eastAsia="宋体" w:cs="Times New Roman"/>
          <w:color w:val="auto"/>
          <w:kern w:val="0"/>
          <w:szCs w:val="21"/>
        </w:rPr>
        <w:t>五篇</w:t>
      </w:r>
      <w:r>
        <w:rPr>
          <w:rFonts w:ascii="宋体" w:hAnsi="宋体" w:eastAsia="宋体" w:cs="Times New Roman"/>
          <w:color w:val="auto"/>
          <w:kern w:val="0"/>
          <w:szCs w:val="21"/>
        </w:rPr>
        <w:t>），</w:t>
      </w:r>
      <w:r>
        <w:rPr>
          <w:rFonts w:hint="eastAsia" w:ascii="宋体" w:hAnsi="宋体" w:eastAsia="宋体" w:cs="Times New Roman"/>
          <w:color w:val="auto"/>
          <w:kern w:val="0"/>
          <w:szCs w:val="21"/>
        </w:rPr>
        <w:t>投标人如以履约保函（或履约保证保险或担保公司履约担保书）形式提供履约担保的，投标前应当自行向其拟申请开具保函的银行（或保险或担保）机构落实履约保函（或履约保证保险或担保公司履约担保书）格式情况，以确保能按本招标文件规定的格式提供保函。</w:t>
      </w:r>
      <w:r>
        <w:rPr>
          <w:rFonts w:ascii="宋体" w:hAnsi="宋体" w:eastAsia="宋体" w:cs="Times New Roman"/>
          <w:color w:val="auto"/>
          <w:kern w:val="0"/>
          <w:szCs w:val="21"/>
        </w:rPr>
        <w:t>如使用其他格式的履约保函</w:t>
      </w:r>
      <w:r>
        <w:rPr>
          <w:rFonts w:hint="eastAsia" w:ascii="宋体" w:hAnsi="宋体" w:eastAsia="宋体" w:cs="Times New Roman"/>
          <w:color w:val="auto"/>
          <w:kern w:val="0"/>
          <w:szCs w:val="21"/>
        </w:rPr>
        <w:t>（或履约保证保险或担保公司履约担保书）</w:t>
      </w:r>
      <w:r>
        <w:rPr>
          <w:rFonts w:ascii="宋体" w:hAnsi="宋体" w:eastAsia="宋体" w:cs="Times New Roman"/>
          <w:color w:val="auto"/>
          <w:kern w:val="0"/>
          <w:szCs w:val="21"/>
        </w:rPr>
        <w:t>，须事先经</w:t>
      </w:r>
      <w:r>
        <w:rPr>
          <w:rFonts w:hint="eastAsia" w:ascii="宋体" w:hAnsi="宋体" w:eastAsia="宋体" w:cs="Times New Roman"/>
          <w:color w:val="auto"/>
          <w:kern w:val="0"/>
          <w:szCs w:val="21"/>
          <w:lang w:eastAsia="zh-CN"/>
        </w:rPr>
        <w:t>招标人</w:t>
      </w:r>
      <w:r>
        <w:rPr>
          <w:rFonts w:ascii="宋体" w:hAnsi="宋体" w:eastAsia="宋体" w:cs="Times New Roman"/>
          <w:color w:val="auto"/>
          <w:kern w:val="0"/>
          <w:szCs w:val="21"/>
        </w:rPr>
        <w:t>的书面</w:t>
      </w:r>
      <w:r>
        <w:rPr>
          <w:rFonts w:hint="eastAsia" w:ascii="宋体" w:hAnsi="宋体" w:eastAsia="宋体" w:cs="Times New Roman"/>
          <w:color w:val="auto"/>
          <w:kern w:val="0"/>
          <w:szCs w:val="21"/>
        </w:rPr>
        <w:t>同意</w:t>
      </w:r>
      <w:r>
        <w:rPr>
          <w:rFonts w:ascii="宋体" w:hAnsi="宋体" w:eastAsia="宋体" w:cs="Times New Roman"/>
          <w:color w:val="auto"/>
          <w:kern w:val="0"/>
          <w:szCs w:val="21"/>
        </w:rPr>
        <w:t>。</w:t>
      </w:r>
    </w:p>
    <w:p w14:paraId="45970A26">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rPr>
      </w:pPr>
      <w:r>
        <w:rPr>
          <w:rFonts w:hint="eastAsia" w:ascii="宋体" w:hAnsi="宋体" w:eastAsia="宋体" w:cs="Times New Roman"/>
          <w:color w:val="auto"/>
          <w:kern w:val="0"/>
          <w:szCs w:val="21"/>
        </w:rPr>
        <w:t>（</w:t>
      </w:r>
      <w:r>
        <w:rPr>
          <w:rFonts w:ascii="宋体" w:hAnsi="宋体" w:eastAsia="宋体" w:cs="Times New Roman"/>
          <w:color w:val="auto"/>
          <w:kern w:val="0"/>
          <w:szCs w:val="21"/>
        </w:rPr>
        <w:t>3</w:t>
      </w:r>
      <w:r>
        <w:rPr>
          <w:rFonts w:hint="eastAsia" w:ascii="宋体" w:hAnsi="宋体" w:eastAsia="宋体" w:cs="Times New Roman"/>
          <w:color w:val="auto"/>
          <w:kern w:val="0"/>
          <w:szCs w:val="21"/>
        </w:rPr>
        <w:t>）提供担保的担保机构经济性质须为东莞市国有企业，或政府性融资担保机构（中标人须提供能证明其属于政府性融资担保机构的证明文件），并经</w:t>
      </w:r>
      <w:r>
        <w:rPr>
          <w:rFonts w:hint="eastAsia" w:ascii="宋体" w:hAnsi="宋体" w:eastAsia="宋体" w:cs="Times New Roman"/>
          <w:color w:val="auto"/>
          <w:kern w:val="0"/>
          <w:szCs w:val="21"/>
          <w:lang w:eastAsia="zh-CN"/>
        </w:rPr>
        <w:t>招标人</w:t>
      </w:r>
      <w:r>
        <w:rPr>
          <w:rFonts w:hint="eastAsia" w:ascii="宋体" w:hAnsi="宋体" w:eastAsia="宋体" w:cs="Times New Roman"/>
          <w:color w:val="auto"/>
          <w:kern w:val="0"/>
          <w:szCs w:val="21"/>
        </w:rPr>
        <w:t>同意，执行本款时所发生的费用由中标人承担。如</w:t>
      </w:r>
      <w:r>
        <w:rPr>
          <w:rFonts w:hint="eastAsia" w:ascii="宋体" w:hAnsi="宋体" w:eastAsia="宋体" w:cs="Times New Roman"/>
          <w:color w:val="auto"/>
          <w:kern w:val="0"/>
          <w:szCs w:val="21"/>
          <w:lang w:eastAsia="zh-CN"/>
        </w:rPr>
        <w:t>招标人</w:t>
      </w:r>
      <w:r>
        <w:rPr>
          <w:rFonts w:hint="eastAsia" w:ascii="宋体" w:hAnsi="宋体" w:eastAsia="宋体" w:cs="Times New Roman"/>
          <w:color w:val="auto"/>
          <w:kern w:val="0"/>
          <w:szCs w:val="21"/>
        </w:rPr>
        <w:t>合同条款接受担保公司预付款担保函的，对担保机构要求参照本条执行</w:t>
      </w:r>
      <w:r>
        <w:rPr>
          <w:rFonts w:ascii="宋体" w:hAnsi="宋体" w:eastAsia="宋体" w:cs="Times New Roman"/>
          <w:color w:val="auto"/>
          <w:kern w:val="0"/>
          <w:szCs w:val="21"/>
        </w:rPr>
        <w:t>。</w:t>
      </w:r>
    </w:p>
    <w:p w14:paraId="2FDC0B1E">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rPr>
      </w:pPr>
      <w:r>
        <w:rPr>
          <w:rFonts w:hint="eastAsia" w:ascii="宋体" w:hAnsi="宋体" w:eastAsia="宋体" w:cs="Times New Roman"/>
          <w:color w:val="auto"/>
          <w:kern w:val="0"/>
          <w:szCs w:val="21"/>
        </w:rPr>
        <w:t>（4）</w:t>
      </w:r>
      <w:r>
        <w:rPr>
          <w:rFonts w:ascii="宋体" w:hAnsi="宋体" w:eastAsia="宋体" w:cs="Times New Roman"/>
          <w:color w:val="auto"/>
          <w:kern w:val="0"/>
          <w:szCs w:val="21"/>
        </w:rPr>
        <w:t>如果</w:t>
      </w:r>
      <w:r>
        <w:rPr>
          <w:rFonts w:hint="eastAsia" w:ascii="宋体" w:hAnsi="宋体" w:eastAsia="宋体" w:cs="Times New Roman"/>
          <w:color w:val="auto"/>
          <w:kern w:val="0"/>
          <w:szCs w:val="21"/>
        </w:rPr>
        <w:t>中标</w:t>
      </w:r>
      <w:r>
        <w:rPr>
          <w:rFonts w:ascii="宋体" w:hAnsi="宋体" w:eastAsia="宋体" w:cs="Times New Roman"/>
          <w:color w:val="auto"/>
          <w:kern w:val="0"/>
          <w:szCs w:val="21"/>
        </w:rPr>
        <w:t>人提交的履约担保的有效期届满时间先于招标文件、合同文件要求的，</w:t>
      </w:r>
      <w:r>
        <w:rPr>
          <w:rFonts w:hint="eastAsia" w:ascii="宋体" w:hAnsi="宋体" w:eastAsia="宋体" w:cs="Times New Roman"/>
          <w:color w:val="auto"/>
          <w:kern w:val="0"/>
          <w:szCs w:val="21"/>
        </w:rPr>
        <w:t>中标</w:t>
      </w:r>
      <w:r>
        <w:rPr>
          <w:rFonts w:ascii="宋体" w:hAnsi="宋体" w:eastAsia="宋体" w:cs="Times New Roman"/>
          <w:color w:val="auto"/>
          <w:kern w:val="0"/>
          <w:szCs w:val="21"/>
        </w:rPr>
        <w:t>人应在原提交的履约担保有效期届满前15</w:t>
      </w:r>
      <w:r>
        <w:rPr>
          <w:rFonts w:hint="eastAsia" w:ascii="宋体" w:hAnsi="宋体" w:eastAsia="宋体" w:cs="Times New Roman"/>
          <w:color w:val="auto"/>
          <w:kern w:val="0"/>
          <w:szCs w:val="21"/>
        </w:rPr>
        <w:t>日</w:t>
      </w:r>
      <w:r>
        <w:rPr>
          <w:rFonts w:ascii="宋体" w:hAnsi="宋体" w:eastAsia="宋体" w:cs="Times New Roman"/>
          <w:color w:val="auto"/>
          <w:kern w:val="0"/>
          <w:szCs w:val="21"/>
        </w:rPr>
        <w:t>内，无条件办理</w:t>
      </w:r>
      <w:r>
        <w:rPr>
          <w:rFonts w:hint="eastAsia" w:ascii="宋体" w:hAnsi="宋体" w:eastAsia="宋体" w:cs="Times New Roman"/>
          <w:color w:val="auto"/>
          <w:kern w:val="0"/>
          <w:szCs w:val="21"/>
        </w:rPr>
        <w:t>符合</w:t>
      </w:r>
      <w:r>
        <w:rPr>
          <w:rFonts w:hint="eastAsia" w:ascii="宋体" w:hAnsi="宋体" w:eastAsia="宋体" w:cs="Times New Roman"/>
          <w:color w:val="auto"/>
          <w:kern w:val="0"/>
          <w:szCs w:val="21"/>
          <w:lang w:eastAsia="zh-CN"/>
        </w:rPr>
        <w:t>招标人</w:t>
      </w:r>
      <w:r>
        <w:rPr>
          <w:rFonts w:hint="eastAsia" w:ascii="宋体" w:hAnsi="宋体" w:eastAsia="宋体" w:cs="Times New Roman"/>
          <w:color w:val="auto"/>
          <w:kern w:val="0"/>
          <w:szCs w:val="21"/>
        </w:rPr>
        <w:t>要求的</w:t>
      </w:r>
      <w:r>
        <w:rPr>
          <w:rFonts w:ascii="宋体" w:hAnsi="宋体" w:eastAsia="宋体" w:cs="Times New Roman"/>
          <w:color w:val="auto"/>
          <w:kern w:val="0"/>
          <w:szCs w:val="21"/>
        </w:rPr>
        <w:t>履约担保延期手续，否则视为</w:t>
      </w:r>
      <w:r>
        <w:rPr>
          <w:rFonts w:hint="eastAsia" w:ascii="宋体" w:hAnsi="宋体" w:eastAsia="宋体" w:cs="Times New Roman"/>
          <w:color w:val="auto"/>
          <w:kern w:val="0"/>
          <w:szCs w:val="21"/>
        </w:rPr>
        <w:t>中标</w:t>
      </w:r>
      <w:r>
        <w:rPr>
          <w:rFonts w:ascii="宋体" w:hAnsi="宋体" w:eastAsia="宋体" w:cs="Times New Roman"/>
          <w:color w:val="auto"/>
          <w:kern w:val="0"/>
          <w:szCs w:val="21"/>
        </w:rPr>
        <w:t>人违约，</w:t>
      </w:r>
      <w:r>
        <w:rPr>
          <w:rFonts w:hint="eastAsia" w:ascii="宋体" w:hAnsi="宋体" w:eastAsia="宋体" w:cs="Times New Roman"/>
          <w:color w:val="auto"/>
          <w:kern w:val="0"/>
          <w:szCs w:val="21"/>
          <w:lang w:eastAsia="zh-CN"/>
        </w:rPr>
        <w:t>招标人</w:t>
      </w:r>
      <w:r>
        <w:rPr>
          <w:rFonts w:ascii="宋体" w:hAnsi="宋体" w:eastAsia="宋体" w:cs="Times New Roman"/>
          <w:color w:val="auto"/>
          <w:kern w:val="0"/>
          <w:szCs w:val="21"/>
        </w:rPr>
        <w:t>有权</w:t>
      </w:r>
      <w:r>
        <w:rPr>
          <w:rFonts w:hint="eastAsia" w:ascii="宋体" w:hAnsi="宋体" w:eastAsia="宋体" w:cs="Times New Roman"/>
          <w:color w:val="auto"/>
          <w:kern w:val="0"/>
          <w:szCs w:val="21"/>
        </w:rPr>
        <w:t>在不可撤销银行履约保函或履约保证保险或担保公司履约担保书到期前</w:t>
      </w:r>
      <w:r>
        <w:rPr>
          <w:rFonts w:ascii="宋体" w:hAnsi="宋体" w:eastAsia="宋体" w:cs="Times New Roman"/>
          <w:color w:val="auto"/>
          <w:kern w:val="0"/>
          <w:szCs w:val="21"/>
        </w:rPr>
        <w:t>向出具履约</w:t>
      </w:r>
      <w:r>
        <w:rPr>
          <w:rFonts w:hint="eastAsia" w:ascii="宋体" w:hAnsi="宋体" w:eastAsia="宋体" w:cs="Times New Roman"/>
          <w:color w:val="auto"/>
          <w:kern w:val="0"/>
          <w:szCs w:val="21"/>
        </w:rPr>
        <w:t>担保的机构</w:t>
      </w:r>
      <w:r>
        <w:rPr>
          <w:rFonts w:ascii="宋体" w:hAnsi="宋体" w:eastAsia="宋体" w:cs="Times New Roman"/>
          <w:color w:val="auto"/>
          <w:kern w:val="0"/>
          <w:szCs w:val="21"/>
        </w:rPr>
        <w:t>提取履约</w:t>
      </w:r>
      <w:r>
        <w:rPr>
          <w:rFonts w:hint="eastAsia" w:ascii="宋体" w:hAnsi="宋体" w:eastAsia="宋体" w:cs="Times New Roman"/>
          <w:color w:val="auto"/>
          <w:kern w:val="0"/>
          <w:szCs w:val="21"/>
        </w:rPr>
        <w:t>担保</w:t>
      </w:r>
      <w:r>
        <w:rPr>
          <w:rFonts w:ascii="宋体" w:hAnsi="宋体" w:eastAsia="宋体" w:cs="Times New Roman"/>
          <w:color w:val="auto"/>
          <w:kern w:val="0"/>
          <w:szCs w:val="21"/>
        </w:rPr>
        <w:t>金。</w:t>
      </w:r>
      <w:r>
        <w:rPr>
          <w:rFonts w:hint="eastAsia" w:ascii="宋体" w:hAnsi="宋体" w:eastAsia="宋体" w:cs="Times New Roman"/>
          <w:color w:val="auto"/>
          <w:kern w:val="0"/>
          <w:szCs w:val="21"/>
        </w:rPr>
        <w:t>在不可撤销银行履约保函（或履约保证保险或担保公司履约担保书）到期后中标</w:t>
      </w:r>
      <w:r>
        <w:rPr>
          <w:rFonts w:ascii="宋体" w:hAnsi="宋体" w:eastAsia="宋体" w:cs="Times New Roman"/>
          <w:color w:val="auto"/>
          <w:kern w:val="0"/>
          <w:szCs w:val="21"/>
        </w:rPr>
        <w:t>人</w:t>
      </w:r>
      <w:r>
        <w:rPr>
          <w:rFonts w:hint="eastAsia" w:ascii="宋体" w:hAnsi="宋体" w:eastAsia="宋体" w:cs="Times New Roman"/>
          <w:color w:val="auto"/>
          <w:kern w:val="0"/>
          <w:szCs w:val="21"/>
        </w:rPr>
        <w:t>未按</w:t>
      </w:r>
      <w:r>
        <w:rPr>
          <w:rFonts w:hint="eastAsia" w:ascii="宋体" w:hAnsi="宋体" w:eastAsia="宋体" w:cs="Times New Roman"/>
          <w:color w:val="auto"/>
          <w:kern w:val="0"/>
          <w:szCs w:val="21"/>
          <w:lang w:eastAsia="zh-CN"/>
        </w:rPr>
        <w:t>招标人</w:t>
      </w:r>
      <w:r>
        <w:rPr>
          <w:rFonts w:hint="eastAsia" w:ascii="宋体" w:hAnsi="宋体" w:eastAsia="宋体" w:cs="Times New Roman"/>
          <w:color w:val="auto"/>
          <w:kern w:val="0"/>
          <w:szCs w:val="21"/>
        </w:rPr>
        <w:t>要求重新提供的，</w:t>
      </w:r>
      <w:r>
        <w:rPr>
          <w:rFonts w:hint="eastAsia" w:ascii="宋体" w:hAnsi="宋体" w:eastAsia="宋体" w:cs="Times New Roman"/>
          <w:color w:val="auto"/>
          <w:kern w:val="0"/>
          <w:szCs w:val="21"/>
          <w:lang w:eastAsia="zh-CN"/>
        </w:rPr>
        <w:t>招标人</w:t>
      </w:r>
      <w:r>
        <w:rPr>
          <w:rFonts w:hint="eastAsia" w:ascii="宋体" w:hAnsi="宋体" w:eastAsia="宋体" w:cs="Times New Roman"/>
          <w:color w:val="auto"/>
          <w:kern w:val="0"/>
          <w:szCs w:val="21"/>
        </w:rPr>
        <w:t>有权要求中标</w:t>
      </w:r>
      <w:r>
        <w:rPr>
          <w:rFonts w:ascii="宋体" w:hAnsi="宋体" w:eastAsia="宋体" w:cs="Times New Roman"/>
          <w:color w:val="auto"/>
          <w:kern w:val="0"/>
          <w:szCs w:val="21"/>
        </w:rPr>
        <w:t>人</w:t>
      </w:r>
      <w:r>
        <w:rPr>
          <w:rFonts w:hint="eastAsia" w:ascii="宋体" w:hAnsi="宋体" w:eastAsia="宋体" w:cs="Times New Roman"/>
          <w:color w:val="auto"/>
          <w:kern w:val="0"/>
          <w:szCs w:val="21"/>
        </w:rPr>
        <w:t>以履约担保金额为限承担违约金，违约金可直接从未付采购合同费用中扣除</w:t>
      </w:r>
      <w:r>
        <w:rPr>
          <w:rFonts w:ascii="宋体" w:hAnsi="宋体" w:eastAsia="宋体" w:cs="Times New Roman"/>
          <w:color w:val="auto"/>
          <w:kern w:val="0"/>
          <w:szCs w:val="21"/>
        </w:rPr>
        <w:t>。</w:t>
      </w:r>
    </w:p>
    <w:p w14:paraId="5D14629E">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rPr>
      </w:pPr>
      <w:r>
        <w:rPr>
          <w:rFonts w:hint="eastAsia" w:ascii="宋体" w:hAnsi="宋体" w:eastAsia="宋体" w:cs="Times New Roman"/>
          <w:color w:val="auto"/>
          <w:kern w:val="0"/>
          <w:szCs w:val="21"/>
        </w:rPr>
        <w:t>（</w:t>
      </w:r>
      <w:r>
        <w:rPr>
          <w:rFonts w:ascii="宋体" w:hAnsi="宋体" w:eastAsia="宋体" w:cs="Times New Roman"/>
          <w:color w:val="auto"/>
          <w:kern w:val="0"/>
          <w:szCs w:val="21"/>
        </w:rPr>
        <w:t>5</w:t>
      </w:r>
      <w:r>
        <w:rPr>
          <w:rFonts w:hint="eastAsia" w:ascii="宋体" w:hAnsi="宋体" w:eastAsia="宋体" w:cs="Times New Roman"/>
          <w:color w:val="auto"/>
          <w:kern w:val="0"/>
          <w:szCs w:val="21"/>
        </w:rPr>
        <w:t>）在合同履行过程中，不论何种原因导致履约担保金数额不符合招标文件要求的，中标人应当在</w:t>
      </w:r>
      <w:r>
        <w:rPr>
          <w:rFonts w:ascii="宋体" w:hAnsi="宋体" w:eastAsia="宋体" w:cs="Times New Roman"/>
          <w:color w:val="auto"/>
          <w:kern w:val="0"/>
          <w:szCs w:val="21"/>
        </w:rPr>
        <w:t>5日内予以补足。逾期不予补足的，</w:t>
      </w:r>
      <w:r>
        <w:rPr>
          <w:rFonts w:hint="eastAsia" w:ascii="宋体" w:hAnsi="宋体" w:eastAsia="宋体" w:cs="Times New Roman"/>
          <w:color w:val="auto"/>
          <w:kern w:val="0"/>
          <w:szCs w:val="21"/>
          <w:lang w:eastAsia="zh-CN"/>
        </w:rPr>
        <w:t>招标人</w:t>
      </w:r>
      <w:r>
        <w:rPr>
          <w:rFonts w:hint="eastAsia" w:ascii="宋体" w:hAnsi="宋体" w:eastAsia="宋体" w:cs="Times New Roman"/>
          <w:color w:val="auto"/>
          <w:kern w:val="0"/>
          <w:szCs w:val="21"/>
        </w:rPr>
        <w:t>有权按需补足的金额要求中标人承担违约金，并要求限期补足。如中标人仍不补足的，</w:t>
      </w:r>
      <w:r>
        <w:rPr>
          <w:rFonts w:hint="eastAsia" w:ascii="宋体" w:hAnsi="宋体" w:eastAsia="宋体" w:cs="Times New Roman"/>
          <w:color w:val="auto"/>
          <w:kern w:val="0"/>
          <w:szCs w:val="21"/>
          <w:lang w:eastAsia="zh-CN"/>
        </w:rPr>
        <w:t>招标人（含招标人的下属公司）</w:t>
      </w:r>
      <w:r>
        <w:rPr>
          <w:rFonts w:hint="eastAsia" w:ascii="宋体" w:hAnsi="宋体" w:eastAsia="宋体" w:cs="Times New Roman"/>
          <w:color w:val="auto"/>
          <w:kern w:val="0"/>
          <w:szCs w:val="21"/>
        </w:rPr>
        <w:t>有权单方解除合同，违约金可直接从未付合同款或履约担保中扣除。</w:t>
      </w:r>
    </w:p>
    <w:p w14:paraId="2F08B674">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宋体"/>
          <w:color w:val="auto"/>
          <w:kern w:val="0"/>
          <w:szCs w:val="21"/>
        </w:rPr>
      </w:pPr>
      <w:r>
        <w:rPr>
          <w:rFonts w:hint="eastAsia" w:ascii="宋体" w:hAnsi="宋体" w:eastAsia="宋体" w:cs="宋体"/>
          <w:color w:val="auto"/>
          <w:kern w:val="0"/>
          <w:szCs w:val="21"/>
        </w:rPr>
        <w:t>（6）不可撤销银行履约保函（或履约保证保险或担保公司履约担保书）应从合同签订之日起至合同期限届满并全部货物经最终验收合格、招标人向中标人支付全部货款后二十八（28）日内保持有效</w:t>
      </w:r>
      <w:r>
        <w:rPr>
          <w:rFonts w:hint="eastAsia" w:ascii="宋体" w:hAnsi="宋体" w:eastAsia="宋体" w:cs="Times New Roman"/>
          <w:color w:val="auto"/>
          <w:kern w:val="0"/>
          <w:szCs w:val="21"/>
        </w:rPr>
        <w:t>。</w:t>
      </w:r>
    </w:p>
    <w:p w14:paraId="0892AFC0">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rPr>
      </w:pPr>
      <w:r>
        <w:rPr>
          <w:rFonts w:hint="eastAsia" w:ascii="宋体" w:hAnsi="宋体" w:eastAsia="宋体" w:cs="宋体"/>
          <w:color w:val="auto"/>
          <w:kern w:val="0"/>
          <w:szCs w:val="21"/>
        </w:rPr>
        <w:t>35.4  履约保证金应用本合同货币。</w:t>
      </w:r>
    </w:p>
    <w:p w14:paraId="6F7FD6CB">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rPr>
      </w:pPr>
      <w:r>
        <w:rPr>
          <w:rFonts w:hint="eastAsia" w:ascii="宋体" w:hAnsi="宋体" w:eastAsia="宋体" w:cs="宋体"/>
          <w:color w:val="auto"/>
          <w:kern w:val="0"/>
          <w:szCs w:val="21"/>
        </w:rPr>
        <w:t>35.5  中标人</w:t>
      </w:r>
      <w:r>
        <w:rPr>
          <w:rFonts w:ascii="宋体" w:hAnsi="宋体" w:eastAsia="宋体" w:cs="Times New Roman"/>
          <w:color w:val="auto"/>
          <w:kern w:val="0"/>
          <w:szCs w:val="21"/>
        </w:rPr>
        <w:t>也可以按招标文件约定的额度和时间，向</w:t>
      </w:r>
      <w:r>
        <w:rPr>
          <w:rFonts w:hint="eastAsia" w:ascii="宋体" w:hAnsi="宋体" w:eastAsia="宋体" w:cs="Times New Roman"/>
          <w:color w:val="auto"/>
          <w:kern w:val="0"/>
          <w:szCs w:val="21"/>
          <w:lang w:eastAsia="zh-CN"/>
        </w:rPr>
        <w:t>招标人</w:t>
      </w:r>
      <w:r>
        <w:rPr>
          <w:rFonts w:ascii="宋体" w:hAnsi="宋体" w:eastAsia="宋体" w:cs="Times New Roman"/>
          <w:color w:val="auto"/>
          <w:kern w:val="0"/>
          <w:szCs w:val="21"/>
        </w:rPr>
        <w:t>交纳同等数额的履约保证金作为履约担保。如中标人提交的履约保证金是其分支机构以转账形式转入的，要提交</w:t>
      </w:r>
      <w:r>
        <w:rPr>
          <w:rFonts w:hint="eastAsia" w:ascii="宋体" w:hAnsi="宋体" w:eastAsia="宋体" w:cs="Times New Roman"/>
          <w:color w:val="auto"/>
          <w:kern w:val="0"/>
          <w:szCs w:val="21"/>
        </w:rPr>
        <w:t>中标</w:t>
      </w:r>
      <w:r>
        <w:rPr>
          <w:rFonts w:ascii="宋体" w:hAnsi="宋体" w:eastAsia="宋体" w:cs="Times New Roman"/>
          <w:color w:val="auto"/>
          <w:kern w:val="0"/>
          <w:szCs w:val="21"/>
        </w:rPr>
        <w:t>人的法人书面授权，不接受由私人账户和其它单位转入的保证金</w:t>
      </w:r>
      <w:r>
        <w:rPr>
          <w:rFonts w:hint="eastAsia" w:ascii="宋体" w:hAnsi="宋体" w:eastAsia="宋体" w:cs="Times New Roman"/>
          <w:color w:val="auto"/>
          <w:kern w:val="0"/>
          <w:szCs w:val="21"/>
        </w:rPr>
        <w:t>，也不接受现金形式提交</w:t>
      </w:r>
      <w:r>
        <w:rPr>
          <w:rFonts w:ascii="宋体" w:hAnsi="宋体" w:eastAsia="宋体" w:cs="Times New Roman"/>
          <w:color w:val="auto"/>
          <w:kern w:val="0"/>
          <w:szCs w:val="21"/>
        </w:rPr>
        <w:t>。履约保证金应以存入</w:t>
      </w:r>
      <w:r>
        <w:rPr>
          <w:rFonts w:hint="eastAsia" w:ascii="宋体" w:hAnsi="宋体" w:eastAsia="宋体" w:cs="Times New Roman"/>
          <w:color w:val="auto"/>
          <w:kern w:val="0"/>
          <w:szCs w:val="21"/>
          <w:lang w:eastAsia="zh-CN"/>
        </w:rPr>
        <w:t>招标人</w:t>
      </w:r>
      <w:r>
        <w:rPr>
          <w:rFonts w:ascii="宋体" w:hAnsi="宋体" w:eastAsia="宋体" w:cs="Times New Roman"/>
          <w:color w:val="auto"/>
          <w:kern w:val="0"/>
          <w:szCs w:val="21"/>
        </w:rPr>
        <w:t>指定的</w:t>
      </w:r>
      <w:r>
        <w:rPr>
          <w:rFonts w:hint="eastAsia" w:ascii="宋体" w:hAnsi="宋体" w:eastAsia="宋体" w:cs="Times New Roman"/>
          <w:color w:val="auto"/>
          <w:kern w:val="0"/>
          <w:szCs w:val="21"/>
        </w:rPr>
        <w:t>以下</w:t>
      </w:r>
      <w:r>
        <w:rPr>
          <w:rFonts w:ascii="宋体" w:hAnsi="宋体" w:eastAsia="宋体" w:cs="Times New Roman"/>
          <w:color w:val="auto"/>
          <w:kern w:val="0"/>
          <w:szCs w:val="21"/>
        </w:rPr>
        <w:t>银行账户为准</w:t>
      </w:r>
      <w:r>
        <w:rPr>
          <w:rFonts w:hint="eastAsia" w:ascii="宋体" w:hAnsi="宋体" w:eastAsia="宋体" w:cs="宋体"/>
          <w:color w:val="auto"/>
          <w:kern w:val="0"/>
          <w:szCs w:val="21"/>
        </w:rPr>
        <w:t>。</w:t>
      </w:r>
    </w:p>
    <w:p w14:paraId="4BC59A98">
      <w:pPr>
        <w:tabs>
          <w:tab w:val="left" w:pos="360"/>
          <w:tab w:val="left" w:pos="4725"/>
        </w:tabs>
        <w:autoSpaceDE w:val="0"/>
        <w:autoSpaceDN w:val="0"/>
        <w:adjustRightInd w:val="0"/>
        <w:spacing w:line="360" w:lineRule="auto"/>
        <w:ind w:left="-320" w:firstLine="632" w:firstLineChars="300"/>
        <w:jc w:val="left"/>
        <w:rPr>
          <w:rFonts w:ascii="宋体" w:hAnsi="宋体" w:eastAsia="宋体" w:cs="宋体"/>
          <w:b/>
          <w:color w:val="auto"/>
          <w:kern w:val="0"/>
          <w:szCs w:val="21"/>
        </w:rPr>
      </w:pPr>
      <w:r>
        <w:rPr>
          <w:rFonts w:hint="eastAsia" w:ascii="宋体" w:hAnsi="宋体" w:eastAsia="宋体" w:cs="宋体"/>
          <w:b/>
          <w:color w:val="auto"/>
          <w:kern w:val="0"/>
          <w:szCs w:val="21"/>
        </w:rPr>
        <w:t>东莞市水务集团有限公司履约保证金账户：</w:t>
      </w:r>
      <w:r>
        <w:rPr>
          <w:rFonts w:hint="eastAsia" w:ascii="宋体" w:hAnsi="宋体" w:eastAsia="宋体" w:cs="宋体"/>
          <w:b/>
          <w:color w:val="auto"/>
          <w:kern w:val="0"/>
          <w:szCs w:val="21"/>
          <w:u w:val="single"/>
        </w:rPr>
        <w:t>（特别提醒，本账户非投标保证金账户）</w:t>
      </w:r>
    </w:p>
    <w:p w14:paraId="459EECFF">
      <w:pPr>
        <w:autoSpaceDE w:val="0"/>
        <w:autoSpaceDN w:val="0"/>
        <w:adjustRightInd w:val="0"/>
        <w:snapToGrid w:val="0"/>
        <w:spacing w:line="360" w:lineRule="auto"/>
        <w:ind w:left="-320" w:firstLine="632" w:firstLineChars="300"/>
        <w:jc w:val="left"/>
        <w:rPr>
          <w:rFonts w:ascii="宋体" w:hAnsi="宋体" w:eastAsia="宋体" w:cs="Times New Roman"/>
          <w:b/>
          <w:color w:val="auto"/>
          <w:kern w:val="0"/>
          <w:szCs w:val="21"/>
        </w:rPr>
      </w:pPr>
      <w:r>
        <w:rPr>
          <w:rFonts w:hint="eastAsia" w:ascii="宋体" w:hAnsi="宋体" w:eastAsia="宋体" w:cs="Times New Roman"/>
          <w:b/>
          <w:color w:val="auto"/>
          <w:kern w:val="0"/>
          <w:szCs w:val="21"/>
        </w:rPr>
        <w:t>开户名称：东莞市水务集团有限公司</w:t>
      </w:r>
    </w:p>
    <w:p w14:paraId="393098EF">
      <w:pPr>
        <w:autoSpaceDE w:val="0"/>
        <w:autoSpaceDN w:val="0"/>
        <w:adjustRightInd w:val="0"/>
        <w:snapToGrid w:val="0"/>
        <w:spacing w:line="360" w:lineRule="auto"/>
        <w:ind w:left="-320" w:firstLine="632" w:firstLineChars="300"/>
        <w:jc w:val="left"/>
        <w:rPr>
          <w:rFonts w:ascii="宋体" w:hAnsi="宋体" w:eastAsia="宋体" w:cs="Times New Roman"/>
          <w:b/>
          <w:color w:val="auto"/>
          <w:kern w:val="0"/>
          <w:szCs w:val="21"/>
        </w:rPr>
      </w:pPr>
      <w:r>
        <w:rPr>
          <w:rFonts w:hint="eastAsia" w:ascii="宋体" w:hAnsi="宋体" w:eastAsia="宋体" w:cs="Times New Roman"/>
          <w:b/>
          <w:color w:val="auto"/>
          <w:kern w:val="0"/>
          <w:szCs w:val="21"/>
        </w:rPr>
        <w:t xml:space="preserve">银行账号：2010 0213 0920 0288 889 </w:t>
      </w:r>
    </w:p>
    <w:p w14:paraId="23A03081">
      <w:pPr>
        <w:autoSpaceDE w:val="0"/>
        <w:autoSpaceDN w:val="0"/>
        <w:adjustRightInd w:val="0"/>
        <w:snapToGrid w:val="0"/>
        <w:spacing w:line="360" w:lineRule="auto"/>
        <w:ind w:left="-320" w:firstLine="632" w:firstLineChars="300"/>
        <w:jc w:val="left"/>
        <w:rPr>
          <w:rFonts w:ascii="宋体" w:hAnsi="宋体" w:eastAsia="宋体" w:cs="Times New Roman"/>
          <w:b/>
          <w:color w:val="auto"/>
          <w:kern w:val="0"/>
          <w:szCs w:val="21"/>
        </w:rPr>
      </w:pPr>
      <w:r>
        <w:rPr>
          <w:rFonts w:hint="eastAsia" w:ascii="宋体" w:hAnsi="宋体" w:eastAsia="宋体" w:cs="Times New Roman"/>
          <w:b/>
          <w:color w:val="auto"/>
          <w:kern w:val="0"/>
          <w:szCs w:val="21"/>
        </w:rPr>
        <w:t>开户银行： 中国工商银行东莞分行</w:t>
      </w:r>
    </w:p>
    <w:p w14:paraId="1DB92335">
      <w:pPr>
        <w:autoSpaceDE w:val="0"/>
        <w:autoSpaceDN w:val="0"/>
        <w:adjustRightInd w:val="0"/>
        <w:spacing w:line="360" w:lineRule="auto"/>
        <w:ind w:left="420" w:leftChars="-100" w:hanging="630" w:hangingChars="300"/>
        <w:jc w:val="left"/>
        <w:rPr>
          <w:rFonts w:ascii="宋体" w:hAnsi="宋体" w:eastAsia="宋体" w:cs="宋体"/>
          <w:color w:val="auto"/>
          <w:kern w:val="0"/>
          <w:szCs w:val="21"/>
        </w:rPr>
      </w:pPr>
      <w:r>
        <w:rPr>
          <w:rFonts w:hint="eastAsia" w:ascii="宋体" w:hAnsi="宋体" w:eastAsia="宋体" w:cs="宋体"/>
          <w:color w:val="auto"/>
          <w:kern w:val="0"/>
          <w:szCs w:val="21"/>
        </w:rPr>
        <w:t>35.6</w:t>
      </w:r>
      <w:r>
        <w:rPr>
          <w:rFonts w:ascii="宋体" w:hAnsi="宋体" w:eastAsia="宋体" w:cs="宋体"/>
          <w:color w:val="auto"/>
          <w:kern w:val="0"/>
          <w:szCs w:val="21"/>
        </w:rPr>
        <w:t xml:space="preserve">  </w:t>
      </w:r>
      <w:r>
        <w:rPr>
          <w:rFonts w:hint="eastAsia" w:ascii="宋体" w:hAnsi="宋体" w:eastAsia="宋体" w:cs="宋体"/>
          <w:color w:val="auto"/>
          <w:kern w:val="0"/>
          <w:szCs w:val="21"/>
        </w:rPr>
        <w:t>中标人</w:t>
      </w:r>
      <w:r>
        <w:rPr>
          <w:rFonts w:hint="eastAsia" w:ascii="宋体" w:hAnsi="宋体" w:eastAsia="宋体" w:cs="Times New Roman"/>
          <w:color w:val="auto"/>
          <w:kern w:val="0"/>
          <w:szCs w:val="24"/>
        </w:rPr>
        <w:t>提交了履约担保后，当履约保证金转达</w:t>
      </w:r>
      <w:r>
        <w:rPr>
          <w:rFonts w:hint="eastAsia" w:ascii="宋体" w:hAnsi="宋体" w:eastAsia="宋体" w:cs="Times New Roman"/>
          <w:color w:val="auto"/>
          <w:kern w:val="0"/>
          <w:szCs w:val="24"/>
          <w:lang w:eastAsia="zh-CN"/>
        </w:rPr>
        <w:t>招标人</w:t>
      </w:r>
      <w:r>
        <w:rPr>
          <w:rFonts w:hint="eastAsia" w:ascii="宋体" w:hAnsi="宋体" w:eastAsia="宋体" w:cs="Times New Roman"/>
          <w:color w:val="auto"/>
          <w:kern w:val="0"/>
          <w:szCs w:val="24"/>
        </w:rPr>
        <w:t>履约保证金账户后，</w:t>
      </w:r>
      <w:r>
        <w:rPr>
          <w:rFonts w:hint="eastAsia" w:ascii="宋体" w:hAnsi="宋体" w:eastAsia="宋体" w:cs="Times New Roman"/>
          <w:color w:val="auto"/>
          <w:szCs w:val="21"/>
          <w:lang w:val="zh-CN"/>
        </w:rPr>
        <w:t>中标</w:t>
      </w:r>
      <w:r>
        <w:rPr>
          <w:rFonts w:hint="eastAsia" w:ascii="宋体" w:hAnsi="宋体" w:eastAsia="宋体" w:cs="Times New Roman"/>
          <w:color w:val="auto"/>
          <w:kern w:val="0"/>
          <w:szCs w:val="24"/>
        </w:rPr>
        <w:t>人将履约保证金的汇款凭证用A4纸复印件（</w:t>
      </w:r>
      <w:r>
        <w:rPr>
          <w:rFonts w:hint="eastAsia" w:ascii="宋体" w:hAnsi="宋体" w:eastAsia="宋体" w:cs="Times New Roman"/>
          <w:bCs/>
          <w:color w:val="auto"/>
          <w:kern w:val="0"/>
          <w:szCs w:val="24"/>
        </w:rPr>
        <w:t>注明</w:t>
      </w:r>
      <w:r>
        <w:rPr>
          <w:rFonts w:hint="eastAsia" w:ascii="宋体" w:hAnsi="宋体" w:eastAsia="宋体" w:cs="Times New Roman"/>
          <w:bCs/>
          <w:color w:val="auto"/>
          <w:szCs w:val="21"/>
          <w:lang w:val="zh-CN"/>
        </w:rPr>
        <w:t>招标</w:t>
      </w:r>
      <w:r>
        <w:rPr>
          <w:rFonts w:hint="eastAsia" w:ascii="宋体" w:hAnsi="宋体" w:eastAsia="宋体" w:cs="Times New Roman"/>
          <w:bCs/>
          <w:color w:val="auto"/>
          <w:kern w:val="0"/>
          <w:szCs w:val="24"/>
        </w:rPr>
        <w:t>编号</w:t>
      </w:r>
      <w:r>
        <w:rPr>
          <w:rFonts w:hint="eastAsia" w:ascii="宋体" w:hAnsi="宋体" w:eastAsia="宋体" w:cs="Times New Roman"/>
          <w:color w:val="auto"/>
          <w:kern w:val="0"/>
          <w:szCs w:val="24"/>
        </w:rPr>
        <w:t>）一式二份并加盖</w:t>
      </w:r>
      <w:r>
        <w:rPr>
          <w:rFonts w:hint="eastAsia" w:ascii="宋体" w:hAnsi="宋体" w:eastAsia="宋体" w:cs="Times New Roman"/>
          <w:color w:val="auto"/>
          <w:szCs w:val="21"/>
          <w:lang w:val="zh-CN"/>
        </w:rPr>
        <w:t>中标</w:t>
      </w:r>
      <w:r>
        <w:rPr>
          <w:rFonts w:hint="eastAsia" w:ascii="宋体" w:hAnsi="宋体" w:eastAsia="宋体" w:cs="Times New Roman"/>
          <w:color w:val="auto"/>
          <w:kern w:val="0"/>
          <w:szCs w:val="24"/>
        </w:rPr>
        <w:t>人的公章送招标代理机构，[或当中标人采取不可撤销银行履约保函（</w:t>
      </w:r>
      <w:r>
        <w:rPr>
          <w:rFonts w:hint="eastAsia" w:ascii="宋体" w:hAnsi="宋体" w:eastAsia="宋体" w:cs="Times New Roman"/>
          <w:color w:val="auto"/>
          <w:kern w:val="0"/>
          <w:szCs w:val="21"/>
        </w:rPr>
        <w:t>或履约保证保险</w:t>
      </w:r>
      <w:r>
        <w:rPr>
          <w:rFonts w:hint="eastAsia" w:ascii="宋体" w:hAnsi="宋体" w:eastAsia="宋体" w:cs="Times New Roman"/>
          <w:color w:val="auto"/>
          <w:kern w:val="0"/>
          <w:szCs w:val="24"/>
        </w:rPr>
        <w:t>或担保公司履约担保书）的方式缴纳履约担保时，中标人将不可撤销银行履约保函（</w:t>
      </w:r>
      <w:r>
        <w:rPr>
          <w:rFonts w:hint="eastAsia" w:ascii="宋体" w:hAnsi="宋体" w:eastAsia="宋体" w:cs="Times New Roman"/>
          <w:color w:val="auto"/>
          <w:kern w:val="0"/>
          <w:szCs w:val="21"/>
        </w:rPr>
        <w:t>或履约保证保险</w:t>
      </w:r>
      <w:r>
        <w:rPr>
          <w:rFonts w:hint="eastAsia" w:ascii="宋体" w:hAnsi="宋体" w:eastAsia="宋体" w:cs="Times New Roman"/>
          <w:color w:val="auto"/>
          <w:kern w:val="0"/>
          <w:szCs w:val="24"/>
        </w:rPr>
        <w:t>或担保公司履约担保书）原件</w:t>
      </w:r>
      <w:r>
        <w:rPr>
          <w:rFonts w:hint="eastAsia" w:ascii="宋体" w:hAnsi="宋体" w:eastAsia="宋体" w:cs="Times New Roman"/>
          <w:color w:val="auto"/>
          <w:szCs w:val="21"/>
          <w:lang w:val="zh-CN"/>
        </w:rPr>
        <w:t>交给招标人，由招标人在</w:t>
      </w:r>
      <w:r>
        <w:rPr>
          <w:rFonts w:hint="eastAsia" w:ascii="宋体" w:hAnsi="宋体" w:eastAsia="宋体" w:cs="Times New Roman"/>
          <w:color w:val="auto"/>
          <w:kern w:val="0"/>
          <w:szCs w:val="24"/>
        </w:rPr>
        <w:t>履约保函一式两份复印件上</w:t>
      </w:r>
      <w:r>
        <w:rPr>
          <w:rFonts w:hint="eastAsia" w:ascii="宋体" w:hAnsi="宋体" w:eastAsia="宋体" w:cs="Times New Roman"/>
          <w:color w:val="auto"/>
          <w:szCs w:val="21"/>
          <w:lang w:val="zh-CN"/>
        </w:rPr>
        <w:t>注明“原件已收”及签收人、日期后，中标人在每份复印件上</w:t>
      </w:r>
      <w:r>
        <w:rPr>
          <w:rFonts w:hint="eastAsia" w:ascii="宋体" w:hAnsi="宋体" w:eastAsia="宋体" w:cs="Times New Roman"/>
          <w:color w:val="auto"/>
          <w:kern w:val="0"/>
          <w:szCs w:val="24"/>
        </w:rPr>
        <w:t>加盖</w:t>
      </w:r>
      <w:r>
        <w:rPr>
          <w:rFonts w:hint="eastAsia" w:ascii="宋体" w:hAnsi="宋体" w:eastAsia="宋体" w:cs="Times New Roman"/>
          <w:color w:val="auto"/>
          <w:szCs w:val="21"/>
          <w:lang w:val="zh-CN"/>
        </w:rPr>
        <w:t>中标</w:t>
      </w:r>
      <w:r>
        <w:rPr>
          <w:rFonts w:hint="eastAsia" w:ascii="宋体" w:hAnsi="宋体" w:eastAsia="宋体" w:cs="Times New Roman"/>
          <w:color w:val="auto"/>
          <w:kern w:val="0"/>
          <w:szCs w:val="24"/>
        </w:rPr>
        <w:t>人的公章，送招标代理机构]</w:t>
      </w:r>
      <w:r>
        <w:rPr>
          <w:rFonts w:hint="eastAsia" w:ascii="宋体" w:hAnsi="宋体" w:eastAsia="宋体" w:cs="宋体"/>
          <w:color w:val="auto"/>
          <w:kern w:val="0"/>
          <w:szCs w:val="21"/>
        </w:rPr>
        <w:t>。</w:t>
      </w:r>
    </w:p>
    <w:p w14:paraId="3887D5B8">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4"/>
        </w:rPr>
      </w:pPr>
      <w:r>
        <w:rPr>
          <w:rFonts w:hint="eastAsia" w:ascii="宋体" w:hAnsi="宋体" w:eastAsia="宋体" w:cs="Times New Roman"/>
          <w:color w:val="auto"/>
          <w:kern w:val="0"/>
          <w:szCs w:val="24"/>
        </w:rPr>
        <w:t>35.7</w:t>
      </w:r>
      <w:r>
        <w:rPr>
          <w:rFonts w:ascii="宋体" w:hAnsi="宋体" w:eastAsia="宋体" w:cs="Times New Roman"/>
          <w:color w:val="auto"/>
          <w:kern w:val="0"/>
          <w:szCs w:val="24"/>
        </w:rPr>
        <w:t xml:space="preserve">  </w:t>
      </w:r>
      <w:r>
        <w:rPr>
          <w:rFonts w:hint="eastAsia" w:ascii="宋体" w:hAnsi="宋体" w:eastAsia="宋体" w:cs="宋体"/>
          <w:color w:val="auto"/>
          <w:kern w:val="0"/>
          <w:szCs w:val="21"/>
        </w:rPr>
        <w:t>中标人以履约保证金（银行转账形式）提供履约担保的在依法完成本项目的所有合同义务</w:t>
      </w:r>
      <w:r>
        <w:rPr>
          <w:rFonts w:ascii="宋体" w:hAnsi="宋体" w:eastAsia="宋体" w:cs="宋体"/>
          <w:color w:val="auto"/>
          <w:kern w:val="0"/>
          <w:szCs w:val="21"/>
        </w:rPr>
        <w:t>后</w:t>
      </w:r>
      <w:r>
        <w:rPr>
          <w:rFonts w:hint="eastAsia" w:ascii="宋体" w:hAnsi="宋体" w:eastAsia="宋体" w:cs="宋体"/>
          <w:color w:val="auto"/>
          <w:kern w:val="0"/>
          <w:szCs w:val="21"/>
        </w:rPr>
        <w:t>，经</w:t>
      </w:r>
      <w:r>
        <w:rPr>
          <w:rFonts w:hint="eastAsia" w:ascii="宋体" w:hAnsi="宋体" w:eastAsia="宋体" w:cs="宋体"/>
          <w:color w:val="auto"/>
          <w:kern w:val="0"/>
          <w:szCs w:val="21"/>
          <w:lang w:eastAsia="zh-CN"/>
        </w:rPr>
        <w:t>招标人</w:t>
      </w:r>
      <w:r>
        <w:rPr>
          <w:rFonts w:hint="eastAsia" w:ascii="宋体" w:hAnsi="宋体" w:eastAsia="宋体" w:cs="宋体"/>
          <w:color w:val="auto"/>
          <w:kern w:val="0"/>
          <w:szCs w:val="21"/>
        </w:rPr>
        <w:t>确认，中标人可向</w:t>
      </w:r>
      <w:r>
        <w:rPr>
          <w:rFonts w:hint="eastAsia" w:ascii="宋体" w:hAnsi="宋体" w:eastAsia="宋体" w:cs="宋体"/>
          <w:color w:val="auto"/>
          <w:kern w:val="0"/>
          <w:szCs w:val="21"/>
          <w:lang w:eastAsia="zh-CN"/>
        </w:rPr>
        <w:t>招标人</w:t>
      </w:r>
      <w:r>
        <w:rPr>
          <w:rFonts w:hint="eastAsia" w:ascii="宋体" w:hAnsi="宋体" w:eastAsia="宋体" w:cs="宋体"/>
          <w:color w:val="auto"/>
          <w:kern w:val="0"/>
          <w:szCs w:val="21"/>
        </w:rPr>
        <w:t>提交退回履约担保的申请。</w:t>
      </w:r>
      <w:r>
        <w:rPr>
          <w:rFonts w:hint="eastAsia" w:ascii="宋体" w:hAnsi="宋体" w:eastAsia="宋体" w:cs="宋体"/>
          <w:color w:val="auto"/>
          <w:kern w:val="0"/>
          <w:szCs w:val="21"/>
          <w:lang w:eastAsia="zh-CN"/>
        </w:rPr>
        <w:t>招标人</w:t>
      </w:r>
      <w:r>
        <w:rPr>
          <w:rFonts w:hint="eastAsia" w:ascii="宋体" w:hAnsi="宋体" w:eastAsia="宋体" w:cs="宋体"/>
          <w:color w:val="auto"/>
          <w:kern w:val="0"/>
          <w:szCs w:val="21"/>
        </w:rPr>
        <w:t>审核无异议后，办理履约担保退还手续，退回时一律以银行转账的形式无息退回到中标人的账户。</w:t>
      </w:r>
    </w:p>
    <w:p w14:paraId="384DB65B">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rPr>
      </w:pPr>
    </w:p>
    <w:p w14:paraId="6617F1A1">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lang w:val="zh-CN"/>
        </w:rPr>
      </w:pPr>
      <w:bookmarkStart w:id="333" w:name="_Toc13033"/>
      <w:bookmarkStart w:id="334" w:name="_Toc173182298"/>
      <w:bookmarkStart w:id="335" w:name="_Toc486167702"/>
      <w:bookmarkStart w:id="336" w:name="_Toc142508353"/>
      <w:bookmarkStart w:id="337" w:name="_Toc8262"/>
      <w:r>
        <w:rPr>
          <w:rFonts w:hint="eastAsia" w:ascii="宋体" w:hAnsi="宋体" w:eastAsia="宋体" w:cs="宋体"/>
          <w:color w:val="auto"/>
          <w:szCs w:val="21"/>
        </w:rPr>
        <w:t>36</w:t>
      </w:r>
      <w:r>
        <w:rPr>
          <w:rFonts w:hint="eastAsia" w:ascii="宋体" w:hAnsi="宋体" w:eastAsia="宋体" w:cs="宋体"/>
          <w:color w:val="auto"/>
          <w:szCs w:val="21"/>
          <w:lang w:val="zh-CN"/>
        </w:rPr>
        <w:t xml:space="preserve"> 在合同履行中变更采购范围的权利</w:t>
      </w:r>
      <w:bookmarkEnd w:id="331"/>
      <w:bookmarkEnd w:id="332"/>
      <w:bookmarkEnd w:id="333"/>
      <w:bookmarkEnd w:id="334"/>
      <w:bookmarkEnd w:id="335"/>
      <w:bookmarkEnd w:id="336"/>
      <w:bookmarkEnd w:id="337"/>
    </w:p>
    <w:p w14:paraId="6C1C6CAB">
      <w:pPr>
        <w:autoSpaceDE w:val="0"/>
        <w:autoSpaceDN w:val="0"/>
        <w:adjustRightInd w:val="0"/>
        <w:spacing w:line="360" w:lineRule="auto"/>
        <w:ind w:left="328" w:leftChars="-114" w:hanging="567" w:hangingChars="270"/>
        <w:jc w:val="left"/>
        <w:rPr>
          <w:rFonts w:ascii="宋体" w:hAnsi="宋体" w:eastAsia="宋体" w:cs="宋体"/>
          <w:color w:val="auto"/>
          <w:kern w:val="0"/>
          <w:szCs w:val="21"/>
        </w:rPr>
      </w:pPr>
      <w:r>
        <w:rPr>
          <w:rFonts w:hint="eastAsia" w:ascii="宋体" w:hAnsi="宋体" w:eastAsia="宋体" w:cs="宋体"/>
          <w:color w:val="auto"/>
          <w:kern w:val="0"/>
          <w:szCs w:val="21"/>
        </w:rPr>
        <w:t>36.1</w:t>
      </w:r>
      <w:r>
        <w:rPr>
          <w:rFonts w:ascii="宋体" w:hAnsi="宋体" w:eastAsia="宋体" w:cs="宋体"/>
          <w:color w:val="auto"/>
          <w:kern w:val="0"/>
          <w:szCs w:val="21"/>
        </w:rPr>
        <w:t xml:space="preserve"> </w:t>
      </w:r>
      <w:r>
        <w:rPr>
          <w:rFonts w:hint="eastAsia" w:ascii="宋体" w:hAnsi="宋体" w:eastAsia="宋体" w:cs="宋体"/>
          <w:color w:val="auto"/>
          <w:kern w:val="0"/>
          <w:szCs w:val="21"/>
        </w:rPr>
        <w:t>合同履行中</w:t>
      </w:r>
      <w:r>
        <w:rPr>
          <w:rFonts w:ascii="宋体" w:hAnsi="宋体" w:eastAsia="宋体" w:cs="宋体"/>
          <w:color w:val="auto"/>
          <w:kern w:val="0"/>
          <w:szCs w:val="21"/>
        </w:rPr>
        <w:t>，</w:t>
      </w:r>
      <w:r>
        <w:rPr>
          <w:rFonts w:hint="eastAsia" w:ascii="宋体" w:hAnsi="宋体" w:eastAsia="宋体" w:cs="宋体"/>
          <w:color w:val="auto"/>
          <w:kern w:val="0"/>
          <w:szCs w:val="21"/>
          <w:lang w:eastAsia="zh-CN"/>
        </w:rPr>
        <w:t>招标人（或招标人的下属公司）</w:t>
      </w:r>
      <w:r>
        <w:rPr>
          <w:rFonts w:hint="eastAsia" w:ascii="宋体" w:hAnsi="宋体" w:eastAsia="宋体" w:cs="宋体"/>
          <w:color w:val="auto"/>
          <w:kern w:val="0"/>
          <w:szCs w:val="21"/>
        </w:rPr>
        <w:t>在合同约定的范围内，</w:t>
      </w:r>
      <w:r>
        <w:rPr>
          <w:rFonts w:hint="eastAsia" w:ascii="宋体" w:hAnsi="宋体" w:eastAsia="宋体" w:cs="宋体"/>
          <w:color w:val="auto"/>
          <w:kern w:val="0"/>
          <w:szCs w:val="21"/>
          <w:lang w:eastAsia="zh-CN"/>
        </w:rPr>
        <w:t>招标人（或招标人的下属公司）</w:t>
      </w:r>
      <w:r>
        <w:rPr>
          <w:rFonts w:hint="eastAsia" w:ascii="宋体" w:hAnsi="宋体" w:eastAsia="宋体" w:cs="宋体"/>
          <w:color w:val="auto"/>
          <w:kern w:val="0"/>
          <w:szCs w:val="21"/>
        </w:rPr>
        <w:t>有权根据项目实际情况及有关法律法规、政策的规定对采购范围进行变更调整，变更采购范围后，投标人应遵照执行。</w:t>
      </w:r>
    </w:p>
    <w:p w14:paraId="58B1860C">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lang w:val="zh-CN"/>
        </w:rPr>
      </w:pPr>
      <w:bookmarkStart w:id="338" w:name="_Toc450662888"/>
    </w:p>
    <w:p w14:paraId="2EF9F2D4">
      <w:pPr>
        <w:tabs>
          <w:tab w:val="left" w:pos="465"/>
        </w:tabs>
        <w:autoSpaceDE w:val="0"/>
        <w:autoSpaceDN w:val="0"/>
        <w:adjustRightInd w:val="0"/>
        <w:spacing w:line="360" w:lineRule="auto"/>
        <w:ind w:left="357" w:leftChars="-100" w:hanging="567"/>
        <w:jc w:val="left"/>
        <w:outlineLvl w:val="2"/>
        <w:rPr>
          <w:rFonts w:ascii="宋体" w:hAnsi="宋体" w:eastAsia="宋体" w:cs="宋体"/>
          <w:color w:val="auto"/>
          <w:szCs w:val="21"/>
          <w:lang w:val="zh-CN"/>
        </w:rPr>
      </w:pPr>
      <w:bookmarkStart w:id="339" w:name="_Toc28921_WPSOffice_Level3"/>
      <w:bookmarkStart w:id="340" w:name="_Toc486167703"/>
      <w:bookmarkStart w:id="341" w:name="_Toc14372"/>
      <w:bookmarkStart w:id="342" w:name="_Toc142508354"/>
      <w:bookmarkStart w:id="343" w:name="_Toc173182299"/>
      <w:bookmarkStart w:id="344" w:name="_Toc14866"/>
      <w:r>
        <w:rPr>
          <w:rFonts w:hint="eastAsia" w:ascii="宋体" w:hAnsi="宋体" w:eastAsia="宋体" w:cs="宋体"/>
          <w:color w:val="auto"/>
          <w:szCs w:val="21"/>
        </w:rPr>
        <w:t>37</w:t>
      </w:r>
      <w:r>
        <w:rPr>
          <w:rFonts w:ascii="宋体" w:hAnsi="宋体" w:eastAsia="宋体" w:cs="宋体"/>
          <w:color w:val="auto"/>
          <w:szCs w:val="21"/>
          <w:lang w:val="zh-CN"/>
        </w:rPr>
        <w:t xml:space="preserve"> </w:t>
      </w:r>
      <w:r>
        <w:rPr>
          <w:rFonts w:hint="eastAsia" w:ascii="宋体" w:hAnsi="宋体" w:eastAsia="宋体" w:cs="宋体"/>
          <w:color w:val="auto"/>
          <w:szCs w:val="21"/>
          <w:lang w:val="zh-CN"/>
        </w:rPr>
        <w:t>中标服务费</w:t>
      </w:r>
      <w:bookmarkEnd w:id="338"/>
      <w:bookmarkEnd w:id="339"/>
      <w:bookmarkEnd w:id="340"/>
      <w:bookmarkEnd w:id="341"/>
      <w:bookmarkEnd w:id="342"/>
      <w:bookmarkEnd w:id="343"/>
      <w:bookmarkEnd w:id="344"/>
    </w:p>
    <w:p w14:paraId="7CD2995F">
      <w:pPr>
        <w:autoSpaceDE w:val="0"/>
        <w:autoSpaceDN w:val="0"/>
        <w:adjustRightInd w:val="0"/>
        <w:spacing w:line="360" w:lineRule="auto"/>
        <w:ind w:left="357" w:leftChars="-100" w:hanging="567" w:hangingChars="270"/>
        <w:jc w:val="left"/>
        <w:rPr>
          <w:rFonts w:ascii="宋体" w:hAnsi="宋体" w:eastAsia="宋体" w:cs="宋体"/>
          <w:color w:val="auto"/>
          <w:kern w:val="0"/>
          <w:szCs w:val="21"/>
        </w:rPr>
      </w:pPr>
      <w:r>
        <w:rPr>
          <w:rFonts w:hint="eastAsia" w:ascii="宋体" w:hAnsi="宋体" w:eastAsia="宋体" w:cs="宋体"/>
          <w:color w:val="auto"/>
          <w:szCs w:val="21"/>
          <w:lang w:val="zh-CN"/>
        </w:rPr>
        <w:t>37.1 本项目中标服务费由招标人向招标代理机构支付。</w:t>
      </w:r>
    </w:p>
    <w:p w14:paraId="134E2C57">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lang w:val="zh-CN"/>
        </w:rPr>
      </w:pPr>
      <w:bookmarkStart w:id="345" w:name="_Toc450662889"/>
    </w:p>
    <w:p w14:paraId="506310A8">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lang w:val="zh-CN"/>
        </w:rPr>
      </w:pPr>
      <w:bookmarkStart w:id="346" w:name="_Toc26292"/>
      <w:bookmarkStart w:id="347" w:name="_Toc173182300"/>
      <w:bookmarkStart w:id="348" w:name="_Toc142508355"/>
      <w:bookmarkStart w:id="349" w:name="_Toc6764_WPSOffice_Level3"/>
      <w:bookmarkStart w:id="350" w:name="_Toc486167704"/>
      <w:bookmarkStart w:id="351" w:name="_Toc12915"/>
      <w:r>
        <w:rPr>
          <w:rFonts w:hint="eastAsia" w:ascii="宋体" w:hAnsi="宋体" w:eastAsia="宋体" w:cs="宋体"/>
          <w:color w:val="auto"/>
          <w:szCs w:val="21"/>
        </w:rPr>
        <w:t>38</w:t>
      </w:r>
      <w:r>
        <w:rPr>
          <w:rFonts w:hint="eastAsia" w:ascii="宋体" w:hAnsi="宋体" w:eastAsia="宋体" w:cs="宋体"/>
          <w:color w:val="auto"/>
          <w:szCs w:val="21"/>
          <w:lang w:val="zh-CN"/>
        </w:rPr>
        <w:t xml:space="preserve"> 发票</w:t>
      </w:r>
      <w:bookmarkEnd w:id="345"/>
      <w:bookmarkEnd w:id="346"/>
      <w:bookmarkEnd w:id="347"/>
      <w:bookmarkEnd w:id="348"/>
      <w:bookmarkEnd w:id="349"/>
      <w:bookmarkEnd w:id="350"/>
      <w:bookmarkEnd w:id="351"/>
    </w:p>
    <w:p w14:paraId="41741D5C">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lang w:val="zh-CN"/>
        </w:rPr>
      </w:pPr>
      <w:r>
        <w:rPr>
          <w:rFonts w:hint="eastAsia" w:ascii="宋体" w:hAnsi="宋体" w:eastAsia="宋体" w:cs="宋体"/>
          <w:color w:val="auto"/>
          <w:szCs w:val="21"/>
        </w:rPr>
        <w:t>38</w:t>
      </w:r>
      <w:r>
        <w:rPr>
          <w:rFonts w:hint="eastAsia" w:ascii="宋体" w:hAnsi="宋体" w:eastAsia="宋体" w:cs="宋体"/>
          <w:color w:val="auto"/>
          <w:szCs w:val="21"/>
          <w:lang w:val="zh-CN"/>
        </w:rPr>
        <w:t>.1</w:t>
      </w:r>
      <w:r>
        <w:rPr>
          <w:rFonts w:hint="eastAsia" w:ascii="宋体" w:hAnsi="宋体" w:eastAsia="宋体" w:cs="Times New Roman"/>
          <w:color w:val="auto"/>
          <w:szCs w:val="21"/>
          <w:lang w:val="zh-CN"/>
        </w:rPr>
        <w:t>该项目获得中标的中标人在执行合同过程中，向招标人（或招标人的下属公司）出具的发票必须是由中标人开具，不得以其他单位或个人名义出具，本项目中标人向招标人（或招标人的下属公司）出具的发票类型为增值税专用发票或普通发票。</w:t>
      </w:r>
      <w:bookmarkStart w:id="352" w:name="_Toc486167705"/>
      <w:bookmarkStart w:id="353" w:name="_Toc31106_WPSOffice_Level3"/>
    </w:p>
    <w:p w14:paraId="05E9C369">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rPr>
      </w:pPr>
    </w:p>
    <w:p w14:paraId="28BE8113">
      <w:pPr>
        <w:tabs>
          <w:tab w:val="left" w:pos="360"/>
        </w:tabs>
        <w:autoSpaceDE w:val="0"/>
        <w:autoSpaceDN w:val="0"/>
        <w:adjustRightInd w:val="0"/>
        <w:spacing w:line="360" w:lineRule="auto"/>
        <w:ind w:left="357" w:leftChars="-100" w:hanging="567"/>
        <w:jc w:val="left"/>
        <w:outlineLvl w:val="2"/>
        <w:rPr>
          <w:rFonts w:ascii="宋体" w:hAnsi="宋体" w:eastAsia="宋体" w:cs="宋体"/>
          <w:b/>
          <w:color w:val="auto"/>
          <w:szCs w:val="21"/>
        </w:rPr>
      </w:pPr>
      <w:bookmarkStart w:id="354" w:name="_Toc142508356"/>
      <w:bookmarkStart w:id="355" w:name="_Toc173182301"/>
      <w:bookmarkStart w:id="356" w:name="_Toc16304"/>
      <w:bookmarkStart w:id="357" w:name="_Toc22772"/>
      <w:r>
        <w:rPr>
          <w:rFonts w:ascii="宋体" w:hAnsi="宋体" w:eastAsia="宋体" w:cs="宋体"/>
          <w:b/>
          <w:color w:val="auto"/>
          <w:szCs w:val="21"/>
        </w:rPr>
        <w:t>39 招标相关补充约定</w:t>
      </w:r>
      <w:bookmarkEnd w:id="354"/>
      <w:bookmarkEnd w:id="355"/>
      <w:bookmarkEnd w:id="356"/>
      <w:bookmarkEnd w:id="357"/>
    </w:p>
    <w:p w14:paraId="7512C6CF">
      <w:pPr>
        <w:autoSpaceDE w:val="0"/>
        <w:autoSpaceDN w:val="0"/>
        <w:adjustRightInd w:val="0"/>
        <w:snapToGrid w:val="0"/>
        <w:spacing w:line="360" w:lineRule="auto"/>
        <w:ind w:left="317" w:leftChars="-100" w:hanging="527" w:hangingChars="250"/>
        <w:jc w:val="left"/>
        <w:rPr>
          <w:rFonts w:ascii="宋体" w:hAnsi="宋体" w:eastAsia="宋体" w:cs="Times New Roman"/>
          <w:b/>
          <w:color w:val="auto"/>
          <w:szCs w:val="21"/>
        </w:rPr>
      </w:pPr>
      <w:r>
        <w:rPr>
          <w:rFonts w:ascii="宋体" w:hAnsi="宋体" w:eastAsia="宋体" w:cs="Times New Roman"/>
          <w:b/>
          <w:color w:val="auto"/>
          <w:szCs w:val="21"/>
        </w:rPr>
        <w:t>39.1</w:t>
      </w:r>
      <w:r>
        <w:rPr>
          <w:rFonts w:ascii="宋体" w:hAnsi="宋体" w:eastAsia="宋体" w:cs="Times New Roman"/>
          <w:b/>
          <w:color w:val="auto"/>
          <w:szCs w:val="21"/>
        </w:rPr>
        <w:tab/>
      </w:r>
      <w:r>
        <w:rPr>
          <w:rFonts w:ascii="宋体" w:hAnsi="宋体" w:eastAsia="宋体" w:cs="Times New Roman"/>
          <w:b/>
          <w:color w:val="auto"/>
          <w:szCs w:val="21"/>
        </w:rPr>
        <w:t>本项目投标人须知第2条所述行政处罚信息，以开标</w:t>
      </w:r>
      <w:r>
        <w:rPr>
          <w:rFonts w:hint="eastAsia" w:ascii="宋体" w:hAnsi="宋体" w:eastAsia="宋体" w:cs="Times New Roman"/>
          <w:b/>
          <w:color w:val="auto"/>
          <w:szCs w:val="21"/>
        </w:rPr>
        <w:t>当天</w:t>
      </w:r>
      <w:r>
        <w:rPr>
          <w:rFonts w:ascii="宋体" w:hAnsi="宋体" w:eastAsia="宋体" w:cs="Times New Roman"/>
          <w:b/>
          <w:color w:val="auto"/>
          <w:szCs w:val="21"/>
        </w:rPr>
        <w:t>在“信用中国”网站（www.creditchina.gov.cn）查询结果为准</w:t>
      </w:r>
      <w:r>
        <w:rPr>
          <w:rFonts w:hint="eastAsia" w:ascii="宋体" w:hAnsi="宋体" w:eastAsia="宋体" w:cs="Times New Roman"/>
          <w:b/>
          <w:color w:val="auto"/>
          <w:szCs w:val="21"/>
        </w:rPr>
        <w:t>，或以司法、仲裁机构等出具的生效文件予以认定,时间以认定文件的落款时间为准</w:t>
      </w:r>
      <w:r>
        <w:rPr>
          <w:rFonts w:ascii="宋体" w:hAnsi="宋体" w:eastAsia="宋体" w:cs="Times New Roman"/>
          <w:b/>
          <w:color w:val="auto"/>
          <w:szCs w:val="21"/>
        </w:rPr>
        <w:t>。开标结束后，有关投标单位的行政处罚信息，以</w:t>
      </w:r>
      <w:r>
        <w:rPr>
          <w:rFonts w:hint="eastAsia" w:ascii="宋体" w:hAnsi="宋体" w:eastAsia="宋体" w:cs="Times New Roman"/>
          <w:b/>
          <w:color w:val="auto"/>
          <w:szCs w:val="21"/>
        </w:rPr>
        <w:t>开标当天查询</w:t>
      </w:r>
      <w:r>
        <w:rPr>
          <w:rFonts w:ascii="宋体" w:hAnsi="宋体" w:eastAsia="宋体" w:cs="Times New Roman"/>
          <w:b/>
          <w:color w:val="auto"/>
          <w:szCs w:val="21"/>
        </w:rPr>
        <w:t>结果为准；结果公示期间，如投标人对有关投标单位的行政处罚信息存在异议，但不涉及第一中标候选人的，视为对中标结果没有造成实质影响。</w:t>
      </w:r>
    </w:p>
    <w:p w14:paraId="79E7D4A2">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rPr>
      </w:pPr>
    </w:p>
    <w:p w14:paraId="7851443E">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rPr>
      </w:pPr>
      <w:bookmarkStart w:id="358" w:name="_Toc26725"/>
      <w:bookmarkStart w:id="359" w:name="_Toc173182302"/>
      <w:bookmarkStart w:id="360" w:name="_Toc142508357"/>
      <w:bookmarkStart w:id="361" w:name="_Toc21426"/>
      <w:r>
        <w:rPr>
          <w:rFonts w:ascii="宋体" w:hAnsi="宋体" w:eastAsia="宋体" w:cs="宋体"/>
          <w:color w:val="auto"/>
          <w:szCs w:val="21"/>
        </w:rPr>
        <w:t>40</w:t>
      </w:r>
      <w:r>
        <w:rPr>
          <w:rFonts w:hint="eastAsia" w:ascii="宋体" w:hAnsi="宋体" w:eastAsia="宋体" w:cs="宋体"/>
          <w:color w:val="auto"/>
          <w:szCs w:val="21"/>
        </w:rPr>
        <w:t xml:space="preserve"> 本次招标活动的最终解释权归招标代理机构及招标人所有。</w:t>
      </w:r>
      <w:bookmarkEnd w:id="352"/>
      <w:bookmarkEnd w:id="353"/>
      <w:bookmarkEnd w:id="358"/>
      <w:bookmarkEnd w:id="359"/>
      <w:bookmarkEnd w:id="360"/>
      <w:bookmarkEnd w:id="361"/>
    </w:p>
    <w:p w14:paraId="42111AA0">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kern w:val="44"/>
          <w:sz w:val="32"/>
          <w:szCs w:val="32"/>
          <w:lang w:val="zh-CN"/>
        </w:rPr>
      </w:pPr>
      <w:bookmarkStart w:id="362" w:name="_Toc28218"/>
      <w:bookmarkStart w:id="363" w:name="_Toc486167706"/>
      <w:bookmarkStart w:id="364" w:name="_Toc27939_WPSOffice_Level1"/>
      <w:bookmarkStart w:id="365" w:name="_Toc450662891"/>
      <w:bookmarkStart w:id="366" w:name="_Toc173182303"/>
      <w:bookmarkStart w:id="367" w:name="_Toc142508358"/>
      <w:bookmarkStart w:id="368" w:name="_Toc298"/>
      <w:r>
        <w:rPr>
          <w:rFonts w:hint="eastAsia" w:ascii="宋体" w:hAnsi="宋体" w:eastAsia="宋体" w:cs="宋体"/>
          <w:b/>
          <w:bCs/>
          <w:color w:val="auto"/>
          <w:kern w:val="44"/>
          <w:sz w:val="32"/>
          <w:szCs w:val="32"/>
          <w:lang w:val="zh-CN"/>
        </w:rPr>
        <w:t>第三篇</w:t>
      </w:r>
      <w:r>
        <w:rPr>
          <w:rFonts w:ascii="宋体" w:hAnsi="宋体" w:eastAsia="宋体" w:cs="宋体"/>
          <w:b/>
          <w:bCs/>
          <w:color w:val="auto"/>
          <w:kern w:val="44"/>
          <w:sz w:val="32"/>
          <w:szCs w:val="32"/>
          <w:lang w:val="zh-CN"/>
        </w:rPr>
        <w:t xml:space="preserve"> </w:t>
      </w:r>
      <w:r>
        <w:rPr>
          <w:rFonts w:hint="eastAsia" w:ascii="宋体" w:hAnsi="宋体" w:eastAsia="宋体" w:cs="宋体"/>
          <w:b/>
          <w:bCs/>
          <w:color w:val="auto"/>
          <w:kern w:val="44"/>
          <w:sz w:val="32"/>
          <w:szCs w:val="32"/>
          <w:lang w:val="zh-CN"/>
        </w:rPr>
        <w:t>用户需求书</w:t>
      </w:r>
      <w:bookmarkEnd w:id="362"/>
      <w:bookmarkEnd w:id="363"/>
      <w:bookmarkEnd w:id="364"/>
      <w:bookmarkEnd w:id="365"/>
      <w:bookmarkEnd w:id="366"/>
      <w:bookmarkEnd w:id="367"/>
      <w:bookmarkEnd w:id="368"/>
    </w:p>
    <w:p w14:paraId="7B1F3DE3">
      <w:pPr>
        <w:spacing w:line="200" w:lineRule="exact"/>
        <w:rPr>
          <w:rFonts w:ascii="宋体" w:hAnsi="宋体" w:eastAsia="宋体" w:cs="宋体"/>
          <w:b/>
          <w:color w:val="auto"/>
          <w:szCs w:val="21"/>
        </w:rPr>
      </w:pPr>
      <w:bookmarkStart w:id="369" w:name="_Hlk84595886"/>
      <w:bookmarkStart w:id="370" w:name="_Toc486167707"/>
      <w:bookmarkStart w:id="371" w:name="_Toc11281_WPSOffice_Level1"/>
      <w:bookmarkStart w:id="372" w:name="_Toc142508359"/>
      <w:bookmarkStart w:id="373" w:name="_Toc19477"/>
      <w:bookmarkStart w:id="374" w:name="_Toc450662892"/>
    </w:p>
    <w:p w14:paraId="330A84BB">
      <w:pPr>
        <w:spacing w:line="360" w:lineRule="auto"/>
        <w:rPr>
          <w:rFonts w:ascii="宋体" w:hAnsi="宋体" w:eastAsia="宋体" w:cs="宋体"/>
          <w:b/>
          <w:color w:val="auto"/>
          <w:szCs w:val="21"/>
        </w:rPr>
      </w:pPr>
      <w:r>
        <w:rPr>
          <w:rFonts w:hint="eastAsia" w:ascii="宋体" w:hAnsi="宋体" w:eastAsia="宋体" w:cs="宋体"/>
          <w:b/>
          <w:color w:val="auto"/>
          <w:szCs w:val="21"/>
        </w:rPr>
        <w:t>一、项目信息</w:t>
      </w:r>
    </w:p>
    <w:p w14:paraId="32FACE18">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招标人：东莞市水务集团有限公司</w:t>
      </w:r>
    </w:p>
    <w:p w14:paraId="4A93DE7F">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项目名称：</w:t>
      </w:r>
      <w:r>
        <w:rPr>
          <w:rFonts w:hint="eastAsia" w:ascii="宋体" w:hAnsi="宋体" w:eastAsia="宋体" w:cs="宋体"/>
          <w:color w:val="auto"/>
          <w:szCs w:val="21"/>
          <w:lang w:val="zh-CN"/>
        </w:rPr>
        <w:t>东莞市水务集团有限公司2025年安全及劳保物资采购项目</w:t>
      </w:r>
    </w:p>
    <w:p w14:paraId="2282E21E">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本次招标用于采购东莞市水务集团有限公司及其</w:t>
      </w:r>
      <w:r>
        <w:rPr>
          <w:rFonts w:hint="eastAsia" w:ascii="宋体" w:hAnsi="宋体" w:eastAsia="宋体" w:cs="宋体"/>
          <w:color w:val="auto"/>
          <w:szCs w:val="21"/>
          <w:lang w:eastAsia="zh-CN"/>
        </w:rPr>
        <w:t>下属公司</w:t>
      </w:r>
      <w:r>
        <w:rPr>
          <w:rFonts w:hint="eastAsia" w:ascii="宋体" w:hAnsi="宋体" w:eastAsia="宋体" w:cs="宋体"/>
          <w:color w:val="auto"/>
          <w:szCs w:val="21"/>
        </w:rPr>
        <w:t>所需的日常的安全及劳保物资。</w:t>
      </w:r>
    </w:p>
    <w:p w14:paraId="60FA5D82">
      <w:pPr>
        <w:spacing w:line="360" w:lineRule="auto"/>
        <w:rPr>
          <w:rFonts w:ascii="宋体" w:hAnsi="宋体" w:eastAsia="宋体" w:cs="宋体"/>
          <w:b/>
          <w:color w:val="auto"/>
          <w:szCs w:val="21"/>
        </w:rPr>
      </w:pPr>
    </w:p>
    <w:p w14:paraId="731BCDF1">
      <w:pPr>
        <w:spacing w:line="360" w:lineRule="auto"/>
        <w:rPr>
          <w:rFonts w:ascii="宋体" w:hAnsi="宋体" w:eastAsia="宋体" w:cs="宋体"/>
          <w:b/>
          <w:color w:val="auto"/>
          <w:szCs w:val="21"/>
        </w:rPr>
      </w:pPr>
      <w:r>
        <w:rPr>
          <w:rFonts w:hint="eastAsia" w:ascii="宋体" w:hAnsi="宋体" w:eastAsia="宋体" w:cs="宋体"/>
          <w:b/>
          <w:color w:val="auto"/>
          <w:szCs w:val="21"/>
        </w:rPr>
        <w:t>二、货物采购需求</w:t>
      </w:r>
    </w:p>
    <w:p w14:paraId="271E60BE">
      <w:pPr>
        <w:widowControl/>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（一）采购物资及用量：详见附件《</w:t>
      </w:r>
      <w:r>
        <w:rPr>
          <w:rFonts w:hint="eastAsia" w:ascii="宋体" w:hAnsi="宋体" w:eastAsia="宋体" w:cs="宋体"/>
          <w:color w:val="auto"/>
          <w:szCs w:val="21"/>
          <w:lang w:eastAsia="zh-CN"/>
        </w:rPr>
        <w:t>东莞市水务集团有限公司2025年安全及劳保物资采购项目</w:t>
      </w:r>
      <w:r>
        <w:rPr>
          <w:rFonts w:hint="eastAsia" w:ascii="宋体" w:hAnsi="宋体" w:eastAsia="宋体" w:cs="宋体"/>
          <w:color w:val="auto"/>
          <w:szCs w:val="21"/>
        </w:rPr>
        <w:t>采购清单》。</w:t>
      </w:r>
    </w:p>
    <w:p w14:paraId="1AF1F7F1">
      <w:pPr>
        <w:widowControl/>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二）本次采购数量为暂定数量仅为便于计算暂定合同价使用，不作为招标人（或招标人的下属公司）最终采购数量的保证。实际需求数量以招标人（或招标人的下属公司）具体供货通知为准，按实结算。综合单价不随数量的变化而增减。中标人不得因招标人（或招标人的下属公司）实际采购数量的减少或增加而要求提供任何形式的补偿或赔偿，或者要求招标人（或招标人的下属公司）按暂定数量采购相应货物。</w:t>
      </w:r>
      <w:r>
        <w:rPr>
          <w:rFonts w:hint="eastAsia" w:ascii="宋体" w:hAnsi="宋体" w:eastAsia="宋体" w:cs="宋体"/>
          <w:b/>
          <w:color w:val="auto"/>
          <w:szCs w:val="21"/>
        </w:rPr>
        <w:t>合同履约过程中，如招标人（或招标人的下属公司）有新增的自来水厂、片区驻点、污泥减量化、污水处理厂及提标项目等需要供货的，可按不含税中标综合单价与中标人签订补充协议</w:t>
      </w:r>
      <w:r>
        <w:rPr>
          <w:rFonts w:hint="eastAsia" w:ascii="宋体" w:hAnsi="宋体" w:eastAsia="宋体" w:cs="宋体"/>
          <w:color w:val="auto"/>
          <w:szCs w:val="21"/>
        </w:rPr>
        <w:t>。</w:t>
      </w:r>
    </w:p>
    <w:p w14:paraId="3D2B95D1">
      <w:pPr>
        <w:widowControl/>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（三）供货期：合同期为1年。供货期限满后，双方经友好协商一致之后，可在保持不含税中标综合单价不变的情况下，签订补充协议延长供货资格期限，延长的供货资格期限原则上不超过三个月。</w:t>
      </w:r>
    </w:p>
    <w:p w14:paraId="393939D5">
      <w:pPr>
        <w:spacing w:line="360" w:lineRule="auto"/>
        <w:rPr>
          <w:rFonts w:ascii="宋体" w:hAnsi="宋体" w:eastAsia="宋体" w:cs="宋体"/>
          <w:color w:val="auto"/>
          <w:szCs w:val="21"/>
        </w:rPr>
      </w:pPr>
    </w:p>
    <w:p w14:paraId="046CD779">
      <w:pPr>
        <w:spacing w:line="360" w:lineRule="auto"/>
        <w:rPr>
          <w:rFonts w:ascii="宋体" w:hAnsi="宋体" w:eastAsia="宋体" w:cs="宋体"/>
          <w:b/>
          <w:color w:val="auto"/>
          <w:szCs w:val="21"/>
        </w:rPr>
      </w:pPr>
      <w:r>
        <w:rPr>
          <w:rFonts w:hint="eastAsia" w:ascii="宋体" w:hAnsi="宋体" w:eastAsia="宋体" w:cs="宋体"/>
          <w:b/>
          <w:color w:val="auto"/>
          <w:szCs w:val="21"/>
        </w:rPr>
        <w:t>三、交货要求</w:t>
      </w:r>
    </w:p>
    <w:p w14:paraId="26EAC5BB">
      <w:pPr>
        <w:widowControl/>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（一）交货期：</w:t>
      </w:r>
    </w:p>
    <w:p w14:paraId="7769D997">
      <w:pPr>
        <w:widowControl/>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自接到招标人（或招标人的下属公司）供货通知之日起10个工作日内送达，配送形式如下：</w:t>
      </w:r>
    </w:p>
    <w:p w14:paraId="063A331F">
      <w:pPr>
        <w:widowControl/>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（1）月度</w:t>
      </w:r>
      <w:r>
        <w:rPr>
          <w:rFonts w:hint="eastAsia" w:ascii="宋体" w:hAnsi="宋体" w:eastAsia="宋体" w:cs="宋体"/>
          <w:color w:val="auto"/>
          <w:szCs w:val="21"/>
          <w:lang w:val="en-US" w:eastAsia="zh-CN"/>
        </w:rPr>
        <w:t>/季度</w:t>
      </w:r>
      <w:r>
        <w:rPr>
          <w:rFonts w:hint="eastAsia" w:ascii="宋体" w:hAnsi="宋体" w:eastAsia="宋体" w:cs="宋体"/>
          <w:color w:val="auto"/>
          <w:szCs w:val="21"/>
        </w:rPr>
        <w:t>配送。每月10号前或每季度首月10日</w:t>
      </w:r>
      <w:r>
        <w:rPr>
          <w:rFonts w:hint="eastAsia" w:ascii="宋体" w:hAnsi="宋体" w:eastAsia="宋体" w:cs="宋体"/>
          <w:color w:val="auto"/>
          <w:szCs w:val="21"/>
          <w:lang w:eastAsia="zh-CN"/>
        </w:rPr>
        <w:t>前，</w:t>
      </w:r>
      <w:r>
        <w:rPr>
          <w:rFonts w:hint="eastAsia" w:ascii="宋体" w:hAnsi="宋体" w:eastAsia="宋体" w:cs="宋体"/>
          <w:color w:val="auto"/>
          <w:szCs w:val="21"/>
        </w:rPr>
        <w:t>招标人（或招标人的下属公司）发出供货通知，自接到招标人（或招标人的下属公司）供货通知后，需在【10】个工作日内按招标人（或招标人的下属公司）该次发出供货清单送达并经招标人（或招标人的下属公司）验收合格，由双方签字确认。</w:t>
      </w:r>
    </w:p>
    <w:p w14:paraId="2C052D2E">
      <w:pPr>
        <w:widowControl/>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（2）临时配送。如遇临时紧急配送，自接到招标人（或招标人的下属公司）供货通知后，需在【</w:t>
      </w:r>
      <w:r>
        <w:rPr>
          <w:rFonts w:hint="eastAsia" w:ascii="宋体" w:hAnsi="宋体" w:eastAsia="宋体" w:cs="宋体"/>
          <w:color w:val="auto"/>
          <w:szCs w:val="21"/>
          <w:lang w:val="en-US" w:eastAsia="zh-CN"/>
        </w:rPr>
        <w:t>3</w:t>
      </w:r>
      <w:r>
        <w:rPr>
          <w:rFonts w:hint="eastAsia" w:ascii="宋体" w:hAnsi="宋体" w:eastAsia="宋体" w:cs="宋体"/>
          <w:color w:val="auto"/>
          <w:szCs w:val="21"/>
        </w:rPr>
        <w:t>】个工作日内按招标人（或招标人的下属公司）该次发出供货清单送达并经招标人（或招标人的下属公司）验收合格，由双方签字确认。</w:t>
      </w:r>
      <w:r>
        <w:rPr>
          <w:rFonts w:hint="eastAsia" w:ascii="宋体" w:hAnsi="宋体" w:eastAsia="宋体" w:cs="宋体"/>
          <w:b/>
          <w:color w:val="auto"/>
          <w:szCs w:val="21"/>
        </w:rPr>
        <w:t>每次配送的安全及劳保物资货款至少2000元及以上，或双方友好沟通确认。</w:t>
      </w:r>
    </w:p>
    <w:p w14:paraId="49C16D84">
      <w:pPr>
        <w:widowControl/>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（3）交货延期要求。出现货源不充足需要订购的</w:t>
      </w:r>
      <w:r>
        <w:rPr>
          <w:rFonts w:hint="eastAsia" w:ascii="宋体" w:hAnsi="宋体" w:eastAsia="宋体" w:cs="宋体"/>
          <w:b/>
          <w:color w:val="auto"/>
          <w:szCs w:val="21"/>
        </w:rPr>
        <w:t>安全及劳保</w:t>
      </w:r>
      <w:r>
        <w:rPr>
          <w:rFonts w:hint="eastAsia" w:ascii="宋体" w:hAnsi="宋体" w:eastAsia="宋体" w:cs="宋体"/>
          <w:color w:val="auto"/>
          <w:szCs w:val="21"/>
        </w:rPr>
        <w:t>物资，中标人需跟招标人（或招标人的下属公司）进行沟通并经</w:t>
      </w:r>
      <w:r>
        <w:rPr>
          <w:rFonts w:hint="eastAsia" w:ascii="宋体" w:hAnsi="宋体" w:eastAsia="宋体" w:cs="宋体"/>
          <w:color w:val="auto"/>
          <w:szCs w:val="21"/>
          <w:lang w:eastAsia="zh-CN"/>
        </w:rPr>
        <w:t>招标人（或招标人的下属公司）</w:t>
      </w:r>
      <w:r>
        <w:rPr>
          <w:rFonts w:hint="eastAsia" w:ascii="宋体" w:hAnsi="宋体" w:eastAsia="宋体" w:cs="宋体"/>
          <w:color w:val="auto"/>
          <w:szCs w:val="21"/>
        </w:rPr>
        <w:t>书面同意后，可延长交货期。</w:t>
      </w:r>
    </w:p>
    <w:p w14:paraId="3BBC3ACA">
      <w:pPr>
        <w:widowControl/>
        <w:spacing w:line="360" w:lineRule="auto"/>
        <w:ind w:firstLine="420" w:firstLineChars="200"/>
        <w:rPr>
          <w:rFonts w:ascii="宋体" w:hAnsi="宋体" w:eastAsia="宋体" w:cs="宋体"/>
          <w:color w:val="auto"/>
          <w:szCs w:val="21"/>
        </w:rPr>
      </w:pPr>
    </w:p>
    <w:p w14:paraId="6CB15AFF">
      <w:pPr>
        <w:widowControl/>
        <w:spacing w:line="360" w:lineRule="auto"/>
        <w:ind w:firstLine="210" w:firstLineChars="100"/>
        <w:rPr>
          <w:rFonts w:ascii="宋体" w:hAnsi="宋体" w:eastAsia="宋体" w:cs="宋体"/>
          <w:color w:val="auto"/>
          <w:szCs w:val="21"/>
        </w:rPr>
      </w:pPr>
      <w:r>
        <w:rPr>
          <w:rFonts w:hint="eastAsia" w:ascii="宋体" w:hAnsi="宋体" w:eastAsia="宋体" w:cs="宋体"/>
          <w:color w:val="auto"/>
          <w:szCs w:val="21"/>
        </w:rPr>
        <w:t>（二）交货地点（具体按各项目指定交货点为准）：</w:t>
      </w:r>
    </w:p>
    <w:p w14:paraId="461D5B5A">
      <w:pPr>
        <w:widowControl/>
        <w:spacing w:line="360" w:lineRule="auto"/>
        <w:ind w:firstLine="210" w:firstLineChars="100"/>
        <w:rPr>
          <w:rFonts w:ascii="宋体" w:hAnsi="宋体" w:eastAsia="宋体" w:cs="宋体"/>
          <w:color w:val="auto"/>
          <w:szCs w:val="21"/>
        </w:rPr>
      </w:pPr>
      <w:r>
        <w:rPr>
          <w:rFonts w:hint="eastAsia" w:ascii="宋体" w:hAnsi="宋体" w:eastAsia="宋体" w:cs="宋体"/>
          <w:color w:val="auto"/>
          <w:szCs w:val="21"/>
        </w:rPr>
        <w:t>1、供水公司供货点：</w:t>
      </w:r>
    </w:p>
    <w:tbl>
      <w:tblPr>
        <w:tblStyle w:val="45"/>
        <w:tblW w:w="8408" w:type="dxa"/>
        <w:jc w:val="center"/>
        <w:tblLayout w:type="fixed"/>
        <w:tblCellMar>
          <w:top w:w="0" w:type="dxa"/>
          <w:left w:w="108" w:type="dxa"/>
          <w:bottom w:w="0" w:type="dxa"/>
          <w:right w:w="108" w:type="dxa"/>
        </w:tblCellMar>
      </w:tblPr>
      <w:tblGrid>
        <w:gridCol w:w="718"/>
        <w:gridCol w:w="2340"/>
        <w:gridCol w:w="5350"/>
      </w:tblGrid>
      <w:tr w14:paraId="7EE5C027">
        <w:tblPrEx>
          <w:tblCellMar>
            <w:top w:w="0" w:type="dxa"/>
            <w:left w:w="108" w:type="dxa"/>
            <w:bottom w:w="0" w:type="dxa"/>
            <w:right w:w="108" w:type="dxa"/>
          </w:tblCellMar>
        </w:tblPrEx>
        <w:trPr>
          <w:trHeight w:val="23"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0386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color w:val="auto"/>
                <w:szCs w:val="21"/>
              </w:rPr>
            </w:pPr>
            <w:r>
              <w:rPr>
                <w:rFonts w:hint="eastAsia" w:ascii="宋体" w:hAnsi="宋体" w:eastAsia="宋体" w:cs="宋体"/>
                <w:b/>
                <w:bCs/>
                <w:color w:val="auto"/>
                <w:kern w:val="0"/>
                <w:szCs w:val="21"/>
                <w:lang w:bidi="ar"/>
              </w:rPr>
              <w:t>序号</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AD9F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color w:val="auto"/>
                <w:szCs w:val="21"/>
              </w:rPr>
            </w:pPr>
            <w:r>
              <w:rPr>
                <w:rFonts w:hint="eastAsia" w:ascii="宋体" w:hAnsi="宋体" w:eastAsia="宋体" w:cs="宋体"/>
                <w:b/>
                <w:bCs/>
                <w:color w:val="auto"/>
                <w:kern w:val="0"/>
                <w:szCs w:val="21"/>
                <w:lang w:bidi="ar"/>
              </w:rPr>
              <w:t>单位名称</w:t>
            </w:r>
          </w:p>
        </w:tc>
        <w:tc>
          <w:tcPr>
            <w:tcW w:w="5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395A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color w:val="auto"/>
                <w:szCs w:val="21"/>
              </w:rPr>
            </w:pPr>
            <w:r>
              <w:rPr>
                <w:rFonts w:hint="eastAsia" w:ascii="宋体" w:hAnsi="宋体" w:eastAsia="宋体" w:cs="宋体"/>
                <w:b/>
                <w:bCs/>
                <w:color w:val="auto"/>
                <w:kern w:val="0"/>
                <w:szCs w:val="21"/>
                <w:lang w:bidi="ar"/>
              </w:rPr>
              <w:t>交货地址</w:t>
            </w:r>
          </w:p>
        </w:tc>
      </w:tr>
      <w:tr w14:paraId="57D63D1C">
        <w:tblPrEx>
          <w:tblCellMar>
            <w:top w:w="0" w:type="dxa"/>
            <w:left w:w="108" w:type="dxa"/>
            <w:bottom w:w="0" w:type="dxa"/>
            <w:right w:w="108" w:type="dxa"/>
          </w:tblCellMar>
        </w:tblPrEx>
        <w:trPr>
          <w:trHeight w:val="23"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E419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kern w:val="0"/>
                <w:szCs w:val="21"/>
                <w:lang w:bidi="ar"/>
              </w:rPr>
              <w:t>1</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A14B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szCs w:val="21"/>
                <w:lang w:bidi="ar"/>
              </w:rPr>
              <w:t>供水公司</w:t>
            </w:r>
          </w:p>
        </w:tc>
        <w:tc>
          <w:tcPr>
            <w:tcW w:w="5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1993D">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Cs w:val="21"/>
              </w:rPr>
            </w:pPr>
            <w:r>
              <w:rPr>
                <w:rFonts w:hint="eastAsia" w:ascii="宋体" w:hAnsi="宋体" w:eastAsia="宋体" w:cs="宋体"/>
                <w:color w:val="auto"/>
                <w:kern w:val="0"/>
                <w:szCs w:val="21"/>
                <w:lang w:bidi="ar"/>
              </w:rPr>
              <w:t>东莞市莞城街道莞龙路141号</w:t>
            </w:r>
          </w:p>
        </w:tc>
      </w:tr>
      <w:tr w14:paraId="1732BF15">
        <w:tblPrEx>
          <w:tblCellMar>
            <w:top w:w="0" w:type="dxa"/>
            <w:left w:w="108" w:type="dxa"/>
            <w:bottom w:w="0" w:type="dxa"/>
            <w:right w:w="108" w:type="dxa"/>
          </w:tblCellMar>
        </w:tblPrEx>
        <w:trPr>
          <w:trHeight w:val="23"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FEAD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kern w:val="0"/>
                <w:szCs w:val="21"/>
                <w:lang w:bidi="ar"/>
              </w:rPr>
              <w:t>2</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0F73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szCs w:val="21"/>
                <w:lang w:bidi="ar"/>
              </w:rPr>
              <w:t>莞（南）城分公司</w:t>
            </w:r>
          </w:p>
        </w:tc>
        <w:tc>
          <w:tcPr>
            <w:tcW w:w="5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1FC29">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Cs w:val="21"/>
              </w:rPr>
            </w:pPr>
            <w:r>
              <w:rPr>
                <w:rFonts w:hint="eastAsia" w:ascii="宋体" w:hAnsi="宋体" w:eastAsia="宋体" w:cs="宋体"/>
                <w:color w:val="auto"/>
                <w:kern w:val="0"/>
                <w:szCs w:val="21"/>
                <w:lang w:bidi="ar"/>
              </w:rPr>
              <w:t>东莞市莞城街道元岭路76号</w:t>
            </w:r>
          </w:p>
        </w:tc>
      </w:tr>
      <w:tr w14:paraId="7009F265">
        <w:tblPrEx>
          <w:tblCellMar>
            <w:top w:w="0" w:type="dxa"/>
            <w:left w:w="108" w:type="dxa"/>
            <w:bottom w:w="0" w:type="dxa"/>
            <w:right w:w="108" w:type="dxa"/>
          </w:tblCellMar>
        </w:tblPrEx>
        <w:trPr>
          <w:trHeight w:val="23"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3017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kern w:val="0"/>
                <w:szCs w:val="21"/>
                <w:lang w:bidi="ar"/>
              </w:rPr>
              <w:t>3</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71B9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szCs w:val="21"/>
                <w:lang w:bidi="ar"/>
              </w:rPr>
              <w:t>松山湖分公司</w:t>
            </w:r>
          </w:p>
        </w:tc>
        <w:tc>
          <w:tcPr>
            <w:tcW w:w="5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74FB1">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Cs w:val="21"/>
              </w:rPr>
            </w:pPr>
            <w:r>
              <w:rPr>
                <w:rFonts w:hint="eastAsia" w:ascii="宋体" w:hAnsi="宋体" w:eastAsia="宋体" w:cs="宋体"/>
                <w:color w:val="auto"/>
                <w:kern w:val="0"/>
                <w:szCs w:val="21"/>
                <w:lang w:bidi="ar"/>
              </w:rPr>
              <w:t>东莞市松山湖园区红棉路玉华小区</w:t>
            </w:r>
          </w:p>
        </w:tc>
      </w:tr>
      <w:tr w14:paraId="56940CE1">
        <w:tblPrEx>
          <w:tblCellMar>
            <w:top w:w="0" w:type="dxa"/>
            <w:left w:w="108" w:type="dxa"/>
            <w:bottom w:w="0" w:type="dxa"/>
            <w:right w:w="108" w:type="dxa"/>
          </w:tblCellMar>
        </w:tblPrEx>
        <w:trPr>
          <w:trHeight w:val="23"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2532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kern w:val="0"/>
                <w:szCs w:val="21"/>
                <w:lang w:bidi="ar"/>
              </w:rPr>
              <w:t>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B9EC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szCs w:val="21"/>
                <w:lang w:bidi="ar"/>
              </w:rPr>
              <w:t>万江分公司</w:t>
            </w:r>
          </w:p>
        </w:tc>
        <w:tc>
          <w:tcPr>
            <w:tcW w:w="5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E0328">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Cs w:val="21"/>
              </w:rPr>
            </w:pPr>
            <w:r>
              <w:rPr>
                <w:rFonts w:hint="eastAsia" w:ascii="宋体" w:hAnsi="宋体" w:eastAsia="宋体" w:cs="宋体"/>
                <w:color w:val="auto"/>
                <w:kern w:val="0"/>
                <w:szCs w:val="21"/>
                <w:lang w:bidi="ar"/>
              </w:rPr>
              <w:t>东莞市万江街道万龙路191号</w:t>
            </w:r>
          </w:p>
        </w:tc>
      </w:tr>
      <w:tr w14:paraId="5DD67784">
        <w:tblPrEx>
          <w:tblCellMar>
            <w:top w:w="0" w:type="dxa"/>
            <w:left w:w="108" w:type="dxa"/>
            <w:bottom w:w="0" w:type="dxa"/>
            <w:right w:w="108" w:type="dxa"/>
          </w:tblCellMar>
        </w:tblPrEx>
        <w:trPr>
          <w:trHeight w:val="23" w:hRule="atLeast"/>
          <w:jc w:val="center"/>
        </w:trPr>
        <w:tc>
          <w:tcPr>
            <w:tcW w:w="718"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3AD906F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kern w:val="0"/>
                <w:szCs w:val="21"/>
                <w:lang w:bidi="ar"/>
              </w:rPr>
              <w:t>5</w:t>
            </w:r>
          </w:p>
        </w:tc>
        <w:tc>
          <w:tcPr>
            <w:tcW w:w="2340" w:type="dxa"/>
            <w:tcBorders>
              <w:top w:val="single" w:color="000000" w:sz="4" w:space="0"/>
              <w:left w:val="single" w:color="000000" w:sz="4" w:space="0"/>
              <w:bottom w:val="single" w:color="auto" w:sz="4" w:space="0"/>
              <w:right w:val="single" w:color="000000" w:sz="4" w:space="0"/>
            </w:tcBorders>
            <w:shd w:val="clear" w:color="auto" w:fill="auto"/>
            <w:vAlign w:val="center"/>
          </w:tcPr>
          <w:p w14:paraId="68F504E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szCs w:val="21"/>
                <w:lang w:bidi="ar"/>
              </w:rPr>
              <w:t>东城分公司</w:t>
            </w:r>
          </w:p>
        </w:tc>
        <w:tc>
          <w:tcPr>
            <w:tcW w:w="535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16601BA5">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Cs w:val="21"/>
              </w:rPr>
            </w:pPr>
            <w:r>
              <w:rPr>
                <w:rFonts w:hint="eastAsia" w:ascii="宋体" w:hAnsi="宋体" w:eastAsia="宋体" w:cs="宋体"/>
                <w:color w:val="auto"/>
                <w:kern w:val="0"/>
                <w:szCs w:val="21"/>
                <w:lang w:bidi="ar"/>
              </w:rPr>
              <w:t>东莞市东城街道下桥银岭街9号</w:t>
            </w:r>
          </w:p>
        </w:tc>
      </w:tr>
      <w:tr w14:paraId="1ECE71CA">
        <w:tblPrEx>
          <w:tblCellMar>
            <w:top w:w="0" w:type="dxa"/>
            <w:left w:w="108" w:type="dxa"/>
            <w:bottom w:w="0" w:type="dxa"/>
            <w:right w:w="108" w:type="dxa"/>
          </w:tblCellMar>
        </w:tblPrEx>
        <w:trPr>
          <w:trHeight w:val="23" w:hRule="atLeast"/>
          <w:jc w:val="center"/>
        </w:trPr>
        <w:tc>
          <w:tcPr>
            <w:tcW w:w="718" w:type="dxa"/>
            <w:tcBorders>
              <w:top w:val="single" w:color="auto" w:sz="4" w:space="0"/>
              <w:left w:val="single" w:color="auto" w:sz="4" w:space="0"/>
              <w:bottom w:val="single" w:color="auto" w:sz="4" w:space="0"/>
              <w:right w:val="single" w:color="000000" w:sz="4" w:space="0"/>
            </w:tcBorders>
            <w:shd w:val="clear" w:color="auto" w:fill="auto"/>
            <w:noWrap/>
            <w:vAlign w:val="center"/>
          </w:tcPr>
          <w:p w14:paraId="4075F3F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kern w:val="0"/>
                <w:szCs w:val="21"/>
                <w:lang w:bidi="ar"/>
              </w:rPr>
              <w:t>6</w:t>
            </w:r>
          </w:p>
        </w:tc>
        <w:tc>
          <w:tcPr>
            <w:tcW w:w="2340" w:type="dxa"/>
            <w:tcBorders>
              <w:top w:val="single" w:color="auto" w:sz="4" w:space="0"/>
              <w:left w:val="single" w:color="000000" w:sz="4" w:space="0"/>
              <w:bottom w:val="single" w:color="auto" w:sz="4" w:space="0"/>
              <w:right w:val="single" w:color="000000" w:sz="4" w:space="0"/>
            </w:tcBorders>
            <w:shd w:val="clear" w:color="auto" w:fill="auto"/>
            <w:vAlign w:val="center"/>
          </w:tcPr>
          <w:p w14:paraId="4C0CE59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szCs w:val="21"/>
                <w:lang w:bidi="ar"/>
              </w:rPr>
              <w:t>高埗分公司</w:t>
            </w:r>
          </w:p>
        </w:tc>
        <w:tc>
          <w:tcPr>
            <w:tcW w:w="5350" w:type="dxa"/>
            <w:tcBorders>
              <w:top w:val="single" w:color="auto" w:sz="4" w:space="0"/>
              <w:left w:val="single" w:color="000000" w:sz="4" w:space="0"/>
              <w:bottom w:val="single" w:color="auto" w:sz="4" w:space="0"/>
              <w:right w:val="single" w:color="auto" w:sz="4" w:space="0"/>
            </w:tcBorders>
            <w:shd w:val="clear" w:color="auto" w:fill="auto"/>
            <w:vAlign w:val="center"/>
          </w:tcPr>
          <w:p w14:paraId="090E9FA5">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Cs w:val="21"/>
              </w:rPr>
            </w:pPr>
            <w:r>
              <w:rPr>
                <w:rFonts w:hint="eastAsia" w:ascii="宋体" w:hAnsi="宋体" w:eastAsia="宋体" w:cs="宋体"/>
                <w:color w:val="auto"/>
                <w:kern w:val="0"/>
                <w:szCs w:val="21"/>
                <w:lang w:bidi="ar"/>
              </w:rPr>
              <w:t>东莞市高埗镇沿江南路48号</w:t>
            </w:r>
          </w:p>
        </w:tc>
      </w:tr>
      <w:tr w14:paraId="1E9FBCE7">
        <w:tblPrEx>
          <w:tblCellMar>
            <w:top w:w="0" w:type="dxa"/>
            <w:left w:w="108" w:type="dxa"/>
            <w:bottom w:w="0" w:type="dxa"/>
            <w:right w:w="108" w:type="dxa"/>
          </w:tblCellMar>
        </w:tblPrEx>
        <w:trPr>
          <w:trHeight w:val="23" w:hRule="atLeast"/>
          <w:jc w:val="center"/>
        </w:trPr>
        <w:tc>
          <w:tcPr>
            <w:tcW w:w="718"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1A8018F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kern w:val="0"/>
                <w:szCs w:val="21"/>
                <w:lang w:bidi="ar"/>
              </w:rPr>
              <w:t>7</w:t>
            </w:r>
          </w:p>
        </w:tc>
        <w:tc>
          <w:tcPr>
            <w:tcW w:w="2340" w:type="dxa"/>
            <w:tcBorders>
              <w:top w:val="single" w:color="auto" w:sz="4" w:space="0"/>
              <w:left w:val="single" w:color="000000" w:sz="4" w:space="0"/>
              <w:bottom w:val="single" w:color="000000" w:sz="4" w:space="0"/>
              <w:right w:val="single" w:color="000000" w:sz="4" w:space="0"/>
            </w:tcBorders>
            <w:shd w:val="clear" w:color="auto" w:fill="auto"/>
            <w:vAlign w:val="center"/>
          </w:tcPr>
          <w:p w14:paraId="0EEFB34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szCs w:val="21"/>
                <w:lang w:bidi="ar"/>
              </w:rPr>
              <w:t>道滘分公司</w:t>
            </w:r>
          </w:p>
        </w:tc>
        <w:tc>
          <w:tcPr>
            <w:tcW w:w="5350"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2C06921F">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Cs w:val="21"/>
              </w:rPr>
            </w:pPr>
            <w:r>
              <w:rPr>
                <w:rFonts w:hint="eastAsia" w:ascii="宋体" w:hAnsi="宋体" w:eastAsia="宋体" w:cs="宋体"/>
                <w:color w:val="auto"/>
                <w:kern w:val="0"/>
                <w:szCs w:val="21"/>
                <w:lang w:bidi="ar"/>
              </w:rPr>
              <w:t>东莞市道滘镇滨江西路121号101室</w:t>
            </w:r>
          </w:p>
        </w:tc>
      </w:tr>
      <w:tr w14:paraId="16120317">
        <w:tblPrEx>
          <w:tblCellMar>
            <w:top w:w="0" w:type="dxa"/>
            <w:left w:w="108" w:type="dxa"/>
            <w:bottom w:w="0" w:type="dxa"/>
            <w:right w:w="108" w:type="dxa"/>
          </w:tblCellMar>
        </w:tblPrEx>
        <w:trPr>
          <w:trHeight w:val="23"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957A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kern w:val="0"/>
                <w:szCs w:val="21"/>
                <w:lang w:bidi="ar"/>
              </w:rPr>
              <w:t>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0F92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szCs w:val="21"/>
                <w:lang w:bidi="ar"/>
              </w:rPr>
              <w:t>洪梅分公司</w:t>
            </w:r>
          </w:p>
        </w:tc>
        <w:tc>
          <w:tcPr>
            <w:tcW w:w="5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0DACA">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Cs w:val="21"/>
              </w:rPr>
            </w:pPr>
            <w:r>
              <w:rPr>
                <w:rFonts w:hint="eastAsia" w:ascii="宋体" w:hAnsi="宋体" w:eastAsia="宋体" w:cs="宋体"/>
                <w:color w:val="auto"/>
                <w:kern w:val="0"/>
                <w:szCs w:val="21"/>
                <w:lang w:bidi="ar"/>
              </w:rPr>
              <w:t>东莞市洪梅镇新兴街2号</w:t>
            </w:r>
          </w:p>
        </w:tc>
      </w:tr>
      <w:tr w14:paraId="2D916BBF">
        <w:tblPrEx>
          <w:tblCellMar>
            <w:top w:w="0" w:type="dxa"/>
            <w:left w:w="108" w:type="dxa"/>
            <w:bottom w:w="0" w:type="dxa"/>
            <w:right w:w="108" w:type="dxa"/>
          </w:tblCellMar>
        </w:tblPrEx>
        <w:trPr>
          <w:trHeight w:val="23"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3668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kern w:val="0"/>
                <w:szCs w:val="21"/>
                <w:lang w:bidi="ar"/>
              </w:rPr>
              <w:t>9</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CE91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szCs w:val="21"/>
                <w:lang w:bidi="ar"/>
              </w:rPr>
              <w:t>中堂分公司</w:t>
            </w:r>
          </w:p>
        </w:tc>
        <w:tc>
          <w:tcPr>
            <w:tcW w:w="5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A3559">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Cs w:val="21"/>
              </w:rPr>
            </w:pPr>
            <w:r>
              <w:rPr>
                <w:rFonts w:hint="eastAsia" w:ascii="宋体" w:hAnsi="宋体" w:eastAsia="宋体" w:cs="宋体"/>
                <w:color w:val="auto"/>
                <w:kern w:val="0"/>
                <w:szCs w:val="21"/>
                <w:lang w:bidi="ar"/>
              </w:rPr>
              <w:t>东莞市中堂镇滨江大道3号6栋</w:t>
            </w:r>
          </w:p>
        </w:tc>
      </w:tr>
      <w:tr w14:paraId="2F0E712F">
        <w:tblPrEx>
          <w:tblCellMar>
            <w:top w:w="0" w:type="dxa"/>
            <w:left w:w="108" w:type="dxa"/>
            <w:bottom w:w="0" w:type="dxa"/>
            <w:right w:w="108" w:type="dxa"/>
          </w:tblCellMar>
        </w:tblPrEx>
        <w:trPr>
          <w:trHeight w:val="23"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2C89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kern w:val="0"/>
                <w:szCs w:val="21"/>
                <w:lang w:bidi="ar"/>
              </w:rPr>
              <w:t>10</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555B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szCs w:val="21"/>
                <w:lang w:bidi="ar"/>
              </w:rPr>
              <w:t>麻涌分公司</w:t>
            </w:r>
          </w:p>
        </w:tc>
        <w:tc>
          <w:tcPr>
            <w:tcW w:w="5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7764B">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Cs w:val="21"/>
              </w:rPr>
            </w:pPr>
            <w:r>
              <w:rPr>
                <w:rFonts w:hint="eastAsia" w:ascii="宋体" w:hAnsi="宋体" w:eastAsia="宋体" w:cs="宋体"/>
                <w:color w:val="auto"/>
                <w:kern w:val="0"/>
                <w:szCs w:val="21"/>
                <w:lang w:bidi="ar"/>
              </w:rPr>
              <w:t>东莞市麻涌镇麻四金宝路2号101室</w:t>
            </w:r>
          </w:p>
        </w:tc>
      </w:tr>
      <w:tr w14:paraId="2E278EAA">
        <w:tblPrEx>
          <w:tblCellMar>
            <w:top w:w="0" w:type="dxa"/>
            <w:left w:w="108" w:type="dxa"/>
            <w:bottom w:w="0" w:type="dxa"/>
            <w:right w:w="108" w:type="dxa"/>
          </w:tblCellMar>
        </w:tblPrEx>
        <w:trPr>
          <w:trHeight w:val="23"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AFCD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kern w:val="0"/>
                <w:szCs w:val="21"/>
                <w:lang w:bidi="ar"/>
              </w:rPr>
              <w:t>11</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107A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szCs w:val="21"/>
                <w:lang w:bidi="ar"/>
              </w:rPr>
              <w:t>望牛墩分公司</w:t>
            </w:r>
          </w:p>
        </w:tc>
        <w:tc>
          <w:tcPr>
            <w:tcW w:w="5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B06DB">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Cs w:val="21"/>
              </w:rPr>
            </w:pPr>
            <w:r>
              <w:rPr>
                <w:rFonts w:hint="eastAsia" w:ascii="宋体" w:hAnsi="宋体" w:eastAsia="宋体" w:cs="宋体"/>
                <w:color w:val="auto"/>
                <w:kern w:val="0"/>
                <w:szCs w:val="21"/>
                <w:lang w:bidi="ar"/>
              </w:rPr>
              <w:t>东莞市望牛墩镇西富路1号</w:t>
            </w:r>
          </w:p>
        </w:tc>
      </w:tr>
      <w:tr w14:paraId="36414AE0">
        <w:tblPrEx>
          <w:tblCellMar>
            <w:top w:w="0" w:type="dxa"/>
            <w:left w:w="108" w:type="dxa"/>
            <w:bottom w:w="0" w:type="dxa"/>
            <w:right w:w="108" w:type="dxa"/>
          </w:tblCellMar>
        </w:tblPrEx>
        <w:trPr>
          <w:trHeight w:val="23"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461B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kern w:val="0"/>
                <w:szCs w:val="21"/>
                <w:lang w:bidi="ar"/>
              </w:rPr>
              <w:t>12</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563B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szCs w:val="21"/>
                <w:lang w:bidi="ar"/>
              </w:rPr>
              <w:t>虎门分公司</w:t>
            </w:r>
          </w:p>
        </w:tc>
        <w:tc>
          <w:tcPr>
            <w:tcW w:w="5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423B9">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Cs w:val="21"/>
              </w:rPr>
            </w:pPr>
            <w:r>
              <w:rPr>
                <w:rFonts w:hint="eastAsia" w:ascii="宋体" w:hAnsi="宋体" w:eastAsia="宋体" w:cs="宋体"/>
                <w:color w:val="auto"/>
                <w:kern w:val="0"/>
                <w:szCs w:val="21"/>
                <w:lang w:bidi="ar"/>
              </w:rPr>
              <w:t>东莞市虎门镇解放路水厂新村49号</w:t>
            </w:r>
          </w:p>
        </w:tc>
      </w:tr>
      <w:tr w14:paraId="5DFAD1C7">
        <w:tblPrEx>
          <w:tblCellMar>
            <w:top w:w="0" w:type="dxa"/>
            <w:left w:w="108" w:type="dxa"/>
            <w:bottom w:w="0" w:type="dxa"/>
            <w:right w:w="108" w:type="dxa"/>
          </w:tblCellMar>
        </w:tblPrEx>
        <w:trPr>
          <w:trHeight w:val="23"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E5DF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kern w:val="0"/>
                <w:szCs w:val="21"/>
                <w:lang w:bidi="ar"/>
              </w:rPr>
              <w:t>13</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9E4F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szCs w:val="21"/>
                <w:lang w:bidi="ar"/>
              </w:rPr>
              <w:t>长安分公司</w:t>
            </w:r>
          </w:p>
        </w:tc>
        <w:tc>
          <w:tcPr>
            <w:tcW w:w="5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0B5C1">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Cs w:val="21"/>
              </w:rPr>
            </w:pPr>
            <w:r>
              <w:rPr>
                <w:rFonts w:hint="eastAsia" w:ascii="宋体" w:hAnsi="宋体" w:eastAsia="宋体" w:cs="宋体"/>
                <w:color w:val="auto"/>
                <w:kern w:val="0"/>
                <w:szCs w:val="21"/>
                <w:lang w:bidi="ar"/>
              </w:rPr>
              <w:t>东莞市长安镇长安莲湖路108号</w:t>
            </w:r>
          </w:p>
        </w:tc>
      </w:tr>
      <w:tr w14:paraId="03C0D803">
        <w:tblPrEx>
          <w:tblCellMar>
            <w:top w:w="0" w:type="dxa"/>
            <w:left w:w="108" w:type="dxa"/>
            <w:bottom w:w="0" w:type="dxa"/>
            <w:right w:w="108" w:type="dxa"/>
          </w:tblCellMar>
        </w:tblPrEx>
        <w:trPr>
          <w:trHeight w:val="23"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D4EA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kern w:val="0"/>
                <w:szCs w:val="21"/>
                <w:lang w:bidi="ar"/>
              </w:rPr>
              <w:t>14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6A82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szCs w:val="21"/>
                <w:lang w:bidi="ar"/>
              </w:rPr>
              <w:t>沙田分公司</w:t>
            </w:r>
          </w:p>
        </w:tc>
        <w:tc>
          <w:tcPr>
            <w:tcW w:w="5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06B04">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Cs w:val="21"/>
              </w:rPr>
            </w:pPr>
            <w:r>
              <w:rPr>
                <w:rFonts w:hint="eastAsia" w:ascii="宋体" w:hAnsi="宋体" w:eastAsia="宋体" w:cs="宋体"/>
                <w:color w:val="auto"/>
                <w:kern w:val="0"/>
                <w:szCs w:val="21"/>
                <w:lang w:bidi="ar"/>
              </w:rPr>
              <w:t>东莞市沙田镇环山路3号</w:t>
            </w:r>
          </w:p>
        </w:tc>
      </w:tr>
      <w:tr w14:paraId="1E052EA3">
        <w:tblPrEx>
          <w:tblCellMar>
            <w:top w:w="0" w:type="dxa"/>
            <w:left w:w="108" w:type="dxa"/>
            <w:bottom w:w="0" w:type="dxa"/>
            <w:right w:w="108" w:type="dxa"/>
          </w:tblCellMar>
        </w:tblPrEx>
        <w:trPr>
          <w:trHeight w:val="23"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F50B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kern w:val="0"/>
                <w:szCs w:val="21"/>
                <w:lang w:bidi="ar"/>
              </w:rPr>
              <w:t>15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5DEE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szCs w:val="21"/>
                <w:lang w:bidi="ar"/>
              </w:rPr>
              <w:t>厚街分公司</w:t>
            </w:r>
          </w:p>
        </w:tc>
        <w:tc>
          <w:tcPr>
            <w:tcW w:w="5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351CD">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Cs w:val="21"/>
              </w:rPr>
            </w:pPr>
            <w:r>
              <w:rPr>
                <w:rFonts w:hint="eastAsia" w:ascii="宋体" w:hAnsi="宋体" w:eastAsia="宋体" w:cs="宋体"/>
                <w:color w:val="auto"/>
                <w:kern w:val="0"/>
                <w:szCs w:val="21"/>
                <w:lang w:bidi="ar"/>
              </w:rPr>
              <w:t>东莞市环莞快速路55号</w:t>
            </w:r>
          </w:p>
        </w:tc>
      </w:tr>
      <w:tr w14:paraId="43E3477D">
        <w:tblPrEx>
          <w:tblCellMar>
            <w:top w:w="0" w:type="dxa"/>
            <w:left w:w="108" w:type="dxa"/>
            <w:bottom w:w="0" w:type="dxa"/>
            <w:right w:w="108" w:type="dxa"/>
          </w:tblCellMar>
        </w:tblPrEx>
        <w:trPr>
          <w:trHeight w:val="23"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5D0B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kern w:val="0"/>
                <w:szCs w:val="21"/>
                <w:lang w:bidi="ar"/>
              </w:rPr>
              <w:t>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2E34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szCs w:val="21"/>
                <w:lang w:bidi="ar"/>
              </w:rPr>
              <w:t>桥头分公司</w:t>
            </w:r>
          </w:p>
        </w:tc>
        <w:tc>
          <w:tcPr>
            <w:tcW w:w="5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B0A06">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Cs w:val="21"/>
              </w:rPr>
            </w:pPr>
            <w:r>
              <w:rPr>
                <w:rFonts w:hint="eastAsia" w:ascii="宋体" w:hAnsi="宋体" w:eastAsia="宋体" w:cs="宋体"/>
                <w:color w:val="auto"/>
                <w:kern w:val="0"/>
                <w:szCs w:val="21"/>
                <w:lang w:bidi="ar"/>
              </w:rPr>
              <w:t>东莞市桥头镇桥光大道405号</w:t>
            </w:r>
          </w:p>
        </w:tc>
      </w:tr>
      <w:tr w14:paraId="6592A651">
        <w:tblPrEx>
          <w:tblCellMar>
            <w:top w:w="0" w:type="dxa"/>
            <w:left w:w="108" w:type="dxa"/>
            <w:bottom w:w="0" w:type="dxa"/>
            <w:right w:w="108" w:type="dxa"/>
          </w:tblCellMar>
        </w:tblPrEx>
        <w:trPr>
          <w:trHeight w:val="23"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1CF2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kern w:val="0"/>
                <w:szCs w:val="21"/>
                <w:lang w:bidi="ar"/>
              </w:rPr>
              <w:t>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1F27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szCs w:val="21"/>
                <w:lang w:bidi="ar"/>
              </w:rPr>
              <w:t>谢岗分公司</w:t>
            </w:r>
          </w:p>
        </w:tc>
        <w:tc>
          <w:tcPr>
            <w:tcW w:w="5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04C1C">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Cs w:val="21"/>
              </w:rPr>
            </w:pPr>
            <w:r>
              <w:rPr>
                <w:rFonts w:hint="eastAsia" w:ascii="宋体" w:hAnsi="宋体" w:eastAsia="宋体" w:cs="宋体"/>
                <w:color w:val="auto"/>
                <w:kern w:val="0"/>
                <w:szCs w:val="21"/>
                <w:lang w:bidi="ar"/>
              </w:rPr>
              <w:t>东莞市谢岗镇曹乐工业一路15号</w:t>
            </w:r>
          </w:p>
        </w:tc>
      </w:tr>
      <w:tr w14:paraId="19BABF3E">
        <w:tblPrEx>
          <w:tblCellMar>
            <w:top w:w="0" w:type="dxa"/>
            <w:left w:w="108" w:type="dxa"/>
            <w:bottom w:w="0" w:type="dxa"/>
            <w:right w:w="108" w:type="dxa"/>
          </w:tblCellMar>
        </w:tblPrEx>
        <w:trPr>
          <w:trHeight w:val="23"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0D8D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kern w:val="0"/>
                <w:szCs w:val="21"/>
                <w:lang w:bidi="ar"/>
              </w:rPr>
              <w:t>18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5287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szCs w:val="21"/>
                <w:lang w:bidi="ar"/>
              </w:rPr>
              <w:t>黄江分公司</w:t>
            </w:r>
          </w:p>
        </w:tc>
        <w:tc>
          <w:tcPr>
            <w:tcW w:w="5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B0468">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Cs w:val="21"/>
              </w:rPr>
            </w:pPr>
            <w:r>
              <w:rPr>
                <w:rFonts w:hint="eastAsia" w:ascii="宋体" w:hAnsi="宋体" w:eastAsia="宋体" w:cs="宋体"/>
                <w:color w:val="auto"/>
                <w:kern w:val="0"/>
                <w:szCs w:val="21"/>
                <w:lang w:bidi="ar"/>
              </w:rPr>
              <w:t>东莞市黄江镇黄牛埔村强健街2号</w:t>
            </w:r>
          </w:p>
        </w:tc>
      </w:tr>
      <w:tr w14:paraId="686E152A">
        <w:tblPrEx>
          <w:tblCellMar>
            <w:top w:w="0" w:type="dxa"/>
            <w:left w:w="108" w:type="dxa"/>
            <w:bottom w:w="0" w:type="dxa"/>
            <w:right w:w="108" w:type="dxa"/>
          </w:tblCellMar>
        </w:tblPrEx>
        <w:trPr>
          <w:trHeight w:val="23"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AD84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kern w:val="0"/>
                <w:szCs w:val="21"/>
                <w:lang w:bidi="ar"/>
              </w:rPr>
              <w:t>19</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EAD3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szCs w:val="21"/>
                <w:lang w:bidi="ar"/>
              </w:rPr>
              <w:t>樟木头分公司</w:t>
            </w:r>
          </w:p>
        </w:tc>
        <w:tc>
          <w:tcPr>
            <w:tcW w:w="5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967F8">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Cs w:val="21"/>
              </w:rPr>
            </w:pPr>
            <w:r>
              <w:rPr>
                <w:rFonts w:hint="eastAsia" w:ascii="宋体" w:hAnsi="宋体" w:eastAsia="宋体" w:cs="宋体"/>
                <w:color w:val="auto"/>
                <w:kern w:val="0"/>
                <w:szCs w:val="21"/>
                <w:lang w:bidi="ar"/>
              </w:rPr>
              <w:t>东莞市樟木头镇莞樟路樟木头段116号供水大楼</w:t>
            </w:r>
          </w:p>
        </w:tc>
      </w:tr>
      <w:tr w14:paraId="316DAE2E">
        <w:tblPrEx>
          <w:tblCellMar>
            <w:top w:w="0" w:type="dxa"/>
            <w:left w:w="108" w:type="dxa"/>
            <w:bottom w:w="0" w:type="dxa"/>
            <w:right w:w="108" w:type="dxa"/>
          </w:tblCellMar>
        </w:tblPrEx>
        <w:trPr>
          <w:trHeight w:val="23"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C36B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kern w:val="0"/>
                <w:szCs w:val="21"/>
                <w:lang w:bidi="ar"/>
              </w:rPr>
              <w:t>20</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754C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szCs w:val="21"/>
                <w:lang w:bidi="ar"/>
              </w:rPr>
              <w:t>凤岗分公司</w:t>
            </w:r>
          </w:p>
        </w:tc>
        <w:tc>
          <w:tcPr>
            <w:tcW w:w="5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E2FE4">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Cs w:val="21"/>
              </w:rPr>
            </w:pPr>
            <w:r>
              <w:rPr>
                <w:rFonts w:hint="eastAsia" w:ascii="宋体" w:hAnsi="宋体" w:eastAsia="宋体" w:cs="宋体"/>
                <w:color w:val="auto"/>
                <w:kern w:val="0"/>
                <w:szCs w:val="21"/>
                <w:lang w:bidi="ar"/>
              </w:rPr>
              <w:t>东莞市凤岗镇金凤路花果二巷13号</w:t>
            </w:r>
          </w:p>
        </w:tc>
      </w:tr>
      <w:tr w14:paraId="39B96C26">
        <w:tblPrEx>
          <w:tblCellMar>
            <w:top w:w="0" w:type="dxa"/>
            <w:left w:w="108" w:type="dxa"/>
            <w:bottom w:w="0" w:type="dxa"/>
            <w:right w:w="108" w:type="dxa"/>
          </w:tblCellMar>
        </w:tblPrEx>
        <w:trPr>
          <w:trHeight w:val="23"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7252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kern w:val="0"/>
                <w:szCs w:val="21"/>
                <w:lang w:bidi="ar"/>
              </w:rPr>
              <w:t>21</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F562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szCs w:val="21"/>
                <w:lang w:bidi="ar"/>
              </w:rPr>
              <w:t>塘厦分公司</w:t>
            </w:r>
          </w:p>
        </w:tc>
        <w:tc>
          <w:tcPr>
            <w:tcW w:w="5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A4985">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Cs w:val="21"/>
              </w:rPr>
            </w:pPr>
            <w:r>
              <w:rPr>
                <w:rFonts w:hint="eastAsia" w:ascii="宋体" w:hAnsi="宋体" w:eastAsia="宋体" w:cs="宋体"/>
                <w:color w:val="auto"/>
                <w:kern w:val="0"/>
                <w:szCs w:val="21"/>
                <w:lang w:bidi="ar"/>
              </w:rPr>
              <w:t>东莞市塘厦镇东深一路8号</w:t>
            </w:r>
          </w:p>
        </w:tc>
      </w:tr>
      <w:tr w14:paraId="18ED5B28">
        <w:tblPrEx>
          <w:tblCellMar>
            <w:top w:w="0" w:type="dxa"/>
            <w:left w:w="108" w:type="dxa"/>
            <w:bottom w:w="0" w:type="dxa"/>
            <w:right w:w="108" w:type="dxa"/>
          </w:tblCellMar>
        </w:tblPrEx>
        <w:trPr>
          <w:trHeight w:val="23"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7CE4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kern w:val="0"/>
                <w:szCs w:val="21"/>
                <w:lang w:bidi="ar"/>
              </w:rPr>
              <w:t>22</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7976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szCs w:val="21"/>
                <w:lang w:bidi="ar"/>
              </w:rPr>
              <w:t>石碣分公司</w:t>
            </w:r>
          </w:p>
        </w:tc>
        <w:tc>
          <w:tcPr>
            <w:tcW w:w="5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D6F2D">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Cs w:val="21"/>
              </w:rPr>
            </w:pPr>
            <w:r>
              <w:rPr>
                <w:rFonts w:hint="eastAsia" w:ascii="宋体" w:hAnsi="宋体" w:eastAsia="宋体" w:cs="宋体"/>
                <w:color w:val="auto"/>
                <w:kern w:val="0"/>
                <w:szCs w:val="21"/>
                <w:lang w:bidi="ar"/>
              </w:rPr>
              <w:t>东莞市石碣镇石碣同德路2号101室</w:t>
            </w:r>
          </w:p>
        </w:tc>
      </w:tr>
      <w:tr w14:paraId="5887B3B5">
        <w:tblPrEx>
          <w:tblCellMar>
            <w:top w:w="0" w:type="dxa"/>
            <w:left w:w="108" w:type="dxa"/>
            <w:bottom w:w="0" w:type="dxa"/>
            <w:right w:w="108" w:type="dxa"/>
          </w:tblCellMar>
        </w:tblPrEx>
        <w:trPr>
          <w:trHeight w:val="23"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06BD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kern w:val="0"/>
                <w:szCs w:val="21"/>
                <w:lang w:bidi="ar"/>
              </w:rPr>
              <w:t>23</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590F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szCs w:val="21"/>
                <w:lang w:bidi="ar"/>
              </w:rPr>
              <w:t>石龙分公司</w:t>
            </w:r>
          </w:p>
        </w:tc>
        <w:tc>
          <w:tcPr>
            <w:tcW w:w="5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7F8B4">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Cs w:val="21"/>
              </w:rPr>
            </w:pPr>
            <w:r>
              <w:rPr>
                <w:rFonts w:hint="eastAsia" w:ascii="宋体" w:hAnsi="宋体" w:eastAsia="宋体" w:cs="宋体"/>
                <w:color w:val="auto"/>
                <w:kern w:val="0"/>
                <w:szCs w:val="21"/>
                <w:lang w:bidi="ar"/>
              </w:rPr>
              <w:t>东莞市石龙镇清醇街2号201室</w:t>
            </w:r>
          </w:p>
        </w:tc>
      </w:tr>
      <w:tr w14:paraId="705310C2">
        <w:tblPrEx>
          <w:tblCellMar>
            <w:top w:w="0" w:type="dxa"/>
            <w:left w:w="108" w:type="dxa"/>
            <w:bottom w:w="0" w:type="dxa"/>
            <w:right w:w="108" w:type="dxa"/>
          </w:tblCellMar>
        </w:tblPrEx>
        <w:trPr>
          <w:trHeight w:val="23"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34CA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kern w:val="0"/>
                <w:szCs w:val="21"/>
                <w:lang w:bidi="ar"/>
              </w:rPr>
              <w:t>24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D20A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szCs w:val="21"/>
                <w:lang w:bidi="ar"/>
              </w:rPr>
              <w:t>茶山分公司</w:t>
            </w:r>
          </w:p>
        </w:tc>
        <w:tc>
          <w:tcPr>
            <w:tcW w:w="5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8F1B8">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Cs w:val="21"/>
              </w:rPr>
            </w:pPr>
            <w:r>
              <w:rPr>
                <w:rFonts w:hint="eastAsia" w:ascii="宋体" w:hAnsi="宋体" w:eastAsia="宋体" w:cs="宋体"/>
                <w:color w:val="auto"/>
                <w:kern w:val="0"/>
                <w:szCs w:val="21"/>
                <w:lang w:bidi="ar"/>
              </w:rPr>
              <w:t>东莞市茶山镇东岳路108号</w:t>
            </w:r>
          </w:p>
        </w:tc>
      </w:tr>
      <w:tr w14:paraId="4E79BA16">
        <w:tblPrEx>
          <w:tblCellMar>
            <w:top w:w="0" w:type="dxa"/>
            <w:left w:w="108" w:type="dxa"/>
            <w:bottom w:w="0" w:type="dxa"/>
            <w:right w:w="108" w:type="dxa"/>
          </w:tblCellMar>
        </w:tblPrEx>
        <w:trPr>
          <w:trHeight w:val="23"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571A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kern w:val="0"/>
                <w:szCs w:val="21"/>
                <w:lang w:bidi="ar"/>
              </w:rPr>
              <w:t>25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D284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szCs w:val="21"/>
                <w:lang w:bidi="ar"/>
              </w:rPr>
              <w:t>企石分公司</w:t>
            </w:r>
          </w:p>
        </w:tc>
        <w:tc>
          <w:tcPr>
            <w:tcW w:w="5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E189F">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Cs w:val="21"/>
              </w:rPr>
            </w:pPr>
            <w:r>
              <w:rPr>
                <w:rFonts w:hint="eastAsia" w:ascii="宋体" w:hAnsi="宋体" w:eastAsia="宋体" w:cs="宋体"/>
                <w:color w:val="auto"/>
                <w:kern w:val="0"/>
                <w:szCs w:val="21"/>
                <w:lang w:bidi="ar"/>
              </w:rPr>
              <w:t>东莞市企石镇黄大仙路56号</w:t>
            </w:r>
          </w:p>
        </w:tc>
      </w:tr>
      <w:tr w14:paraId="332A9848">
        <w:tblPrEx>
          <w:tblCellMar>
            <w:top w:w="0" w:type="dxa"/>
            <w:left w:w="108" w:type="dxa"/>
            <w:bottom w:w="0" w:type="dxa"/>
            <w:right w:w="108" w:type="dxa"/>
          </w:tblCellMar>
        </w:tblPrEx>
        <w:trPr>
          <w:trHeight w:val="23"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F3AB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kern w:val="0"/>
                <w:szCs w:val="21"/>
                <w:lang w:bidi="ar"/>
              </w:rPr>
              <w:t>26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8FA9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szCs w:val="21"/>
                <w:lang w:bidi="ar"/>
              </w:rPr>
              <w:t>石排分公司</w:t>
            </w:r>
          </w:p>
        </w:tc>
        <w:tc>
          <w:tcPr>
            <w:tcW w:w="5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63739">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Cs w:val="21"/>
              </w:rPr>
            </w:pPr>
            <w:r>
              <w:rPr>
                <w:rFonts w:hint="eastAsia" w:ascii="宋体" w:hAnsi="宋体" w:eastAsia="宋体" w:cs="宋体"/>
                <w:color w:val="auto"/>
                <w:kern w:val="0"/>
                <w:szCs w:val="21"/>
                <w:lang w:bidi="ar"/>
              </w:rPr>
              <w:t>东莞市石排镇东江大道石排段52号</w:t>
            </w:r>
          </w:p>
        </w:tc>
      </w:tr>
      <w:tr w14:paraId="06ECAABD">
        <w:tblPrEx>
          <w:tblCellMar>
            <w:top w:w="0" w:type="dxa"/>
            <w:left w:w="108" w:type="dxa"/>
            <w:bottom w:w="0" w:type="dxa"/>
            <w:right w:w="108" w:type="dxa"/>
          </w:tblCellMar>
        </w:tblPrEx>
        <w:trPr>
          <w:trHeight w:val="23"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7CAC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kern w:val="0"/>
                <w:szCs w:val="21"/>
                <w:lang w:bidi="ar"/>
              </w:rPr>
              <w:t>27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B452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szCs w:val="21"/>
                <w:lang w:bidi="ar"/>
              </w:rPr>
              <w:t>大岭山分公司</w:t>
            </w:r>
          </w:p>
        </w:tc>
        <w:tc>
          <w:tcPr>
            <w:tcW w:w="5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C4E1B">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Cs w:val="21"/>
              </w:rPr>
            </w:pPr>
            <w:r>
              <w:rPr>
                <w:rFonts w:hint="eastAsia" w:ascii="宋体" w:hAnsi="宋体" w:eastAsia="宋体" w:cs="宋体"/>
                <w:color w:val="auto"/>
                <w:kern w:val="0"/>
                <w:szCs w:val="21"/>
                <w:lang w:bidi="ar"/>
              </w:rPr>
              <w:t>东莞市大岭山镇西正路77号102号室</w:t>
            </w:r>
          </w:p>
        </w:tc>
      </w:tr>
      <w:tr w14:paraId="75F124F2">
        <w:tblPrEx>
          <w:tblCellMar>
            <w:top w:w="0" w:type="dxa"/>
            <w:left w:w="108" w:type="dxa"/>
            <w:bottom w:w="0" w:type="dxa"/>
            <w:right w:w="108" w:type="dxa"/>
          </w:tblCellMar>
        </w:tblPrEx>
        <w:trPr>
          <w:trHeight w:val="23"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2393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kern w:val="0"/>
                <w:szCs w:val="21"/>
                <w:lang w:bidi="ar"/>
              </w:rPr>
              <w:t>28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731A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szCs w:val="21"/>
                <w:lang w:bidi="ar"/>
              </w:rPr>
              <w:t>大朗分公司</w:t>
            </w:r>
          </w:p>
        </w:tc>
        <w:tc>
          <w:tcPr>
            <w:tcW w:w="5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D6214">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Cs w:val="21"/>
              </w:rPr>
            </w:pPr>
            <w:r>
              <w:rPr>
                <w:rFonts w:hint="eastAsia" w:ascii="宋体" w:hAnsi="宋体" w:eastAsia="宋体" w:cs="宋体"/>
                <w:color w:val="auto"/>
                <w:kern w:val="0"/>
                <w:szCs w:val="21"/>
                <w:lang w:bidi="ar"/>
              </w:rPr>
              <w:t>东莞市大朗镇升平北路 15 号</w:t>
            </w:r>
          </w:p>
        </w:tc>
      </w:tr>
      <w:tr w14:paraId="727187DC">
        <w:tblPrEx>
          <w:tblCellMar>
            <w:top w:w="0" w:type="dxa"/>
            <w:left w:w="108" w:type="dxa"/>
            <w:bottom w:w="0" w:type="dxa"/>
            <w:right w:w="108" w:type="dxa"/>
          </w:tblCellMar>
        </w:tblPrEx>
        <w:trPr>
          <w:trHeight w:val="23"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4320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kern w:val="0"/>
                <w:szCs w:val="21"/>
                <w:lang w:bidi="ar"/>
              </w:rPr>
              <w:t>29</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9656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szCs w:val="21"/>
                <w:lang w:bidi="ar"/>
              </w:rPr>
              <w:t>寮步分公司</w:t>
            </w:r>
          </w:p>
        </w:tc>
        <w:tc>
          <w:tcPr>
            <w:tcW w:w="5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EEA0A">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Cs w:val="21"/>
              </w:rPr>
            </w:pPr>
            <w:r>
              <w:rPr>
                <w:rFonts w:hint="eastAsia" w:ascii="宋体" w:hAnsi="宋体" w:eastAsia="宋体" w:cs="宋体"/>
                <w:color w:val="auto"/>
                <w:kern w:val="0"/>
                <w:szCs w:val="21"/>
                <w:lang w:bidi="ar"/>
              </w:rPr>
              <w:t>东莞市寮步镇河滨西路 1 号</w:t>
            </w:r>
          </w:p>
        </w:tc>
      </w:tr>
      <w:tr w14:paraId="2D9BA251">
        <w:tblPrEx>
          <w:tblCellMar>
            <w:top w:w="0" w:type="dxa"/>
            <w:left w:w="108" w:type="dxa"/>
            <w:bottom w:w="0" w:type="dxa"/>
            <w:right w:w="108" w:type="dxa"/>
          </w:tblCellMar>
        </w:tblPrEx>
        <w:trPr>
          <w:trHeight w:val="23"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03E8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kern w:val="0"/>
                <w:szCs w:val="21"/>
                <w:lang w:bidi="ar"/>
              </w:rPr>
              <w:t>30</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4DDC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szCs w:val="21"/>
                <w:lang w:bidi="ar"/>
              </w:rPr>
              <w:t>横沥分公司</w:t>
            </w:r>
          </w:p>
        </w:tc>
        <w:tc>
          <w:tcPr>
            <w:tcW w:w="5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630D0">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Cs w:val="21"/>
              </w:rPr>
            </w:pPr>
            <w:r>
              <w:rPr>
                <w:rFonts w:hint="eastAsia" w:ascii="宋体" w:hAnsi="宋体" w:eastAsia="宋体" w:cs="宋体"/>
                <w:color w:val="auto"/>
                <w:kern w:val="0"/>
                <w:szCs w:val="21"/>
                <w:lang w:bidi="ar"/>
              </w:rPr>
              <w:t>东莞市横沥镇东环路260号</w:t>
            </w:r>
          </w:p>
        </w:tc>
      </w:tr>
      <w:tr w14:paraId="5DD8D064">
        <w:tblPrEx>
          <w:tblCellMar>
            <w:top w:w="0" w:type="dxa"/>
            <w:left w:w="108" w:type="dxa"/>
            <w:bottom w:w="0" w:type="dxa"/>
            <w:right w:w="108" w:type="dxa"/>
          </w:tblCellMar>
        </w:tblPrEx>
        <w:trPr>
          <w:trHeight w:val="23"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6CC6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kern w:val="0"/>
                <w:szCs w:val="21"/>
                <w:lang w:bidi="ar"/>
              </w:rPr>
              <w:t>31</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4564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szCs w:val="21"/>
                <w:lang w:bidi="ar"/>
              </w:rPr>
              <w:t>东坑分公司</w:t>
            </w:r>
          </w:p>
        </w:tc>
        <w:tc>
          <w:tcPr>
            <w:tcW w:w="5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AF5F3">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Cs w:val="21"/>
              </w:rPr>
            </w:pPr>
            <w:r>
              <w:rPr>
                <w:rFonts w:hint="eastAsia" w:ascii="宋体" w:hAnsi="宋体" w:eastAsia="宋体" w:cs="宋体"/>
                <w:color w:val="auto"/>
                <w:kern w:val="0"/>
                <w:szCs w:val="21"/>
                <w:lang w:bidi="ar"/>
              </w:rPr>
              <w:t>东莞市东坑镇东安路570号</w:t>
            </w:r>
          </w:p>
        </w:tc>
      </w:tr>
      <w:tr w14:paraId="0AD8E4C0">
        <w:tblPrEx>
          <w:tblCellMar>
            <w:top w:w="0" w:type="dxa"/>
            <w:left w:w="108" w:type="dxa"/>
            <w:bottom w:w="0" w:type="dxa"/>
            <w:right w:w="108" w:type="dxa"/>
          </w:tblCellMar>
        </w:tblPrEx>
        <w:trPr>
          <w:trHeight w:val="23"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EB2F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kern w:val="0"/>
                <w:szCs w:val="21"/>
                <w:lang w:bidi="ar"/>
              </w:rPr>
              <w:t>32</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7679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szCs w:val="21"/>
                <w:lang w:bidi="ar"/>
              </w:rPr>
              <w:t>制水分公司</w:t>
            </w:r>
          </w:p>
        </w:tc>
        <w:tc>
          <w:tcPr>
            <w:tcW w:w="5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1FEDD">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Cs w:val="21"/>
              </w:rPr>
            </w:pPr>
            <w:r>
              <w:rPr>
                <w:rFonts w:hint="eastAsia" w:ascii="宋体" w:hAnsi="宋体" w:eastAsia="宋体" w:cs="宋体"/>
                <w:color w:val="auto"/>
                <w:kern w:val="0"/>
                <w:szCs w:val="21"/>
                <w:lang w:bidi="ar"/>
              </w:rPr>
              <w:t>东莞市东城街道莞龙路东城段21号</w:t>
            </w:r>
          </w:p>
        </w:tc>
      </w:tr>
      <w:tr w14:paraId="0EB07940">
        <w:tblPrEx>
          <w:tblCellMar>
            <w:top w:w="0" w:type="dxa"/>
            <w:left w:w="108" w:type="dxa"/>
            <w:bottom w:w="0" w:type="dxa"/>
            <w:right w:w="108" w:type="dxa"/>
          </w:tblCellMar>
        </w:tblPrEx>
        <w:trPr>
          <w:trHeight w:val="23"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F93E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kern w:val="0"/>
                <w:szCs w:val="21"/>
                <w:lang w:bidi="ar"/>
              </w:rPr>
              <w:t>33</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2408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szCs w:val="21"/>
                <w:lang w:bidi="ar"/>
              </w:rPr>
              <w:t>市第二水厂</w:t>
            </w:r>
          </w:p>
        </w:tc>
        <w:tc>
          <w:tcPr>
            <w:tcW w:w="5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7711D">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Cs w:val="21"/>
              </w:rPr>
            </w:pPr>
            <w:r>
              <w:rPr>
                <w:rFonts w:hint="eastAsia" w:ascii="宋体" w:hAnsi="宋体" w:eastAsia="宋体" w:cs="宋体"/>
                <w:color w:val="auto"/>
                <w:kern w:val="0"/>
                <w:szCs w:val="21"/>
                <w:lang w:bidi="ar"/>
              </w:rPr>
              <w:t>东莞市东城街道周屋围街26号</w:t>
            </w:r>
          </w:p>
        </w:tc>
      </w:tr>
      <w:tr w14:paraId="636F18BB">
        <w:tblPrEx>
          <w:tblCellMar>
            <w:top w:w="0" w:type="dxa"/>
            <w:left w:w="108" w:type="dxa"/>
            <w:bottom w:w="0" w:type="dxa"/>
            <w:right w:w="108" w:type="dxa"/>
          </w:tblCellMar>
        </w:tblPrEx>
        <w:trPr>
          <w:trHeight w:val="23"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4B08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kern w:val="0"/>
                <w:szCs w:val="21"/>
                <w:lang w:bidi="ar"/>
              </w:rPr>
              <w:t>34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A319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szCs w:val="21"/>
                <w:lang w:bidi="ar"/>
              </w:rPr>
              <w:t>市第三水厂</w:t>
            </w:r>
          </w:p>
        </w:tc>
        <w:tc>
          <w:tcPr>
            <w:tcW w:w="5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F97AE">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Cs w:val="21"/>
              </w:rPr>
            </w:pPr>
            <w:r>
              <w:rPr>
                <w:rFonts w:hint="eastAsia" w:ascii="宋体" w:hAnsi="宋体" w:eastAsia="宋体" w:cs="宋体"/>
                <w:color w:val="auto"/>
                <w:kern w:val="0"/>
                <w:szCs w:val="21"/>
                <w:lang w:bidi="ar"/>
              </w:rPr>
              <w:t>东莞市东城街道东城中路东城段421号</w:t>
            </w:r>
          </w:p>
        </w:tc>
      </w:tr>
      <w:tr w14:paraId="23132ADD">
        <w:tblPrEx>
          <w:tblCellMar>
            <w:top w:w="0" w:type="dxa"/>
            <w:left w:w="108" w:type="dxa"/>
            <w:bottom w:w="0" w:type="dxa"/>
            <w:right w:w="108" w:type="dxa"/>
          </w:tblCellMar>
        </w:tblPrEx>
        <w:trPr>
          <w:trHeight w:val="23"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C166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kern w:val="0"/>
                <w:szCs w:val="21"/>
                <w:lang w:bidi="ar"/>
              </w:rPr>
              <w:t>35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6CBD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szCs w:val="21"/>
                <w:lang w:bidi="ar"/>
              </w:rPr>
              <w:t>市第四水厂</w:t>
            </w:r>
          </w:p>
        </w:tc>
        <w:tc>
          <w:tcPr>
            <w:tcW w:w="5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CB566">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Cs w:val="21"/>
              </w:rPr>
            </w:pPr>
            <w:r>
              <w:rPr>
                <w:rFonts w:hint="eastAsia" w:ascii="宋体" w:hAnsi="宋体" w:eastAsia="宋体" w:cs="宋体"/>
                <w:color w:val="auto"/>
                <w:kern w:val="0"/>
                <w:szCs w:val="21"/>
                <w:lang w:bidi="ar"/>
              </w:rPr>
              <w:t>东莞市石碣镇鹤田厦富田路第四水厂</w:t>
            </w:r>
          </w:p>
        </w:tc>
      </w:tr>
      <w:tr w14:paraId="7E90F8A6">
        <w:tblPrEx>
          <w:tblCellMar>
            <w:top w:w="0" w:type="dxa"/>
            <w:left w:w="108" w:type="dxa"/>
            <w:bottom w:w="0" w:type="dxa"/>
            <w:right w:w="108" w:type="dxa"/>
          </w:tblCellMar>
        </w:tblPrEx>
        <w:trPr>
          <w:trHeight w:val="23"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9EF2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kern w:val="0"/>
                <w:szCs w:val="21"/>
                <w:lang w:bidi="ar"/>
              </w:rPr>
              <w:t>36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5EED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szCs w:val="21"/>
                <w:lang w:bidi="ar"/>
              </w:rPr>
              <w:t>市第五水厂</w:t>
            </w:r>
          </w:p>
        </w:tc>
        <w:tc>
          <w:tcPr>
            <w:tcW w:w="5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8495E">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Cs w:val="21"/>
              </w:rPr>
            </w:pPr>
            <w:r>
              <w:rPr>
                <w:rFonts w:hint="eastAsia" w:ascii="宋体" w:hAnsi="宋体" w:eastAsia="宋体" w:cs="宋体"/>
                <w:color w:val="auto"/>
                <w:kern w:val="0"/>
                <w:szCs w:val="21"/>
                <w:lang w:bidi="ar"/>
              </w:rPr>
              <w:t>东莞市企石镇杨屋新兴路33号</w:t>
            </w:r>
          </w:p>
        </w:tc>
      </w:tr>
      <w:tr w14:paraId="38B9DC51">
        <w:tblPrEx>
          <w:tblCellMar>
            <w:top w:w="0" w:type="dxa"/>
            <w:left w:w="108" w:type="dxa"/>
            <w:bottom w:w="0" w:type="dxa"/>
            <w:right w:w="108" w:type="dxa"/>
          </w:tblCellMar>
        </w:tblPrEx>
        <w:trPr>
          <w:trHeight w:val="23"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3E39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kern w:val="0"/>
                <w:szCs w:val="21"/>
                <w:lang w:bidi="ar"/>
              </w:rPr>
              <w:t>37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57BC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szCs w:val="21"/>
                <w:lang w:bidi="ar"/>
              </w:rPr>
              <w:t>市第六水厂</w:t>
            </w:r>
          </w:p>
        </w:tc>
        <w:tc>
          <w:tcPr>
            <w:tcW w:w="5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A8585">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Cs w:val="21"/>
              </w:rPr>
            </w:pPr>
            <w:r>
              <w:rPr>
                <w:rFonts w:hint="eastAsia" w:ascii="宋体" w:hAnsi="宋体" w:eastAsia="宋体" w:cs="宋体"/>
                <w:color w:val="auto"/>
                <w:kern w:val="0"/>
                <w:szCs w:val="21"/>
                <w:lang w:bidi="ar"/>
              </w:rPr>
              <w:t>东莞市东城街道莞龙路东城段21号</w:t>
            </w:r>
          </w:p>
        </w:tc>
      </w:tr>
      <w:tr w14:paraId="1F841E47">
        <w:tblPrEx>
          <w:tblCellMar>
            <w:top w:w="0" w:type="dxa"/>
            <w:left w:w="108" w:type="dxa"/>
            <w:bottom w:w="0" w:type="dxa"/>
            <w:right w:w="108" w:type="dxa"/>
          </w:tblCellMar>
        </w:tblPrEx>
        <w:trPr>
          <w:trHeight w:val="23"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1F7D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kern w:val="0"/>
                <w:szCs w:val="21"/>
                <w:lang w:bidi="ar"/>
              </w:rPr>
              <w:t>38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5DF5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szCs w:val="21"/>
                <w:lang w:bidi="ar"/>
              </w:rPr>
              <w:t>东城水厂</w:t>
            </w:r>
          </w:p>
        </w:tc>
        <w:tc>
          <w:tcPr>
            <w:tcW w:w="5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0D079">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Cs w:val="21"/>
              </w:rPr>
            </w:pPr>
            <w:r>
              <w:rPr>
                <w:rFonts w:hint="eastAsia" w:ascii="宋体" w:hAnsi="宋体" w:eastAsia="宋体" w:cs="宋体"/>
                <w:color w:val="auto"/>
                <w:kern w:val="0"/>
                <w:szCs w:val="21"/>
                <w:lang w:bidi="ar"/>
              </w:rPr>
              <w:t>东莞市东城街道下桥银岭街9号</w:t>
            </w:r>
          </w:p>
        </w:tc>
      </w:tr>
      <w:tr w14:paraId="2DCD64C0">
        <w:tblPrEx>
          <w:tblCellMar>
            <w:top w:w="0" w:type="dxa"/>
            <w:left w:w="108" w:type="dxa"/>
            <w:bottom w:w="0" w:type="dxa"/>
            <w:right w:w="108" w:type="dxa"/>
          </w:tblCellMar>
        </w:tblPrEx>
        <w:trPr>
          <w:trHeight w:val="23"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1ACF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kern w:val="0"/>
                <w:szCs w:val="21"/>
                <w:lang w:bidi="ar"/>
              </w:rPr>
              <w:t>39</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6B18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szCs w:val="21"/>
                <w:lang w:bidi="ar"/>
              </w:rPr>
              <w:t>万江水厂</w:t>
            </w:r>
          </w:p>
        </w:tc>
        <w:tc>
          <w:tcPr>
            <w:tcW w:w="5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3A841">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Cs w:val="21"/>
              </w:rPr>
            </w:pPr>
            <w:r>
              <w:rPr>
                <w:rFonts w:hint="eastAsia" w:ascii="宋体" w:hAnsi="宋体" w:eastAsia="宋体" w:cs="宋体"/>
                <w:color w:val="auto"/>
                <w:kern w:val="0"/>
                <w:szCs w:val="21"/>
                <w:lang w:bidi="ar"/>
              </w:rPr>
              <w:t>东莞市万江街道万龙路191号</w:t>
            </w:r>
          </w:p>
        </w:tc>
      </w:tr>
      <w:tr w14:paraId="0BFCA9E4">
        <w:tblPrEx>
          <w:tblCellMar>
            <w:top w:w="0" w:type="dxa"/>
            <w:left w:w="108" w:type="dxa"/>
            <w:bottom w:w="0" w:type="dxa"/>
            <w:right w:w="108" w:type="dxa"/>
          </w:tblCellMar>
        </w:tblPrEx>
        <w:trPr>
          <w:trHeight w:val="23"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9B62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kern w:val="0"/>
                <w:szCs w:val="21"/>
                <w:lang w:bidi="ar"/>
              </w:rPr>
              <w:t>40</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C81D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szCs w:val="21"/>
                <w:lang w:bidi="ar"/>
              </w:rPr>
              <w:t>高埗水厂</w:t>
            </w:r>
          </w:p>
        </w:tc>
        <w:tc>
          <w:tcPr>
            <w:tcW w:w="5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13635">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Cs w:val="21"/>
              </w:rPr>
            </w:pPr>
            <w:r>
              <w:rPr>
                <w:rFonts w:hint="eastAsia" w:ascii="宋体" w:hAnsi="宋体" w:eastAsia="宋体" w:cs="宋体"/>
                <w:color w:val="auto"/>
                <w:kern w:val="0"/>
                <w:szCs w:val="21"/>
                <w:lang w:bidi="ar"/>
              </w:rPr>
              <w:t>东莞市高埗镇沿江南路48号</w:t>
            </w:r>
          </w:p>
        </w:tc>
      </w:tr>
      <w:tr w14:paraId="7EC52F10">
        <w:tblPrEx>
          <w:tblCellMar>
            <w:top w:w="0" w:type="dxa"/>
            <w:left w:w="108" w:type="dxa"/>
            <w:bottom w:w="0" w:type="dxa"/>
            <w:right w:w="108" w:type="dxa"/>
          </w:tblCellMar>
        </w:tblPrEx>
        <w:trPr>
          <w:trHeight w:val="23"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2364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kern w:val="0"/>
                <w:szCs w:val="21"/>
                <w:lang w:bidi="ar"/>
              </w:rPr>
              <w:t>41</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6470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szCs w:val="21"/>
                <w:lang w:bidi="ar"/>
              </w:rPr>
              <w:t>中堂水厂</w:t>
            </w:r>
          </w:p>
        </w:tc>
        <w:tc>
          <w:tcPr>
            <w:tcW w:w="5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5F3BD">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Cs w:val="21"/>
              </w:rPr>
            </w:pPr>
            <w:r>
              <w:rPr>
                <w:rFonts w:hint="eastAsia" w:ascii="宋体" w:hAnsi="宋体" w:eastAsia="宋体" w:cs="宋体"/>
                <w:color w:val="auto"/>
                <w:kern w:val="0"/>
                <w:szCs w:val="21"/>
                <w:lang w:bidi="ar"/>
              </w:rPr>
              <w:t>东莞市中堂镇中堂滨江大道3号</w:t>
            </w:r>
          </w:p>
        </w:tc>
      </w:tr>
      <w:tr w14:paraId="563F0467">
        <w:tblPrEx>
          <w:tblCellMar>
            <w:top w:w="0" w:type="dxa"/>
            <w:left w:w="108" w:type="dxa"/>
            <w:bottom w:w="0" w:type="dxa"/>
            <w:right w:w="108" w:type="dxa"/>
          </w:tblCellMar>
        </w:tblPrEx>
        <w:trPr>
          <w:trHeight w:val="23"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E077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kern w:val="0"/>
                <w:szCs w:val="21"/>
                <w:lang w:bidi="ar"/>
              </w:rPr>
              <w:t>42</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3E3C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szCs w:val="21"/>
                <w:lang w:bidi="ar"/>
              </w:rPr>
              <w:t>桥头第二水厂</w:t>
            </w:r>
          </w:p>
        </w:tc>
        <w:tc>
          <w:tcPr>
            <w:tcW w:w="5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779FB">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Cs w:val="21"/>
              </w:rPr>
            </w:pPr>
            <w:r>
              <w:rPr>
                <w:rFonts w:hint="eastAsia" w:ascii="宋体" w:hAnsi="宋体" w:eastAsia="宋体" w:cs="宋体"/>
                <w:color w:val="auto"/>
                <w:kern w:val="0"/>
                <w:szCs w:val="21"/>
                <w:lang w:bidi="ar"/>
              </w:rPr>
              <w:t>东莞市桥头镇迳联社区中兴路403号</w:t>
            </w:r>
          </w:p>
        </w:tc>
      </w:tr>
      <w:tr w14:paraId="309A6561">
        <w:tblPrEx>
          <w:tblCellMar>
            <w:top w:w="0" w:type="dxa"/>
            <w:left w:w="108" w:type="dxa"/>
            <w:bottom w:w="0" w:type="dxa"/>
            <w:right w:w="108" w:type="dxa"/>
          </w:tblCellMar>
        </w:tblPrEx>
        <w:trPr>
          <w:trHeight w:val="23"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E066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kern w:val="0"/>
                <w:szCs w:val="21"/>
                <w:lang w:bidi="ar"/>
              </w:rPr>
              <w:t>43</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AAC7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szCs w:val="21"/>
                <w:lang w:bidi="ar"/>
              </w:rPr>
              <w:t>桥头第三水厂</w:t>
            </w:r>
          </w:p>
        </w:tc>
        <w:tc>
          <w:tcPr>
            <w:tcW w:w="5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B8062">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Cs w:val="21"/>
              </w:rPr>
            </w:pPr>
            <w:r>
              <w:rPr>
                <w:rFonts w:hint="eastAsia" w:ascii="宋体" w:hAnsi="宋体" w:eastAsia="宋体" w:cs="宋体"/>
                <w:color w:val="auto"/>
                <w:kern w:val="0"/>
                <w:szCs w:val="21"/>
                <w:lang w:bidi="ar"/>
              </w:rPr>
              <w:t>东莞市桥头镇东江村岭仔巷41号</w:t>
            </w:r>
          </w:p>
        </w:tc>
      </w:tr>
      <w:tr w14:paraId="1EB7B3AB">
        <w:tblPrEx>
          <w:tblCellMar>
            <w:top w:w="0" w:type="dxa"/>
            <w:left w:w="108" w:type="dxa"/>
            <w:bottom w:w="0" w:type="dxa"/>
            <w:right w:w="108" w:type="dxa"/>
          </w:tblCellMar>
        </w:tblPrEx>
        <w:trPr>
          <w:trHeight w:val="23"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CA7B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kern w:val="0"/>
                <w:szCs w:val="21"/>
                <w:lang w:bidi="ar"/>
              </w:rPr>
              <w:t>44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7AC8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szCs w:val="21"/>
                <w:lang w:bidi="ar"/>
              </w:rPr>
              <w:t>谢岗第三水厂</w:t>
            </w:r>
          </w:p>
        </w:tc>
        <w:tc>
          <w:tcPr>
            <w:tcW w:w="5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B6979">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Cs w:val="21"/>
              </w:rPr>
            </w:pPr>
            <w:r>
              <w:rPr>
                <w:rFonts w:hint="eastAsia" w:ascii="宋体" w:hAnsi="宋体" w:eastAsia="宋体" w:cs="宋体"/>
                <w:color w:val="auto"/>
                <w:kern w:val="0"/>
                <w:szCs w:val="21"/>
                <w:lang w:bidi="ar"/>
              </w:rPr>
              <w:t>东莞市谢岗镇曹乐工业一路15号</w:t>
            </w:r>
          </w:p>
        </w:tc>
      </w:tr>
      <w:tr w14:paraId="7DE4E1DC">
        <w:tblPrEx>
          <w:tblCellMar>
            <w:top w:w="0" w:type="dxa"/>
            <w:left w:w="108" w:type="dxa"/>
            <w:bottom w:w="0" w:type="dxa"/>
            <w:right w:w="108" w:type="dxa"/>
          </w:tblCellMar>
        </w:tblPrEx>
        <w:trPr>
          <w:trHeight w:val="23"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3DF8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kern w:val="0"/>
                <w:szCs w:val="21"/>
                <w:lang w:bidi="ar"/>
              </w:rPr>
              <w:t>45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500A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szCs w:val="21"/>
                <w:lang w:bidi="ar"/>
              </w:rPr>
              <w:t>谢岗第二水厂</w:t>
            </w:r>
          </w:p>
        </w:tc>
        <w:tc>
          <w:tcPr>
            <w:tcW w:w="5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51563">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Cs w:val="21"/>
              </w:rPr>
            </w:pPr>
            <w:r>
              <w:rPr>
                <w:rFonts w:hint="eastAsia" w:ascii="宋体" w:hAnsi="宋体" w:eastAsia="宋体" w:cs="宋体"/>
                <w:color w:val="auto"/>
                <w:kern w:val="0"/>
                <w:szCs w:val="21"/>
                <w:lang w:bidi="ar"/>
              </w:rPr>
              <w:t>东莞市谢岗镇南面石鼓水库路22号</w:t>
            </w:r>
          </w:p>
        </w:tc>
      </w:tr>
      <w:tr w14:paraId="496B596D">
        <w:tblPrEx>
          <w:tblCellMar>
            <w:top w:w="0" w:type="dxa"/>
            <w:left w:w="108" w:type="dxa"/>
            <w:bottom w:w="0" w:type="dxa"/>
            <w:right w:w="108" w:type="dxa"/>
          </w:tblCellMar>
        </w:tblPrEx>
        <w:trPr>
          <w:trHeight w:val="23"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23A5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kern w:val="0"/>
                <w:szCs w:val="21"/>
                <w:lang w:bidi="ar"/>
              </w:rPr>
              <w:t>46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DA45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szCs w:val="21"/>
                <w:lang w:bidi="ar"/>
              </w:rPr>
              <w:t>黄江水厂</w:t>
            </w:r>
          </w:p>
        </w:tc>
        <w:tc>
          <w:tcPr>
            <w:tcW w:w="5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73DBE">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Cs w:val="21"/>
              </w:rPr>
            </w:pPr>
            <w:r>
              <w:rPr>
                <w:rFonts w:hint="eastAsia" w:ascii="宋体" w:hAnsi="宋体" w:eastAsia="宋体" w:cs="宋体"/>
                <w:color w:val="auto"/>
                <w:kern w:val="0"/>
                <w:szCs w:val="21"/>
                <w:lang w:bidi="ar"/>
              </w:rPr>
              <w:t>东莞市黄江镇黄牛埔村强健街2号</w:t>
            </w:r>
          </w:p>
        </w:tc>
      </w:tr>
      <w:tr w14:paraId="01679F0A">
        <w:tblPrEx>
          <w:tblCellMar>
            <w:top w:w="0" w:type="dxa"/>
            <w:left w:w="108" w:type="dxa"/>
            <w:bottom w:w="0" w:type="dxa"/>
            <w:right w:w="108" w:type="dxa"/>
          </w:tblCellMar>
        </w:tblPrEx>
        <w:trPr>
          <w:trHeight w:val="23"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18C8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kern w:val="0"/>
                <w:szCs w:val="21"/>
                <w:lang w:bidi="ar"/>
              </w:rPr>
              <w:t>47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5F75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szCs w:val="21"/>
                <w:lang w:bidi="ar"/>
              </w:rPr>
              <w:t>簕竹排水厂</w:t>
            </w:r>
          </w:p>
        </w:tc>
        <w:tc>
          <w:tcPr>
            <w:tcW w:w="5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A48C3">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Cs w:val="21"/>
              </w:rPr>
            </w:pPr>
            <w:r>
              <w:rPr>
                <w:rFonts w:hint="eastAsia" w:ascii="宋体" w:hAnsi="宋体" w:eastAsia="宋体" w:cs="宋体"/>
                <w:color w:val="auto"/>
                <w:kern w:val="0"/>
                <w:szCs w:val="21"/>
                <w:lang w:bidi="ar"/>
              </w:rPr>
              <w:t>东莞市樟木头滨河路45号</w:t>
            </w:r>
          </w:p>
        </w:tc>
      </w:tr>
      <w:tr w14:paraId="45EF4808">
        <w:tblPrEx>
          <w:tblCellMar>
            <w:top w:w="0" w:type="dxa"/>
            <w:left w:w="108" w:type="dxa"/>
            <w:bottom w:w="0" w:type="dxa"/>
            <w:right w:w="108" w:type="dxa"/>
          </w:tblCellMar>
        </w:tblPrEx>
        <w:trPr>
          <w:trHeight w:val="23"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B6BF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kern w:val="0"/>
                <w:szCs w:val="21"/>
                <w:lang w:bidi="ar"/>
              </w:rPr>
              <w:t>48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309D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szCs w:val="21"/>
                <w:lang w:bidi="ar"/>
              </w:rPr>
              <w:t>凤岗第一水厂</w:t>
            </w:r>
          </w:p>
        </w:tc>
        <w:tc>
          <w:tcPr>
            <w:tcW w:w="5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920F1">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Cs w:val="21"/>
              </w:rPr>
            </w:pPr>
            <w:r>
              <w:rPr>
                <w:rFonts w:hint="eastAsia" w:ascii="宋体" w:hAnsi="宋体" w:eastAsia="宋体" w:cs="宋体"/>
                <w:color w:val="auto"/>
                <w:kern w:val="0"/>
                <w:szCs w:val="21"/>
                <w:lang w:bidi="ar"/>
              </w:rPr>
              <w:t>东莞市凤岗镇金凤路花果二巷13号</w:t>
            </w:r>
          </w:p>
        </w:tc>
      </w:tr>
      <w:tr w14:paraId="4B331A04">
        <w:tblPrEx>
          <w:tblCellMar>
            <w:top w:w="0" w:type="dxa"/>
            <w:left w:w="108" w:type="dxa"/>
            <w:bottom w:w="0" w:type="dxa"/>
            <w:right w:w="108" w:type="dxa"/>
          </w:tblCellMar>
        </w:tblPrEx>
        <w:trPr>
          <w:trHeight w:val="23"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B2F6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kern w:val="0"/>
                <w:szCs w:val="21"/>
                <w:lang w:bidi="ar"/>
              </w:rPr>
              <w:t>49</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DC6B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szCs w:val="21"/>
                <w:lang w:bidi="ar"/>
              </w:rPr>
              <w:t>凤岗第二水厂</w:t>
            </w:r>
          </w:p>
        </w:tc>
        <w:tc>
          <w:tcPr>
            <w:tcW w:w="5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7CB1D">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Cs w:val="21"/>
              </w:rPr>
            </w:pPr>
            <w:r>
              <w:rPr>
                <w:rFonts w:hint="eastAsia" w:ascii="宋体" w:hAnsi="宋体" w:eastAsia="宋体" w:cs="宋体"/>
                <w:color w:val="auto"/>
                <w:kern w:val="0"/>
                <w:szCs w:val="21"/>
                <w:lang w:bidi="ar"/>
              </w:rPr>
              <w:t>东莞市凤岗镇沙岭抽水站路8号凤岗第二水厂</w:t>
            </w:r>
          </w:p>
        </w:tc>
      </w:tr>
      <w:tr w14:paraId="519D944C">
        <w:tblPrEx>
          <w:tblCellMar>
            <w:top w:w="0" w:type="dxa"/>
            <w:left w:w="108" w:type="dxa"/>
            <w:bottom w:w="0" w:type="dxa"/>
            <w:right w:w="108" w:type="dxa"/>
          </w:tblCellMar>
        </w:tblPrEx>
        <w:trPr>
          <w:trHeight w:val="23"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3DF4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kern w:val="0"/>
                <w:szCs w:val="21"/>
                <w:lang w:bidi="ar"/>
              </w:rPr>
              <w:t>50</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BD3C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szCs w:val="21"/>
                <w:lang w:bidi="ar"/>
              </w:rPr>
              <w:t>塘厦凤凰水厂</w:t>
            </w:r>
          </w:p>
        </w:tc>
        <w:tc>
          <w:tcPr>
            <w:tcW w:w="5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A6FBB">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Cs w:val="21"/>
              </w:rPr>
            </w:pPr>
            <w:r>
              <w:rPr>
                <w:rFonts w:hint="eastAsia" w:ascii="宋体" w:hAnsi="宋体" w:eastAsia="宋体" w:cs="宋体"/>
                <w:color w:val="auto"/>
                <w:kern w:val="0"/>
                <w:szCs w:val="21"/>
                <w:lang w:bidi="ar"/>
              </w:rPr>
              <w:t>东莞市塘厦镇凤凰岗凤清路65号</w:t>
            </w:r>
          </w:p>
        </w:tc>
      </w:tr>
      <w:tr w14:paraId="26106FE4">
        <w:tblPrEx>
          <w:tblCellMar>
            <w:top w:w="0" w:type="dxa"/>
            <w:left w:w="108" w:type="dxa"/>
            <w:bottom w:w="0" w:type="dxa"/>
            <w:right w:w="108" w:type="dxa"/>
          </w:tblCellMar>
        </w:tblPrEx>
        <w:trPr>
          <w:trHeight w:val="23"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0F75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kern w:val="0"/>
                <w:szCs w:val="21"/>
                <w:lang w:bidi="ar"/>
              </w:rPr>
              <w:t>51</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CE8A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szCs w:val="21"/>
                <w:lang w:bidi="ar"/>
              </w:rPr>
              <w:t>塘厦中心水厂</w:t>
            </w:r>
          </w:p>
        </w:tc>
        <w:tc>
          <w:tcPr>
            <w:tcW w:w="5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9BC28">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Cs w:val="21"/>
              </w:rPr>
            </w:pPr>
            <w:r>
              <w:rPr>
                <w:rFonts w:hint="eastAsia" w:ascii="宋体" w:hAnsi="宋体" w:eastAsia="宋体" w:cs="宋体"/>
                <w:color w:val="auto"/>
                <w:kern w:val="0"/>
                <w:szCs w:val="21"/>
                <w:lang w:bidi="ar"/>
              </w:rPr>
              <w:t>东莞市塘厦镇东深一路8号</w:t>
            </w:r>
          </w:p>
        </w:tc>
      </w:tr>
      <w:tr w14:paraId="6B024759">
        <w:tblPrEx>
          <w:tblCellMar>
            <w:top w:w="0" w:type="dxa"/>
            <w:left w:w="108" w:type="dxa"/>
            <w:bottom w:w="0" w:type="dxa"/>
            <w:right w:w="108" w:type="dxa"/>
          </w:tblCellMar>
        </w:tblPrEx>
        <w:trPr>
          <w:trHeight w:val="23"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1356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kern w:val="0"/>
                <w:szCs w:val="21"/>
                <w:lang w:bidi="ar"/>
              </w:rPr>
              <w:t>52</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53F1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szCs w:val="21"/>
                <w:lang w:bidi="ar"/>
              </w:rPr>
              <w:t>塘厦虾公岩水厂</w:t>
            </w:r>
          </w:p>
        </w:tc>
        <w:tc>
          <w:tcPr>
            <w:tcW w:w="5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15978">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Cs w:val="21"/>
              </w:rPr>
            </w:pPr>
            <w:r>
              <w:rPr>
                <w:rFonts w:hint="eastAsia" w:ascii="宋体" w:hAnsi="宋体" w:eastAsia="宋体" w:cs="宋体"/>
                <w:color w:val="auto"/>
                <w:kern w:val="0"/>
                <w:szCs w:val="21"/>
                <w:lang w:bidi="ar"/>
              </w:rPr>
              <w:t>东莞市塘厦镇大坪四黎南路170号-1</w:t>
            </w:r>
          </w:p>
        </w:tc>
      </w:tr>
      <w:tr w14:paraId="1D1EDC0C">
        <w:tblPrEx>
          <w:tblCellMar>
            <w:top w:w="0" w:type="dxa"/>
            <w:left w:w="108" w:type="dxa"/>
            <w:bottom w:w="0" w:type="dxa"/>
            <w:right w:w="108" w:type="dxa"/>
          </w:tblCellMar>
        </w:tblPrEx>
        <w:trPr>
          <w:trHeight w:val="23"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9A29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kern w:val="0"/>
                <w:szCs w:val="21"/>
                <w:lang w:bidi="ar"/>
              </w:rPr>
              <w:t>53</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C2AA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szCs w:val="21"/>
                <w:lang w:bidi="ar"/>
              </w:rPr>
              <w:t>塘厦牛眠埔水厂</w:t>
            </w:r>
          </w:p>
        </w:tc>
        <w:tc>
          <w:tcPr>
            <w:tcW w:w="5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C3090">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Cs w:val="21"/>
              </w:rPr>
            </w:pPr>
            <w:r>
              <w:rPr>
                <w:rFonts w:hint="eastAsia" w:ascii="宋体" w:hAnsi="宋体" w:eastAsia="宋体" w:cs="宋体"/>
                <w:color w:val="auto"/>
                <w:kern w:val="0"/>
                <w:szCs w:val="21"/>
                <w:lang w:bidi="ar"/>
              </w:rPr>
              <w:t>东莞市塘厦镇龙背岭牛眠埔新围路28号</w:t>
            </w:r>
          </w:p>
        </w:tc>
      </w:tr>
      <w:tr w14:paraId="5918E9B9">
        <w:tblPrEx>
          <w:tblCellMar>
            <w:top w:w="0" w:type="dxa"/>
            <w:left w:w="108" w:type="dxa"/>
            <w:bottom w:w="0" w:type="dxa"/>
            <w:right w:w="108" w:type="dxa"/>
          </w:tblCellMar>
        </w:tblPrEx>
        <w:trPr>
          <w:trHeight w:val="23"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B428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kern w:val="0"/>
                <w:szCs w:val="21"/>
                <w:lang w:bidi="ar"/>
              </w:rPr>
              <w:t>54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2E4A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szCs w:val="21"/>
                <w:lang w:bidi="ar"/>
              </w:rPr>
              <w:t>石碣水厂</w:t>
            </w:r>
          </w:p>
        </w:tc>
        <w:tc>
          <w:tcPr>
            <w:tcW w:w="5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7F333">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Cs w:val="21"/>
              </w:rPr>
            </w:pPr>
            <w:r>
              <w:rPr>
                <w:rFonts w:hint="eastAsia" w:ascii="宋体" w:hAnsi="宋体" w:eastAsia="宋体" w:cs="宋体"/>
                <w:color w:val="auto"/>
                <w:kern w:val="0"/>
                <w:szCs w:val="21"/>
                <w:lang w:bidi="ar"/>
              </w:rPr>
              <w:t>东莞市石碣镇石碣同德路2号</w:t>
            </w:r>
          </w:p>
        </w:tc>
      </w:tr>
      <w:tr w14:paraId="6848CB4A">
        <w:tblPrEx>
          <w:tblCellMar>
            <w:top w:w="0" w:type="dxa"/>
            <w:left w:w="108" w:type="dxa"/>
            <w:bottom w:w="0" w:type="dxa"/>
            <w:right w:w="108" w:type="dxa"/>
          </w:tblCellMar>
        </w:tblPrEx>
        <w:trPr>
          <w:trHeight w:val="23"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E33A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kern w:val="0"/>
                <w:szCs w:val="21"/>
                <w:lang w:bidi="ar"/>
              </w:rPr>
              <w:t>55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0F32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szCs w:val="21"/>
                <w:lang w:bidi="ar"/>
              </w:rPr>
              <w:t>黄洲水厂</w:t>
            </w:r>
          </w:p>
        </w:tc>
        <w:tc>
          <w:tcPr>
            <w:tcW w:w="5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D1534">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Cs w:val="21"/>
              </w:rPr>
            </w:pPr>
            <w:r>
              <w:rPr>
                <w:rFonts w:hint="eastAsia" w:ascii="宋体" w:hAnsi="宋体" w:eastAsia="宋体" w:cs="宋体"/>
                <w:color w:val="auto"/>
                <w:kern w:val="0"/>
                <w:szCs w:val="21"/>
                <w:lang w:bidi="ar"/>
              </w:rPr>
              <w:t>东莞市石龙镇黄洲水源路6号</w:t>
            </w:r>
          </w:p>
        </w:tc>
      </w:tr>
      <w:tr w14:paraId="32CE3432">
        <w:tblPrEx>
          <w:tblCellMar>
            <w:top w:w="0" w:type="dxa"/>
            <w:left w:w="108" w:type="dxa"/>
            <w:bottom w:w="0" w:type="dxa"/>
            <w:right w:w="108" w:type="dxa"/>
          </w:tblCellMar>
        </w:tblPrEx>
        <w:trPr>
          <w:trHeight w:val="23"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4330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kern w:val="0"/>
                <w:szCs w:val="21"/>
                <w:lang w:bidi="ar"/>
              </w:rPr>
              <w:t>56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2838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szCs w:val="21"/>
                <w:lang w:bidi="ar"/>
              </w:rPr>
              <w:t>西湖水厂</w:t>
            </w:r>
          </w:p>
        </w:tc>
        <w:tc>
          <w:tcPr>
            <w:tcW w:w="5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1DB3F">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Cs w:val="21"/>
              </w:rPr>
            </w:pPr>
            <w:r>
              <w:rPr>
                <w:rFonts w:hint="eastAsia" w:ascii="宋体" w:hAnsi="宋体" w:eastAsia="宋体" w:cs="宋体"/>
                <w:color w:val="auto"/>
                <w:kern w:val="0"/>
                <w:szCs w:val="21"/>
                <w:lang w:bidi="ar"/>
              </w:rPr>
              <w:t>东莞市石龙镇西湖东路111号</w:t>
            </w:r>
          </w:p>
        </w:tc>
      </w:tr>
      <w:tr w14:paraId="3FE0AB14">
        <w:tblPrEx>
          <w:tblCellMar>
            <w:top w:w="0" w:type="dxa"/>
            <w:left w:w="108" w:type="dxa"/>
            <w:bottom w:w="0" w:type="dxa"/>
            <w:right w:w="108" w:type="dxa"/>
          </w:tblCellMar>
        </w:tblPrEx>
        <w:trPr>
          <w:trHeight w:val="23"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DFEE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kern w:val="0"/>
                <w:szCs w:val="21"/>
                <w:lang w:bidi="ar"/>
              </w:rPr>
              <w:t>57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FF5D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szCs w:val="21"/>
                <w:lang w:bidi="ar"/>
              </w:rPr>
              <w:t>茶山供水二厂</w:t>
            </w:r>
          </w:p>
        </w:tc>
        <w:tc>
          <w:tcPr>
            <w:tcW w:w="5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F495E">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Cs w:val="21"/>
              </w:rPr>
            </w:pPr>
            <w:r>
              <w:rPr>
                <w:rFonts w:hint="eastAsia" w:ascii="宋体" w:hAnsi="宋体" w:eastAsia="宋体" w:cs="宋体"/>
                <w:color w:val="auto"/>
                <w:kern w:val="0"/>
                <w:szCs w:val="21"/>
                <w:lang w:bidi="ar"/>
              </w:rPr>
              <w:t>东莞市东江大道茶山段1号</w:t>
            </w:r>
          </w:p>
        </w:tc>
      </w:tr>
      <w:tr w14:paraId="1637D44E">
        <w:tblPrEx>
          <w:tblCellMar>
            <w:top w:w="0" w:type="dxa"/>
            <w:left w:w="108" w:type="dxa"/>
            <w:bottom w:w="0" w:type="dxa"/>
            <w:right w:w="108" w:type="dxa"/>
          </w:tblCellMar>
        </w:tblPrEx>
        <w:trPr>
          <w:trHeight w:val="23"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5166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kern w:val="0"/>
                <w:szCs w:val="21"/>
                <w:lang w:bidi="ar"/>
              </w:rPr>
              <w:t>58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29C3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szCs w:val="21"/>
                <w:lang w:bidi="ar"/>
              </w:rPr>
              <w:t>企石水厂</w:t>
            </w:r>
          </w:p>
        </w:tc>
        <w:tc>
          <w:tcPr>
            <w:tcW w:w="5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2932E">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Cs w:val="21"/>
              </w:rPr>
            </w:pPr>
            <w:r>
              <w:rPr>
                <w:rFonts w:hint="eastAsia" w:ascii="宋体" w:hAnsi="宋体" w:eastAsia="宋体" w:cs="宋体"/>
                <w:color w:val="auto"/>
                <w:kern w:val="0"/>
                <w:szCs w:val="21"/>
                <w:lang w:bidi="ar"/>
              </w:rPr>
              <w:t>东莞市企石镇黄大仙路56号</w:t>
            </w:r>
          </w:p>
        </w:tc>
      </w:tr>
      <w:tr w14:paraId="76C4A65E">
        <w:tblPrEx>
          <w:tblCellMar>
            <w:top w:w="0" w:type="dxa"/>
            <w:left w:w="108" w:type="dxa"/>
            <w:bottom w:w="0" w:type="dxa"/>
            <w:right w:w="108" w:type="dxa"/>
          </w:tblCellMar>
        </w:tblPrEx>
        <w:trPr>
          <w:trHeight w:val="23"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7BCE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kern w:val="0"/>
                <w:szCs w:val="21"/>
                <w:lang w:bidi="ar"/>
              </w:rPr>
              <w:t>59</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030B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szCs w:val="21"/>
                <w:lang w:bidi="ar"/>
              </w:rPr>
              <w:t>石排水厂</w:t>
            </w:r>
          </w:p>
        </w:tc>
        <w:tc>
          <w:tcPr>
            <w:tcW w:w="5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25717">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Cs w:val="21"/>
              </w:rPr>
            </w:pPr>
            <w:r>
              <w:rPr>
                <w:rFonts w:hint="eastAsia" w:ascii="宋体" w:hAnsi="宋体" w:eastAsia="宋体" w:cs="宋体"/>
                <w:color w:val="auto"/>
                <w:kern w:val="0"/>
                <w:szCs w:val="21"/>
                <w:lang w:bidi="ar"/>
              </w:rPr>
              <w:t>东莞市石排镇东江大道石排段52号</w:t>
            </w:r>
          </w:p>
        </w:tc>
      </w:tr>
      <w:tr w14:paraId="517F3ED0">
        <w:tblPrEx>
          <w:tblCellMar>
            <w:top w:w="0" w:type="dxa"/>
            <w:left w:w="108" w:type="dxa"/>
            <w:bottom w:w="0" w:type="dxa"/>
            <w:right w:w="108" w:type="dxa"/>
          </w:tblCellMar>
        </w:tblPrEx>
        <w:trPr>
          <w:trHeight w:val="23"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52FC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kern w:val="0"/>
                <w:szCs w:val="21"/>
                <w:lang w:bidi="ar"/>
              </w:rPr>
              <w:t>60</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82E1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szCs w:val="21"/>
                <w:lang w:bidi="ar"/>
              </w:rPr>
              <w:t>大岭山长湖水厂</w:t>
            </w:r>
          </w:p>
        </w:tc>
        <w:tc>
          <w:tcPr>
            <w:tcW w:w="535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D5560">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Cs w:val="21"/>
              </w:rPr>
            </w:pPr>
            <w:r>
              <w:rPr>
                <w:rFonts w:hint="eastAsia" w:ascii="宋体" w:hAnsi="宋体" w:eastAsia="宋体" w:cs="宋体"/>
                <w:color w:val="auto"/>
                <w:kern w:val="0"/>
                <w:szCs w:val="21"/>
                <w:lang w:bidi="ar"/>
              </w:rPr>
              <w:t>东莞市大岭山镇大岭山大道592号</w:t>
            </w:r>
          </w:p>
        </w:tc>
      </w:tr>
      <w:tr w14:paraId="6FEB83D9">
        <w:tblPrEx>
          <w:tblCellMar>
            <w:top w:w="0" w:type="dxa"/>
            <w:left w:w="108" w:type="dxa"/>
            <w:bottom w:w="0" w:type="dxa"/>
            <w:right w:w="108" w:type="dxa"/>
          </w:tblCellMar>
        </w:tblPrEx>
        <w:trPr>
          <w:trHeight w:val="23"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2F77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kern w:val="0"/>
                <w:szCs w:val="21"/>
                <w:lang w:bidi="ar"/>
              </w:rPr>
              <w:t>61</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F927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szCs w:val="21"/>
                <w:lang w:bidi="ar"/>
              </w:rPr>
              <w:t>大岭山金鸡咀水厂</w:t>
            </w:r>
          </w:p>
        </w:tc>
        <w:tc>
          <w:tcPr>
            <w:tcW w:w="53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AE5CB">
            <w:pPr>
              <w:keepNext w:val="0"/>
              <w:keepLines w:val="0"/>
              <w:suppressLineNumbers w:val="0"/>
              <w:spacing w:before="0" w:beforeAutospacing="0" w:after="0" w:afterAutospacing="0"/>
              <w:ind w:left="0" w:right="0"/>
              <w:jc w:val="both"/>
              <w:rPr>
                <w:rFonts w:hint="default" w:ascii="宋体" w:hAnsi="宋体" w:eastAsia="宋体" w:cs="宋体"/>
                <w:color w:val="auto"/>
                <w:szCs w:val="21"/>
              </w:rPr>
            </w:pPr>
          </w:p>
        </w:tc>
      </w:tr>
      <w:tr w14:paraId="718C0540">
        <w:tblPrEx>
          <w:tblCellMar>
            <w:top w:w="0" w:type="dxa"/>
            <w:left w:w="108" w:type="dxa"/>
            <w:bottom w:w="0" w:type="dxa"/>
            <w:right w:w="108" w:type="dxa"/>
          </w:tblCellMar>
        </w:tblPrEx>
        <w:trPr>
          <w:trHeight w:val="23"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AC79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kern w:val="0"/>
                <w:szCs w:val="21"/>
                <w:lang w:bidi="ar"/>
              </w:rPr>
              <w:t>62</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FB8F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kern w:val="0"/>
                <w:szCs w:val="21"/>
                <w:lang w:bidi="ar"/>
              </w:rPr>
              <w:t>松山湖水厂</w:t>
            </w:r>
          </w:p>
        </w:tc>
        <w:tc>
          <w:tcPr>
            <w:tcW w:w="5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0CF06">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Cs w:val="21"/>
              </w:rPr>
            </w:pPr>
            <w:r>
              <w:rPr>
                <w:rFonts w:hint="eastAsia" w:ascii="宋体" w:hAnsi="宋体" w:eastAsia="宋体" w:cs="宋体"/>
                <w:color w:val="auto"/>
                <w:kern w:val="0"/>
                <w:szCs w:val="21"/>
                <w:lang w:bidi="ar"/>
              </w:rPr>
              <w:t>中铁四局集团东莞松山湖水厂第一期工程</w:t>
            </w:r>
          </w:p>
        </w:tc>
      </w:tr>
      <w:tr w14:paraId="03FB0F7F">
        <w:tblPrEx>
          <w:tblCellMar>
            <w:top w:w="0" w:type="dxa"/>
            <w:left w:w="108" w:type="dxa"/>
            <w:bottom w:w="0" w:type="dxa"/>
            <w:right w:w="108" w:type="dxa"/>
          </w:tblCellMar>
        </w:tblPrEx>
        <w:trPr>
          <w:trHeight w:val="23"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22BF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kern w:val="0"/>
                <w:szCs w:val="21"/>
                <w:lang w:bidi="ar"/>
              </w:rPr>
              <w:t>63</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0954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szCs w:val="21"/>
                <w:lang w:bidi="ar"/>
              </w:rPr>
              <w:t>横沥水厂</w:t>
            </w:r>
          </w:p>
        </w:tc>
        <w:tc>
          <w:tcPr>
            <w:tcW w:w="5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43445">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Cs w:val="21"/>
              </w:rPr>
            </w:pPr>
            <w:r>
              <w:rPr>
                <w:rFonts w:hint="eastAsia" w:ascii="宋体" w:hAnsi="宋体" w:eastAsia="宋体" w:cs="宋体"/>
                <w:color w:val="auto"/>
                <w:kern w:val="0"/>
                <w:szCs w:val="21"/>
                <w:lang w:bidi="ar"/>
              </w:rPr>
              <w:t>东莞市横沥镇东环路260号</w:t>
            </w:r>
          </w:p>
        </w:tc>
      </w:tr>
    </w:tbl>
    <w:p w14:paraId="3AB7ACF4">
      <w:pPr>
        <w:widowControl/>
        <w:spacing w:line="360" w:lineRule="auto"/>
        <w:rPr>
          <w:rFonts w:ascii="宋体" w:hAnsi="宋体" w:eastAsia="宋体" w:cs="宋体"/>
          <w:color w:val="auto"/>
          <w:szCs w:val="21"/>
        </w:rPr>
      </w:pPr>
    </w:p>
    <w:p w14:paraId="51B4CE66">
      <w:pPr>
        <w:widowControl/>
        <w:spacing w:line="360" w:lineRule="auto"/>
        <w:ind w:firstLine="210" w:firstLineChars="100"/>
        <w:rPr>
          <w:rFonts w:ascii="宋体" w:hAnsi="宋体" w:eastAsia="宋体" w:cs="宋体"/>
          <w:color w:val="auto"/>
          <w:szCs w:val="21"/>
        </w:rPr>
      </w:pPr>
      <w:r>
        <w:rPr>
          <w:rFonts w:hint="eastAsia" w:ascii="宋体" w:hAnsi="宋体" w:eastAsia="宋体" w:cs="宋体"/>
          <w:color w:val="auto"/>
          <w:szCs w:val="21"/>
        </w:rPr>
        <w:t>2、净水公司供货点：</w:t>
      </w:r>
    </w:p>
    <w:tbl>
      <w:tblPr>
        <w:tblStyle w:val="45"/>
        <w:tblW w:w="8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8"/>
        <w:gridCol w:w="2323"/>
        <w:gridCol w:w="5419"/>
      </w:tblGrid>
      <w:tr w14:paraId="3DCFD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8" w:type="dxa"/>
            <w:noWrap/>
            <w:vAlign w:val="center"/>
          </w:tcPr>
          <w:p w14:paraId="31003C9D">
            <w:pPr>
              <w:keepNext w:val="0"/>
              <w:keepLines w:val="0"/>
              <w:widowControl/>
              <w:suppressLineNumbers w:val="0"/>
              <w:spacing w:before="0" w:beforeAutospacing="0" w:after="0" w:afterAutospacing="0"/>
              <w:ind w:left="0" w:right="0"/>
              <w:jc w:val="center"/>
              <w:rPr>
                <w:rFonts w:hint="default" w:ascii="宋体" w:hAnsi="宋体" w:eastAsia="宋体" w:cs="宋体"/>
                <w:b/>
                <w:bCs/>
                <w:color w:val="auto"/>
                <w:szCs w:val="21"/>
              </w:rPr>
            </w:pPr>
            <w:r>
              <w:rPr>
                <w:rFonts w:hint="eastAsia" w:ascii="宋体" w:hAnsi="宋体" w:eastAsia="宋体" w:cs="宋体"/>
                <w:b/>
                <w:bCs/>
                <w:color w:val="auto"/>
                <w:szCs w:val="21"/>
              </w:rPr>
              <w:t>序号</w:t>
            </w:r>
          </w:p>
        </w:tc>
        <w:tc>
          <w:tcPr>
            <w:tcW w:w="2323" w:type="dxa"/>
            <w:vAlign w:val="center"/>
          </w:tcPr>
          <w:p w14:paraId="00257FDF">
            <w:pPr>
              <w:keepNext w:val="0"/>
              <w:keepLines w:val="0"/>
              <w:widowControl/>
              <w:suppressLineNumbers w:val="0"/>
              <w:spacing w:before="0" w:beforeAutospacing="0" w:after="0" w:afterAutospacing="0"/>
              <w:ind w:left="0" w:right="0"/>
              <w:jc w:val="center"/>
              <w:rPr>
                <w:rFonts w:hint="default" w:ascii="宋体" w:hAnsi="宋体" w:eastAsia="宋体" w:cs="宋体"/>
                <w:b/>
                <w:bCs/>
                <w:color w:val="auto"/>
                <w:szCs w:val="21"/>
              </w:rPr>
            </w:pPr>
            <w:r>
              <w:rPr>
                <w:rFonts w:hint="eastAsia" w:ascii="宋体" w:hAnsi="宋体" w:eastAsia="宋体" w:cs="宋体"/>
                <w:b/>
                <w:bCs/>
                <w:color w:val="auto"/>
                <w:szCs w:val="21"/>
              </w:rPr>
              <w:t>项目名称</w:t>
            </w:r>
          </w:p>
        </w:tc>
        <w:tc>
          <w:tcPr>
            <w:tcW w:w="5419" w:type="dxa"/>
            <w:vAlign w:val="center"/>
          </w:tcPr>
          <w:p w14:paraId="09C410F1">
            <w:pPr>
              <w:keepNext w:val="0"/>
              <w:keepLines w:val="0"/>
              <w:widowControl/>
              <w:suppressLineNumbers w:val="0"/>
              <w:spacing w:before="0" w:beforeAutospacing="0" w:after="0" w:afterAutospacing="0"/>
              <w:ind w:left="0" w:right="0"/>
              <w:jc w:val="center"/>
              <w:rPr>
                <w:rFonts w:hint="default" w:ascii="宋体" w:hAnsi="宋体" w:eastAsia="宋体" w:cs="宋体"/>
                <w:b/>
                <w:bCs/>
                <w:color w:val="auto"/>
                <w:szCs w:val="21"/>
              </w:rPr>
            </w:pPr>
            <w:r>
              <w:rPr>
                <w:rFonts w:hint="eastAsia" w:ascii="宋体" w:hAnsi="宋体" w:eastAsia="宋体" w:cs="宋体"/>
                <w:b/>
                <w:color w:val="auto"/>
                <w:szCs w:val="21"/>
              </w:rPr>
              <w:t>交货地址</w:t>
            </w:r>
          </w:p>
        </w:tc>
      </w:tr>
      <w:tr w14:paraId="4125E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8" w:type="dxa"/>
            <w:noWrap/>
            <w:vAlign w:val="center"/>
          </w:tcPr>
          <w:p w14:paraId="03992326">
            <w:pPr>
              <w:keepNext w:val="0"/>
              <w:keepLines w:val="0"/>
              <w:widowControl/>
              <w:suppressLineNumbers w:val="0"/>
              <w:spacing w:before="0" w:beforeAutospacing="0" w:after="0" w:afterAutospacing="0"/>
              <w:ind w:left="0" w:right="0"/>
              <w:jc w:val="center"/>
              <w:rPr>
                <w:rFonts w:hint="default" w:ascii="宋体" w:hAnsi="宋体" w:eastAsia="宋体" w:cs="宋体"/>
                <w:color w:val="auto"/>
                <w:szCs w:val="21"/>
              </w:rPr>
            </w:pPr>
            <w:r>
              <w:rPr>
                <w:rFonts w:hint="eastAsia" w:ascii="宋体" w:hAnsi="宋体" w:eastAsia="宋体" w:cs="宋体"/>
                <w:color w:val="auto"/>
                <w:szCs w:val="21"/>
              </w:rPr>
              <w:t>1</w:t>
            </w:r>
          </w:p>
        </w:tc>
        <w:tc>
          <w:tcPr>
            <w:tcW w:w="2323" w:type="dxa"/>
            <w:tcBorders>
              <w:right w:val="single" w:color="auto" w:sz="4" w:space="0"/>
            </w:tcBorders>
            <w:vAlign w:val="center"/>
          </w:tcPr>
          <w:p w14:paraId="2F94181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lang w:bidi="ar"/>
              </w:rPr>
            </w:pPr>
            <w:r>
              <w:rPr>
                <w:rFonts w:hint="eastAsia" w:ascii="宋体" w:hAnsi="宋体" w:eastAsia="宋体" w:cs="宋体"/>
                <w:color w:val="auto"/>
                <w:szCs w:val="21"/>
                <w:lang w:bidi="ar"/>
              </w:rPr>
              <w:t>净水公司</w:t>
            </w:r>
          </w:p>
        </w:tc>
        <w:tc>
          <w:tcPr>
            <w:tcW w:w="5419" w:type="dxa"/>
            <w:vAlign w:val="center"/>
          </w:tcPr>
          <w:p w14:paraId="3B0B2523">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Cs w:val="21"/>
                <w:lang w:bidi="ar"/>
              </w:rPr>
            </w:pPr>
            <w:r>
              <w:rPr>
                <w:rFonts w:hint="eastAsia" w:ascii="宋体" w:hAnsi="宋体" w:eastAsia="宋体" w:cs="宋体"/>
                <w:color w:val="auto"/>
                <w:szCs w:val="21"/>
                <w:lang w:bidi="ar"/>
              </w:rPr>
              <w:t>东莞市滨河路100号</w:t>
            </w:r>
          </w:p>
        </w:tc>
      </w:tr>
      <w:tr w14:paraId="350EB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8" w:type="dxa"/>
            <w:noWrap/>
            <w:vAlign w:val="center"/>
          </w:tcPr>
          <w:p w14:paraId="6C638FC1">
            <w:pPr>
              <w:keepNext w:val="0"/>
              <w:keepLines w:val="0"/>
              <w:widowControl/>
              <w:suppressLineNumbers w:val="0"/>
              <w:spacing w:before="0" w:beforeAutospacing="0" w:after="0" w:afterAutospacing="0"/>
              <w:ind w:left="0" w:right="0"/>
              <w:jc w:val="center"/>
              <w:rPr>
                <w:rFonts w:hint="default" w:ascii="宋体" w:hAnsi="宋体" w:eastAsia="宋体" w:cs="宋体"/>
                <w:color w:val="auto"/>
                <w:szCs w:val="21"/>
              </w:rPr>
            </w:pPr>
            <w:r>
              <w:rPr>
                <w:rFonts w:hint="eastAsia" w:ascii="宋体" w:hAnsi="宋体" w:eastAsia="宋体" w:cs="宋体"/>
                <w:color w:val="auto"/>
                <w:szCs w:val="21"/>
              </w:rPr>
              <w:t>2</w:t>
            </w:r>
          </w:p>
        </w:tc>
        <w:tc>
          <w:tcPr>
            <w:tcW w:w="2323" w:type="dxa"/>
            <w:tcBorders>
              <w:right w:val="single" w:color="auto" w:sz="4" w:space="0"/>
            </w:tcBorders>
            <w:vAlign w:val="center"/>
          </w:tcPr>
          <w:p w14:paraId="2DEEF4E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szCs w:val="21"/>
                <w:lang w:bidi="ar"/>
              </w:rPr>
              <w:t>东江下游片区分公司</w:t>
            </w:r>
          </w:p>
        </w:tc>
        <w:tc>
          <w:tcPr>
            <w:tcW w:w="5419" w:type="dxa"/>
            <w:vAlign w:val="center"/>
          </w:tcPr>
          <w:p w14:paraId="7BA4B2A2">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Cs w:val="21"/>
              </w:rPr>
            </w:pPr>
            <w:r>
              <w:rPr>
                <w:rFonts w:hint="eastAsia" w:ascii="宋体" w:hAnsi="宋体" w:eastAsia="宋体" w:cs="宋体"/>
                <w:color w:val="auto"/>
                <w:szCs w:val="21"/>
                <w:lang w:bidi="ar"/>
              </w:rPr>
              <w:t>东莞市滨河路100号</w:t>
            </w:r>
          </w:p>
        </w:tc>
      </w:tr>
      <w:tr w14:paraId="403EE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8" w:type="dxa"/>
            <w:noWrap/>
            <w:vAlign w:val="center"/>
          </w:tcPr>
          <w:p w14:paraId="57C737A6">
            <w:pPr>
              <w:keepNext w:val="0"/>
              <w:keepLines w:val="0"/>
              <w:widowControl/>
              <w:suppressLineNumbers w:val="0"/>
              <w:spacing w:before="0" w:beforeAutospacing="0" w:after="0" w:afterAutospacing="0"/>
              <w:ind w:left="0" w:right="0"/>
              <w:jc w:val="center"/>
              <w:rPr>
                <w:rFonts w:hint="default" w:ascii="宋体" w:hAnsi="宋体" w:eastAsia="宋体" w:cs="宋体"/>
                <w:color w:val="auto"/>
                <w:szCs w:val="21"/>
              </w:rPr>
            </w:pPr>
            <w:r>
              <w:rPr>
                <w:rFonts w:hint="eastAsia" w:ascii="宋体" w:hAnsi="宋体" w:eastAsia="宋体" w:cs="宋体"/>
                <w:color w:val="auto"/>
                <w:szCs w:val="21"/>
              </w:rPr>
              <w:t>3</w:t>
            </w:r>
          </w:p>
        </w:tc>
        <w:tc>
          <w:tcPr>
            <w:tcW w:w="2323" w:type="dxa"/>
            <w:tcBorders>
              <w:right w:val="single" w:color="auto" w:sz="4" w:space="0"/>
            </w:tcBorders>
            <w:vAlign w:val="center"/>
          </w:tcPr>
          <w:p w14:paraId="00F65B6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lang w:bidi="ar"/>
              </w:rPr>
            </w:pPr>
            <w:r>
              <w:rPr>
                <w:rFonts w:hint="eastAsia" w:ascii="宋体" w:hAnsi="宋体" w:eastAsia="宋体" w:cs="宋体"/>
                <w:color w:val="auto"/>
                <w:szCs w:val="21"/>
                <w:lang w:bidi="ar"/>
              </w:rPr>
              <w:t>东引运河片区分公司</w:t>
            </w:r>
          </w:p>
        </w:tc>
        <w:tc>
          <w:tcPr>
            <w:tcW w:w="5419" w:type="dxa"/>
            <w:vAlign w:val="center"/>
          </w:tcPr>
          <w:p w14:paraId="3B427E30">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Cs w:val="21"/>
                <w:lang w:bidi="ar"/>
              </w:rPr>
            </w:pPr>
            <w:r>
              <w:rPr>
                <w:rFonts w:hint="eastAsia" w:ascii="宋体" w:hAnsi="宋体" w:eastAsia="宋体" w:cs="宋体"/>
                <w:color w:val="auto"/>
                <w:szCs w:val="21"/>
                <w:lang w:bidi="ar"/>
              </w:rPr>
              <w:t>东莞市寮步镇竹园村虚舟路</w:t>
            </w:r>
          </w:p>
        </w:tc>
      </w:tr>
      <w:tr w14:paraId="71CBA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8" w:type="dxa"/>
            <w:noWrap/>
            <w:vAlign w:val="center"/>
          </w:tcPr>
          <w:p w14:paraId="5DF8A22A">
            <w:pPr>
              <w:keepNext w:val="0"/>
              <w:keepLines w:val="0"/>
              <w:widowControl/>
              <w:suppressLineNumbers w:val="0"/>
              <w:spacing w:before="0" w:beforeAutospacing="0" w:after="0" w:afterAutospacing="0"/>
              <w:ind w:left="0" w:right="0"/>
              <w:jc w:val="center"/>
              <w:rPr>
                <w:rFonts w:hint="default" w:ascii="宋体" w:hAnsi="宋体" w:eastAsia="宋体" w:cs="宋体"/>
                <w:color w:val="auto"/>
                <w:szCs w:val="21"/>
              </w:rPr>
            </w:pPr>
            <w:r>
              <w:rPr>
                <w:rFonts w:hint="eastAsia" w:ascii="宋体" w:hAnsi="宋体" w:eastAsia="宋体" w:cs="宋体"/>
                <w:color w:val="auto"/>
                <w:szCs w:val="21"/>
              </w:rPr>
              <w:t>4</w:t>
            </w:r>
          </w:p>
        </w:tc>
        <w:tc>
          <w:tcPr>
            <w:tcW w:w="2323" w:type="dxa"/>
            <w:tcBorders>
              <w:right w:val="single" w:color="auto" w:sz="4" w:space="0"/>
            </w:tcBorders>
            <w:vAlign w:val="center"/>
          </w:tcPr>
          <w:p w14:paraId="63120D8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lang w:bidi="ar"/>
              </w:rPr>
            </w:pPr>
            <w:r>
              <w:rPr>
                <w:rFonts w:hint="eastAsia" w:ascii="宋体" w:hAnsi="宋体" w:eastAsia="宋体" w:cs="宋体"/>
                <w:color w:val="auto"/>
                <w:szCs w:val="21"/>
                <w:lang w:bidi="ar"/>
              </w:rPr>
              <w:t>滨海湾片区分公司</w:t>
            </w:r>
          </w:p>
        </w:tc>
        <w:tc>
          <w:tcPr>
            <w:tcW w:w="5419" w:type="dxa"/>
            <w:vAlign w:val="center"/>
          </w:tcPr>
          <w:p w14:paraId="13536640">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Cs w:val="21"/>
                <w:lang w:bidi="ar"/>
              </w:rPr>
            </w:pPr>
            <w:r>
              <w:rPr>
                <w:rFonts w:hint="eastAsia" w:ascii="宋体" w:hAnsi="宋体" w:eastAsia="宋体" w:cs="宋体"/>
                <w:color w:val="auto"/>
                <w:szCs w:val="21"/>
                <w:lang w:bidi="ar"/>
              </w:rPr>
              <w:t>东莞市长安镇兴发路长安新区污水处理厂</w:t>
            </w:r>
          </w:p>
        </w:tc>
      </w:tr>
      <w:tr w14:paraId="74010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8" w:type="dxa"/>
            <w:noWrap/>
            <w:vAlign w:val="center"/>
          </w:tcPr>
          <w:p w14:paraId="2FB275AA">
            <w:pPr>
              <w:keepNext w:val="0"/>
              <w:keepLines w:val="0"/>
              <w:widowControl/>
              <w:suppressLineNumbers w:val="0"/>
              <w:spacing w:before="0" w:beforeAutospacing="0" w:after="0" w:afterAutospacing="0"/>
              <w:ind w:left="0" w:right="0"/>
              <w:jc w:val="center"/>
              <w:rPr>
                <w:rFonts w:hint="default" w:ascii="宋体" w:hAnsi="宋体" w:eastAsia="宋体" w:cs="宋体"/>
                <w:color w:val="auto"/>
                <w:szCs w:val="21"/>
              </w:rPr>
            </w:pPr>
            <w:r>
              <w:rPr>
                <w:rFonts w:hint="eastAsia" w:ascii="宋体" w:hAnsi="宋体" w:eastAsia="宋体" w:cs="宋体"/>
                <w:color w:val="auto"/>
                <w:szCs w:val="21"/>
              </w:rPr>
              <w:t>5</w:t>
            </w:r>
          </w:p>
        </w:tc>
        <w:tc>
          <w:tcPr>
            <w:tcW w:w="2323" w:type="dxa"/>
            <w:tcBorders>
              <w:right w:val="single" w:color="auto" w:sz="4" w:space="0"/>
            </w:tcBorders>
            <w:vAlign w:val="center"/>
          </w:tcPr>
          <w:p w14:paraId="10E8D63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lang w:bidi="ar"/>
              </w:rPr>
            </w:pPr>
            <w:r>
              <w:rPr>
                <w:rFonts w:hint="eastAsia" w:ascii="宋体" w:hAnsi="宋体" w:eastAsia="宋体" w:cs="宋体"/>
                <w:color w:val="auto"/>
                <w:szCs w:val="21"/>
                <w:lang w:bidi="ar"/>
              </w:rPr>
              <w:t>谢岗二期</w:t>
            </w:r>
          </w:p>
        </w:tc>
        <w:tc>
          <w:tcPr>
            <w:tcW w:w="5419" w:type="dxa"/>
            <w:vAlign w:val="center"/>
          </w:tcPr>
          <w:p w14:paraId="7D049690">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Cs w:val="21"/>
                <w:lang w:bidi="ar"/>
              </w:rPr>
            </w:pPr>
            <w:r>
              <w:rPr>
                <w:rFonts w:hint="eastAsia" w:ascii="宋体" w:hAnsi="宋体" w:eastAsia="宋体" w:cs="宋体"/>
                <w:color w:val="auto"/>
                <w:szCs w:val="21"/>
                <w:lang w:bidi="ar"/>
              </w:rPr>
              <w:t>东莞市谢岗镇谢岗村乌舅湖（谢岗污水处理厂-谢岗建工水务）</w:t>
            </w:r>
          </w:p>
        </w:tc>
      </w:tr>
      <w:tr w14:paraId="72106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8" w:type="dxa"/>
            <w:noWrap/>
            <w:vAlign w:val="center"/>
          </w:tcPr>
          <w:p w14:paraId="6FFDBC67">
            <w:pPr>
              <w:keepNext w:val="0"/>
              <w:keepLines w:val="0"/>
              <w:widowControl/>
              <w:suppressLineNumbers w:val="0"/>
              <w:spacing w:before="0" w:beforeAutospacing="0" w:after="0" w:afterAutospacing="0"/>
              <w:ind w:left="0" w:right="0"/>
              <w:jc w:val="center"/>
              <w:rPr>
                <w:rFonts w:hint="default" w:ascii="宋体" w:hAnsi="宋体" w:eastAsia="宋体" w:cs="宋体"/>
                <w:color w:val="auto"/>
                <w:szCs w:val="21"/>
              </w:rPr>
            </w:pPr>
            <w:r>
              <w:rPr>
                <w:rFonts w:hint="eastAsia" w:ascii="宋体" w:hAnsi="宋体" w:eastAsia="宋体" w:cs="宋体"/>
                <w:color w:val="auto"/>
                <w:szCs w:val="21"/>
              </w:rPr>
              <w:t>6</w:t>
            </w:r>
          </w:p>
        </w:tc>
        <w:tc>
          <w:tcPr>
            <w:tcW w:w="2323" w:type="dxa"/>
            <w:tcBorders>
              <w:right w:val="single" w:color="auto" w:sz="4" w:space="0"/>
            </w:tcBorders>
            <w:vAlign w:val="center"/>
          </w:tcPr>
          <w:p w14:paraId="1DE7E34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szCs w:val="21"/>
                <w:lang w:bidi="ar"/>
              </w:rPr>
              <w:t>谢岗一期提标</w:t>
            </w:r>
          </w:p>
        </w:tc>
        <w:tc>
          <w:tcPr>
            <w:tcW w:w="5419" w:type="dxa"/>
            <w:vAlign w:val="center"/>
          </w:tcPr>
          <w:p w14:paraId="3297CA37">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Cs w:val="21"/>
              </w:rPr>
            </w:pPr>
            <w:r>
              <w:rPr>
                <w:rFonts w:hint="eastAsia" w:ascii="宋体" w:hAnsi="宋体" w:eastAsia="宋体" w:cs="宋体"/>
                <w:color w:val="auto"/>
                <w:szCs w:val="21"/>
                <w:lang w:bidi="ar"/>
              </w:rPr>
              <w:t>东莞市谢岗镇谢岗村乌舅湖（谢岗污水处理厂-谢岗建工水务）</w:t>
            </w:r>
          </w:p>
        </w:tc>
      </w:tr>
      <w:tr w14:paraId="2823E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8" w:type="dxa"/>
            <w:noWrap/>
            <w:vAlign w:val="center"/>
          </w:tcPr>
          <w:p w14:paraId="5DFEB12F">
            <w:pPr>
              <w:keepNext w:val="0"/>
              <w:keepLines w:val="0"/>
              <w:widowControl/>
              <w:suppressLineNumbers w:val="0"/>
              <w:spacing w:before="0" w:beforeAutospacing="0" w:after="0" w:afterAutospacing="0"/>
              <w:ind w:left="0" w:right="0"/>
              <w:jc w:val="center"/>
              <w:rPr>
                <w:rFonts w:hint="default" w:ascii="宋体" w:hAnsi="宋体" w:eastAsia="宋体" w:cs="宋体"/>
                <w:color w:val="auto"/>
                <w:szCs w:val="21"/>
              </w:rPr>
            </w:pPr>
            <w:r>
              <w:rPr>
                <w:rFonts w:hint="eastAsia" w:ascii="宋体" w:hAnsi="宋体" w:eastAsia="宋体" w:cs="宋体"/>
                <w:color w:val="auto"/>
                <w:szCs w:val="21"/>
              </w:rPr>
              <w:t>7</w:t>
            </w:r>
          </w:p>
        </w:tc>
        <w:tc>
          <w:tcPr>
            <w:tcW w:w="2323" w:type="dxa"/>
            <w:tcBorders>
              <w:right w:val="single" w:color="auto" w:sz="4" w:space="0"/>
            </w:tcBorders>
            <w:vAlign w:val="center"/>
          </w:tcPr>
          <w:p w14:paraId="3BCFD2C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szCs w:val="21"/>
                <w:lang w:bidi="ar"/>
              </w:rPr>
              <w:t>桥头二期</w:t>
            </w:r>
          </w:p>
        </w:tc>
        <w:tc>
          <w:tcPr>
            <w:tcW w:w="5419" w:type="dxa"/>
            <w:vAlign w:val="center"/>
          </w:tcPr>
          <w:p w14:paraId="02B9C4DE">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Cs w:val="21"/>
              </w:rPr>
            </w:pPr>
            <w:r>
              <w:rPr>
                <w:rFonts w:hint="eastAsia" w:ascii="宋体" w:hAnsi="宋体" w:eastAsia="宋体" w:cs="宋体"/>
                <w:color w:val="auto"/>
                <w:szCs w:val="21"/>
                <w:lang w:bidi="ar"/>
              </w:rPr>
              <w:t>东莞市桥头镇东深路桥头段6号（桥头污水处理厂-东莞市三正水务）</w:t>
            </w:r>
          </w:p>
        </w:tc>
      </w:tr>
      <w:tr w14:paraId="49357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8" w:type="dxa"/>
            <w:noWrap/>
            <w:vAlign w:val="center"/>
          </w:tcPr>
          <w:p w14:paraId="36C94C14">
            <w:pPr>
              <w:keepNext w:val="0"/>
              <w:keepLines w:val="0"/>
              <w:widowControl/>
              <w:suppressLineNumbers w:val="0"/>
              <w:spacing w:before="0" w:beforeAutospacing="0" w:after="0" w:afterAutospacing="0"/>
              <w:ind w:left="0" w:right="0"/>
              <w:jc w:val="center"/>
              <w:rPr>
                <w:rFonts w:hint="default" w:ascii="宋体" w:hAnsi="宋体" w:eastAsia="宋体" w:cs="宋体"/>
                <w:color w:val="auto"/>
                <w:szCs w:val="21"/>
              </w:rPr>
            </w:pPr>
            <w:r>
              <w:rPr>
                <w:rFonts w:hint="eastAsia" w:ascii="宋体" w:hAnsi="宋体" w:eastAsia="宋体" w:cs="宋体"/>
                <w:color w:val="auto"/>
                <w:szCs w:val="21"/>
              </w:rPr>
              <w:t>8</w:t>
            </w:r>
          </w:p>
        </w:tc>
        <w:tc>
          <w:tcPr>
            <w:tcW w:w="2323" w:type="dxa"/>
            <w:tcBorders>
              <w:right w:val="single" w:color="auto" w:sz="4" w:space="0"/>
            </w:tcBorders>
            <w:vAlign w:val="center"/>
          </w:tcPr>
          <w:p w14:paraId="6B892E3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szCs w:val="21"/>
                <w:lang w:bidi="ar"/>
              </w:rPr>
              <w:t>桥头一期提标</w:t>
            </w:r>
          </w:p>
        </w:tc>
        <w:tc>
          <w:tcPr>
            <w:tcW w:w="5419" w:type="dxa"/>
            <w:vAlign w:val="center"/>
          </w:tcPr>
          <w:p w14:paraId="5EDDDFDF">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Cs w:val="21"/>
              </w:rPr>
            </w:pPr>
            <w:r>
              <w:rPr>
                <w:rFonts w:hint="eastAsia" w:ascii="宋体" w:hAnsi="宋体" w:eastAsia="宋体" w:cs="宋体"/>
                <w:color w:val="auto"/>
                <w:szCs w:val="21"/>
                <w:lang w:bidi="ar"/>
              </w:rPr>
              <w:t>东莞市桥头镇东深路桥头段6号（桥头污水处理厂-东莞市三正水务）</w:t>
            </w:r>
          </w:p>
        </w:tc>
      </w:tr>
      <w:tr w14:paraId="6D109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8" w:type="dxa"/>
            <w:noWrap/>
            <w:vAlign w:val="center"/>
          </w:tcPr>
          <w:p w14:paraId="67EC049F">
            <w:pPr>
              <w:keepNext w:val="0"/>
              <w:keepLines w:val="0"/>
              <w:widowControl/>
              <w:suppressLineNumbers w:val="0"/>
              <w:spacing w:before="0" w:beforeAutospacing="0" w:after="0" w:afterAutospacing="0"/>
              <w:ind w:left="0" w:right="0"/>
              <w:jc w:val="center"/>
              <w:rPr>
                <w:rFonts w:hint="default" w:ascii="宋体" w:hAnsi="宋体" w:eastAsia="宋体" w:cs="宋体"/>
                <w:color w:val="auto"/>
                <w:szCs w:val="21"/>
              </w:rPr>
            </w:pPr>
            <w:r>
              <w:rPr>
                <w:rFonts w:hint="eastAsia" w:ascii="宋体" w:hAnsi="宋体" w:eastAsia="宋体" w:cs="宋体"/>
                <w:color w:val="auto"/>
                <w:szCs w:val="21"/>
              </w:rPr>
              <w:t>9</w:t>
            </w:r>
          </w:p>
        </w:tc>
        <w:tc>
          <w:tcPr>
            <w:tcW w:w="2323" w:type="dxa"/>
            <w:tcBorders>
              <w:right w:val="single" w:color="auto" w:sz="4" w:space="0"/>
            </w:tcBorders>
            <w:vAlign w:val="center"/>
          </w:tcPr>
          <w:p w14:paraId="5CF5526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szCs w:val="21"/>
                <w:lang w:bidi="ar"/>
              </w:rPr>
              <w:t>石马河片区分公司/塘厦林村二期</w:t>
            </w:r>
          </w:p>
        </w:tc>
        <w:tc>
          <w:tcPr>
            <w:tcW w:w="5419" w:type="dxa"/>
            <w:vAlign w:val="center"/>
          </w:tcPr>
          <w:p w14:paraId="4322A6F1">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Cs w:val="21"/>
              </w:rPr>
            </w:pPr>
            <w:r>
              <w:rPr>
                <w:rFonts w:hint="eastAsia" w:ascii="宋体" w:hAnsi="宋体" w:eastAsia="宋体" w:cs="宋体"/>
                <w:color w:val="auto"/>
                <w:szCs w:val="21"/>
                <w:lang w:bidi="ar"/>
              </w:rPr>
              <w:t>东莞市塘厦镇林村林东路64号污水处理厂二期（同舟水务公司斜对面）</w:t>
            </w:r>
          </w:p>
        </w:tc>
      </w:tr>
      <w:tr w14:paraId="51B19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8" w:type="dxa"/>
            <w:noWrap/>
            <w:vAlign w:val="center"/>
          </w:tcPr>
          <w:p w14:paraId="5CDAE2FE">
            <w:pPr>
              <w:keepNext w:val="0"/>
              <w:keepLines w:val="0"/>
              <w:widowControl/>
              <w:suppressLineNumbers w:val="0"/>
              <w:spacing w:before="0" w:beforeAutospacing="0" w:after="0" w:afterAutospacing="0"/>
              <w:ind w:left="0" w:right="0"/>
              <w:jc w:val="center"/>
              <w:rPr>
                <w:rFonts w:hint="default" w:ascii="宋体" w:hAnsi="宋体" w:eastAsia="宋体" w:cs="宋体"/>
                <w:color w:val="auto"/>
                <w:szCs w:val="21"/>
              </w:rPr>
            </w:pPr>
            <w:r>
              <w:rPr>
                <w:rFonts w:hint="eastAsia" w:ascii="宋体" w:hAnsi="宋体" w:eastAsia="宋体" w:cs="宋体"/>
                <w:color w:val="auto"/>
                <w:szCs w:val="21"/>
              </w:rPr>
              <w:t>10</w:t>
            </w:r>
          </w:p>
        </w:tc>
        <w:tc>
          <w:tcPr>
            <w:tcW w:w="2323" w:type="dxa"/>
            <w:tcBorders>
              <w:right w:val="single" w:color="auto" w:sz="4" w:space="0"/>
            </w:tcBorders>
            <w:vAlign w:val="center"/>
          </w:tcPr>
          <w:p w14:paraId="5581154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szCs w:val="21"/>
                <w:lang w:bidi="ar"/>
              </w:rPr>
              <w:t>塘厦林村一期提标</w:t>
            </w:r>
          </w:p>
        </w:tc>
        <w:tc>
          <w:tcPr>
            <w:tcW w:w="5419" w:type="dxa"/>
            <w:vAlign w:val="center"/>
          </w:tcPr>
          <w:p w14:paraId="19C30D45">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Cs w:val="21"/>
              </w:rPr>
            </w:pPr>
            <w:r>
              <w:rPr>
                <w:rFonts w:hint="eastAsia" w:ascii="宋体" w:hAnsi="宋体" w:eastAsia="宋体" w:cs="宋体"/>
                <w:color w:val="auto"/>
                <w:szCs w:val="21"/>
                <w:lang w:bidi="ar"/>
              </w:rPr>
              <w:t>东莞市塘厦镇林村林东路64号污水处理厂二期（同舟水务公司斜对面）</w:t>
            </w:r>
          </w:p>
        </w:tc>
      </w:tr>
      <w:tr w14:paraId="27B4A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8" w:type="dxa"/>
            <w:noWrap/>
            <w:vAlign w:val="center"/>
          </w:tcPr>
          <w:p w14:paraId="38A9EBEA">
            <w:pPr>
              <w:keepNext w:val="0"/>
              <w:keepLines w:val="0"/>
              <w:widowControl/>
              <w:suppressLineNumbers w:val="0"/>
              <w:spacing w:before="0" w:beforeAutospacing="0" w:after="0" w:afterAutospacing="0"/>
              <w:ind w:left="0" w:right="0"/>
              <w:jc w:val="center"/>
              <w:rPr>
                <w:rFonts w:hint="default" w:ascii="宋体" w:hAnsi="宋体" w:eastAsia="宋体" w:cs="宋体"/>
                <w:color w:val="auto"/>
                <w:szCs w:val="21"/>
              </w:rPr>
            </w:pPr>
            <w:r>
              <w:rPr>
                <w:rFonts w:hint="eastAsia" w:ascii="宋体" w:hAnsi="宋体" w:eastAsia="宋体" w:cs="宋体"/>
                <w:color w:val="auto"/>
                <w:szCs w:val="21"/>
              </w:rPr>
              <w:t>11</w:t>
            </w:r>
          </w:p>
        </w:tc>
        <w:tc>
          <w:tcPr>
            <w:tcW w:w="2323" w:type="dxa"/>
            <w:tcBorders>
              <w:right w:val="single" w:color="auto" w:sz="4" w:space="0"/>
            </w:tcBorders>
            <w:vAlign w:val="center"/>
          </w:tcPr>
          <w:p w14:paraId="0E3DDBF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lang w:bidi="ar"/>
              </w:rPr>
            </w:pPr>
            <w:r>
              <w:rPr>
                <w:rFonts w:hint="eastAsia" w:ascii="宋体" w:hAnsi="宋体" w:eastAsia="宋体" w:cs="宋体"/>
                <w:color w:val="auto"/>
                <w:szCs w:val="21"/>
                <w:lang w:bidi="ar"/>
              </w:rPr>
              <w:t>塘厦白泥湖</w:t>
            </w:r>
          </w:p>
        </w:tc>
        <w:tc>
          <w:tcPr>
            <w:tcW w:w="5419" w:type="dxa"/>
            <w:vAlign w:val="center"/>
          </w:tcPr>
          <w:p w14:paraId="7DAA2208">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Cs w:val="21"/>
              </w:rPr>
            </w:pPr>
            <w:r>
              <w:rPr>
                <w:rFonts w:hint="eastAsia" w:ascii="宋体" w:hAnsi="宋体" w:eastAsia="宋体" w:cs="宋体"/>
                <w:color w:val="auto"/>
                <w:szCs w:val="21"/>
                <w:lang w:bidi="ar"/>
              </w:rPr>
              <w:t>东莞市塘厦镇南一横路19号</w:t>
            </w:r>
          </w:p>
        </w:tc>
      </w:tr>
      <w:tr w14:paraId="63BFB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8" w:type="dxa"/>
            <w:noWrap/>
            <w:vAlign w:val="center"/>
          </w:tcPr>
          <w:p w14:paraId="3531EAAB">
            <w:pPr>
              <w:keepNext w:val="0"/>
              <w:keepLines w:val="0"/>
              <w:widowControl/>
              <w:suppressLineNumbers w:val="0"/>
              <w:spacing w:before="0" w:beforeAutospacing="0" w:after="0" w:afterAutospacing="0"/>
              <w:ind w:left="0" w:right="0"/>
              <w:jc w:val="center"/>
              <w:rPr>
                <w:rFonts w:hint="default" w:ascii="宋体" w:hAnsi="宋体" w:eastAsia="宋体" w:cs="宋体"/>
                <w:color w:val="auto"/>
                <w:szCs w:val="21"/>
              </w:rPr>
            </w:pPr>
            <w:r>
              <w:rPr>
                <w:rFonts w:hint="eastAsia" w:ascii="宋体" w:hAnsi="宋体" w:eastAsia="宋体" w:cs="宋体"/>
                <w:color w:val="auto"/>
                <w:szCs w:val="21"/>
              </w:rPr>
              <w:t>12</w:t>
            </w:r>
          </w:p>
        </w:tc>
        <w:tc>
          <w:tcPr>
            <w:tcW w:w="2323" w:type="dxa"/>
            <w:tcBorders>
              <w:right w:val="single" w:color="auto" w:sz="4" w:space="0"/>
            </w:tcBorders>
            <w:vAlign w:val="center"/>
          </w:tcPr>
          <w:p w14:paraId="1FFE63F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szCs w:val="21"/>
                <w:lang w:bidi="ar"/>
              </w:rPr>
              <w:t>长山头二期提标</w:t>
            </w:r>
          </w:p>
        </w:tc>
        <w:tc>
          <w:tcPr>
            <w:tcW w:w="5419" w:type="dxa"/>
            <w:vAlign w:val="center"/>
          </w:tcPr>
          <w:p w14:paraId="17897CE9">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Cs w:val="21"/>
              </w:rPr>
            </w:pPr>
            <w:r>
              <w:rPr>
                <w:rFonts w:hint="eastAsia" w:ascii="宋体" w:hAnsi="宋体" w:eastAsia="宋体" w:cs="宋体"/>
                <w:color w:val="auto"/>
                <w:szCs w:val="21"/>
              </w:rPr>
              <w:t>东莞市清溪镇清溪汽车客运站</w:t>
            </w:r>
          </w:p>
        </w:tc>
      </w:tr>
      <w:tr w14:paraId="7BAFB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8" w:type="dxa"/>
            <w:noWrap/>
            <w:vAlign w:val="center"/>
          </w:tcPr>
          <w:p w14:paraId="5E583EA0">
            <w:pPr>
              <w:keepNext w:val="0"/>
              <w:keepLines w:val="0"/>
              <w:widowControl/>
              <w:suppressLineNumbers w:val="0"/>
              <w:spacing w:before="0" w:beforeAutospacing="0" w:after="0" w:afterAutospacing="0"/>
              <w:ind w:left="0" w:right="0"/>
              <w:jc w:val="center"/>
              <w:rPr>
                <w:rFonts w:hint="default" w:ascii="宋体" w:hAnsi="宋体" w:eastAsia="宋体" w:cs="宋体"/>
                <w:color w:val="auto"/>
                <w:szCs w:val="21"/>
              </w:rPr>
            </w:pPr>
            <w:r>
              <w:rPr>
                <w:rFonts w:hint="eastAsia" w:ascii="宋体" w:hAnsi="宋体" w:eastAsia="宋体" w:cs="宋体"/>
                <w:color w:val="auto"/>
                <w:szCs w:val="21"/>
              </w:rPr>
              <w:t>13</w:t>
            </w:r>
          </w:p>
        </w:tc>
        <w:tc>
          <w:tcPr>
            <w:tcW w:w="2323" w:type="dxa"/>
            <w:tcBorders>
              <w:right w:val="single" w:color="auto" w:sz="4" w:space="0"/>
            </w:tcBorders>
            <w:vAlign w:val="center"/>
          </w:tcPr>
          <w:p w14:paraId="0817993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szCs w:val="21"/>
                <w:lang w:bidi="ar"/>
              </w:rPr>
              <w:t>虾公潭</w:t>
            </w:r>
          </w:p>
        </w:tc>
        <w:tc>
          <w:tcPr>
            <w:tcW w:w="5419" w:type="dxa"/>
            <w:vAlign w:val="center"/>
          </w:tcPr>
          <w:p w14:paraId="7C3A4321">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Cs w:val="21"/>
              </w:rPr>
            </w:pPr>
            <w:r>
              <w:rPr>
                <w:rFonts w:hint="eastAsia" w:ascii="宋体" w:hAnsi="宋体" w:eastAsia="宋体" w:cs="宋体"/>
                <w:color w:val="auto"/>
                <w:szCs w:val="21"/>
                <w:lang w:bidi="ar"/>
              </w:rPr>
              <w:t>东莞市凤岗镇油甘埔文化体育中心旁</w:t>
            </w:r>
          </w:p>
        </w:tc>
      </w:tr>
      <w:tr w14:paraId="12936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8" w:type="dxa"/>
            <w:noWrap/>
            <w:vAlign w:val="center"/>
          </w:tcPr>
          <w:p w14:paraId="27F02BFF">
            <w:pPr>
              <w:keepNext w:val="0"/>
              <w:keepLines w:val="0"/>
              <w:widowControl/>
              <w:suppressLineNumbers w:val="0"/>
              <w:spacing w:before="0" w:beforeAutospacing="0" w:after="0" w:afterAutospacing="0"/>
              <w:ind w:left="0" w:right="0"/>
              <w:jc w:val="center"/>
              <w:rPr>
                <w:rFonts w:hint="default" w:ascii="宋体" w:hAnsi="宋体" w:eastAsia="宋体" w:cs="宋体"/>
                <w:color w:val="auto"/>
                <w:szCs w:val="21"/>
              </w:rPr>
            </w:pPr>
            <w:r>
              <w:rPr>
                <w:rFonts w:hint="eastAsia" w:ascii="宋体" w:hAnsi="宋体" w:eastAsia="宋体" w:cs="宋体"/>
                <w:color w:val="auto"/>
                <w:szCs w:val="21"/>
              </w:rPr>
              <w:t>14</w:t>
            </w:r>
          </w:p>
        </w:tc>
        <w:tc>
          <w:tcPr>
            <w:tcW w:w="2323" w:type="dxa"/>
            <w:tcBorders>
              <w:right w:val="single" w:color="auto" w:sz="4" w:space="0"/>
            </w:tcBorders>
            <w:vAlign w:val="center"/>
          </w:tcPr>
          <w:p w14:paraId="5205ED7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szCs w:val="21"/>
                <w:lang w:bidi="ar"/>
              </w:rPr>
              <w:t>虾公潭提标</w:t>
            </w:r>
          </w:p>
        </w:tc>
        <w:tc>
          <w:tcPr>
            <w:tcW w:w="5419" w:type="dxa"/>
            <w:vAlign w:val="center"/>
          </w:tcPr>
          <w:p w14:paraId="2D50EFCE">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Cs w:val="21"/>
              </w:rPr>
            </w:pPr>
            <w:r>
              <w:rPr>
                <w:rFonts w:hint="eastAsia" w:ascii="宋体" w:hAnsi="宋体" w:eastAsia="宋体" w:cs="宋体"/>
                <w:color w:val="auto"/>
                <w:szCs w:val="21"/>
                <w:lang w:bidi="ar"/>
              </w:rPr>
              <w:t>东莞市凤岗镇油甘埔文化体育中心旁</w:t>
            </w:r>
          </w:p>
        </w:tc>
      </w:tr>
      <w:tr w14:paraId="15680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8" w:type="dxa"/>
            <w:noWrap/>
            <w:vAlign w:val="center"/>
          </w:tcPr>
          <w:p w14:paraId="061D55BC">
            <w:pPr>
              <w:keepNext w:val="0"/>
              <w:keepLines w:val="0"/>
              <w:widowControl/>
              <w:suppressLineNumbers w:val="0"/>
              <w:spacing w:before="0" w:beforeAutospacing="0" w:after="0" w:afterAutospacing="0"/>
              <w:ind w:left="0" w:right="0"/>
              <w:jc w:val="center"/>
              <w:rPr>
                <w:rFonts w:hint="default" w:ascii="宋体" w:hAnsi="宋体" w:eastAsia="宋体" w:cs="宋体"/>
                <w:color w:val="auto"/>
                <w:szCs w:val="21"/>
              </w:rPr>
            </w:pPr>
            <w:r>
              <w:rPr>
                <w:rFonts w:hint="eastAsia" w:ascii="宋体" w:hAnsi="宋体" w:eastAsia="宋体" w:cs="宋体"/>
                <w:color w:val="auto"/>
                <w:szCs w:val="21"/>
              </w:rPr>
              <w:t>15</w:t>
            </w:r>
          </w:p>
        </w:tc>
        <w:tc>
          <w:tcPr>
            <w:tcW w:w="2323" w:type="dxa"/>
            <w:tcBorders>
              <w:right w:val="single" w:color="auto" w:sz="4" w:space="0"/>
            </w:tcBorders>
            <w:vAlign w:val="center"/>
          </w:tcPr>
          <w:p w14:paraId="538E377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lang w:bidi="ar"/>
              </w:rPr>
            </w:pPr>
            <w:r>
              <w:rPr>
                <w:rFonts w:hint="eastAsia" w:ascii="宋体" w:hAnsi="宋体" w:eastAsia="宋体" w:cs="宋体"/>
                <w:color w:val="auto"/>
                <w:szCs w:val="21"/>
                <w:lang w:bidi="ar"/>
              </w:rPr>
              <w:t>雁田提标</w:t>
            </w:r>
          </w:p>
        </w:tc>
        <w:tc>
          <w:tcPr>
            <w:tcW w:w="5419" w:type="dxa"/>
            <w:vAlign w:val="center"/>
          </w:tcPr>
          <w:p w14:paraId="3A0ED198">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Cs w:val="21"/>
                <w:lang w:bidi="ar"/>
              </w:rPr>
            </w:pPr>
            <w:r>
              <w:rPr>
                <w:rFonts w:hint="eastAsia" w:ascii="宋体" w:hAnsi="宋体" w:eastAsia="宋体" w:cs="宋体"/>
                <w:color w:val="auto"/>
                <w:szCs w:val="21"/>
                <w:lang w:bidi="ar"/>
              </w:rPr>
              <w:t>东莞市凤岗镇雁田村雁田污水处理厂</w:t>
            </w:r>
          </w:p>
        </w:tc>
      </w:tr>
      <w:tr w14:paraId="4AD92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8" w:type="dxa"/>
            <w:noWrap/>
            <w:vAlign w:val="center"/>
          </w:tcPr>
          <w:p w14:paraId="597432AD">
            <w:pPr>
              <w:keepNext w:val="0"/>
              <w:keepLines w:val="0"/>
              <w:widowControl/>
              <w:suppressLineNumbers w:val="0"/>
              <w:spacing w:before="0" w:beforeAutospacing="0" w:after="0" w:afterAutospacing="0"/>
              <w:ind w:left="0" w:right="0"/>
              <w:jc w:val="center"/>
              <w:rPr>
                <w:rFonts w:hint="default" w:ascii="宋体" w:hAnsi="宋体" w:eastAsia="宋体" w:cs="宋体"/>
                <w:color w:val="auto"/>
                <w:szCs w:val="21"/>
              </w:rPr>
            </w:pPr>
            <w:r>
              <w:rPr>
                <w:rFonts w:hint="eastAsia" w:ascii="宋体" w:hAnsi="宋体" w:eastAsia="宋体" w:cs="宋体"/>
                <w:color w:val="auto"/>
                <w:szCs w:val="21"/>
              </w:rPr>
              <w:t>16</w:t>
            </w:r>
          </w:p>
        </w:tc>
        <w:tc>
          <w:tcPr>
            <w:tcW w:w="2323" w:type="dxa"/>
            <w:tcBorders>
              <w:right w:val="single" w:color="auto" w:sz="4" w:space="0"/>
            </w:tcBorders>
            <w:vAlign w:val="center"/>
          </w:tcPr>
          <w:p w14:paraId="04E8AFA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szCs w:val="21"/>
                <w:lang w:bidi="ar"/>
              </w:rPr>
              <w:t>樟木头三期</w:t>
            </w:r>
          </w:p>
        </w:tc>
        <w:tc>
          <w:tcPr>
            <w:tcW w:w="5419" w:type="dxa"/>
            <w:vAlign w:val="center"/>
          </w:tcPr>
          <w:p w14:paraId="6FB02C54">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Cs w:val="21"/>
              </w:rPr>
            </w:pPr>
            <w:r>
              <w:rPr>
                <w:rFonts w:hint="eastAsia" w:ascii="宋体" w:hAnsi="宋体" w:eastAsia="宋体" w:cs="宋体"/>
                <w:color w:val="auto"/>
                <w:szCs w:val="21"/>
                <w:lang w:bidi="ar"/>
              </w:rPr>
              <w:t>东莞市樟木头镇柏地社区旗岭村柏峰路169号（樟木头污水处理厂-樟木头建工水务）</w:t>
            </w:r>
          </w:p>
        </w:tc>
      </w:tr>
      <w:tr w14:paraId="4D858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8" w:type="dxa"/>
            <w:noWrap/>
            <w:vAlign w:val="center"/>
          </w:tcPr>
          <w:p w14:paraId="0893921B">
            <w:pPr>
              <w:keepNext w:val="0"/>
              <w:keepLines w:val="0"/>
              <w:widowControl/>
              <w:suppressLineNumbers w:val="0"/>
              <w:spacing w:before="0" w:beforeAutospacing="0" w:after="0" w:afterAutospacing="0"/>
              <w:ind w:left="0" w:right="0"/>
              <w:jc w:val="center"/>
              <w:rPr>
                <w:rFonts w:hint="default" w:ascii="宋体" w:hAnsi="宋体" w:eastAsia="宋体" w:cs="宋体"/>
                <w:color w:val="auto"/>
                <w:szCs w:val="21"/>
              </w:rPr>
            </w:pPr>
            <w:r>
              <w:rPr>
                <w:rFonts w:hint="eastAsia" w:ascii="宋体" w:hAnsi="宋体" w:eastAsia="宋体" w:cs="宋体"/>
                <w:color w:val="auto"/>
                <w:szCs w:val="21"/>
              </w:rPr>
              <w:t>17</w:t>
            </w:r>
          </w:p>
        </w:tc>
        <w:tc>
          <w:tcPr>
            <w:tcW w:w="2323" w:type="dxa"/>
            <w:tcBorders>
              <w:right w:val="single" w:color="auto" w:sz="4" w:space="0"/>
            </w:tcBorders>
            <w:vAlign w:val="center"/>
          </w:tcPr>
          <w:p w14:paraId="691BF66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szCs w:val="21"/>
                <w:lang w:bidi="ar"/>
              </w:rPr>
              <w:t>樟木头一、二期提标</w:t>
            </w:r>
          </w:p>
        </w:tc>
        <w:tc>
          <w:tcPr>
            <w:tcW w:w="5419" w:type="dxa"/>
            <w:vAlign w:val="center"/>
          </w:tcPr>
          <w:p w14:paraId="0380AA87">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Cs w:val="21"/>
              </w:rPr>
            </w:pPr>
            <w:r>
              <w:rPr>
                <w:rFonts w:hint="eastAsia" w:ascii="宋体" w:hAnsi="宋体" w:eastAsia="宋体" w:cs="宋体"/>
                <w:color w:val="auto"/>
                <w:szCs w:val="21"/>
                <w:lang w:bidi="ar"/>
              </w:rPr>
              <w:t>东莞市樟木头镇柏地社区旗岭村柏峰路169号（樟木头污水处理厂-樟木头建工水务）</w:t>
            </w:r>
          </w:p>
        </w:tc>
      </w:tr>
      <w:tr w14:paraId="1A7F6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8" w:type="dxa"/>
            <w:noWrap/>
            <w:vAlign w:val="center"/>
          </w:tcPr>
          <w:p w14:paraId="4688BCE3">
            <w:pPr>
              <w:keepNext w:val="0"/>
              <w:keepLines w:val="0"/>
              <w:widowControl/>
              <w:suppressLineNumbers w:val="0"/>
              <w:spacing w:before="0" w:beforeAutospacing="0" w:after="0" w:afterAutospacing="0"/>
              <w:ind w:left="0" w:right="0"/>
              <w:jc w:val="center"/>
              <w:rPr>
                <w:rFonts w:hint="default" w:ascii="宋体" w:hAnsi="宋体" w:eastAsia="宋体" w:cs="宋体"/>
                <w:color w:val="auto"/>
                <w:szCs w:val="21"/>
              </w:rPr>
            </w:pPr>
            <w:r>
              <w:rPr>
                <w:rFonts w:hint="eastAsia" w:ascii="宋体" w:hAnsi="宋体" w:eastAsia="宋体" w:cs="宋体"/>
                <w:color w:val="auto"/>
                <w:szCs w:val="21"/>
              </w:rPr>
              <w:t>18</w:t>
            </w:r>
          </w:p>
        </w:tc>
        <w:tc>
          <w:tcPr>
            <w:tcW w:w="2323" w:type="dxa"/>
            <w:tcBorders>
              <w:right w:val="single" w:color="auto" w:sz="4" w:space="0"/>
            </w:tcBorders>
            <w:vAlign w:val="center"/>
          </w:tcPr>
          <w:p w14:paraId="3031E39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szCs w:val="21"/>
                <w:lang w:bidi="ar"/>
              </w:rPr>
              <w:t>樟木头裕丰厂</w:t>
            </w:r>
          </w:p>
        </w:tc>
        <w:tc>
          <w:tcPr>
            <w:tcW w:w="5419" w:type="dxa"/>
            <w:vAlign w:val="center"/>
          </w:tcPr>
          <w:p w14:paraId="15B10D2E">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Cs w:val="21"/>
              </w:rPr>
            </w:pPr>
            <w:r>
              <w:rPr>
                <w:rFonts w:hint="eastAsia" w:ascii="宋体" w:hAnsi="宋体" w:eastAsia="宋体" w:cs="宋体"/>
                <w:color w:val="auto"/>
                <w:szCs w:val="21"/>
                <w:lang w:bidi="ar"/>
              </w:rPr>
              <w:t>东莞市樟木头镇裕丰</w:t>
            </w:r>
          </w:p>
        </w:tc>
      </w:tr>
      <w:tr w14:paraId="0419F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8" w:type="dxa"/>
            <w:noWrap/>
            <w:vAlign w:val="center"/>
          </w:tcPr>
          <w:p w14:paraId="1C94053B">
            <w:pPr>
              <w:keepNext w:val="0"/>
              <w:keepLines w:val="0"/>
              <w:widowControl/>
              <w:suppressLineNumbers w:val="0"/>
              <w:spacing w:before="0" w:beforeAutospacing="0" w:after="0" w:afterAutospacing="0"/>
              <w:ind w:left="0" w:right="0"/>
              <w:jc w:val="center"/>
              <w:rPr>
                <w:rFonts w:hint="default" w:ascii="宋体" w:hAnsi="宋体" w:eastAsia="宋体" w:cs="宋体"/>
                <w:color w:val="auto"/>
                <w:szCs w:val="21"/>
              </w:rPr>
            </w:pPr>
            <w:r>
              <w:rPr>
                <w:rFonts w:hint="eastAsia" w:ascii="宋体" w:hAnsi="宋体" w:eastAsia="宋体" w:cs="宋体"/>
                <w:color w:val="auto"/>
                <w:szCs w:val="21"/>
              </w:rPr>
              <w:t>19</w:t>
            </w:r>
          </w:p>
        </w:tc>
        <w:tc>
          <w:tcPr>
            <w:tcW w:w="2323" w:type="dxa"/>
            <w:tcBorders>
              <w:right w:val="single" w:color="auto" w:sz="4" w:space="0"/>
            </w:tcBorders>
            <w:vAlign w:val="center"/>
          </w:tcPr>
          <w:p w14:paraId="6A7C187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szCs w:val="21"/>
                <w:lang w:bidi="ar"/>
              </w:rPr>
              <w:t>竹塘二期</w:t>
            </w:r>
          </w:p>
        </w:tc>
        <w:tc>
          <w:tcPr>
            <w:tcW w:w="5419" w:type="dxa"/>
            <w:vAlign w:val="center"/>
          </w:tcPr>
          <w:p w14:paraId="4B6C3C19">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Cs w:val="21"/>
              </w:rPr>
            </w:pPr>
            <w:r>
              <w:rPr>
                <w:rFonts w:hint="eastAsia" w:ascii="宋体" w:hAnsi="宋体" w:eastAsia="宋体" w:cs="宋体"/>
                <w:color w:val="auto"/>
                <w:szCs w:val="21"/>
                <w:lang w:bidi="ar"/>
              </w:rPr>
              <w:t>东莞市凤岗镇竹塘污水处理厂二期</w:t>
            </w:r>
          </w:p>
        </w:tc>
      </w:tr>
      <w:tr w14:paraId="73C4F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8" w:type="dxa"/>
            <w:noWrap/>
            <w:vAlign w:val="center"/>
          </w:tcPr>
          <w:p w14:paraId="581138A1">
            <w:pPr>
              <w:keepNext w:val="0"/>
              <w:keepLines w:val="0"/>
              <w:widowControl/>
              <w:suppressLineNumbers w:val="0"/>
              <w:spacing w:before="0" w:beforeAutospacing="0" w:after="0" w:afterAutospacing="0"/>
              <w:ind w:left="0" w:right="0"/>
              <w:jc w:val="center"/>
              <w:rPr>
                <w:rFonts w:hint="default" w:ascii="宋体" w:hAnsi="宋体" w:eastAsia="宋体" w:cs="宋体"/>
                <w:color w:val="auto"/>
                <w:szCs w:val="21"/>
              </w:rPr>
            </w:pPr>
            <w:r>
              <w:rPr>
                <w:rFonts w:hint="eastAsia" w:ascii="宋体" w:hAnsi="宋体" w:eastAsia="宋体" w:cs="宋体"/>
                <w:color w:val="auto"/>
                <w:szCs w:val="21"/>
              </w:rPr>
              <w:t>20</w:t>
            </w:r>
          </w:p>
        </w:tc>
        <w:tc>
          <w:tcPr>
            <w:tcW w:w="2323" w:type="dxa"/>
            <w:tcBorders>
              <w:right w:val="single" w:color="auto" w:sz="4" w:space="0"/>
            </w:tcBorders>
            <w:vAlign w:val="center"/>
          </w:tcPr>
          <w:p w14:paraId="1743D77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szCs w:val="21"/>
                <w:lang w:bidi="ar"/>
              </w:rPr>
              <w:t>竹塘一期</w:t>
            </w:r>
          </w:p>
        </w:tc>
        <w:tc>
          <w:tcPr>
            <w:tcW w:w="5419" w:type="dxa"/>
            <w:vAlign w:val="center"/>
          </w:tcPr>
          <w:p w14:paraId="238516D5">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Cs w:val="21"/>
              </w:rPr>
            </w:pPr>
            <w:r>
              <w:rPr>
                <w:rFonts w:hint="eastAsia" w:ascii="宋体" w:hAnsi="宋体" w:eastAsia="宋体" w:cs="宋体"/>
                <w:color w:val="auto"/>
                <w:szCs w:val="21"/>
                <w:lang w:bidi="ar"/>
              </w:rPr>
              <w:t>东莞市凤岗镇竹塘污水处理厂一期</w:t>
            </w:r>
          </w:p>
        </w:tc>
      </w:tr>
      <w:tr w14:paraId="56B53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8" w:type="dxa"/>
            <w:noWrap/>
            <w:vAlign w:val="center"/>
          </w:tcPr>
          <w:p w14:paraId="14F683D8">
            <w:pPr>
              <w:keepNext w:val="0"/>
              <w:keepLines w:val="0"/>
              <w:widowControl/>
              <w:suppressLineNumbers w:val="0"/>
              <w:spacing w:before="0" w:beforeAutospacing="0" w:after="0" w:afterAutospacing="0"/>
              <w:ind w:left="0" w:right="0"/>
              <w:jc w:val="center"/>
              <w:rPr>
                <w:rFonts w:hint="default" w:ascii="宋体" w:hAnsi="宋体" w:eastAsia="宋体" w:cs="宋体"/>
                <w:color w:val="auto"/>
                <w:szCs w:val="21"/>
              </w:rPr>
            </w:pPr>
            <w:r>
              <w:rPr>
                <w:rFonts w:hint="eastAsia" w:ascii="宋体" w:hAnsi="宋体" w:eastAsia="宋体" w:cs="宋体"/>
                <w:color w:val="auto"/>
                <w:szCs w:val="21"/>
              </w:rPr>
              <w:t>21</w:t>
            </w:r>
          </w:p>
        </w:tc>
        <w:tc>
          <w:tcPr>
            <w:tcW w:w="2323" w:type="dxa"/>
            <w:tcBorders>
              <w:right w:val="single" w:color="auto" w:sz="4" w:space="0"/>
            </w:tcBorders>
            <w:vAlign w:val="center"/>
          </w:tcPr>
          <w:p w14:paraId="07A63F6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lang w:bidi="ar"/>
              </w:rPr>
            </w:pPr>
            <w:r>
              <w:rPr>
                <w:rFonts w:hint="eastAsia" w:ascii="宋体" w:hAnsi="宋体" w:eastAsia="宋体" w:cs="宋体"/>
                <w:color w:val="auto"/>
                <w:szCs w:val="21"/>
                <w:lang w:bidi="ar"/>
              </w:rPr>
              <w:t>竹塘提标</w:t>
            </w:r>
          </w:p>
        </w:tc>
        <w:tc>
          <w:tcPr>
            <w:tcW w:w="5419" w:type="dxa"/>
            <w:vAlign w:val="center"/>
          </w:tcPr>
          <w:p w14:paraId="3955FC78">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Cs w:val="21"/>
                <w:lang w:bidi="ar"/>
              </w:rPr>
            </w:pPr>
            <w:r>
              <w:rPr>
                <w:rFonts w:hint="eastAsia" w:ascii="宋体" w:hAnsi="宋体" w:eastAsia="宋体" w:cs="宋体"/>
                <w:color w:val="auto"/>
                <w:szCs w:val="21"/>
                <w:lang w:bidi="ar"/>
              </w:rPr>
              <w:t>东莞市凤岗镇竹塘污水处理厂二期</w:t>
            </w:r>
          </w:p>
        </w:tc>
      </w:tr>
      <w:tr w14:paraId="62599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8" w:type="dxa"/>
            <w:noWrap/>
            <w:vAlign w:val="center"/>
          </w:tcPr>
          <w:p w14:paraId="235327FF">
            <w:pPr>
              <w:keepNext w:val="0"/>
              <w:keepLines w:val="0"/>
              <w:widowControl/>
              <w:suppressLineNumbers w:val="0"/>
              <w:spacing w:before="0" w:beforeAutospacing="0" w:after="0" w:afterAutospacing="0"/>
              <w:ind w:left="0" w:right="0"/>
              <w:jc w:val="center"/>
              <w:rPr>
                <w:rFonts w:hint="default" w:ascii="宋体" w:hAnsi="宋体" w:eastAsia="宋体" w:cs="宋体"/>
                <w:color w:val="auto"/>
                <w:szCs w:val="21"/>
              </w:rPr>
            </w:pPr>
            <w:r>
              <w:rPr>
                <w:rFonts w:hint="eastAsia" w:ascii="宋体" w:hAnsi="宋体" w:eastAsia="宋体" w:cs="宋体"/>
                <w:color w:val="auto"/>
                <w:szCs w:val="21"/>
              </w:rPr>
              <w:t>22</w:t>
            </w:r>
          </w:p>
        </w:tc>
        <w:tc>
          <w:tcPr>
            <w:tcW w:w="2323" w:type="dxa"/>
            <w:tcBorders>
              <w:right w:val="single" w:color="auto" w:sz="4" w:space="0"/>
            </w:tcBorders>
            <w:vAlign w:val="center"/>
          </w:tcPr>
          <w:p w14:paraId="0D9447D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szCs w:val="21"/>
                <w:lang w:bidi="ar"/>
              </w:rPr>
              <w:t>黄江二期</w:t>
            </w:r>
          </w:p>
        </w:tc>
        <w:tc>
          <w:tcPr>
            <w:tcW w:w="5419" w:type="dxa"/>
            <w:vAlign w:val="center"/>
          </w:tcPr>
          <w:p w14:paraId="5C0FE859">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Cs w:val="21"/>
              </w:rPr>
            </w:pPr>
            <w:r>
              <w:rPr>
                <w:rFonts w:hint="eastAsia" w:ascii="宋体" w:hAnsi="宋体" w:eastAsia="宋体" w:cs="宋体"/>
                <w:color w:val="auto"/>
                <w:szCs w:val="21"/>
                <w:lang w:bidi="ar"/>
              </w:rPr>
              <w:t>黄江镇合路创业一路1号污水处理厂二期</w:t>
            </w:r>
          </w:p>
        </w:tc>
      </w:tr>
      <w:tr w14:paraId="33E97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8" w:type="dxa"/>
            <w:noWrap/>
            <w:vAlign w:val="center"/>
          </w:tcPr>
          <w:p w14:paraId="20FDF5E5">
            <w:pPr>
              <w:keepNext w:val="0"/>
              <w:keepLines w:val="0"/>
              <w:widowControl/>
              <w:suppressLineNumbers w:val="0"/>
              <w:spacing w:before="0" w:beforeAutospacing="0" w:after="0" w:afterAutospacing="0"/>
              <w:ind w:left="0" w:right="0"/>
              <w:jc w:val="center"/>
              <w:rPr>
                <w:rFonts w:hint="default" w:ascii="宋体" w:hAnsi="宋体" w:eastAsia="宋体" w:cs="宋体"/>
                <w:color w:val="auto"/>
                <w:szCs w:val="21"/>
              </w:rPr>
            </w:pPr>
            <w:r>
              <w:rPr>
                <w:rFonts w:hint="eastAsia" w:ascii="宋体" w:hAnsi="宋体" w:eastAsia="宋体" w:cs="宋体"/>
                <w:color w:val="auto"/>
                <w:szCs w:val="21"/>
              </w:rPr>
              <w:t>23</w:t>
            </w:r>
          </w:p>
        </w:tc>
        <w:tc>
          <w:tcPr>
            <w:tcW w:w="2323" w:type="dxa"/>
            <w:tcBorders>
              <w:right w:val="single" w:color="auto" w:sz="4" w:space="0"/>
            </w:tcBorders>
            <w:vAlign w:val="center"/>
          </w:tcPr>
          <w:p w14:paraId="2C67EC4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szCs w:val="21"/>
                <w:lang w:bidi="ar"/>
              </w:rPr>
              <w:t>黄江一期提标</w:t>
            </w:r>
          </w:p>
        </w:tc>
        <w:tc>
          <w:tcPr>
            <w:tcW w:w="5419" w:type="dxa"/>
            <w:vAlign w:val="center"/>
          </w:tcPr>
          <w:p w14:paraId="0BBA834F">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Cs w:val="21"/>
              </w:rPr>
            </w:pPr>
            <w:r>
              <w:rPr>
                <w:rFonts w:hint="eastAsia" w:ascii="宋体" w:hAnsi="宋体" w:eastAsia="宋体" w:cs="宋体"/>
                <w:color w:val="auto"/>
                <w:szCs w:val="21"/>
                <w:lang w:bidi="ar"/>
              </w:rPr>
              <w:t>黄江镇合路创业一路1号污水处理厂二期</w:t>
            </w:r>
          </w:p>
        </w:tc>
      </w:tr>
      <w:tr w14:paraId="1CD1E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8" w:type="dxa"/>
            <w:noWrap/>
            <w:vAlign w:val="center"/>
          </w:tcPr>
          <w:p w14:paraId="54FF47F6">
            <w:pPr>
              <w:keepNext w:val="0"/>
              <w:keepLines w:val="0"/>
              <w:widowControl/>
              <w:suppressLineNumbers w:val="0"/>
              <w:spacing w:before="0" w:beforeAutospacing="0" w:after="0" w:afterAutospacing="0"/>
              <w:ind w:left="0" w:right="0"/>
              <w:jc w:val="center"/>
              <w:rPr>
                <w:rFonts w:hint="default" w:ascii="宋体" w:hAnsi="宋体" w:eastAsia="宋体" w:cs="宋体"/>
                <w:color w:val="auto"/>
                <w:szCs w:val="21"/>
              </w:rPr>
            </w:pPr>
            <w:r>
              <w:rPr>
                <w:rFonts w:hint="eastAsia" w:ascii="宋体" w:hAnsi="宋体" w:eastAsia="宋体" w:cs="宋体"/>
                <w:color w:val="auto"/>
                <w:szCs w:val="21"/>
              </w:rPr>
              <w:t>24</w:t>
            </w:r>
          </w:p>
        </w:tc>
        <w:tc>
          <w:tcPr>
            <w:tcW w:w="2323" w:type="dxa"/>
            <w:tcBorders>
              <w:right w:val="single" w:color="auto" w:sz="4" w:space="0"/>
            </w:tcBorders>
            <w:vAlign w:val="center"/>
          </w:tcPr>
          <w:p w14:paraId="24CFEA5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szCs w:val="21"/>
                <w:lang w:bidi="ar"/>
              </w:rPr>
              <w:t>常平东</w:t>
            </w:r>
          </w:p>
        </w:tc>
        <w:tc>
          <w:tcPr>
            <w:tcW w:w="5419" w:type="dxa"/>
            <w:vAlign w:val="center"/>
          </w:tcPr>
          <w:p w14:paraId="04319FAA">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Cs w:val="21"/>
              </w:rPr>
            </w:pPr>
            <w:r>
              <w:rPr>
                <w:rFonts w:hint="eastAsia" w:ascii="宋体" w:hAnsi="宋体" w:eastAsia="宋体" w:cs="宋体"/>
                <w:color w:val="auto"/>
                <w:szCs w:val="21"/>
                <w:lang w:bidi="ar"/>
              </w:rPr>
              <w:t>常平镇沙湖口旧围路</w:t>
            </w:r>
          </w:p>
        </w:tc>
      </w:tr>
      <w:tr w14:paraId="5EF2E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8" w:type="dxa"/>
            <w:noWrap/>
            <w:vAlign w:val="center"/>
          </w:tcPr>
          <w:p w14:paraId="0BE13E5C">
            <w:pPr>
              <w:keepNext w:val="0"/>
              <w:keepLines w:val="0"/>
              <w:widowControl/>
              <w:suppressLineNumbers w:val="0"/>
              <w:spacing w:before="0" w:beforeAutospacing="0" w:after="0" w:afterAutospacing="0"/>
              <w:ind w:left="0" w:right="0"/>
              <w:jc w:val="center"/>
              <w:rPr>
                <w:rFonts w:hint="default" w:ascii="宋体" w:hAnsi="宋体" w:eastAsia="宋体" w:cs="宋体"/>
                <w:color w:val="auto"/>
                <w:szCs w:val="21"/>
              </w:rPr>
            </w:pPr>
            <w:r>
              <w:rPr>
                <w:rFonts w:hint="eastAsia" w:ascii="宋体" w:hAnsi="宋体" w:eastAsia="宋体" w:cs="宋体"/>
                <w:color w:val="auto"/>
                <w:szCs w:val="21"/>
              </w:rPr>
              <w:t>25</w:t>
            </w:r>
          </w:p>
        </w:tc>
        <w:tc>
          <w:tcPr>
            <w:tcW w:w="2323" w:type="dxa"/>
            <w:tcBorders>
              <w:right w:val="single" w:color="auto" w:sz="4" w:space="0"/>
            </w:tcBorders>
            <w:vAlign w:val="center"/>
          </w:tcPr>
          <w:p w14:paraId="49DF038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szCs w:val="21"/>
                <w:lang w:bidi="ar"/>
              </w:rPr>
              <w:t>寮步二期</w:t>
            </w:r>
          </w:p>
        </w:tc>
        <w:tc>
          <w:tcPr>
            <w:tcW w:w="5419" w:type="dxa"/>
            <w:vAlign w:val="center"/>
          </w:tcPr>
          <w:p w14:paraId="718D7D27">
            <w:pPr>
              <w:keepNext w:val="0"/>
              <w:keepLines w:val="0"/>
              <w:widowControl/>
              <w:suppressLineNumbers w:val="0"/>
              <w:spacing w:before="0" w:beforeAutospacing="0" w:after="0" w:afterAutospacing="0"/>
              <w:ind w:left="0" w:right="0"/>
              <w:textAlignment w:val="center"/>
              <w:rPr>
                <w:rFonts w:hint="default" w:ascii="宋体" w:hAnsi="宋体" w:eastAsia="宋体" w:cs="宋体"/>
                <w:color w:val="auto"/>
                <w:szCs w:val="21"/>
              </w:rPr>
            </w:pPr>
            <w:r>
              <w:rPr>
                <w:rFonts w:hint="eastAsia" w:ascii="宋体" w:hAnsi="宋体" w:eastAsia="宋体" w:cs="宋体"/>
                <w:color w:val="auto"/>
                <w:szCs w:val="21"/>
                <w:lang w:bidi="ar"/>
              </w:rPr>
              <w:t>东莞市寮步镇竹园村岭安街121号（东城温塘污水处理厂大门口前行1000米）</w:t>
            </w:r>
          </w:p>
        </w:tc>
      </w:tr>
      <w:tr w14:paraId="047E1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8" w:type="dxa"/>
            <w:noWrap/>
            <w:vAlign w:val="center"/>
          </w:tcPr>
          <w:p w14:paraId="19C99773">
            <w:pPr>
              <w:keepNext w:val="0"/>
              <w:keepLines w:val="0"/>
              <w:widowControl/>
              <w:suppressLineNumbers w:val="0"/>
              <w:spacing w:before="0" w:beforeAutospacing="0" w:after="0" w:afterAutospacing="0"/>
              <w:ind w:left="0" w:right="0"/>
              <w:jc w:val="center"/>
              <w:rPr>
                <w:rFonts w:hint="default" w:ascii="宋体" w:hAnsi="宋体" w:eastAsia="宋体" w:cs="宋体"/>
                <w:color w:val="auto"/>
                <w:szCs w:val="21"/>
              </w:rPr>
            </w:pPr>
            <w:r>
              <w:rPr>
                <w:rFonts w:hint="eastAsia" w:ascii="宋体" w:hAnsi="宋体" w:eastAsia="宋体" w:cs="宋体"/>
                <w:color w:val="auto"/>
                <w:szCs w:val="21"/>
              </w:rPr>
              <w:t>26</w:t>
            </w:r>
          </w:p>
        </w:tc>
        <w:tc>
          <w:tcPr>
            <w:tcW w:w="2323" w:type="dxa"/>
            <w:tcBorders>
              <w:right w:val="single" w:color="auto" w:sz="4" w:space="0"/>
            </w:tcBorders>
            <w:vAlign w:val="center"/>
          </w:tcPr>
          <w:p w14:paraId="4E4D680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szCs w:val="21"/>
                <w:lang w:bidi="ar"/>
              </w:rPr>
              <w:t>寮步一期提标</w:t>
            </w:r>
          </w:p>
        </w:tc>
        <w:tc>
          <w:tcPr>
            <w:tcW w:w="5419" w:type="dxa"/>
            <w:vAlign w:val="center"/>
          </w:tcPr>
          <w:p w14:paraId="77B0B490">
            <w:pPr>
              <w:keepNext w:val="0"/>
              <w:keepLines w:val="0"/>
              <w:widowControl/>
              <w:suppressLineNumbers w:val="0"/>
              <w:spacing w:before="0" w:beforeAutospacing="0" w:after="0" w:afterAutospacing="0"/>
              <w:ind w:left="0" w:right="0"/>
              <w:textAlignment w:val="center"/>
              <w:rPr>
                <w:rFonts w:hint="default" w:ascii="宋体" w:hAnsi="宋体" w:eastAsia="宋体" w:cs="宋体"/>
                <w:color w:val="auto"/>
                <w:szCs w:val="21"/>
              </w:rPr>
            </w:pPr>
            <w:r>
              <w:rPr>
                <w:rFonts w:hint="eastAsia" w:ascii="宋体" w:hAnsi="宋体" w:eastAsia="宋体" w:cs="宋体"/>
                <w:color w:val="auto"/>
                <w:szCs w:val="21"/>
                <w:lang w:bidi="ar"/>
              </w:rPr>
              <w:t>东莞市寮步镇竹园村岭安街121号（东城温塘污水处理厂大门口前行1000米）</w:t>
            </w:r>
          </w:p>
        </w:tc>
      </w:tr>
      <w:tr w14:paraId="34F5A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8" w:type="dxa"/>
            <w:noWrap/>
            <w:vAlign w:val="center"/>
          </w:tcPr>
          <w:p w14:paraId="65B0E433">
            <w:pPr>
              <w:keepNext w:val="0"/>
              <w:keepLines w:val="0"/>
              <w:widowControl/>
              <w:suppressLineNumbers w:val="0"/>
              <w:spacing w:before="0" w:beforeAutospacing="0" w:after="0" w:afterAutospacing="0"/>
              <w:ind w:left="0" w:right="0"/>
              <w:jc w:val="center"/>
              <w:rPr>
                <w:rFonts w:hint="default" w:ascii="宋体" w:hAnsi="宋体" w:eastAsia="宋体" w:cs="宋体"/>
                <w:color w:val="auto"/>
                <w:szCs w:val="21"/>
              </w:rPr>
            </w:pPr>
            <w:r>
              <w:rPr>
                <w:rFonts w:hint="eastAsia" w:ascii="宋体" w:hAnsi="宋体" w:eastAsia="宋体" w:cs="宋体"/>
                <w:color w:val="auto"/>
                <w:szCs w:val="21"/>
              </w:rPr>
              <w:t>27</w:t>
            </w:r>
          </w:p>
        </w:tc>
        <w:tc>
          <w:tcPr>
            <w:tcW w:w="2323" w:type="dxa"/>
            <w:tcBorders>
              <w:right w:val="single" w:color="auto" w:sz="4" w:space="0"/>
            </w:tcBorders>
            <w:vAlign w:val="center"/>
          </w:tcPr>
          <w:p w14:paraId="16808C5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szCs w:val="21"/>
                <w:lang w:bidi="ar"/>
              </w:rPr>
              <w:t>茶山提标</w:t>
            </w:r>
          </w:p>
        </w:tc>
        <w:tc>
          <w:tcPr>
            <w:tcW w:w="5419" w:type="dxa"/>
            <w:vAlign w:val="center"/>
          </w:tcPr>
          <w:p w14:paraId="0E90843A">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Cs w:val="21"/>
              </w:rPr>
            </w:pPr>
            <w:r>
              <w:rPr>
                <w:rFonts w:hint="eastAsia" w:ascii="宋体" w:hAnsi="宋体" w:eastAsia="宋体" w:cs="宋体"/>
                <w:color w:val="auto"/>
                <w:szCs w:val="21"/>
                <w:lang w:bidi="ar"/>
              </w:rPr>
              <w:t>东莞市茶山北路东城余屋考场往前300米右转华骏污水处理厂</w:t>
            </w:r>
          </w:p>
        </w:tc>
      </w:tr>
      <w:tr w14:paraId="1B6D4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8" w:type="dxa"/>
            <w:noWrap/>
            <w:vAlign w:val="center"/>
          </w:tcPr>
          <w:p w14:paraId="4D421035">
            <w:pPr>
              <w:keepNext w:val="0"/>
              <w:keepLines w:val="0"/>
              <w:widowControl/>
              <w:suppressLineNumbers w:val="0"/>
              <w:spacing w:before="0" w:beforeAutospacing="0" w:after="0" w:afterAutospacing="0"/>
              <w:ind w:left="0" w:right="0"/>
              <w:jc w:val="center"/>
              <w:rPr>
                <w:rFonts w:hint="default" w:ascii="宋体" w:hAnsi="宋体" w:eastAsia="宋体" w:cs="宋体"/>
                <w:color w:val="auto"/>
                <w:szCs w:val="21"/>
              </w:rPr>
            </w:pPr>
            <w:r>
              <w:rPr>
                <w:rFonts w:hint="eastAsia" w:ascii="宋体" w:hAnsi="宋体" w:eastAsia="宋体" w:cs="宋体"/>
                <w:color w:val="auto"/>
                <w:szCs w:val="21"/>
              </w:rPr>
              <w:t>27</w:t>
            </w:r>
          </w:p>
        </w:tc>
        <w:tc>
          <w:tcPr>
            <w:tcW w:w="2323" w:type="dxa"/>
            <w:tcBorders>
              <w:right w:val="single" w:color="auto" w:sz="4" w:space="0"/>
            </w:tcBorders>
            <w:vAlign w:val="center"/>
          </w:tcPr>
          <w:p w14:paraId="1776FDE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szCs w:val="21"/>
                <w:lang w:bidi="ar"/>
              </w:rPr>
              <w:t>松北厂</w:t>
            </w:r>
          </w:p>
        </w:tc>
        <w:tc>
          <w:tcPr>
            <w:tcW w:w="5419" w:type="dxa"/>
            <w:vAlign w:val="center"/>
          </w:tcPr>
          <w:p w14:paraId="3A36919B">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Cs w:val="21"/>
              </w:rPr>
            </w:pPr>
            <w:r>
              <w:rPr>
                <w:rFonts w:hint="eastAsia" w:ascii="宋体" w:hAnsi="宋体" w:eastAsia="宋体" w:cs="宋体"/>
                <w:color w:val="auto"/>
                <w:szCs w:val="21"/>
                <w:lang w:bidi="ar"/>
              </w:rPr>
              <w:t>东莞市松山湖高新技术产业开发区工业西三路3号（松山湖北部污水处理厂二期）</w:t>
            </w:r>
          </w:p>
        </w:tc>
      </w:tr>
      <w:tr w14:paraId="5968A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8" w:type="dxa"/>
            <w:noWrap/>
            <w:vAlign w:val="center"/>
          </w:tcPr>
          <w:p w14:paraId="6AEA0517">
            <w:pPr>
              <w:keepNext w:val="0"/>
              <w:keepLines w:val="0"/>
              <w:widowControl/>
              <w:suppressLineNumbers w:val="0"/>
              <w:spacing w:before="0" w:beforeAutospacing="0" w:after="0" w:afterAutospacing="0"/>
              <w:ind w:left="0" w:right="0"/>
              <w:jc w:val="center"/>
              <w:rPr>
                <w:rFonts w:hint="default" w:ascii="宋体" w:hAnsi="宋体" w:eastAsia="宋体" w:cs="宋体"/>
                <w:color w:val="auto"/>
                <w:szCs w:val="21"/>
              </w:rPr>
            </w:pPr>
            <w:r>
              <w:rPr>
                <w:rFonts w:hint="eastAsia" w:ascii="宋体" w:hAnsi="宋体" w:eastAsia="宋体" w:cs="宋体"/>
                <w:color w:val="auto"/>
                <w:szCs w:val="21"/>
              </w:rPr>
              <w:t>28</w:t>
            </w:r>
          </w:p>
        </w:tc>
        <w:tc>
          <w:tcPr>
            <w:tcW w:w="2323" w:type="dxa"/>
            <w:tcBorders>
              <w:right w:val="single" w:color="auto" w:sz="4" w:space="0"/>
            </w:tcBorders>
            <w:vAlign w:val="center"/>
          </w:tcPr>
          <w:p w14:paraId="5411035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szCs w:val="21"/>
                <w:lang w:bidi="ar"/>
              </w:rPr>
              <w:t>松北一期提标</w:t>
            </w:r>
          </w:p>
        </w:tc>
        <w:tc>
          <w:tcPr>
            <w:tcW w:w="5419" w:type="dxa"/>
            <w:vAlign w:val="center"/>
          </w:tcPr>
          <w:p w14:paraId="23E3A940">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Cs w:val="21"/>
              </w:rPr>
            </w:pPr>
            <w:r>
              <w:rPr>
                <w:rFonts w:hint="eastAsia" w:ascii="宋体" w:hAnsi="宋体" w:eastAsia="宋体" w:cs="宋体"/>
                <w:color w:val="auto"/>
                <w:szCs w:val="21"/>
                <w:lang w:bidi="ar"/>
              </w:rPr>
              <w:t>东莞市松山湖高新技术产业开发区工业西三路3号（松山湖北部污水处理厂二期）</w:t>
            </w:r>
          </w:p>
        </w:tc>
      </w:tr>
      <w:tr w14:paraId="5A37B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8" w:type="dxa"/>
            <w:noWrap/>
            <w:vAlign w:val="center"/>
          </w:tcPr>
          <w:p w14:paraId="487295FD">
            <w:pPr>
              <w:keepNext w:val="0"/>
              <w:keepLines w:val="0"/>
              <w:widowControl/>
              <w:suppressLineNumbers w:val="0"/>
              <w:spacing w:before="0" w:beforeAutospacing="0" w:after="0" w:afterAutospacing="0"/>
              <w:ind w:left="0" w:right="0"/>
              <w:jc w:val="center"/>
              <w:rPr>
                <w:rFonts w:hint="default" w:ascii="宋体" w:hAnsi="宋体" w:eastAsia="宋体" w:cs="宋体"/>
                <w:color w:val="auto"/>
                <w:szCs w:val="21"/>
              </w:rPr>
            </w:pPr>
            <w:r>
              <w:rPr>
                <w:rFonts w:hint="eastAsia" w:ascii="宋体" w:hAnsi="宋体" w:eastAsia="宋体" w:cs="宋体"/>
                <w:color w:val="auto"/>
                <w:szCs w:val="21"/>
              </w:rPr>
              <w:t>29</w:t>
            </w:r>
          </w:p>
        </w:tc>
        <w:tc>
          <w:tcPr>
            <w:tcW w:w="2323" w:type="dxa"/>
            <w:tcBorders>
              <w:right w:val="single" w:color="auto" w:sz="4" w:space="0"/>
            </w:tcBorders>
            <w:vAlign w:val="center"/>
          </w:tcPr>
          <w:p w14:paraId="687C165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szCs w:val="21"/>
                <w:lang w:bidi="ar"/>
              </w:rPr>
              <w:t>常平西</w:t>
            </w:r>
          </w:p>
        </w:tc>
        <w:tc>
          <w:tcPr>
            <w:tcW w:w="5419" w:type="dxa"/>
            <w:vAlign w:val="center"/>
          </w:tcPr>
          <w:p w14:paraId="7A443C00">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Cs w:val="21"/>
              </w:rPr>
            </w:pPr>
            <w:r>
              <w:rPr>
                <w:rFonts w:hint="eastAsia" w:ascii="宋体" w:hAnsi="宋体" w:eastAsia="宋体" w:cs="宋体"/>
                <w:color w:val="auto"/>
                <w:szCs w:val="21"/>
              </w:rPr>
              <w:t>东莞市常平镇贝冲南一街</w:t>
            </w:r>
          </w:p>
        </w:tc>
      </w:tr>
      <w:tr w14:paraId="0D56E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8" w:type="dxa"/>
            <w:noWrap/>
            <w:vAlign w:val="center"/>
          </w:tcPr>
          <w:p w14:paraId="13D610E3">
            <w:pPr>
              <w:keepNext w:val="0"/>
              <w:keepLines w:val="0"/>
              <w:widowControl/>
              <w:suppressLineNumbers w:val="0"/>
              <w:spacing w:before="0" w:beforeAutospacing="0" w:after="0" w:afterAutospacing="0"/>
              <w:ind w:left="0" w:right="0"/>
              <w:jc w:val="center"/>
              <w:rPr>
                <w:rFonts w:hint="default" w:ascii="宋体" w:hAnsi="宋体" w:eastAsia="宋体" w:cs="宋体"/>
                <w:color w:val="auto"/>
                <w:szCs w:val="21"/>
              </w:rPr>
            </w:pPr>
            <w:r>
              <w:rPr>
                <w:rFonts w:hint="eastAsia" w:ascii="宋体" w:hAnsi="宋体" w:eastAsia="宋体" w:cs="宋体"/>
                <w:color w:val="auto"/>
                <w:szCs w:val="21"/>
              </w:rPr>
              <w:t>30</w:t>
            </w:r>
          </w:p>
        </w:tc>
        <w:tc>
          <w:tcPr>
            <w:tcW w:w="2323" w:type="dxa"/>
            <w:tcBorders>
              <w:right w:val="single" w:color="auto" w:sz="4" w:space="0"/>
            </w:tcBorders>
            <w:vAlign w:val="center"/>
          </w:tcPr>
          <w:p w14:paraId="53B7B3D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lang w:bidi="ar"/>
              </w:rPr>
            </w:pPr>
            <w:r>
              <w:rPr>
                <w:rFonts w:hint="eastAsia" w:ascii="宋体" w:hAnsi="宋体" w:eastAsia="宋体" w:cs="宋体"/>
                <w:color w:val="auto"/>
                <w:szCs w:val="21"/>
                <w:lang w:bidi="ar"/>
              </w:rPr>
              <w:t>横沥东坑</w:t>
            </w:r>
          </w:p>
        </w:tc>
        <w:tc>
          <w:tcPr>
            <w:tcW w:w="5419" w:type="dxa"/>
            <w:vAlign w:val="center"/>
          </w:tcPr>
          <w:p w14:paraId="6C45D4B3">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Cs w:val="21"/>
                <w:lang w:bidi="ar"/>
              </w:rPr>
            </w:pPr>
            <w:r>
              <w:rPr>
                <w:rFonts w:hint="eastAsia" w:ascii="宋体" w:hAnsi="宋体" w:eastAsia="宋体" w:cs="宋体"/>
                <w:color w:val="auto"/>
                <w:szCs w:val="21"/>
              </w:rPr>
              <w:t>东莞市</w:t>
            </w:r>
            <w:r>
              <w:rPr>
                <w:rFonts w:hint="eastAsia" w:ascii="宋体" w:hAnsi="宋体" w:eastAsia="宋体" w:cs="宋体"/>
                <w:color w:val="auto"/>
                <w:szCs w:val="21"/>
                <w:lang w:bidi="ar"/>
              </w:rPr>
              <w:t>横沥镇角社角详路</w:t>
            </w:r>
          </w:p>
        </w:tc>
      </w:tr>
      <w:tr w14:paraId="4A0A5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8" w:type="dxa"/>
            <w:noWrap/>
            <w:vAlign w:val="center"/>
          </w:tcPr>
          <w:p w14:paraId="0822ACEE">
            <w:pPr>
              <w:keepNext w:val="0"/>
              <w:keepLines w:val="0"/>
              <w:widowControl/>
              <w:suppressLineNumbers w:val="0"/>
              <w:spacing w:before="0" w:beforeAutospacing="0" w:after="0" w:afterAutospacing="0"/>
              <w:ind w:left="0" w:right="0"/>
              <w:jc w:val="center"/>
              <w:rPr>
                <w:rFonts w:hint="default" w:ascii="宋体" w:hAnsi="宋体" w:eastAsia="宋体" w:cs="宋体"/>
                <w:color w:val="auto"/>
                <w:szCs w:val="21"/>
              </w:rPr>
            </w:pPr>
            <w:r>
              <w:rPr>
                <w:rFonts w:hint="eastAsia" w:ascii="宋体" w:hAnsi="宋体" w:eastAsia="宋体" w:cs="宋体"/>
                <w:color w:val="auto"/>
                <w:szCs w:val="21"/>
              </w:rPr>
              <w:t>31</w:t>
            </w:r>
          </w:p>
        </w:tc>
        <w:tc>
          <w:tcPr>
            <w:tcW w:w="2323" w:type="dxa"/>
            <w:tcBorders>
              <w:right w:val="single" w:color="auto" w:sz="4" w:space="0"/>
            </w:tcBorders>
            <w:vAlign w:val="center"/>
          </w:tcPr>
          <w:p w14:paraId="21782AD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szCs w:val="21"/>
                <w:lang w:bidi="ar"/>
              </w:rPr>
              <w:t>松南二期</w:t>
            </w:r>
          </w:p>
        </w:tc>
        <w:tc>
          <w:tcPr>
            <w:tcW w:w="5419" w:type="dxa"/>
            <w:vAlign w:val="center"/>
          </w:tcPr>
          <w:p w14:paraId="44ECDF8B">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Cs w:val="21"/>
              </w:rPr>
            </w:pPr>
            <w:r>
              <w:rPr>
                <w:rFonts w:hint="eastAsia" w:ascii="宋体" w:hAnsi="宋体" w:eastAsia="宋体" w:cs="宋体"/>
                <w:color w:val="auto"/>
                <w:szCs w:val="21"/>
                <w:lang w:bidi="ar"/>
              </w:rPr>
              <w:t>东莞市大朗镇沙步村杨沙路与沙通路交叉口东北侧（大朗松山湖南部污水处理厂二期）</w:t>
            </w:r>
          </w:p>
        </w:tc>
      </w:tr>
      <w:tr w14:paraId="4B3F5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8" w:type="dxa"/>
            <w:noWrap/>
            <w:vAlign w:val="center"/>
          </w:tcPr>
          <w:p w14:paraId="0C6A494D">
            <w:pPr>
              <w:keepNext w:val="0"/>
              <w:keepLines w:val="0"/>
              <w:widowControl/>
              <w:suppressLineNumbers w:val="0"/>
              <w:spacing w:before="0" w:beforeAutospacing="0" w:after="0" w:afterAutospacing="0"/>
              <w:ind w:left="0" w:right="0"/>
              <w:jc w:val="center"/>
              <w:rPr>
                <w:rFonts w:hint="default" w:ascii="宋体" w:hAnsi="宋体" w:eastAsia="宋体" w:cs="宋体"/>
                <w:color w:val="auto"/>
                <w:szCs w:val="21"/>
              </w:rPr>
            </w:pPr>
            <w:r>
              <w:rPr>
                <w:rFonts w:hint="eastAsia" w:ascii="宋体" w:hAnsi="宋体" w:eastAsia="宋体" w:cs="宋体"/>
                <w:color w:val="auto"/>
                <w:szCs w:val="21"/>
              </w:rPr>
              <w:t>32</w:t>
            </w:r>
          </w:p>
        </w:tc>
        <w:tc>
          <w:tcPr>
            <w:tcW w:w="2323" w:type="dxa"/>
            <w:tcBorders>
              <w:right w:val="single" w:color="auto" w:sz="4" w:space="0"/>
            </w:tcBorders>
            <w:vAlign w:val="center"/>
          </w:tcPr>
          <w:p w14:paraId="7812ED2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szCs w:val="21"/>
                <w:lang w:bidi="ar"/>
              </w:rPr>
              <w:t>松南一期提标</w:t>
            </w:r>
          </w:p>
        </w:tc>
        <w:tc>
          <w:tcPr>
            <w:tcW w:w="5419" w:type="dxa"/>
            <w:vAlign w:val="center"/>
          </w:tcPr>
          <w:p w14:paraId="33C25950">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Cs w:val="21"/>
              </w:rPr>
            </w:pPr>
            <w:r>
              <w:rPr>
                <w:rFonts w:hint="eastAsia" w:ascii="宋体" w:hAnsi="宋体" w:eastAsia="宋体" w:cs="宋体"/>
                <w:color w:val="auto"/>
                <w:szCs w:val="21"/>
                <w:lang w:bidi="ar"/>
              </w:rPr>
              <w:t>东莞市大朗镇沙步村杨沙路与沙通路交叉口东北侧（大朗松山湖南部污水处理厂二期）</w:t>
            </w:r>
          </w:p>
        </w:tc>
      </w:tr>
      <w:tr w14:paraId="466BB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8" w:type="dxa"/>
            <w:noWrap/>
            <w:vAlign w:val="center"/>
          </w:tcPr>
          <w:p w14:paraId="1D12AAF0">
            <w:pPr>
              <w:keepNext w:val="0"/>
              <w:keepLines w:val="0"/>
              <w:widowControl/>
              <w:suppressLineNumbers w:val="0"/>
              <w:spacing w:before="0" w:beforeAutospacing="0" w:after="0" w:afterAutospacing="0"/>
              <w:ind w:left="0" w:right="0"/>
              <w:jc w:val="center"/>
              <w:rPr>
                <w:rFonts w:hint="default" w:ascii="宋体" w:hAnsi="宋体" w:eastAsia="宋体" w:cs="宋体"/>
                <w:color w:val="auto"/>
                <w:szCs w:val="21"/>
              </w:rPr>
            </w:pPr>
            <w:r>
              <w:rPr>
                <w:rFonts w:hint="eastAsia" w:ascii="宋体" w:hAnsi="宋体" w:eastAsia="宋体" w:cs="宋体"/>
                <w:color w:val="auto"/>
                <w:szCs w:val="21"/>
              </w:rPr>
              <w:t>33</w:t>
            </w:r>
          </w:p>
        </w:tc>
        <w:tc>
          <w:tcPr>
            <w:tcW w:w="2323" w:type="dxa"/>
            <w:tcBorders>
              <w:right w:val="single" w:color="auto" w:sz="4" w:space="0"/>
            </w:tcBorders>
            <w:vAlign w:val="center"/>
          </w:tcPr>
          <w:p w14:paraId="2B7D85E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szCs w:val="21"/>
                <w:lang w:bidi="ar"/>
              </w:rPr>
              <w:t>东城温塘厂及二期提标</w:t>
            </w:r>
          </w:p>
        </w:tc>
        <w:tc>
          <w:tcPr>
            <w:tcW w:w="5419" w:type="dxa"/>
            <w:vAlign w:val="center"/>
          </w:tcPr>
          <w:p w14:paraId="09F2599D">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Cs w:val="21"/>
              </w:rPr>
            </w:pPr>
            <w:r>
              <w:rPr>
                <w:rFonts w:hint="eastAsia" w:ascii="宋体" w:hAnsi="宋体" w:eastAsia="宋体" w:cs="宋体"/>
                <w:color w:val="auto"/>
                <w:szCs w:val="21"/>
                <w:lang w:bidi="ar"/>
              </w:rPr>
              <w:t>东莞市寮步镇竹园村虚舟路</w:t>
            </w:r>
          </w:p>
        </w:tc>
      </w:tr>
      <w:tr w14:paraId="73652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8" w:type="dxa"/>
            <w:noWrap/>
            <w:vAlign w:val="center"/>
          </w:tcPr>
          <w:p w14:paraId="61A8EB63">
            <w:pPr>
              <w:keepNext w:val="0"/>
              <w:keepLines w:val="0"/>
              <w:widowControl/>
              <w:suppressLineNumbers w:val="0"/>
              <w:spacing w:before="0" w:beforeAutospacing="0" w:after="0" w:afterAutospacing="0"/>
              <w:ind w:left="0" w:right="0"/>
              <w:jc w:val="center"/>
              <w:rPr>
                <w:rFonts w:hint="default" w:ascii="宋体" w:hAnsi="宋体" w:eastAsia="宋体" w:cs="宋体"/>
                <w:color w:val="auto"/>
                <w:szCs w:val="21"/>
              </w:rPr>
            </w:pPr>
            <w:r>
              <w:rPr>
                <w:rFonts w:hint="eastAsia" w:ascii="宋体" w:hAnsi="宋体" w:eastAsia="宋体" w:cs="宋体"/>
                <w:color w:val="auto"/>
                <w:szCs w:val="21"/>
              </w:rPr>
              <w:t>34</w:t>
            </w:r>
          </w:p>
        </w:tc>
        <w:tc>
          <w:tcPr>
            <w:tcW w:w="2323" w:type="dxa"/>
            <w:tcBorders>
              <w:right w:val="single" w:color="auto" w:sz="4" w:space="0"/>
            </w:tcBorders>
            <w:vAlign w:val="center"/>
          </w:tcPr>
          <w:p w14:paraId="4A655C2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szCs w:val="21"/>
                <w:lang w:bidi="ar"/>
              </w:rPr>
              <w:t>麻涌二期</w:t>
            </w:r>
          </w:p>
        </w:tc>
        <w:tc>
          <w:tcPr>
            <w:tcW w:w="5419" w:type="dxa"/>
            <w:vAlign w:val="center"/>
          </w:tcPr>
          <w:p w14:paraId="03EB8D92">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Cs w:val="21"/>
              </w:rPr>
            </w:pPr>
            <w:r>
              <w:rPr>
                <w:rFonts w:hint="eastAsia" w:ascii="宋体" w:hAnsi="宋体" w:eastAsia="宋体" w:cs="宋体"/>
                <w:color w:val="auto"/>
                <w:szCs w:val="21"/>
                <w:lang w:bidi="ar"/>
              </w:rPr>
              <w:t>广东省东莞市麻涌镇新沙公园南一路9号2号楼202 室</w:t>
            </w:r>
          </w:p>
        </w:tc>
      </w:tr>
      <w:tr w14:paraId="5B3FF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8" w:type="dxa"/>
            <w:noWrap/>
            <w:vAlign w:val="center"/>
          </w:tcPr>
          <w:p w14:paraId="6FC3130F">
            <w:pPr>
              <w:keepNext w:val="0"/>
              <w:keepLines w:val="0"/>
              <w:widowControl/>
              <w:suppressLineNumbers w:val="0"/>
              <w:spacing w:before="0" w:beforeAutospacing="0" w:after="0" w:afterAutospacing="0"/>
              <w:ind w:left="0" w:right="0"/>
              <w:jc w:val="center"/>
              <w:rPr>
                <w:rFonts w:hint="default" w:ascii="宋体" w:hAnsi="宋体" w:eastAsia="宋体" w:cs="宋体"/>
                <w:color w:val="auto"/>
                <w:szCs w:val="21"/>
              </w:rPr>
            </w:pPr>
            <w:r>
              <w:rPr>
                <w:rFonts w:hint="eastAsia" w:ascii="宋体" w:hAnsi="宋体" w:eastAsia="宋体" w:cs="宋体"/>
                <w:color w:val="auto"/>
                <w:szCs w:val="21"/>
              </w:rPr>
              <w:t>35</w:t>
            </w:r>
          </w:p>
        </w:tc>
        <w:tc>
          <w:tcPr>
            <w:tcW w:w="2323" w:type="dxa"/>
            <w:tcBorders>
              <w:right w:val="single" w:color="auto" w:sz="4" w:space="0"/>
            </w:tcBorders>
            <w:vAlign w:val="center"/>
          </w:tcPr>
          <w:p w14:paraId="738D066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szCs w:val="21"/>
                <w:lang w:bidi="ar"/>
              </w:rPr>
              <w:t>麻涌提标</w:t>
            </w:r>
          </w:p>
        </w:tc>
        <w:tc>
          <w:tcPr>
            <w:tcW w:w="5419" w:type="dxa"/>
            <w:vAlign w:val="center"/>
          </w:tcPr>
          <w:p w14:paraId="559C2064">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Cs w:val="21"/>
              </w:rPr>
            </w:pPr>
            <w:r>
              <w:rPr>
                <w:rFonts w:hint="eastAsia" w:ascii="宋体" w:hAnsi="宋体" w:eastAsia="宋体" w:cs="宋体"/>
                <w:color w:val="auto"/>
                <w:szCs w:val="21"/>
                <w:lang w:bidi="ar"/>
              </w:rPr>
              <w:t>广东省东莞市麻涌镇新沙公园南一路</w:t>
            </w:r>
          </w:p>
        </w:tc>
      </w:tr>
      <w:tr w14:paraId="373B6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8" w:type="dxa"/>
            <w:noWrap/>
            <w:vAlign w:val="center"/>
          </w:tcPr>
          <w:p w14:paraId="7F2BBD3F">
            <w:pPr>
              <w:keepNext w:val="0"/>
              <w:keepLines w:val="0"/>
              <w:widowControl/>
              <w:suppressLineNumbers w:val="0"/>
              <w:spacing w:before="0" w:beforeAutospacing="0" w:after="0" w:afterAutospacing="0"/>
              <w:ind w:left="0" w:right="0"/>
              <w:jc w:val="center"/>
              <w:rPr>
                <w:rFonts w:hint="default" w:ascii="宋体" w:hAnsi="宋体" w:eastAsia="宋体" w:cs="宋体"/>
                <w:color w:val="auto"/>
                <w:szCs w:val="21"/>
              </w:rPr>
            </w:pPr>
            <w:r>
              <w:rPr>
                <w:rFonts w:hint="eastAsia" w:ascii="宋体" w:hAnsi="宋体" w:eastAsia="宋体" w:cs="宋体"/>
                <w:color w:val="auto"/>
                <w:szCs w:val="21"/>
              </w:rPr>
              <w:t>36</w:t>
            </w:r>
          </w:p>
        </w:tc>
        <w:tc>
          <w:tcPr>
            <w:tcW w:w="2323" w:type="dxa"/>
            <w:tcBorders>
              <w:right w:val="single" w:color="auto" w:sz="4" w:space="0"/>
            </w:tcBorders>
            <w:vAlign w:val="center"/>
          </w:tcPr>
          <w:p w14:paraId="671CBE5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szCs w:val="21"/>
                <w:lang w:bidi="ar"/>
              </w:rPr>
              <w:t>石碣厂</w:t>
            </w:r>
          </w:p>
        </w:tc>
        <w:tc>
          <w:tcPr>
            <w:tcW w:w="5419" w:type="dxa"/>
            <w:vAlign w:val="center"/>
          </w:tcPr>
          <w:p w14:paraId="234D92B5">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Cs w:val="21"/>
              </w:rPr>
            </w:pPr>
            <w:r>
              <w:rPr>
                <w:rFonts w:hint="eastAsia" w:ascii="宋体" w:hAnsi="宋体" w:eastAsia="宋体" w:cs="宋体"/>
                <w:color w:val="auto"/>
                <w:szCs w:val="21"/>
                <w:lang w:bidi="ar"/>
              </w:rPr>
              <w:t>东莞市石碣镇沙腰村沿江西路2号石碣污水处理厂</w:t>
            </w:r>
          </w:p>
        </w:tc>
      </w:tr>
      <w:tr w14:paraId="1BA09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8" w:type="dxa"/>
            <w:noWrap/>
            <w:vAlign w:val="center"/>
          </w:tcPr>
          <w:p w14:paraId="4BE1461C">
            <w:pPr>
              <w:keepNext w:val="0"/>
              <w:keepLines w:val="0"/>
              <w:widowControl/>
              <w:suppressLineNumbers w:val="0"/>
              <w:spacing w:before="0" w:beforeAutospacing="0" w:after="0" w:afterAutospacing="0"/>
              <w:ind w:left="0" w:right="0"/>
              <w:jc w:val="center"/>
              <w:rPr>
                <w:rFonts w:hint="default" w:ascii="宋体" w:hAnsi="宋体" w:eastAsia="宋体" w:cs="宋体"/>
                <w:color w:val="auto"/>
                <w:szCs w:val="21"/>
              </w:rPr>
            </w:pPr>
            <w:r>
              <w:rPr>
                <w:rFonts w:hint="eastAsia" w:ascii="宋体" w:hAnsi="宋体" w:eastAsia="宋体" w:cs="宋体"/>
                <w:color w:val="auto"/>
                <w:szCs w:val="21"/>
              </w:rPr>
              <w:t>37</w:t>
            </w:r>
          </w:p>
        </w:tc>
        <w:tc>
          <w:tcPr>
            <w:tcW w:w="2323" w:type="dxa"/>
            <w:tcBorders>
              <w:right w:val="single" w:color="auto" w:sz="4" w:space="0"/>
            </w:tcBorders>
            <w:vAlign w:val="center"/>
          </w:tcPr>
          <w:p w14:paraId="6189F1D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szCs w:val="21"/>
                <w:lang w:bidi="ar"/>
              </w:rPr>
              <w:t>石碣一期提标</w:t>
            </w:r>
          </w:p>
        </w:tc>
        <w:tc>
          <w:tcPr>
            <w:tcW w:w="5419" w:type="dxa"/>
            <w:vAlign w:val="center"/>
          </w:tcPr>
          <w:p w14:paraId="117A6462">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Cs w:val="21"/>
              </w:rPr>
            </w:pPr>
            <w:r>
              <w:rPr>
                <w:rFonts w:hint="eastAsia" w:ascii="宋体" w:hAnsi="宋体" w:eastAsia="宋体" w:cs="宋体"/>
                <w:color w:val="auto"/>
                <w:szCs w:val="21"/>
                <w:lang w:bidi="ar"/>
              </w:rPr>
              <w:t>东莞市石碣镇沙腰村沿江西路2号石碣污水处理厂</w:t>
            </w:r>
          </w:p>
        </w:tc>
      </w:tr>
      <w:tr w14:paraId="74B61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8" w:type="dxa"/>
            <w:noWrap/>
            <w:vAlign w:val="center"/>
          </w:tcPr>
          <w:p w14:paraId="0E1DC4EA">
            <w:pPr>
              <w:keepNext w:val="0"/>
              <w:keepLines w:val="0"/>
              <w:widowControl/>
              <w:suppressLineNumbers w:val="0"/>
              <w:spacing w:before="0" w:beforeAutospacing="0" w:after="0" w:afterAutospacing="0"/>
              <w:ind w:left="0" w:right="0"/>
              <w:jc w:val="center"/>
              <w:rPr>
                <w:rFonts w:hint="default" w:ascii="宋体" w:hAnsi="宋体" w:eastAsia="宋体" w:cs="宋体"/>
                <w:color w:val="auto"/>
                <w:szCs w:val="21"/>
              </w:rPr>
            </w:pPr>
            <w:r>
              <w:rPr>
                <w:rFonts w:hint="eastAsia" w:ascii="宋体" w:hAnsi="宋体" w:eastAsia="宋体" w:cs="宋体"/>
                <w:color w:val="auto"/>
                <w:szCs w:val="21"/>
              </w:rPr>
              <w:t>38</w:t>
            </w:r>
          </w:p>
        </w:tc>
        <w:tc>
          <w:tcPr>
            <w:tcW w:w="2323" w:type="dxa"/>
            <w:tcBorders>
              <w:right w:val="single" w:color="auto" w:sz="4" w:space="0"/>
            </w:tcBorders>
            <w:vAlign w:val="center"/>
          </w:tcPr>
          <w:p w14:paraId="7B8CF29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szCs w:val="21"/>
                <w:lang w:bidi="ar"/>
              </w:rPr>
              <w:t>石碣二期提标</w:t>
            </w:r>
          </w:p>
        </w:tc>
        <w:tc>
          <w:tcPr>
            <w:tcW w:w="5419" w:type="dxa"/>
            <w:vAlign w:val="center"/>
          </w:tcPr>
          <w:p w14:paraId="63DC3AA2">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Cs w:val="21"/>
              </w:rPr>
            </w:pPr>
            <w:r>
              <w:rPr>
                <w:rFonts w:hint="eastAsia" w:ascii="宋体" w:hAnsi="宋体" w:eastAsia="宋体" w:cs="宋体"/>
                <w:color w:val="auto"/>
                <w:szCs w:val="21"/>
                <w:lang w:bidi="ar"/>
              </w:rPr>
              <w:t>东莞市石碣镇沙腰村沿江西路2号石碣污水处理厂</w:t>
            </w:r>
          </w:p>
        </w:tc>
      </w:tr>
      <w:tr w14:paraId="5E531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8" w:type="dxa"/>
            <w:noWrap/>
            <w:vAlign w:val="center"/>
          </w:tcPr>
          <w:p w14:paraId="576B657D">
            <w:pPr>
              <w:keepNext w:val="0"/>
              <w:keepLines w:val="0"/>
              <w:widowControl/>
              <w:suppressLineNumbers w:val="0"/>
              <w:spacing w:before="0" w:beforeAutospacing="0" w:after="0" w:afterAutospacing="0"/>
              <w:ind w:left="0" w:right="0"/>
              <w:jc w:val="center"/>
              <w:rPr>
                <w:rFonts w:hint="default" w:ascii="宋体" w:hAnsi="宋体" w:eastAsia="宋体" w:cs="宋体"/>
                <w:color w:val="auto"/>
                <w:szCs w:val="21"/>
              </w:rPr>
            </w:pPr>
            <w:r>
              <w:rPr>
                <w:rFonts w:hint="eastAsia" w:ascii="宋体" w:hAnsi="宋体" w:eastAsia="宋体" w:cs="宋体"/>
                <w:color w:val="auto"/>
                <w:szCs w:val="21"/>
              </w:rPr>
              <w:t>39</w:t>
            </w:r>
          </w:p>
        </w:tc>
        <w:tc>
          <w:tcPr>
            <w:tcW w:w="2323" w:type="dxa"/>
            <w:tcBorders>
              <w:right w:val="single" w:color="auto" w:sz="4" w:space="0"/>
            </w:tcBorders>
            <w:vAlign w:val="center"/>
          </w:tcPr>
          <w:p w14:paraId="1CFDD04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szCs w:val="21"/>
                <w:lang w:bidi="ar"/>
              </w:rPr>
              <w:t>市区厂</w:t>
            </w:r>
          </w:p>
        </w:tc>
        <w:tc>
          <w:tcPr>
            <w:tcW w:w="5419" w:type="dxa"/>
            <w:vAlign w:val="center"/>
          </w:tcPr>
          <w:p w14:paraId="42F906F8">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Cs w:val="21"/>
              </w:rPr>
            </w:pPr>
            <w:r>
              <w:rPr>
                <w:rFonts w:hint="eastAsia" w:ascii="宋体" w:hAnsi="宋体" w:eastAsia="宋体" w:cs="宋体"/>
                <w:color w:val="auto"/>
                <w:szCs w:val="21"/>
                <w:lang w:bidi="ar"/>
              </w:rPr>
              <w:t>东莞市滨河路100号</w:t>
            </w:r>
          </w:p>
        </w:tc>
      </w:tr>
      <w:tr w14:paraId="2F40F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8" w:type="dxa"/>
            <w:noWrap/>
            <w:vAlign w:val="center"/>
          </w:tcPr>
          <w:p w14:paraId="7836226F">
            <w:pPr>
              <w:keepNext w:val="0"/>
              <w:keepLines w:val="0"/>
              <w:widowControl/>
              <w:suppressLineNumbers w:val="0"/>
              <w:spacing w:before="0" w:beforeAutospacing="0" w:after="0" w:afterAutospacing="0"/>
              <w:ind w:left="0" w:right="0"/>
              <w:jc w:val="center"/>
              <w:rPr>
                <w:rFonts w:hint="default" w:ascii="宋体" w:hAnsi="宋体" w:eastAsia="宋体" w:cs="宋体"/>
                <w:color w:val="auto"/>
                <w:szCs w:val="21"/>
              </w:rPr>
            </w:pPr>
            <w:r>
              <w:rPr>
                <w:rFonts w:hint="eastAsia" w:ascii="宋体" w:hAnsi="宋体" w:eastAsia="宋体" w:cs="宋体"/>
                <w:color w:val="auto"/>
                <w:szCs w:val="21"/>
              </w:rPr>
              <w:t>40</w:t>
            </w:r>
          </w:p>
        </w:tc>
        <w:tc>
          <w:tcPr>
            <w:tcW w:w="2323" w:type="dxa"/>
            <w:tcBorders>
              <w:right w:val="single" w:color="auto" w:sz="4" w:space="0"/>
            </w:tcBorders>
            <w:vAlign w:val="center"/>
          </w:tcPr>
          <w:p w14:paraId="4F3205B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szCs w:val="21"/>
                <w:lang w:bidi="ar"/>
              </w:rPr>
              <w:t>市区厂提标</w:t>
            </w:r>
          </w:p>
        </w:tc>
        <w:tc>
          <w:tcPr>
            <w:tcW w:w="5419" w:type="dxa"/>
            <w:vAlign w:val="center"/>
          </w:tcPr>
          <w:p w14:paraId="557E65C8">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Cs w:val="21"/>
              </w:rPr>
            </w:pPr>
            <w:r>
              <w:rPr>
                <w:rFonts w:hint="eastAsia" w:ascii="宋体" w:hAnsi="宋体" w:eastAsia="宋体" w:cs="宋体"/>
                <w:color w:val="auto"/>
                <w:szCs w:val="21"/>
                <w:lang w:bidi="ar"/>
              </w:rPr>
              <w:t>东莞市滨河路100号</w:t>
            </w:r>
          </w:p>
        </w:tc>
      </w:tr>
      <w:tr w14:paraId="39FE4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8" w:type="dxa"/>
            <w:noWrap/>
            <w:vAlign w:val="center"/>
          </w:tcPr>
          <w:p w14:paraId="494E6AAF">
            <w:pPr>
              <w:keepNext w:val="0"/>
              <w:keepLines w:val="0"/>
              <w:widowControl/>
              <w:suppressLineNumbers w:val="0"/>
              <w:spacing w:before="0" w:beforeAutospacing="0" w:after="0" w:afterAutospacing="0"/>
              <w:ind w:left="0" w:right="0"/>
              <w:jc w:val="center"/>
              <w:rPr>
                <w:rFonts w:hint="default" w:ascii="宋体" w:hAnsi="宋体" w:eastAsia="宋体" w:cs="宋体"/>
                <w:color w:val="auto"/>
                <w:szCs w:val="21"/>
              </w:rPr>
            </w:pPr>
            <w:r>
              <w:rPr>
                <w:rFonts w:hint="eastAsia" w:ascii="宋体" w:hAnsi="宋体" w:eastAsia="宋体" w:cs="宋体"/>
                <w:color w:val="auto"/>
                <w:szCs w:val="21"/>
              </w:rPr>
              <w:t>41</w:t>
            </w:r>
          </w:p>
        </w:tc>
        <w:tc>
          <w:tcPr>
            <w:tcW w:w="2323" w:type="dxa"/>
            <w:tcBorders>
              <w:right w:val="single" w:color="auto" w:sz="4" w:space="0"/>
            </w:tcBorders>
            <w:vAlign w:val="center"/>
          </w:tcPr>
          <w:p w14:paraId="006D420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szCs w:val="21"/>
                <w:lang w:bidi="ar"/>
              </w:rPr>
              <w:t>望洪提标</w:t>
            </w:r>
          </w:p>
        </w:tc>
        <w:tc>
          <w:tcPr>
            <w:tcW w:w="5419" w:type="dxa"/>
            <w:vAlign w:val="center"/>
          </w:tcPr>
          <w:p w14:paraId="41CF2FB2">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Cs w:val="21"/>
              </w:rPr>
            </w:pPr>
            <w:r>
              <w:rPr>
                <w:rFonts w:hint="eastAsia" w:ascii="宋体" w:hAnsi="宋体" w:eastAsia="宋体" w:cs="宋体"/>
                <w:color w:val="auto"/>
                <w:szCs w:val="21"/>
                <w:lang w:bidi="ar"/>
              </w:rPr>
              <w:t>东莞市望牛墩镇朱平沙村</w:t>
            </w:r>
          </w:p>
        </w:tc>
      </w:tr>
      <w:tr w14:paraId="1BA20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8" w:type="dxa"/>
            <w:noWrap/>
            <w:vAlign w:val="center"/>
          </w:tcPr>
          <w:p w14:paraId="3A2A9FBF">
            <w:pPr>
              <w:keepNext w:val="0"/>
              <w:keepLines w:val="0"/>
              <w:widowControl/>
              <w:suppressLineNumbers w:val="0"/>
              <w:spacing w:before="0" w:beforeAutospacing="0" w:after="0" w:afterAutospacing="0"/>
              <w:ind w:left="0" w:right="0"/>
              <w:jc w:val="center"/>
              <w:rPr>
                <w:rFonts w:hint="default" w:ascii="宋体" w:hAnsi="宋体" w:eastAsia="宋体" w:cs="宋体"/>
                <w:color w:val="auto"/>
                <w:szCs w:val="21"/>
              </w:rPr>
            </w:pPr>
            <w:r>
              <w:rPr>
                <w:rFonts w:hint="eastAsia" w:ascii="宋体" w:hAnsi="宋体" w:eastAsia="宋体" w:cs="宋体"/>
                <w:color w:val="auto"/>
                <w:szCs w:val="21"/>
              </w:rPr>
              <w:t>42</w:t>
            </w:r>
          </w:p>
        </w:tc>
        <w:tc>
          <w:tcPr>
            <w:tcW w:w="2323" w:type="dxa"/>
            <w:tcBorders>
              <w:right w:val="single" w:color="auto" w:sz="4" w:space="0"/>
            </w:tcBorders>
            <w:vAlign w:val="center"/>
          </w:tcPr>
          <w:p w14:paraId="11BAB3F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szCs w:val="21"/>
                <w:lang w:bidi="ar"/>
              </w:rPr>
              <w:t>万江污水处理厂</w:t>
            </w:r>
          </w:p>
        </w:tc>
        <w:tc>
          <w:tcPr>
            <w:tcW w:w="5419" w:type="dxa"/>
            <w:vAlign w:val="center"/>
          </w:tcPr>
          <w:p w14:paraId="2ACA02B0">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Cs w:val="21"/>
              </w:rPr>
            </w:pPr>
            <w:r>
              <w:rPr>
                <w:rFonts w:hint="eastAsia" w:ascii="宋体" w:hAnsi="宋体" w:eastAsia="宋体" w:cs="宋体"/>
                <w:color w:val="auto"/>
                <w:szCs w:val="21"/>
                <w:lang w:bidi="ar"/>
              </w:rPr>
              <w:t>东莞市万江区流涌尾社区白水涡桥万江污水厂二期</w:t>
            </w:r>
          </w:p>
        </w:tc>
      </w:tr>
      <w:tr w14:paraId="3C5CC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8" w:type="dxa"/>
            <w:noWrap/>
            <w:vAlign w:val="center"/>
          </w:tcPr>
          <w:p w14:paraId="79BE3EB5">
            <w:pPr>
              <w:keepNext w:val="0"/>
              <w:keepLines w:val="0"/>
              <w:widowControl/>
              <w:suppressLineNumbers w:val="0"/>
              <w:spacing w:before="0" w:beforeAutospacing="0" w:after="0" w:afterAutospacing="0"/>
              <w:ind w:left="0" w:right="0"/>
              <w:jc w:val="center"/>
              <w:rPr>
                <w:rFonts w:hint="default" w:ascii="宋体" w:hAnsi="宋体" w:eastAsia="宋体" w:cs="宋体"/>
                <w:color w:val="auto"/>
                <w:szCs w:val="21"/>
              </w:rPr>
            </w:pPr>
            <w:r>
              <w:rPr>
                <w:rFonts w:hint="eastAsia" w:ascii="宋体" w:hAnsi="宋体" w:eastAsia="宋体" w:cs="宋体"/>
                <w:color w:val="auto"/>
                <w:szCs w:val="21"/>
              </w:rPr>
              <w:t>43</w:t>
            </w:r>
          </w:p>
        </w:tc>
        <w:tc>
          <w:tcPr>
            <w:tcW w:w="2323" w:type="dxa"/>
            <w:tcBorders>
              <w:right w:val="single" w:color="auto" w:sz="4" w:space="0"/>
            </w:tcBorders>
            <w:vAlign w:val="center"/>
          </w:tcPr>
          <w:p w14:paraId="21051EA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szCs w:val="21"/>
                <w:lang w:bidi="ar"/>
              </w:rPr>
              <w:t>中堂厂</w:t>
            </w:r>
          </w:p>
        </w:tc>
        <w:tc>
          <w:tcPr>
            <w:tcW w:w="5419" w:type="dxa"/>
            <w:vAlign w:val="center"/>
          </w:tcPr>
          <w:p w14:paraId="4217E047">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Cs w:val="21"/>
              </w:rPr>
            </w:pPr>
            <w:r>
              <w:rPr>
                <w:rFonts w:hint="eastAsia" w:ascii="宋体" w:hAnsi="宋体" w:eastAsia="宋体" w:cs="宋体"/>
                <w:color w:val="auto"/>
                <w:szCs w:val="21"/>
                <w:lang w:bidi="ar"/>
              </w:rPr>
              <w:t>广东省东莞市中堂镇东向村滨河东路68号101室（广东莞乡粮油实业有限公司附近）</w:t>
            </w:r>
          </w:p>
        </w:tc>
      </w:tr>
      <w:tr w14:paraId="22F82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8" w:type="dxa"/>
            <w:noWrap/>
            <w:vAlign w:val="center"/>
          </w:tcPr>
          <w:p w14:paraId="369BB2D2">
            <w:pPr>
              <w:keepNext w:val="0"/>
              <w:keepLines w:val="0"/>
              <w:widowControl/>
              <w:suppressLineNumbers w:val="0"/>
              <w:spacing w:before="0" w:beforeAutospacing="0" w:after="0" w:afterAutospacing="0"/>
              <w:ind w:left="0" w:right="0"/>
              <w:jc w:val="center"/>
              <w:rPr>
                <w:rFonts w:hint="default" w:ascii="宋体" w:hAnsi="宋体" w:eastAsia="宋体" w:cs="宋体"/>
                <w:color w:val="auto"/>
                <w:szCs w:val="21"/>
              </w:rPr>
            </w:pPr>
            <w:r>
              <w:rPr>
                <w:rFonts w:hint="eastAsia" w:ascii="宋体" w:hAnsi="宋体" w:eastAsia="宋体" w:cs="宋体"/>
                <w:color w:val="auto"/>
                <w:szCs w:val="21"/>
              </w:rPr>
              <w:t>44</w:t>
            </w:r>
          </w:p>
        </w:tc>
        <w:tc>
          <w:tcPr>
            <w:tcW w:w="2323" w:type="dxa"/>
            <w:tcBorders>
              <w:right w:val="single" w:color="auto" w:sz="4" w:space="0"/>
            </w:tcBorders>
            <w:vAlign w:val="center"/>
          </w:tcPr>
          <w:p w14:paraId="6F28BEA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szCs w:val="21"/>
              </w:rPr>
              <w:t>高埗二期</w:t>
            </w:r>
          </w:p>
        </w:tc>
        <w:tc>
          <w:tcPr>
            <w:tcW w:w="5419" w:type="dxa"/>
            <w:vAlign w:val="center"/>
          </w:tcPr>
          <w:p w14:paraId="5F9B8B79">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Cs w:val="21"/>
              </w:rPr>
            </w:pPr>
            <w:r>
              <w:rPr>
                <w:rFonts w:hint="eastAsia" w:ascii="宋体" w:hAnsi="宋体" w:eastAsia="宋体" w:cs="宋体"/>
                <w:color w:val="auto"/>
                <w:szCs w:val="21"/>
              </w:rPr>
              <w:t>高埗镇新洲工业西南78米</w:t>
            </w:r>
          </w:p>
        </w:tc>
      </w:tr>
      <w:tr w14:paraId="1BE3C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8" w:type="dxa"/>
            <w:noWrap/>
            <w:vAlign w:val="center"/>
          </w:tcPr>
          <w:p w14:paraId="7B62680B">
            <w:pPr>
              <w:keepNext w:val="0"/>
              <w:keepLines w:val="0"/>
              <w:widowControl/>
              <w:suppressLineNumbers w:val="0"/>
              <w:spacing w:before="0" w:beforeAutospacing="0" w:after="0" w:afterAutospacing="0"/>
              <w:ind w:left="0" w:right="0"/>
              <w:jc w:val="center"/>
              <w:rPr>
                <w:rFonts w:hint="default" w:ascii="宋体" w:hAnsi="宋体" w:eastAsia="宋体" w:cs="宋体"/>
                <w:color w:val="auto"/>
                <w:szCs w:val="21"/>
              </w:rPr>
            </w:pPr>
            <w:r>
              <w:rPr>
                <w:rFonts w:hint="eastAsia" w:ascii="宋体" w:hAnsi="宋体" w:eastAsia="宋体" w:cs="宋体"/>
                <w:color w:val="auto"/>
                <w:szCs w:val="21"/>
              </w:rPr>
              <w:t>45</w:t>
            </w:r>
          </w:p>
        </w:tc>
        <w:tc>
          <w:tcPr>
            <w:tcW w:w="2323" w:type="dxa"/>
            <w:tcBorders>
              <w:right w:val="single" w:color="auto" w:sz="4" w:space="0"/>
            </w:tcBorders>
            <w:vAlign w:val="center"/>
          </w:tcPr>
          <w:p w14:paraId="7A571E0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szCs w:val="21"/>
                <w:lang w:bidi="ar"/>
              </w:rPr>
              <w:t>东莞市樟村水质净化有限公司</w:t>
            </w:r>
          </w:p>
        </w:tc>
        <w:tc>
          <w:tcPr>
            <w:tcW w:w="5419" w:type="dxa"/>
            <w:vAlign w:val="center"/>
          </w:tcPr>
          <w:p w14:paraId="67F531A0">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Cs w:val="21"/>
              </w:rPr>
            </w:pPr>
            <w:r>
              <w:rPr>
                <w:rFonts w:hint="eastAsia" w:ascii="宋体" w:hAnsi="宋体" w:eastAsia="宋体" w:cs="宋体"/>
                <w:color w:val="auto"/>
                <w:szCs w:val="21"/>
                <w:lang w:bidi="ar"/>
              </w:rPr>
              <w:t>广东省东莞市东城街道樟村社区运河东路5号樟村水质净化有限公司</w:t>
            </w:r>
          </w:p>
        </w:tc>
      </w:tr>
      <w:tr w14:paraId="520F5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8" w:type="dxa"/>
            <w:noWrap/>
            <w:vAlign w:val="center"/>
          </w:tcPr>
          <w:p w14:paraId="2E3D7D0B">
            <w:pPr>
              <w:keepNext w:val="0"/>
              <w:keepLines w:val="0"/>
              <w:widowControl/>
              <w:suppressLineNumbers w:val="0"/>
              <w:spacing w:before="0" w:beforeAutospacing="0" w:after="0" w:afterAutospacing="0"/>
              <w:ind w:left="0" w:right="0"/>
              <w:jc w:val="center"/>
              <w:rPr>
                <w:rFonts w:hint="default" w:ascii="宋体" w:hAnsi="宋体" w:eastAsia="宋体" w:cs="宋体"/>
                <w:color w:val="auto"/>
                <w:szCs w:val="21"/>
              </w:rPr>
            </w:pPr>
            <w:r>
              <w:rPr>
                <w:rFonts w:hint="eastAsia" w:ascii="宋体" w:hAnsi="宋体" w:eastAsia="宋体" w:cs="宋体"/>
                <w:color w:val="auto"/>
                <w:szCs w:val="21"/>
              </w:rPr>
              <w:t>46</w:t>
            </w:r>
          </w:p>
        </w:tc>
        <w:tc>
          <w:tcPr>
            <w:tcW w:w="2323" w:type="dxa"/>
            <w:tcBorders>
              <w:right w:val="single" w:color="auto" w:sz="4" w:space="0"/>
            </w:tcBorders>
            <w:vAlign w:val="center"/>
          </w:tcPr>
          <w:p w14:paraId="53BFA8D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szCs w:val="21"/>
                <w:lang w:bidi="ar"/>
              </w:rPr>
              <w:t>厚街厂</w:t>
            </w:r>
          </w:p>
        </w:tc>
        <w:tc>
          <w:tcPr>
            <w:tcW w:w="5419" w:type="dxa"/>
            <w:vAlign w:val="center"/>
          </w:tcPr>
          <w:p w14:paraId="2C6C894C">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Cs w:val="21"/>
              </w:rPr>
            </w:pPr>
            <w:r>
              <w:rPr>
                <w:rFonts w:hint="eastAsia" w:ascii="宋体" w:hAnsi="宋体" w:eastAsia="宋体" w:cs="宋体"/>
                <w:color w:val="auto"/>
                <w:szCs w:val="21"/>
                <w:lang w:bidi="ar"/>
              </w:rPr>
              <w:t>东莞市厚街镇沙塘村厚街污水处理厂二期</w:t>
            </w:r>
          </w:p>
        </w:tc>
      </w:tr>
      <w:tr w14:paraId="323F1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8" w:type="dxa"/>
            <w:noWrap/>
            <w:vAlign w:val="center"/>
          </w:tcPr>
          <w:p w14:paraId="2EA98919">
            <w:pPr>
              <w:keepNext w:val="0"/>
              <w:keepLines w:val="0"/>
              <w:widowControl/>
              <w:suppressLineNumbers w:val="0"/>
              <w:spacing w:before="0" w:beforeAutospacing="0" w:after="0" w:afterAutospacing="0"/>
              <w:ind w:left="0" w:right="0"/>
              <w:jc w:val="center"/>
              <w:rPr>
                <w:rFonts w:hint="default" w:ascii="宋体" w:hAnsi="宋体" w:eastAsia="宋体" w:cs="宋体"/>
                <w:color w:val="auto"/>
                <w:szCs w:val="21"/>
              </w:rPr>
            </w:pPr>
            <w:r>
              <w:rPr>
                <w:rFonts w:hint="eastAsia" w:ascii="宋体" w:hAnsi="宋体" w:eastAsia="宋体" w:cs="宋体"/>
                <w:color w:val="auto"/>
                <w:szCs w:val="21"/>
              </w:rPr>
              <w:t>47</w:t>
            </w:r>
          </w:p>
        </w:tc>
        <w:tc>
          <w:tcPr>
            <w:tcW w:w="2323" w:type="dxa"/>
            <w:tcBorders>
              <w:right w:val="single" w:color="auto" w:sz="4" w:space="0"/>
            </w:tcBorders>
            <w:vAlign w:val="center"/>
          </w:tcPr>
          <w:p w14:paraId="3935BB5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szCs w:val="21"/>
                <w:lang w:bidi="ar"/>
              </w:rPr>
              <w:t>虎门宁洲一期提标</w:t>
            </w:r>
          </w:p>
        </w:tc>
        <w:tc>
          <w:tcPr>
            <w:tcW w:w="5419" w:type="dxa"/>
            <w:vAlign w:val="center"/>
          </w:tcPr>
          <w:p w14:paraId="14D81A49">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Cs w:val="21"/>
              </w:rPr>
            </w:pPr>
            <w:r>
              <w:rPr>
                <w:rFonts w:hint="eastAsia" w:ascii="宋体" w:hAnsi="宋体" w:eastAsia="宋体" w:cs="宋体"/>
                <w:color w:val="auto"/>
                <w:szCs w:val="21"/>
                <w:lang w:bidi="ar"/>
              </w:rPr>
              <w:t>东莞市虎门镇南栅第六工业区九巷五号</w:t>
            </w:r>
          </w:p>
        </w:tc>
      </w:tr>
      <w:tr w14:paraId="225CB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8" w:type="dxa"/>
            <w:noWrap/>
            <w:vAlign w:val="center"/>
          </w:tcPr>
          <w:p w14:paraId="196A261C">
            <w:pPr>
              <w:keepNext w:val="0"/>
              <w:keepLines w:val="0"/>
              <w:widowControl/>
              <w:suppressLineNumbers w:val="0"/>
              <w:spacing w:before="0" w:beforeAutospacing="0" w:after="0" w:afterAutospacing="0"/>
              <w:ind w:left="0" w:right="0"/>
              <w:jc w:val="center"/>
              <w:rPr>
                <w:rFonts w:hint="default" w:ascii="宋体" w:hAnsi="宋体" w:eastAsia="宋体" w:cs="宋体"/>
                <w:color w:val="auto"/>
                <w:szCs w:val="21"/>
              </w:rPr>
            </w:pPr>
            <w:r>
              <w:rPr>
                <w:rFonts w:hint="eastAsia" w:ascii="宋体" w:hAnsi="宋体" w:eastAsia="宋体" w:cs="宋体"/>
                <w:color w:val="auto"/>
                <w:szCs w:val="21"/>
              </w:rPr>
              <w:t>48</w:t>
            </w:r>
          </w:p>
        </w:tc>
        <w:tc>
          <w:tcPr>
            <w:tcW w:w="2323" w:type="dxa"/>
            <w:tcBorders>
              <w:right w:val="single" w:color="auto" w:sz="4" w:space="0"/>
            </w:tcBorders>
            <w:vAlign w:val="center"/>
          </w:tcPr>
          <w:p w14:paraId="49290FD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szCs w:val="21"/>
                <w:lang w:bidi="ar"/>
              </w:rPr>
              <w:t>虎门宁洲二期</w:t>
            </w:r>
          </w:p>
        </w:tc>
        <w:tc>
          <w:tcPr>
            <w:tcW w:w="5419" w:type="dxa"/>
            <w:vAlign w:val="center"/>
          </w:tcPr>
          <w:p w14:paraId="0CC35A60">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Cs w:val="21"/>
              </w:rPr>
            </w:pPr>
            <w:r>
              <w:rPr>
                <w:rFonts w:hint="eastAsia" w:ascii="宋体" w:hAnsi="宋体" w:eastAsia="宋体" w:cs="宋体"/>
                <w:color w:val="auto"/>
                <w:szCs w:val="21"/>
                <w:lang w:bidi="ar"/>
              </w:rPr>
              <w:t>东莞市虎门镇南栅第六工业区九巷五号</w:t>
            </w:r>
          </w:p>
        </w:tc>
      </w:tr>
      <w:tr w14:paraId="0BACF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8" w:type="dxa"/>
            <w:noWrap/>
            <w:vAlign w:val="center"/>
          </w:tcPr>
          <w:p w14:paraId="4E768131">
            <w:pPr>
              <w:keepNext w:val="0"/>
              <w:keepLines w:val="0"/>
              <w:widowControl/>
              <w:suppressLineNumbers w:val="0"/>
              <w:spacing w:before="0" w:beforeAutospacing="0" w:after="0" w:afterAutospacing="0"/>
              <w:ind w:left="0" w:right="0"/>
              <w:jc w:val="center"/>
              <w:rPr>
                <w:rFonts w:hint="default" w:ascii="宋体" w:hAnsi="宋体" w:eastAsia="宋体" w:cs="宋体"/>
                <w:color w:val="auto"/>
                <w:szCs w:val="21"/>
              </w:rPr>
            </w:pPr>
            <w:r>
              <w:rPr>
                <w:rFonts w:hint="eastAsia" w:ascii="宋体" w:hAnsi="宋体" w:eastAsia="宋体" w:cs="宋体"/>
                <w:color w:val="auto"/>
                <w:szCs w:val="21"/>
              </w:rPr>
              <w:t>49</w:t>
            </w:r>
          </w:p>
        </w:tc>
        <w:tc>
          <w:tcPr>
            <w:tcW w:w="2323" w:type="dxa"/>
            <w:tcBorders>
              <w:right w:val="single" w:color="auto" w:sz="4" w:space="0"/>
            </w:tcBorders>
            <w:vAlign w:val="center"/>
          </w:tcPr>
          <w:p w14:paraId="58A5FA7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szCs w:val="21"/>
                <w:lang w:bidi="ar"/>
              </w:rPr>
              <w:t>虎门宁洲二期</w:t>
            </w:r>
          </w:p>
        </w:tc>
        <w:tc>
          <w:tcPr>
            <w:tcW w:w="5419" w:type="dxa"/>
            <w:vAlign w:val="center"/>
          </w:tcPr>
          <w:p w14:paraId="59B5780F">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Cs w:val="21"/>
              </w:rPr>
            </w:pPr>
            <w:r>
              <w:rPr>
                <w:rFonts w:hint="eastAsia" w:ascii="宋体" w:hAnsi="宋体" w:eastAsia="宋体" w:cs="宋体"/>
                <w:color w:val="auto"/>
                <w:szCs w:val="21"/>
                <w:lang w:bidi="ar"/>
              </w:rPr>
              <w:t>东莞市虎门镇南栅第六工业区九巷五号</w:t>
            </w:r>
          </w:p>
        </w:tc>
      </w:tr>
      <w:tr w14:paraId="5EB66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8" w:type="dxa"/>
            <w:noWrap/>
            <w:vAlign w:val="center"/>
          </w:tcPr>
          <w:p w14:paraId="12E56228">
            <w:pPr>
              <w:keepNext w:val="0"/>
              <w:keepLines w:val="0"/>
              <w:widowControl/>
              <w:suppressLineNumbers w:val="0"/>
              <w:spacing w:before="0" w:beforeAutospacing="0" w:after="0" w:afterAutospacing="0"/>
              <w:ind w:left="0" w:right="0"/>
              <w:jc w:val="center"/>
              <w:rPr>
                <w:rFonts w:hint="default" w:ascii="宋体" w:hAnsi="宋体" w:eastAsia="宋体" w:cs="宋体"/>
                <w:color w:val="auto"/>
                <w:szCs w:val="21"/>
              </w:rPr>
            </w:pPr>
            <w:r>
              <w:rPr>
                <w:rFonts w:hint="eastAsia" w:ascii="宋体" w:hAnsi="宋体" w:eastAsia="宋体" w:cs="宋体"/>
                <w:color w:val="auto"/>
                <w:szCs w:val="21"/>
              </w:rPr>
              <w:t>50</w:t>
            </w:r>
          </w:p>
        </w:tc>
        <w:tc>
          <w:tcPr>
            <w:tcW w:w="2323" w:type="dxa"/>
            <w:tcBorders>
              <w:right w:val="single" w:color="auto" w:sz="4" w:space="0"/>
            </w:tcBorders>
            <w:vAlign w:val="center"/>
          </w:tcPr>
          <w:p w14:paraId="0E30415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szCs w:val="21"/>
                <w:lang w:bidi="ar"/>
              </w:rPr>
              <w:t>立沙岛</w:t>
            </w:r>
          </w:p>
        </w:tc>
        <w:tc>
          <w:tcPr>
            <w:tcW w:w="5419" w:type="dxa"/>
            <w:vAlign w:val="center"/>
          </w:tcPr>
          <w:p w14:paraId="1878D2F7">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Cs w:val="21"/>
              </w:rPr>
            </w:pPr>
            <w:r>
              <w:rPr>
                <w:rFonts w:hint="eastAsia" w:ascii="宋体" w:hAnsi="宋体" w:eastAsia="宋体" w:cs="宋体"/>
                <w:color w:val="auto"/>
                <w:szCs w:val="21"/>
                <w:lang w:bidi="ar"/>
              </w:rPr>
              <w:t>东莞市沙田镇大流村下涌立沙岛污水厂</w:t>
            </w:r>
          </w:p>
        </w:tc>
      </w:tr>
      <w:tr w14:paraId="0EC43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8" w:type="dxa"/>
            <w:noWrap/>
            <w:vAlign w:val="center"/>
          </w:tcPr>
          <w:p w14:paraId="63B9FC0B">
            <w:pPr>
              <w:keepNext w:val="0"/>
              <w:keepLines w:val="0"/>
              <w:widowControl/>
              <w:suppressLineNumbers w:val="0"/>
              <w:spacing w:before="0" w:beforeAutospacing="0" w:after="0" w:afterAutospacing="0"/>
              <w:ind w:left="0" w:right="0"/>
              <w:jc w:val="center"/>
              <w:rPr>
                <w:rFonts w:hint="default" w:ascii="宋体" w:hAnsi="宋体" w:eastAsia="宋体" w:cs="宋体"/>
                <w:color w:val="auto"/>
                <w:szCs w:val="21"/>
              </w:rPr>
            </w:pPr>
            <w:r>
              <w:rPr>
                <w:rFonts w:hint="eastAsia" w:ascii="宋体" w:hAnsi="宋体" w:eastAsia="宋体" w:cs="宋体"/>
                <w:color w:val="auto"/>
                <w:szCs w:val="21"/>
              </w:rPr>
              <w:t>51</w:t>
            </w:r>
          </w:p>
        </w:tc>
        <w:tc>
          <w:tcPr>
            <w:tcW w:w="2323" w:type="dxa"/>
            <w:tcBorders>
              <w:right w:val="single" w:color="auto" w:sz="4" w:space="0"/>
            </w:tcBorders>
            <w:vAlign w:val="center"/>
          </w:tcPr>
          <w:p w14:paraId="4F942D3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szCs w:val="21"/>
                <w:lang w:bidi="ar"/>
              </w:rPr>
              <w:t>牛山二期</w:t>
            </w:r>
          </w:p>
        </w:tc>
        <w:tc>
          <w:tcPr>
            <w:tcW w:w="5419" w:type="dxa"/>
            <w:vAlign w:val="center"/>
          </w:tcPr>
          <w:p w14:paraId="680A6FB5">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Cs w:val="21"/>
              </w:rPr>
            </w:pPr>
            <w:r>
              <w:rPr>
                <w:rFonts w:hint="eastAsia" w:ascii="宋体" w:hAnsi="宋体" w:eastAsia="宋体" w:cs="宋体"/>
                <w:color w:val="auto"/>
                <w:szCs w:val="21"/>
                <w:lang w:bidi="ar"/>
              </w:rPr>
              <w:t>东莞市东城街道象山路7号</w:t>
            </w:r>
          </w:p>
        </w:tc>
      </w:tr>
      <w:tr w14:paraId="16C79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8" w:type="dxa"/>
            <w:noWrap/>
            <w:vAlign w:val="center"/>
          </w:tcPr>
          <w:p w14:paraId="7D6BD205">
            <w:pPr>
              <w:keepNext w:val="0"/>
              <w:keepLines w:val="0"/>
              <w:widowControl/>
              <w:suppressLineNumbers w:val="0"/>
              <w:spacing w:before="0" w:beforeAutospacing="0" w:after="0" w:afterAutospacing="0"/>
              <w:ind w:left="0" w:right="0"/>
              <w:jc w:val="center"/>
              <w:rPr>
                <w:rFonts w:hint="default" w:ascii="宋体" w:hAnsi="宋体" w:eastAsia="宋体" w:cs="宋体"/>
                <w:color w:val="auto"/>
                <w:szCs w:val="21"/>
              </w:rPr>
            </w:pPr>
            <w:r>
              <w:rPr>
                <w:rFonts w:hint="eastAsia" w:ascii="宋体" w:hAnsi="宋体" w:eastAsia="宋体" w:cs="宋体"/>
                <w:color w:val="auto"/>
                <w:szCs w:val="21"/>
              </w:rPr>
              <w:t>52</w:t>
            </w:r>
          </w:p>
        </w:tc>
        <w:tc>
          <w:tcPr>
            <w:tcW w:w="2323" w:type="dxa"/>
            <w:tcBorders>
              <w:right w:val="single" w:color="auto" w:sz="4" w:space="0"/>
            </w:tcBorders>
            <w:vAlign w:val="center"/>
          </w:tcPr>
          <w:p w14:paraId="3888859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szCs w:val="21"/>
                <w:lang w:bidi="ar"/>
              </w:rPr>
              <w:t>牛山一期提标</w:t>
            </w:r>
          </w:p>
        </w:tc>
        <w:tc>
          <w:tcPr>
            <w:tcW w:w="5419" w:type="dxa"/>
            <w:vAlign w:val="center"/>
          </w:tcPr>
          <w:p w14:paraId="608F85D9">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Cs w:val="21"/>
              </w:rPr>
            </w:pPr>
            <w:r>
              <w:rPr>
                <w:rFonts w:hint="eastAsia" w:ascii="宋体" w:hAnsi="宋体" w:eastAsia="宋体" w:cs="宋体"/>
                <w:color w:val="auto"/>
                <w:szCs w:val="21"/>
                <w:lang w:bidi="ar"/>
              </w:rPr>
              <w:t>东莞市东城街道象山路7号</w:t>
            </w:r>
          </w:p>
        </w:tc>
      </w:tr>
      <w:tr w14:paraId="664A5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8" w:type="dxa"/>
            <w:noWrap/>
            <w:vAlign w:val="center"/>
          </w:tcPr>
          <w:p w14:paraId="401D9E1C">
            <w:pPr>
              <w:keepNext w:val="0"/>
              <w:keepLines w:val="0"/>
              <w:widowControl/>
              <w:suppressLineNumbers w:val="0"/>
              <w:spacing w:before="0" w:beforeAutospacing="0" w:after="0" w:afterAutospacing="0"/>
              <w:ind w:left="0" w:right="0"/>
              <w:jc w:val="center"/>
              <w:rPr>
                <w:rFonts w:hint="default" w:ascii="宋体" w:hAnsi="宋体" w:eastAsia="宋体" w:cs="宋体"/>
                <w:color w:val="auto"/>
                <w:szCs w:val="21"/>
              </w:rPr>
            </w:pPr>
            <w:r>
              <w:rPr>
                <w:rFonts w:hint="eastAsia" w:ascii="宋体" w:hAnsi="宋体" w:eastAsia="宋体" w:cs="宋体"/>
                <w:color w:val="auto"/>
                <w:szCs w:val="21"/>
              </w:rPr>
              <w:t>53</w:t>
            </w:r>
          </w:p>
        </w:tc>
        <w:tc>
          <w:tcPr>
            <w:tcW w:w="2323" w:type="dxa"/>
            <w:tcBorders>
              <w:right w:val="single" w:color="auto" w:sz="4" w:space="0"/>
            </w:tcBorders>
            <w:vAlign w:val="center"/>
          </w:tcPr>
          <w:p w14:paraId="2FE69F7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szCs w:val="21"/>
                <w:lang w:bidi="ar"/>
              </w:rPr>
              <w:t>长安三洲提标</w:t>
            </w:r>
          </w:p>
        </w:tc>
        <w:tc>
          <w:tcPr>
            <w:tcW w:w="5419" w:type="dxa"/>
            <w:vAlign w:val="center"/>
          </w:tcPr>
          <w:p w14:paraId="47821B14">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Cs w:val="21"/>
              </w:rPr>
            </w:pPr>
            <w:r>
              <w:rPr>
                <w:rFonts w:hint="eastAsia" w:ascii="宋体" w:hAnsi="宋体" w:eastAsia="宋体" w:cs="宋体"/>
                <w:color w:val="auto"/>
                <w:szCs w:val="21"/>
                <w:lang w:bidi="ar"/>
              </w:rPr>
              <w:t>东莞市长安镇锦厦社区锦隆路1-1号长安锦厦三洲水质净化厂</w:t>
            </w:r>
          </w:p>
        </w:tc>
      </w:tr>
      <w:tr w14:paraId="073ED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8" w:type="dxa"/>
            <w:noWrap/>
            <w:vAlign w:val="center"/>
          </w:tcPr>
          <w:p w14:paraId="00D2D687">
            <w:pPr>
              <w:keepNext w:val="0"/>
              <w:keepLines w:val="0"/>
              <w:widowControl/>
              <w:suppressLineNumbers w:val="0"/>
              <w:spacing w:before="0" w:beforeAutospacing="0" w:after="0" w:afterAutospacing="0"/>
              <w:ind w:left="0" w:right="0"/>
              <w:jc w:val="center"/>
              <w:rPr>
                <w:rFonts w:hint="default" w:ascii="宋体" w:hAnsi="宋体" w:eastAsia="宋体" w:cs="宋体"/>
                <w:color w:val="auto"/>
                <w:szCs w:val="21"/>
              </w:rPr>
            </w:pPr>
            <w:r>
              <w:rPr>
                <w:rFonts w:hint="eastAsia" w:ascii="宋体" w:hAnsi="宋体" w:eastAsia="宋体" w:cs="宋体"/>
                <w:color w:val="auto"/>
                <w:szCs w:val="21"/>
              </w:rPr>
              <w:t>54</w:t>
            </w:r>
          </w:p>
        </w:tc>
        <w:tc>
          <w:tcPr>
            <w:tcW w:w="2323" w:type="dxa"/>
            <w:tcBorders>
              <w:right w:val="single" w:color="auto" w:sz="4" w:space="0"/>
            </w:tcBorders>
            <w:vAlign w:val="center"/>
          </w:tcPr>
          <w:p w14:paraId="35C52F1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szCs w:val="21"/>
                <w:lang w:bidi="ar"/>
              </w:rPr>
              <w:t>长安新区厂</w:t>
            </w:r>
          </w:p>
        </w:tc>
        <w:tc>
          <w:tcPr>
            <w:tcW w:w="5419" w:type="dxa"/>
            <w:vAlign w:val="center"/>
          </w:tcPr>
          <w:p w14:paraId="325B5DA8">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Cs w:val="21"/>
              </w:rPr>
            </w:pPr>
            <w:r>
              <w:rPr>
                <w:rFonts w:hint="eastAsia" w:ascii="宋体" w:hAnsi="宋体" w:eastAsia="宋体" w:cs="宋体"/>
                <w:color w:val="auto"/>
                <w:szCs w:val="21"/>
                <w:lang w:bidi="ar"/>
              </w:rPr>
              <w:t>东莞市长安镇兴发路长安新区污水处理厂</w:t>
            </w:r>
          </w:p>
        </w:tc>
      </w:tr>
      <w:tr w14:paraId="697C3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8" w:type="dxa"/>
            <w:noWrap/>
            <w:vAlign w:val="center"/>
          </w:tcPr>
          <w:p w14:paraId="08C3EA72">
            <w:pPr>
              <w:keepNext w:val="0"/>
              <w:keepLines w:val="0"/>
              <w:widowControl/>
              <w:suppressLineNumbers w:val="0"/>
              <w:spacing w:before="0" w:beforeAutospacing="0" w:after="0" w:afterAutospacing="0"/>
              <w:ind w:left="0" w:right="0"/>
              <w:jc w:val="center"/>
              <w:rPr>
                <w:rFonts w:hint="default" w:ascii="宋体" w:hAnsi="宋体" w:eastAsia="宋体" w:cs="宋体"/>
                <w:color w:val="auto"/>
                <w:szCs w:val="21"/>
              </w:rPr>
            </w:pPr>
            <w:r>
              <w:rPr>
                <w:rFonts w:hint="eastAsia" w:ascii="宋体" w:hAnsi="宋体" w:eastAsia="宋体" w:cs="宋体"/>
                <w:color w:val="auto"/>
                <w:szCs w:val="21"/>
              </w:rPr>
              <w:t>55</w:t>
            </w:r>
          </w:p>
        </w:tc>
        <w:tc>
          <w:tcPr>
            <w:tcW w:w="2323" w:type="dxa"/>
            <w:tcBorders>
              <w:right w:val="single" w:color="auto" w:sz="4" w:space="0"/>
            </w:tcBorders>
            <w:vAlign w:val="center"/>
          </w:tcPr>
          <w:p w14:paraId="1DD0A57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szCs w:val="21"/>
                <w:lang w:bidi="ar"/>
              </w:rPr>
              <w:t>海岛提标</w:t>
            </w:r>
          </w:p>
        </w:tc>
        <w:tc>
          <w:tcPr>
            <w:tcW w:w="5419" w:type="dxa"/>
            <w:vAlign w:val="center"/>
          </w:tcPr>
          <w:p w14:paraId="40DD139A">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Cs w:val="21"/>
              </w:rPr>
            </w:pPr>
            <w:r>
              <w:rPr>
                <w:rFonts w:hint="eastAsia" w:ascii="宋体" w:hAnsi="宋体" w:eastAsia="宋体" w:cs="宋体"/>
                <w:color w:val="auto"/>
                <w:szCs w:val="21"/>
                <w:lang w:bidi="ar"/>
              </w:rPr>
              <w:t>虎门镇威远五围村美的驾校旁海岛污水处理厂</w:t>
            </w:r>
          </w:p>
        </w:tc>
      </w:tr>
      <w:tr w14:paraId="769CE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8" w:type="dxa"/>
            <w:noWrap/>
            <w:vAlign w:val="center"/>
          </w:tcPr>
          <w:p w14:paraId="1A0F4ED6">
            <w:pPr>
              <w:keepNext w:val="0"/>
              <w:keepLines w:val="0"/>
              <w:widowControl/>
              <w:suppressLineNumbers w:val="0"/>
              <w:spacing w:before="0" w:beforeAutospacing="0" w:after="0" w:afterAutospacing="0"/>
              <w:ind w:left="0" w:right="0"/>
              <w:jc w:val="center"/>
              <w:rPr>
                <w:rFonts w:hint="default" w:ascii="宋体" w:hAnsi="宋体" w:eastAsia="宋体" w:cs="宋体"/>
                <w:color w:val="auto"/>
                <w:szCs w:val="21"/>
              </w:rPr>
            </w:pPr>
            <w:r>
              <w:rPr>
                <w:rFonts w:hint="eastAsia" w:ascii="宋体" w:hAnsi="宋体" w:eastAsia="宋体" w:cs="宋体"/>
                <w:color w:val="auto"/>
                <w:szCs w:val="21"/>
              </w:rPr>
              <w:t>56</w:t>
            </w:r>
          </w:p>
        </w:tc>
        <w:tc>
          <w:tcPr>
            <w:tcW w:w="2323" w:type="dxa"/>
            <w:tcBorders>
              <w:right w:val="single" w:color="auto" w:sz="4" w:space="0"/>
            </w:tcBorders>
            <w:vAlign w:val="center"/>
          </w:tcPr>
          <w:p w14:paraId="152AC97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szCs w:val="21"/>
              </w:rPr>
              <w:t>沙田福禄沙二期</w:t>
            </w:r>
          </w:p>
        </w:tc>
        <w:tc>
          <w:tcPr>
            <w:tcW w:w="5419" w:type="dxa"/>
            <w:vAlign w:val="center"/>
          </w:tcPr>
          <w:p w14:paraId="48CADDC2">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Cs w:val="21"/>
              </w:rPr>
            </w:pPr>
            <w:r>
              <w:rPr>
                <w:rFonts w:hint="eastAsia" w:ascii="宋体" w:hAnsi="宋体" w:eastAsia="宋体" w:cs="宋体"/>
                <w:color w:val="auto"/>
                <w:szCs w:val="21"/>
              </w:rPr>
              <w:t>沙田镇福禄沙村围垦路与远航路交叉路口</w:t>
            </w:r>
          </w:p>
        </w:tc>
      </w:tr>
    </w:tbl>
    <w:p w14:paraId="30872555">
      <w:pPr>
        <w:widowControl/>
        <w:spacing w:line="360" w:lineRule="auto"/>
        <w:rPr>
          <w:rFonts w:ascii="宋体" w:hAnsi="宋体" w:eastAsia="宋体" w:cs="宋体"/>
          <w:color w:val="auto"/>
          <w:szCs w:val="21"/>
        </w:rPr>
      </w:pPr>
    </w:p>
    <w:p w14:paraId="27A696E3">
      <w:pPr>
        <w:widowControl/>
        <w:spacing w:line="360" w:lineRule="auto"/>
        <w:ind w:firstLine="210" w:firstLineChars="100"/>
        <w:rPr>
          <w:rFonts w:ascii="宋体" w:hAnsi="宋体" w:eastAsia="宋体" w:cs="宋体"/>
          <w:color w:val="auto"/>
          <w:szCs w:val="21"/>
        </w:rPr>
      </w:pPr>
      <w:r>
        <w:rPr>
          <w:rFonts w:hint="eastAsia" w:ascii="宋体" w:hAnsi="宋体" w:eastAsia="宋体" w:cs="宋体"/>
          <w:color w:val="auto"/>
          <w:szCs w:val="21"/>
        </w:rPr>
        <w:t>3、管网公司：</w:t>
      </w:r>
    </w:p>
    <w:tbl>
      <w:tblPr>
        <w:tblStyle w:val="45"/>
        <w:tblW w:w="8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2"/>
        <w:gridCol w:w="3159"/>
        <w:gridCol w:w="4672"/>
      </w:tblGrid>
      <w:tr w14:paraId="0DE23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2" w:type="dxa"/>
            <w:vAlign w:val="center"/>
          </w:tcPr>
          <w:p w14:paraId="74E8599F">
            <w:pPr>
              <w:keepNext w:val="0"/>
              <w:keepLines w:val="0"/>
              <w:suppressLineNumbers w:val="0"/>
              <w:spacing w:before="0" w:beforeAutospacing="0" w:after="0" w:afterAutospacing="0" w:line="360" w:lineRule="auto"/>
              <w:ind w:left="0" w:right="0"/>
              <w:contextualSpacing/>
              <w:jc w:val="center"/>
              <w:rPr>
                <w:rFonts w:hint="default" w:ascii="宋体" w:hAnsi="宋体" w:eastAsia="宋体" w:cs="宋体"/>
                <w:b/>
                <w:color w:val="auto"/>
                <w:szCs w:val="21"/>
              </w:rPr>
            </w:pPr>
            <w:r>
              <w:rPr>
                <w:rFonts w:hint="eastAsia" w:ascii="宋体" w:hAnsi="宋体" w:eastAsia="宋体" w:cs="宋体"/>
                <w:b/>
                <w:color w:val="auto"/>
                <w:szCs w:val="21"/>
              </w:rPr>
              <w:t>序号</w:t>
            </w:r>
          </w:p>
        </w:tc>
        <w:tc>
          <w:tcPr>
            <w:tcW w:w="3159" w:type="dxa"/>
            <w:vAlign w:val="center"/>
          </w:tcPr>
          <w:p w14:paraId="5C2F981E">
            <w:pPr>
              <w:keepNext w:val="0"/>
              <w:keepLines w:val="0"/>
              <w:suppressLineNumbers w:val="0"/>
              <w:spacing w:before="0" w:beforeAutospacing="0" w:after="0" w:afterAutospacing="0" w:line="360" w:lineRule="auto"/>
              <w:ind w:left="0" w:right="0"/>
              <w:contextualSpacing/>
              <w:jc w:val="center"/>
              <w:rPr>
                <w:rFonts w:hint="default" w:ascii="宋体" w:hAnsi="宋体" w:eastAsia="宋体" w:cs="宋体"/>
                <w:b/>
                <w:color w:val="auto"/>
                <w:szCs w:val="21"/>
              </w:rPr>
            </w:pPr>
            <w:r>
              <w:rPr>
                <w:rFonts w:hint="eastAsia" w:ascii="宋体" w:hAnsi="宋体" w:eastAsia="宋体" w:cs="宋体"/>
                <w:b/>
                <w:color w:val="auto"/>
                <w:szCs w:val="21"/>
              </w:rPr>
              <w:t>名称</w:t>
            </w:r>
          </w:p>
        </w:tc>
        <w:tc>
          <w:tcPr>
            <w:tcW w:w="4672" w:type="dxa"/>
            <w:vAlign w:val="center"/>
          </w:tcPr>
          <w:p w14:paraId="7784C8C6">
            <w:pPr>
              <w:keepNext w:val="0"/>
              <w:keepLines w:val="0"/>
              <w:suppressLineNumbers w:val="0"/>
              <w:spacing w:before="0" w:beforeAutospacing="0" w:after="0" w:afterAutospacing="0" w:line="360" w:lineRule="auto"/>
              <w:ind w:left="0" w:right="0"/>
              <w:contextualSpacing/>
              <w:jc w:val="center"/>
              <w:rPr>
                <w:rFonts w:hint="default" w:ascii="宋体" w:hAnsi="宋体" w:eastAsia="宋体" w:cs="宋体"/>
                <w:b/>
                <w:color w:val="auto"/>
                <w:szCs w:val="21"/>
              </w:rPr>
            </w:pPr>
            <w:r>
              <w:rPr>
                <w:rFonts w:hint="eastAsia" w:ascii="宋体" w:hAnsi="宋体" w:eastAsia="宋体" w:cs="宋体"/>
                <w:b/>
                <w:color w:val="auto"/>
                <w:szCs w:val="21"/>
              </w:rPr>
              <w:t>送货地址</w:t>
            </w:r>
          </w:p>
        </w:tc>
      </w:tr>
      <w:tr w14:paraId="191F1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2" w:type="dxa"/>
            <w:vAlign w:val="center"/>
          </w:tcPr>
          <w:p w14:paraId="376C573A">
            <w:pPr>
              <w:keepNext w:val="0"/>
              <w:keepLines w:val="0"/>
              <w:suppressLineNumbers w:val="0"/>
              <w:spacing w:before="0" w:beforeAutospacing="0" w:after="0" w:afterAutospacing="0" w:line="360" w:lineRule="auto"/>
              <w:ind w:left="0" w:right="0"/>
              <w:contextualSpacing/>
              <w:jc w:val="center"/>
              <w:rPr>
                <w:rFonts w:hint="default" w:ascii="宋体" w:hAnsi="宋体" w:eastAsia="宋体" w:cs="宋体"/>
                <w:color w:val="auto"/>
                <w:szCs w:val="21"/>
              </w:rPr>
            </w:pPr>
            <w:r>
              <w:rPr>
                <w:rFonts w:hint="eastAsia" w:ascii="宋体" w:hAnsi="宋体" w:eastAsia="宋体" w:cs="宋体"/>
                <w:color w:val="auto"/>
                <w:szCs w:val="21"/>
              </w:rPr>
              <w:t>1</w:t>
            </w:r>
          </w:p>
        </w:tc>
        <w:tc>
          <w:tcPr>
            <w:tcW w:w="3159" w:type="dxa"/>
            <w:vAlign w:val="center"/>
          </w:tcPr>
          <w:p w14:paraId="70D07F05">
            <w:pPr>
              <w:keepNext w:val="0"/>
              <w:keepLines w:val="0"/>
              <w:suppressLineNumbers w:val="0"/>
              <w:spacing w:before="0" w:beforeAutospacing="0" w:after="0" w:afterAutospacing="0" w:line="360" w:lineRule="auto"/>
              <w:ind w:left="0" w:right="0"/>
              <w:contextualSpacing/>
              <w:rPr>
                <w:rFonts w:hint="default" w:ascii="宋体" w:hAnsi="宋体" w:eastAsia="宋体" w:cs="宋体"/>
                <w:color w:val="auto"/>
                <w:szCs w:val="21"/>
              </w:rPr>
            </w:pPr>
            <w:r>
              <w:rPr>
                <w:rFonts w:hint="eastAsia" w:ascii="宋体" w:hAnsi="宋体" w:eastAsia="宋体" w:cs="宋体"/>
                <w:color w:val="auto"/>
                <w:szCs w:val="21"/>
              </w:rPr>
              <w:t>东莞市水务集团管网有限公司</w:t>
            </w:r>
          </w:p>
        </w:tc>
        <w:tc>
          <w:tcPr>
            <w:tcW w:w="4672" w:type="dxa"/>
            <w:vAlign w:val="center"/>
          </w:tcPr>
          <w:p w14:paraId="17E997CF">
            <w:pPr>
              <w:keepNext w:val="0"/>
              <w:keepLines w:val="0"/>
              <w:suppressLineNumbers w:val="0"/>
              <w:spacing w:before="0" w:beforeAutospacing="0" w:after="0" w:afterAutospacing="0" w:line="360" w:lineRule="auto"/>
              <w:ind w:left="0" w:right="0"/>
              <w:contextualSpacing/>
              <w:rPr>
                <w:rFonts w:hint="default" w:ascii="宋体" w:hAnsi="宋体" w:eastAsia="宋体" w:cs="宋体"/>
                <w:color w:val="auto"/>
                <w:szCs w:val="21"/>
              </w:rPr>
            </w:pPr>
            <w:r>
              <w:rPr>
                <w:rFonts w:hint="eastAsia" w:ascii="宋体" w:hAnsi="宋体" w:eastAsia="宋体" w:cs="宋体"/>
                <w:color w:val="auto"/>
                <w:szCs w:val="21"/>
              </w:rPr>
              <w:t>东莞市东城街道运河路5号</w:t>
            </w:r>
          </w:p>
        </w:tc>
      </w:tr>
      <w:tr w14:paraId="15F7C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2" w:type="dxa"/>
            <w:vAlign w:val="center"/>
          </w:tcPr>
          <w:p w14:paraId="16236E62">
            <w:pPr>
              <w:keepNext w:val="0"/>
              <w:keepLines w:val="0"/>
              <w:suppressLineNumbers w:val="0"/>
              <w:spacing w:before="0" w:beforeAutospacing="0" w:after="0" w:afterAutospacing="0" w:line="360" w:lineRule="auto"/>
              <w:ind w:left="0" w:right="0"/>
              <w:contextualSpacing/>
              <w:jc w:val="center"/>
              <w:rPr>
                <w:rFonts w:hint="default" w:ascii="宋体" w:hAnsi="宋体" w:eastAsia="宋体" w:cs="宋体"/>
                <w:color w:val="auto"/>
                <w:szCs w:val="21"/>
              </w:rPr>
            </w:pPr>
            <w:r>
              <w:rPr>
                <w:rFonts w:hint="eastAsia" w:ascii="宋体" w:hAnsi="宋体" w:eastAsia="宋体" w:cs="宋体"/>
                <w:color w:val="auto"/>
                <w:szCs w:val="21"/>
              </w:rPr>
              <w:t>2</w:t>
            </w:r>
          </w:p>
        </w:tc>
        <w:tc>
          <w:tcPr>
            <w:tcW w:w="3159" w:type="dxa"/>
            <w:vAlign w:val="center"/>
          </w:tcPr>
          <w:p w14:paraId="1263B810">
            <w:pPr>
              <w:keepNext w:val="0"/>
              <w:keepLines w:val="0"/>
              <w:suppressLineNumbers w:val="0"/>
              <w:spacing w:before="0" w:beforeAutospacing="0" w:after="0" w:afterAutospacing="0" w:line="360" w:lineRule="auto"/>
              <w:ind w:left="0" w:right="0"/>
              <w:contextualSpacing/>
              <w:rPr>
                <w:rFonts w:hint="default" w:ascii="宋体" w:hAnsi="宋体" w:eastAsia="宋体" w:cs="宋体"/>
                <w:color w:val="auto"/>
                <w:szCs w:val="21"/>
              </w:rPr>
            </w:pPr>
            <w:r>
              <w:rPr>
                <w:rFonts w:hint="eastAsia" w:ascii="宋体" w:hAnsi="宋体" w:eastAsia="宋体" w:cs="宋体"/>
                <w:color w:val="auto"/>
                <w:szCs w:val="21"/>
              </w:rPr>
              <w:t>管网有限公司第一分公司</w:t>
            </w:r>
          </w:p>
        </w:tc>
        <w:tc>
          <w:tcPr>
            <w:tcW w:w="4672" w:type="dxa"/>
            <w:vAlign w:val="center"/>
          </w:tcPr>
          <w:p w14:paraId="290B7A9F">
            <w:pPr>
              <w:keepNext w:val="0"/>
              <w:keepLines w:val="0"/>
              <w:suppressLineNumbers w:val="0"/>
              <w:spacing w:before="0" w:beforeAutospacing="0" w:after="0" w:afterAutospacing="0" w:line="360" w:lineRule="auto"/>
              <w:ind w:left="0" w:right="0"/>
              <w:contextualSpacing/>
              <w:rPr>
                <w:rFonts w:hint="default" w:ascii="宋体" w:hAnsi="宋体" w:eastAsia="宋体" w:cs="宋体"/>
                <w:color w:val="auto"/>
                <w:szCs w:val="21"/>
              </w:rPr>
            </w:pPr>
            <w:r>
              <w:rPr>
                <w:rFonts w:hint="eastAsia" w:ascii="宋体" w:hAnsi="宋体" w:eastAsia="宋体" w:cs="宋体"/>
                <w:color w:val="auto"/>
                <w:szCs w:val="21"/>
              </w:rPr>
              <w:t>东莞市东城街道榴花西街19号</w:t>
            </w:r>
          </w:p>
        </w:tc>
      </w:tr>
      <w:tr w14:paraId="04373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2" w:type="dxa"/>
            <w:vAlign w:val="center"/>
          </w:tcPr>
          <w:p w14:paraId="6B5ECF7B">
            <w:pPr>
              <w:keepNext w:val="0"/>
              <w:keepLines w:val="0"/>
              <w:suppressLineNumbers w:val="0"/>
              <w:spacing w:before="0" w:beforeAutospacing="0" w:after="0" w:afterAutospacing="0" w:line="360" w:lineRule="auto"/>
              <w:ind w:left="0" w:right="0"/>
              <w:contextualSpacing/>
              <w:jc w:val="center"/>
              <w:rPr>
                <w:rFonts w:hint="default" w:ascii="宋体" w:hAnsi="宋体" w:eastAsia="宋体" w:cs="宋体"/>
                <w:color w:val="auto"/>
                <w:szCs w:val="21"/>
              </w:rPr>
            </w:pPr>
            <w:r>
              <w:rPr>
                <w:rFonts w:hint="eastAsia" w:ascii="宋体" w:hAnsi="宋体" w:eastAsia="宋体" w:cs="宋体"/>
                <w:color w:val="auto"/>
                <w:szCs w:val="21"/>
              </w:rPr>
              <w:t>3</w:t>
            </w:r>
          </w:p>
        </w:tc>
        <w:tc>
          <w:tcPr>
            <w:tcW w:w="3159" w:type="dxa"/>
            <w:vAlign w:val="center"/>
          </w:tcPr>
          <w:p w14:paraId="5382B1BD">
            <w:pPr>
              <w:keepNext w:val="0"/>
              <w:keepLines w:val="0"/>
              <w:suppressLineNumbers w:val="0"/>
              <w:spacing w:before="0" w:beforeAutospacing="0" w:after="0" w:afterAutospacing="0" w:line="360" w:lineRule="auto"/>
              <w:ind w:left="0" w:right="0"/>
              <w:contextualSpacing/>
              <w:rPr>
                <w:rFonts w:hint="default" w:ascii="宋体" w:hAnsi="宋体" w:eastAsia="宋体" w:cs="宋体"/>
                <w:color w:val="auto"/>
                <w:szCs w:val="21"/>
              </w:rPr>
            </w:pPr>
            <w:r>
              <w:rPr>
                <w:rFonts w:hint="eastAsia" w:ascii="宋体" w:hAnsi="宋体" w:eastAsia="宋体" w:cs="宋体"/>
                <w:color w:val="auto"/>
                <w:szCs w:val="21"/>
              </w:rPr>
              <w:t>管网有限公司第二分公司</w:t>
            </w:r>
          </w:p>
        </w:tc>
        <w:tc>
          <w:tcPr>
            <w:tcW w:w="4672" w:type="dxa"/>
            <w:vAlign w:val="center"/>
          </w:tcPr>
          <w:p w14:paraId="70C453CE">
            <w:pPr>
              <w:keepNext w:val="0"/>
              <w:keepLines w:val="0"/>
              <w:suppressLineNumbers w:val="0"/>
              <w:spacing w:before="0" w:beforeAutospacing="0" w:after="0" w:afterAutospacing="0" w:line="360" w:lineRule="auto"/>
              <w:ind w:left="0" w:right="0"/>
              <w:contextualSpacing/>
              <w:rPr>
                <w:rFonts w:hint="default" w:ascii="宋体" w:hAnsi="宋体" w:eastAsia="宋体" w:cs="宋体"/>
                <w:color w:val="auto"/>
                <w:szCs w:val="21"/>
              </w:rPr>
            </w:pPr>
            <w:r>
              <w:rPr>
                <w:rFonts w:hint="eastAsia" w:ascii="宋体" w:hAnsi="宋体" w:eastAsia="宋体" w:cs="宋体"/>
                <w:color w:val="auto"/>
                <w:szCs w:val="21"/>
              </w:rPr>
              <w:t>东莞市寮步镇向西村旭升路五号</w:t>
            </w:r>
          </w:p>
        </w:tc>
      </w:tr>
      <w:tr w14:paraId="5225B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2" w:type="dxa"/>
            <w:vAlign w:val="center"/>
          </w:tcPr>
          <w:p w14:paraId="23440BF7">
            <w:pPr>
              <w:keepNext w:val="0"/>
              <w:keepLines w:val="0"/>
              <w:suppressLineNumbers w:val="0"/>
              <w:spacing w:before="0" w:beforeAutospacing="0" w:after="0" w:afterAutospacing="0" w:line="360" w:lineRule="auto"/>
              <w:ind w:left="0" w:right="0"/>
              <w:contextualSpacing/>
              <w:jc w:val="center"/>
              <w:rPr>
                <w:rFonts w:hint="default" w:ascii="宋体" w:hAnsi="宋体" w:eastAsia="宋体" w:cs="宋体"/>
                <w:color w:val="auto"/>
                <w:szCs w:val="21"/>
              </w:rPr>
            </w:pPr>
            <w:r>
              <w:rPr>
                <w:rFonts w:hint="eastAsia" w:ascii="宋体" w:hAnsi="宋体" w:eastAsia="宋体" w:cs="宋体"/>
                <w:color w:val="auto"/>
                <w:szCs w:val="21"/>
              </w:rPr>
              <w:t>4</w:t>
            </w:r>
          </w:p>
        </w:tc>
        <w:tc>
          <w:tcPr>
            <w:tcW w:w="3159" w:type="dxa"/>
            <w:vAlign w:val="center"/>
          </w:tcPr>
          <w:p w14:paraId="5D6FF5E3">
            <w:pPr>
              <w:keepNext w:val="0"/>
              <w:keepLines w:val="0"/>
              <w:suppressLineNumbers w:val="0"/>
              <w:spacing w:before="0" w:beforeAutospacing="0" w:after="0" w:afterAutospacing="0" w:line="360" w:lineRule="auto"/>
              <w:ind w:left="0" w:right="0"/>
              <w:contextualSpacing/>
              <w:rPr>
                <w:rFonts w:hint="default" w:ascii="宋体" w:hAnsi="宋体" w:eastAsia="宋体" w:cs="宋体"/>
                <w:color w:val="auto"/>
                <w:szCs w:val="21"/>
              </w:rPr>
            </w:pPr>
            <w:r>
              <w:rPr>
                <w:rFonts w:hint="eastAsia" w:ascii="宋体" w:hAnsi="宋体" w:eastAsia="宋体" w:cs="宋体"/>
                <w:color w:val="auto"/>
                <w:szCs w:val="21"/>
              </w:rPr>
              <w:t>管网有限公司第三分公司</w:t>
            </w:r>
          </w:p>
        </w:tc>
        <w:tc>
          <w:tcPr>
            <w:tcW w:w="4672" w:type="dxa"/>
            <w:vAlign w:val="center"/>
          </w:tcPr>
          <w:p w14:paraId="17723B66">
            <w:pPr>
              <w:keepNext w:val="0"/>
              <w:keepLines w:val="0"/>
              <w:suppressLineNumbers w:val="0"/>
              <w:spacing w:before="0" w:beforeAutospacing="0" w:after="0" w:afterAutospacing="0" w:line="360" w:lineRule="auto"/>
              <w:ind w:left="0" w:right="0"/>
              <w:contextualSpacing/>
              <w:rPr>
                <w:rFonts w:hint="default" w:ascii="宋体" w:hAnsi="宋体" w:eastAsia="宋体" w:cs="宋体"/>
                <w:color w:val="auto"/>
                <w:szCs w:val="21"/>
              </w:rPr>
            </w:pPr>
            <w:r>
              <w:rPr>
                <w:rFonts w:hint="eastAsia" w:ascii="宋体" w:hAnsi="宋体" w:eastAsia="宋体" w:cs="宋体"/>
                <w:color w:val="auto"/>
                <w:szCs w:val="21"/>
              </w:rPr>
              <w:t>东莞市沙田镇稔洲山边路103号</w:t>
            </w:r>
          </w:p>
        </w:tc>
      </w:tr>
      <w:tr w14:paraId="55C7F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2" w:type="dxa"/>
            <w:vAlign w:val="center"/>
          </w:tcPr>
          <w:p w14:paraId="7763ED04">
            <w:pPr>
              <w:keepNext w:val="0"/>
              <w:keepLines w:val="0"/>
              <w:suppressLineNumbers w:val="0"/>
              <w:spacing w:before="0" w:beforeAutospacing="0" w:after="0" w:afterAutospacing="0" w:line="360" w:lineRule="auto"/>
              <w:ind w:left="0" w:right="0"/>
              <w:contextualSpacing/>
              <w:jc w:val="center"/>
              <w:rPr>
                <w:rFonts w:hint="default" w:ascii="宋体" w:hAnsi="宋体" w:eastAsia="宋体" w:cs="宋体"/>
                <w:color w:val="auto"/>
                <w:szCs w:val="21"/>
              </w:rPr>
            </w:pPr>
            <w:r>
              <w:rPr>
                <w:rFonts w:hint="eastAsia" w:ascii="宋体" w:hAnsi="宋体" w:eastAsia="宋体" w:cs="宋体"/>
                <w:color w:val="auto"/>
                <w:szCs w:val="21"/>
              </w:rPr>
              <w:t>5</w:t>
            </w:r>
          </w:p>
        </w:tc>
        <w:tc>
          <w:tcPr>
            <w:tcW w:w="3159" w:type="dxa"/>
            <w:vAlign w:val="center"/>
          </w:tcPr>
          <w:p w14:paraId="43112778">
            <w:pPr>
              <w:keepNext w:val="0"/>
              <w:keepLines w:val="0"/>
              <w:suppressLineNumbers w:val="0"/>
              <w:spacing w:before="0" w:beforeAutospacing="0" w:after="0" w:afterAutospacing="0" w:line="360" w:lineRule="auto"/>
              <w:ind w:left="0" w:right="0"/>
              <w:contextualSpacing/>
              <w:rPr>
                <w:rFonts w:hint="default" w:ascii="宋体" w:hAnsi="宋体" w:eastAsia="宋体" w:cs="宋体"/>
                <w:color w:val="auto"/>
                <w:szCs w:val="21"/>
              </w:rPr>
            </w:pPr>
            <w:r>
              <w:rPr>
                <w:rFonts w:hint="eastAsia" w:ascii="宋体" w:hAnsi="宋体" w:eastAsia="宋体" w:cs="宋体"/>
                <w:color w:val="auto"/>
                <w:szCs w:val="21"/>
              </w:rPr>
              <w:t>管网有限公司第四分公司</w:t>
            </w:r>
          </w:p>
        </w:tc>
        <w:tc>
          <w:tcPr>
            <w:tcW w:w="4672" w:type="dxa"/>
            <w:vAlign w:val="center"/>
          </w:tcPr>
          <w:p w14:paraId="152890E7">
            <w:pPr>
              <w:keepNext w:val="0"/>
              <w:keepLines w:val="0"/>
              <w:suppressLineNumbers w:val="0"/>
              <w:spacing w:before="0" w:beforeAutospacing="0" w:after="0" w:afterAutospacing="0" w:line="360" w:lineRule="auto"/>
              <w:ind w:left="0" w:right="0"/>
              <w:contextualSpacing/>
              <w:rPr>
                <w:rFonts w:hint="default" w:ascii="宋体" w:hAnsi="宋体" w:eastAsia="宋体" w:cs="宋体"/>
                <w:color w:val="auto"/>
                <w:szCs w:val="21"/>
              </w:rPr>
            </w:pPr>
            <w:r>
              <w:rPr>
                <w:rFonts w:hint="eastAsia" w:ascii="宋体" w:hAnsi="宋体" w:eastAsia="宋体" w:cs="宋体"/>
                <w:color w:val="auto"/>
                <w:szCs w:val="21"/>
              </w:rPr>
              <w:t>东莞市道滘镇华科城创业园5栋</w:t>
            </w:r>
          </w:p>
        </w:tc>
      </w:tr>
      <w:tr w14:paraId="64CF6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2" w:type="dxa"/>
            <w:vAlign w:val="center"/>
          </w:tcPr>
          <w:p w14:paraId="2133EEA3">
            <w:pPr>
              <w:keepNext w:val="0"/>
              <w:keepLines w:val="0"/>
              <w:suppressLineNumbers w:val="0"/>
              <w:spacing w:before="0" w:beforeAutospacing="0" w:after="0" w:afterAutospacing="0" w:line="360" w:lineRule="auto"/>
              <w:ind w:left="0" w:right="0"/>
              <w:contextualSpacing/>
              <w:jc w:val="center"/>
              <w:rPr>
                <w:rFonts w:hint="default" w:ascii="宋体" w:hAnsi="宋体" w:eastAsia="宋体" w:cs="宋体"/>
                <w:color w:val="auto"/>
                <w:szCs w:val="21"/>
              </w:rPr>
            </w:pPr>
            <w:r>
              <w:rPr>
                <w:rFonts w:hint="eastAsia" w:ascii="宋体" w:hAnsi="宋体" w:eastAsia="宋体" w:cs="宋体"/>
                <w:color w:val="auto"/>
                <w:szCs w:val="21"/>
              </w:rPr>
              <w:t>6</w:t>
            </w:r>
          </w:p>
        </w:tc>
        <w:tc>
          <w:tcPr>
            <w:tcW w:w="3159" w:type="dxa"/>
            <w:vAlign w:val="center"/>
          </w:tcPr>
          <w:p w14:paraId="2E83DCF0">
            <w:pPr>
              <w:keepNext w:val="0"/>
              <w:keepLines w:val="0"/>
              <w:suppressLineNumbers w:val="0"/>
              <w:spacing w:before="0" w:beforeAutospacing="0" w:after="0" w:afterAutospacing="0" w:line="360" w:lineRule="auto"/>
              <w:ind w:left="0" w:right="0"/>
              <w:contextualSpacing/>
              <w:rPr>
                <w:rFonts w:hint="default" w:ascii="宋体" w:hAnsi="宋体" w:eastAsia="宋体" w:cs="宋体"/>
                <w:color w:val="auto"/>
                <w:szCs w:val="21"/>
              </w:rPr>
            </w:pPr>
            <w:r>
              <w:rPr>
                <w:rFonts w:hint="eastAsia" w:ascii="宋体" w:hAnsi="宋体" w:eastAsia="宋体" w:cs="宋体"/>
                <w:color w:val="auto"/>
                <w:szCs w:val="21"/>
              </w:rPr>
              <w:t>管网有限公司第五分公司</w:t>
            </w:r>
          </w:p>
        </w:tc>
        <w:tc>
          <w:tcPr>
            <w:tcW w:w="4672" w:type="dxa"/>
            <w:vAlign w:val="center"/>
          </w:tcPr>
          <w:p w14:paraId="3FA8D095">
            <w:pPr>
              <w:keepNext w:val="0"/>
              <w:keepLines w:val="0"/>
              <w:suppressLineNumbers w:val="0"/>
              <w:spacing w:before="0" w:beforeAutospacing="0" w:after="0" w:afterAutospacing="0" w:line="360" w:lineRule="auto"/>
              <w:ind w:left="0" w:right="0"/>
              <w:contextualSpacing/>
              <w:rPr>
                <w:rFonts w:hint="default" w:ascii="宋体" w:hAnsi="宋体" w:eastAsia="宋体" w:cs="宋体"/>
                <w:color w:val="auto"/>
                <w:szCs w:val="21"/>
              </w:rPr>
            </w:pPr>
            <w:r>
              <w:rPr>
                <w:rFonts w:hint="eastAsia" w:ascii="宋体" w:hAnsi="宋体" w:eastAsia="宋体" w:cs="宋体"/>
                <w:color w:val="auto"/>
                <w:szCs w:val="21"/>
              </w:rPr>
              <w:t>东莞市横沥镇中山东路82号骏业大厦</w:t>
            </w:r>
          </w:p>
        </w:tc>
      </w:tr>
      <w:tr w14:paraId="4DBB1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2" w:type="dxa"/>
            <w:vAlign w:val="center"/>
          </w:tcPr>
          <w:p w14:paraId="382E0D6A">
            <w:pPr>
              <w:keepNext w:val="0"/>
              <w:keepLines w:val="0"/>
              <w:suppressLineNumbers w:val="0"/>
              <w:spacing w:before="0" w:beforeAutospacing="0" w:after="0" w:afterAutospacing="0" w:line="360" w:lineRule="auto"/>
              <w:ind w:left="0" w:right="0"/>
              <w:contextualSpacing/>
              <w:jc w:val="center"/>
              <w:rPr>
                <w:rFonts w:hint="default" w:ascii="宋体" w:hAnsi="宋体" w:eastAsia="宋体" w:cs="宋体"/>
                <w:color w:val="auto"/>
                <w:szCs w:val="21"/>
              </w:rPr>
            </w:pPr>
            <w:r>
              <w:rPr>
                <w:rFonts w:hint="eastAsia" w:ascii="宋体" w:hAnsi="宋体" w:eastAsia="宋体" w:cs="宋体"/>
                <w:color w:val="auto"/>
                <w:szCs w:val="21"/>
              </w:rPr>
              <w:t>7</w:t>
            </w:r>
          </w:p>
        </w:tc>
        <w:tc>
          <w:tcPr>
            <w:tcW w:w="3159" w:type="dxa"/>
            <w:vAlign w:val="center"/>
          </w:tcPr>
          <w:p w14:paraId="68A68863">
            <w:pPr>
              <w:keepNext w:val="0"/>
              <w:keepLines w:val="0"/>
              <w:suppressLineNumbers w:val="0"/>
              <w:spacing w:before="0" w:beforeAutospacing="0" w:after="0" w:afterAutospacing="0" w:line="360" w:lineRule="auto"/>
              <w:ind w:left="0" w:right="0"/>
              <w:contextualSpacing/>
              <w:rPr>
                <w:rFonts w:hint="default" w:ascii="宋体" w:hAnsi="宋体" w:eastAsia="宋体" w:cs="宋体"/>
                <w:color w:val="auto"/>
                <w:szCs w:val="21"/>
              </w:rPr>
            </w:pPr>
            <w:r>
              <w:rPr>
                <w:rFonts w:hint="eastAsia" w:ascii="宋体" w:hAnsi="宋体" w:eastAsia="宋体" w:cs="宋体"/>
                <w:color w:val="auto"/>
                <w:szCs w:val="21"/>
              </w:rPr>
              <w:t>管网有限公司第六分公司</w:t>
            </w:r>
          </w:p>
        </w:tc>
        <w:tc>
          <w:tcPr>
            <w:tcW w:w="4672" w:type="dxa"/>
            <w:vAlign w:val="center"/>
          </w:tcPr>
          <w:p w14:paraId="4D231D93">
            <w:pPr>
              <w:keepNext w:val="0"/>
              <w:keepLines w:val="0"/>
              <w:suppressLineNumbers w:val="0"/>
              <w:spacing w:before="0" w:beforeAutospacing="0" w:after="0" w:afterAutospacing="0" w:line="360" w:lineRule="auto"/>
              <w:ind w:left="0" w:right="0"/>
              <w:contextualSpacing/>
              <w:rPr>
                <w:rFonts w:hint="default" w:ascii="宋体" w:hAnsi="宋体" w:eastAsia="宋体" w:cs="宋体"/>
                <w:color w:val="auto"/>
                <w:szCs w:val="21"/>
              </w:rPr>
            </w:pPr>
            <w:r>
              <w:rPr>
                <w:rFonts w:hint="eastAsia" w:ascii="宋体" w:hAnsi="宋体" w:eastAsia="宋体" w:cs="宋体"/>
                <w:color w:val="auto"/>
                <w:szCs w:val="21"/>
              </w:rPr>
              <w:t>东莞市塘厦镇蛟坪大道星河科技园</w:t>
            </w:r>
          </w:p>
        </w:tc>
      </w:tr>
    </w:tbl>
    <w:p w14:paraId="23461101">
      <w:pPr>
        <w:rPr>
          <w:rFonts w:ascii="宋体" w:hAnsi="宋体" w:eastAsia="宋体" w:cs="宋体"/>
          <w:color w:val="auto"/>
          <w:szCs w:val="21"/>
        </w:rPr>
      </w:pPr>
    </w:p>
    <w:p w14:paraId="562AED9B">
      <w:pPr>
        <w:widowControl/>
        <w:spacing w:line="360" w:lineRule="auto"/>
        <w:ind w:firstLine="210" w:firstLineChars="100"/>
        <w:rPr>
          <w:rFonts w:ascii="宋体" w:hAnsi="宋体" w:eastAsia="宋体" w:cs="宋体"/>
          <w:color w:val="auto"/>
          <w:szCs w:val="21"/>
        </w:rPr>
      </w:pPr>
      <w:r>
        <w:rPr>
          <w:rFonts w:hint="eastAsia" w:ascii="宋体" w:hAnsi="宋体" w:eastAsia="宋体" w:cs="宋体"/>
          <w:color w:val="auto"/>
          <w:szCs w:val="21"/>
        </w:rPr>
        <w:t>4、实业公司：</w:t>
      </w:r>
    </w:p>
    <w:tbl>
      <w:tblPr>
        <w:tblStyle w:val="45"/>
        <w:tblW w:w="83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7"/>
        <w:gridCol w:w="3138"/>
        <w:gridCol w:w="4570"/>
      </w:tblGrid>
      <w:tr w14:paraId="15983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7" w:type="dxa"/>
            <w:vAlign w:val="center"/>
          </w:tcPr>
          <w:p w14:paraId="01EACB64">
            <w:pPr>
              <w:keepNext w:val="0"/>
              <w:keepLines w:val="0"/>
              <w:suppressLineNumbers w:val="0"/>
              <w:spacing w:before="0" w:beforeAutospacing="0" w:after="0" w:afterAutospacing="0" w:line="360" w:lineRule="auto"/>
              <w:ind w:left="0" w:right="0"/>
              <w:contextualSpacing/>
              <w:jc w:val="center"/>
              <w:rPr>
                <w:rFonts w:hint="default" w:ascii="宋体" w:hAnsi="宋体" w:eastAsia="宋体" w:cs="宋体"/>
                <w:b/>
                <w:color w:val="auto"/>
                <w:szCs w:val="21"/>
              </w:rPr>
            </w:pPr>
            <w:r>
              <w:rPr>
                <w:rFonts w:hint="eastAsia" w:ascii="宋体" w:hAnsi="宋体" w:eastAsia="宋体" w:cs="宋体"/>
                <w:b/>
                <w:color w:val="auto"/>
                <w:szCs w:val="21"/>
              </w:rPr>
              <w:t>序号</w:t>
            </w:r>
          </w:p>
        </w:tc>
        <w:tc>
          <w:tcPr>
            <w:tcW w:w="3138" w:type="dxa"/>
            <w:vAlign w:val="center"/>
          </w:tcPr>
          <w:p w14:paraId="1843DC8A">
            <w:pPr>
              <w:keepNext w:val="0"/>
              <w:keepLines w:val="0"/>
              <w:suppressLineNumbers w:val="0"/>
              <w:spacing w:before="0" w:beforeAutospacing="0" w:after="0" w:afterAutospacing="0" w:line="360" w:lineRule="auto"/>
              <w:ind w:left="0" w:right="0"/>
              <w:contextualSpacing/>
              <w:jc w:val="center"/>
              <w:rPr>
                <w:rFonts w:hint="default" w:ascii="宋体" w:hAnsi="宋体" w:eastAsia="宋体" w:cs="宋体"/>
                <w:b/>
                <w:color w:val="auto"/>
                <w:szCs w:val="21"/>
              </w:rPr>
            </w:pPr>
            <w:r>
              <w:rPr>
                <w:rFonts w:hint="eastAsia" w:ascii="宋体" w:hAnsi="宋体" w:eastAsia="宋体" w:cs="宋体"/>
                <w:b/>
                <w:color w:val="auto"/>
                <w:szCs w:val="21"/>
              </w:rPr>
              <w:t>名称</w:t>
            </w:r>
          </w:p>
        </w:tc>
        <w:tc>
          <w:tcPr>
            <w:tcW w:w="4570" w:type="dxa"/>
            <w:vAlign w:val="center"/>
          </w:tcPr>
          <w:p w14:paraId="29EB6B75">
            <w:pPr>
              <w:keepNext w:val="0"/>
              <w:keepLines w:val="0"/>
              <w:suppressLineNumbers w:val="0"/>
              <w:spacing w:before="0" w:beforeAutospacing="0" w:after="0" w:afterAutospacing="0" w:line="360" w:lineRule="auto"/>
              <w:ind w:left="0" w:right="0"/>
              <w:contextualSpacing/>
              <w:jc w:val="center"/>
              <w:rPr>
                <w:rFonts w:hint="default" w:ascii="宋体" w:hAnsi="宋体" w:eastAsia="宋体" w:cs="宋体"/>
                <w:b/>
                <w:color w:val="auto"/>
                <w:szCs w:val="21"/>
              </w:rPr>
            </w:pPr>
            <w:r>
              <w:rPr>
                <w:rFonts w:hint="eastAsia" w:ascii="宋体" w:hAnsi="宋体" w:eastAsia="宋体" w:cs="宋体"/>
                <w:b/>
                <w:color w:val="auto"/>
                <w:szCs w:val="21"/>
              </w:rPr>
              <w:t>送货地址</w:t>
            </w:r>
          </w:p>
        </w:tc>
      </w:tr>
      <w:tr w14:paraId="202E3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7" w:type="dxa"/>
            <w:vAlign w:val="center"/>
          </w:tcPr>
          <w:p w14:paraId="3299CE7D">
            <w:pPr>
              <w:keepNext w:val="0"/>
              <w:keepLines w:val="0"/>
              <w:suppressLineNumbers w:val="0"/>
              <w:spacing w:before="0" w:beforeAutospacing="0" w:after="0" w:afterAutospacing="0" w:line="360" w:lineRule="auto"/>
              <w:ind w:left="0" w:right="0"/>
              <w:contextualSpacing/>
              <w:jc w:val="center"/>
              <w:rPr>
                <w:rFonts w:hint="default" w:ascii="宋体" w:hAnsi="宋体" w:eastAsia="宋体" w:cs="宋体"/>
                <w:color w:val="auto"/>
                <w:szCs w:val="21"/>
              </w:rPr>
            </w:pPr>
            <w:r>
              <w:rPr>
                <w:rFonts w:hint="eastAsia" w:ascii="宋体" w:hAnsi="宋体" w:eastAsia="宋体" w:cs="宋体"/>
                <w:color w:val="auto"/>
                <w:szCs w:val="21"/>
              </w:rPr>
              <w:t>1</w:t>
            </w:r>
          </w:p>
        </w:tc>
        <w:tc>
          <w:tcPr>
            <w:tcW w:w="3138" w:type="dxa"/>
            <w:vAlign w:val="center"/>
          </w:tcPr>
          <w:p w14:paraId="062D229B">
            <w:pPr>
              <w:keepNext w:val="0"/>
              <w:keepLines w:val="0"/>
              <w:suppressLineNumbers w:val="0"/>
              <w:spacing w:before="0" w:beforeAutospacing="0" w:after="0" w:afterAutospacing="0" w:line="360" w:lineRule="auto"/>
              <w:ind w:left="0" w:right="0"/>
              <w:contextualSpacing/>
              <w:rPr>
                <w:rFonts w:hint="default" w:ascii="宋体" w:hAnsi="宋体" w:eastAsia="宋体" w:cs="宋体"/>
                <w:color w:val="auto"/>
                <w:szCs w:val="21"/>
              </w:rPr>
            </w:pPr>
            <w:r>
              <w:rPr>
                <w:rFonts w:hint="eastAsia" w:ascii="宋体" w:hAnsi="宋体" w:eastAsia="宋体" w:cs="宋体"/>
                <w:color w:val="auto"/>
                <w:szCs w:val="21"/>
              </w:rPr>
              <w:t>东莞市水务集团实业有限公司</w:t>
            </w:r>
          </w:p>
        </w:tc>
        <w:tc>
          <w:tcPr>
            <w:tcW w:w="4570" w:type="dxa"/>
            <w:vAlign w:val="center"/>
          </w:tcPr>
          <w:p w14:paraId="3F48D01E">
            <w:pPr>
              <w:keepNext w:val="0"/>
              <w:keepLines w:val="0"/>
              <w:suppressLineNumbers w:val="0"/>
              <w:spacing w:before="0" w:beforeAutospacing="0" w:after="0" w:afterAutospacing="0" w:line="360" w:lineRule="auto"/>
              <w:ind w:left="0" w:right="0"/>
              <w:contextualSpacing/>
              <w:rPr>
                <w:rFonts w:hint="default" w:ascii="宋体" w:hAnsi="宋体" w:eastAsia="宋体" w:cs="宋体"/>
                <w:color w:val="auto"/>
                <w:szCs w:val="21"/>
              </w:rPr>
            </w:pPr>
            <w:r>
              <w:rPr>
                <w:rFonts w:hint="eastAsia" w:ascii="宋体" w:hAnsi="宋体" w:eastAsia="宋体" w:cs="宋体"/>
                <w:color w:val="auto"/>
                <w:szCs w:val="21"/>
              </w:rPr>
              <w:t>东莞市南城街道滨河路市区有机资源再生利用项目</w:t>
            </w:r>
          </w:p>
        </w:tc>
      </w:tr>
    </w:tbl>
    <w:p w14:paraId="19B1B797">
      <w:pPr>
        <w:rPr>
          <w:rFonts w:ascii="宋体" w:hAnsi="宋体" w:eastAsia="宋体" w:cs="宋体"/>
          <w:color w:val="auto"/>
          <w:szCs w:val="21"/>
        </w:rPr>
      </w:pPr>
    </w:p>
    <w:p w14:paraId="3A1A0D7E">
      <w:pPr>
        <w:widowControl/>
        <w:spacing w:line="360" w:lineRule="auto"/>
        <w:ind w:firstLine="210" w:firstLineChars="100"/>
        <w:rPr>
          <w:rFonts w:ascii="宋体" w:hAnsi="宋体" w:eastAsia="宋体" w:cs="宋体"/>
          <w:color w:val="auto"/>
          <w:szCs w:val="21"/>
        </w:rPr>
      </w:pPr>
      <w:r>
        <w:rPr>
          <w:rFonts w:hint="eastAsia" w:ascii="宋体" w:hAnsi="宋体" w:eastAsia="宋体" w:cs="宋体"/>
          <w:color w:val="auto"/>
          <w:szCs w:val="21"/>
        </w:rPr>
        <w:t>5、建设公司：</w:t>
      </w:r>
    </w:p>
    <w:tbl>
      <w:tblPr>
        <w:tblStyle w:val="45"/>
        <w:tblW w:w="8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4"/>
        <w:gridCol w:w="3163"/>
        <w:gridCol w:w="4583"/>
      </w:tblGrid>
      <w:tr w14:paraId="44103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674" w:type="dxa"/>
            <w:vAlign w:val="center"/>
          </w:tcPr>
          <w:p w14:paraId="13370D25">
            <w:pPr>
              <w:keepNext w:val="0"/>
              <w:keepLines w:val="0"/>
              <w:suppressLineNumbers w:val="0"/>
              <w:spacing w:before="0" w:beforeAutospacing="0" w:after="0" w:afterAutospacing="0" w:line="360" w:lineRule="auto"/>
              <w:ind w:left="0" w:right="0"/>
              <w:contextualSpacing/>
              <w:jc w:val="center"/>
              <w:rPr>
                <w:rFonts w:hint="default" w:ascii="宋体" w:hAnsi="宋体" w:eastAsia="宋体" w:cs="宋体"/>
                <w:b/>
                <w:color w:val="auto"/>
                <w:szCs w:val="21"/>
              </w:rPr>
            </w:pPr>
            <w:r>
              <w:rPr>
                <w:rFonts w:hint="eastAsia" w:ascii="宋体" w:hAnsi="宋体" w:eastAsia="宋体" w:cs="宋体"/>
                <w:b/>
                <w:color w:val="auto"/>
                <w:szCs w:val="21"/>
              </w:rPr>
              <w:t>序号</w:t>
            </w:r>
          </w:p>
        </w:tc>
        <w:tc>
          <w:tcPr>
            <w:tcW w:w="3163" w:type="dxa"/>
            <w:vAlign w:val="center"/>
          </w:tcPr>
          <w:p w14:paraId="0741A453">
            <w:pPr>
              <w:keepNext w:val="0"/>
              <w:keepLines w:val="0"/>
              <w:suppressLineNumbers w:val="0"/>
              <w:spacing w:before="0" w:beforeAutospacing="0" w:after="0" w:afterAutospacing="0" w:line="360" w:lineRule="auto"/>
              <w:ind w:left="0" w:right="0"/>
              <w:contextualSpacing/>
              <w:jc w:val="center"/>
              <w:rPr>
                <w:rFonts w:hint="default" w:ascii="宋体" w:hAnsi="宋体" w:eastAsia="宋体" w:cs="宋体"/>
                <w:b/>
                <w:color w:val="auto"/>
                <w:szCs w:val="21"/>
              </w:rPr>
            </w:pPr>
            <w:r>
              <w:rPr>
                <w:rFonts w:hint="eastAsia" w:ascii="宋体" w:hAnsi="宋体" w:eastAsia="宋体" w:cs="宋体"/>
                <w:b/>
                <w:color w:val="auto"/>
                <w:szCs w:val="21"/>
              </w:rPr>
              <w:t>名称</w:t>
            </w:r>
          </w:p>
        </w:tc>
        <w:tc>
          <w:tcPr>
            <w:tcW w:w="4583" w:type="dxa"/>
            <w:vAlign w:val="center"/>
          </w:tcPr>
          <w:p w14:paraId="3A6841F7">
            <w:pPr>
              <w:keepNext w:val="0"/>
              <w:keepLines w:val="0"/>
              <w:suppressLineNumbers w:val="0"/>
              <w:spacing w:before="0" w:beforeAutospacing="0" w:after="0" w:afterAutospacing="0" w:line="360" w:lineRule="auto"/>
              <w:ind w:left="0" w:right="0"/>
              <w:contextualSpacing/>
              <w:jc w:val="center"/>
              <w:rPr>
                <w:rFonts w:hint="default" w:ascii="宋体" w:hAnsi="宋体" w:eastAsia="宋体" w:cs="宋体"/>
                <w:b/>
                <w:color w:val="auto"/>
                <w:szCs w:val="21"/>
              </w:rPr>
            </w:pPr>
            <w:r>
              <w:rPr>
                <w:rFonts w:hint="eastAsia" w:ascii="宋体" w:hAnsi="宋体" w:eastAsia="宋体" w:cs="宋体"/>
                <w:b/>
                <w:color w:val="auto"/>
                <w:szCs w:val="21"/>
              </w:rPr>
              <w:t>送货地址</w:t>
            </w:r>
          </w:p>
        </w:tc>
      </w:tr>
      <w:tr w14:paraId="25996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4" w:type="dxa"/>
            <w:vAlign w:val="center"/>
          </w:tcPr>
          <w:p w14:paraId="5A5C4FB0">
            <w:pPr>
              <w:keepNext w:val="0"/>
              <w:keepLines w:val="0"/>
              <w:suppressLineNumbers w:val="0"/>
              <w:spacing w:before="0" w:beforeAutospacing="0" w:after="0" w:afterAutospacing="0" w:line="360" w:lineRule="auto"/>
              <w:ind w:left="0" w:right="0"/>
              <w:contextualSpacing/>
              <w:jc w:val="center"/>
              <w:rPr>
                <w:rFonts w:hint="default" w:ascii="宋体" w:hAnsi="宋体" w:eastAsia="宋体" w:cs="宋体"/>
                <w:color w:val="auto"/>
                <w:szCs w:val="21"/>
              </w:rPr>
            </w:pPr>
            <w:r>
              <w:rPr>
                <w:rFonts w:hint="eastAsia" w:ascii="宋体" w:hAnsi="宋体" w:eastAsia="宋体" w:cs="宋体"/>
                <w:color w:val="auto"/>
                <w:szCs w:val="21"/>
              </w:rPr>
              <w:t>1</w:t>
            </w:r>
          </w:p>
        </w:tc>
        <w:tc>
          <w:tcPr>
            <w:tcW w:w="3163" w:type="dxa"/>
            <w:vAlign w:val="center"/>
          </w:tcPr>
          <w:p w14:paraId="793AE9D9">
            <w:pPr>
              <w:keepNext w:val="0"/>
              <w:keepLines w:val="0"/>
              <w:suppressLineNumbers w:val="0"/>
              <w:spacing w:before="0" w:beforeAutospacing="0" w:after="0" w:afterAutospacing="0" w:line="360" w:lineRule="auto"/>
              <w:ind w:left="0" w:right="0"/>
              <w:contextualSpacing/>
              <w:rPr>
                <w:rFonts w:hint="default" w:ascii="宋体" w:hAnsi="宋体" w:eastAsia="宋体" w:cs="宋体"/>
                <w:color w:val="auto"/>
                <w:szCs w:val="21"/>
              </w:rPr>
            </w:pPr>
            <w:r>
              <w:rPr>
                <w:rFonts w:hint="eastAsia" w:ascii="宋体" w:hAnsi="宋体" w:eastAsia="宋体" w:cs="宋体"/>
                <w:color w:val="auto"/>
                <w:szCs w:val="21"/>
              </w:rPr>
              <w:t>东莞市水务集团建设管理有限公司</w:t>
            </w:r>
          </w:p>
        </w:tc>
        <w:tc>
          <w:tcPr>
            <w:tcW w:w="4583" w:type="dxa"/>
            <w:vAlign w:val="center"/>
          </w:tcPr>
          <w:p w14:paraId="5E73CB19">
            <w:pPr>
              <w:keepNext w:val="0"/>
              <w:keepLines w:val="0"/>
              <w:suppressLineNumbers w:val="0"/>
              <w:spacing w:before="0" w:beforeAutospacing="0" w:after="0" w:afterAutospacing="0" w:line="360" w:lineRule="auto"/>
              <w:ind w:left="0" w:right="0"/>
              <w:contextualSpacing/>
              <w:rPr>
                <w:rFonts w:hint="default" w:ascii="宋体" w:hAnsi="宋体" w:eastAsia="宋体" w:cs="宋体"/>
                <w:color w:val="auto"/>
                <w:szCs w:val="21"/>
              </w:rPr>
            </w:pPr>
            <w:r>
              <w:rPr>
                <w:rFonts w:hint="eastAsia" w:ascii="宋体" w:hAnsi="宋体" w:eastAsia="宋体" w:cs="宋体"/>
                <w:color w:val="auto"/>
                <w:szCs w:val="21"/>
              </w:rPr>
              <w:t>东莞市南城街道滨河路100号一期1号楼102室</w:t>
            </w:r>
          </w:p>
        </w:tc>
      </w:tr>
    </w:tbl>
    <w:p w14:paraId="712B61F9">
      <w:pPr>
        <w:widowControl/>
        <w:spacing w:line="360" w:lineRule="auto"/>
        <w:rPr>
          <w:rFonts w:ascii="宋体" w:hAnsi="宋体" w:eastAsia="宋体" w:cs="宋体"/>
          <w:b/>
          <w:color w:val="auto"/>
          <w:szCs w:val="21"/>
        </w:rPr>
      </w:pPr>
      <w:r>
        <w:rPr>
          <w:rFonts w:hint="eastAsia" w:ascii="宋体" w:hAnsi="宋体" w:eastAsia="宋体" w:cs="宋体"/>
          <w:b/>
          <w:color w:val="auto"/>
          <w:szCs w:val="21"/>
        </w:rPr>
        <w:t>四、验收要求</w:t>
      </w:r>
    </w:p>
    <w:p w14:paraId="01F7717F">
      <w:pPr>
        <w:widowControl/>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（一）货物到达交货地点后，招标人（或招标人的下属公司）、中标人代表共同验收。双方按照采购清单的规格要求对相应安全及劳保物资进行验收，验收合格并签字确认。</w:t>
      </w:r>
    </w:p>
    <w:p w14:paraId="33FDC2DE">
      <w:pPr>
        <w:widowControl/>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（二）中标人的货物应当按照</w:t>
      </w:r>
      <w:r>
        <w:rPr>
          <w:rFonts w:hint="eastAsia" w:ascii="宋体" w:hAnsi="宋体" w:eastAsia="宋体" w:cs="宋体"/>
          <w:color w:val="auto"/>
          <w:szCs w:val="21"/>
          <w:lang w:eastAsia="zh-CN"/>
        </w:rPr>
        <w:t>招标人（或招标人的下属公司）</w:t>
      </w:r>
      <w:r>
        <w:rPr>
          <w:rFonts w:hint="eastAsia" w:ascii="宋体" w:hAnsi="宋体" w:eastAsia="宋体" w:cs="宋体"/>
          <w:color w:val="auto"/>
          <w:szCs w:val="21"/>
        </w:rPr>
        <w:t>要求送到指定的地点，由于使用第三方送货服务导致货物未能经过双方共同验收、未送到指定地点仓库的，</w:t>
      </w:r>
      <w:r>
        <w:rPr>
          <w:rFonts w:hint="eastAsia" w:ascii="宋体" w:hAnsi="宋体" w:eastAsia="宋体" w:cs="宋体"/>
          <w:color w:val="auto"/>
          <w:szCs w:val="21"/>
          <w:lang w:eastAsia="zh-CN"/>
        </w:rPr>
        <w:t>招标人（或招标人的下属公司）</w:t>
      </w:r>
      <w:r>
        <w:rPr>
          <w:rFonts w:hint="eastAsia" w:ascii="宋体" w:hAnsi="宋体" w:eastAsia="宋体" w:cs="宋体"/>
          <w:color w:val="auto"/>
          <w:szCs w:val="21"/>
        </w:rPr>
        <w:t>有权拒绝收货。</w:t>
      </w:r>
    </w:p>
    <w:p w14:paraId="28A76E77">
      <w:pPr>
        <w:widowControl/>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（三）中标人不得配送</w:t>
      </w:r>
      <w:r>
        <w:rPr>
          <w:rFonts w:hint="eastAsia" w:ascii="宋体" w:hAnsi="宋体" w:eastAsia="宋体" w:cs="宋体"/>
          <w:color w:val="auto"/>
          <w:szCs w:val="21"/>
          <w:shd w:val="clear" w:color="auto" w:fill="FFFFFF"/>
        </w:rPr>
        <w:t>临期</w:t>
      </w:r>
      <w:r>
        <w:rPr>
          <w:rFonts w:hint="eastAsia" w:ascii="宋体" w:hAnsi="宋体" w:eastAsia="宋体" w:cs="宋体"/>
          <w:color w:val="auto"/>
          <w:szCs w:val="21"/>
        </w:rPr>
        <w:t>物品，物品剩余有效期或保质期应大于三分二时长。</w:t>
      </w:r>
    </w:p>
    <w:p w14:paraId="767F2A30">
      <w:pPr>
        <w:widowControl/>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（四）未经</w:t>
      </w:r>
      <w:r>
        <w:rPr>
          <w:rFonts w:hint="eastAsia" w:ascii="宋体" w:hAnsi="宋体" w:eastAsia="宋体" w:cs="宋体"/>
          <w:color w:val="auto"/>
          <w:szCs w:val="21"/>
          <w:lang w:eastAsia="zh-CN"/>
        </w:rPr>
        <w:t>招标人（或招标人的下属公司）</w:t>
      </w:r>
      <w:r>
        <w:rPr>
          <w:rFonts w:hint="eastAsia" w:ascii="宋体" w:hAnsi="宋体" w:eastAsia="宋体" w:cs="宋体"/>
          <w:color w:val="auto"/>
          <w:szCs w:val="21"/>
        </w:rPr>
        <w:t>书面同意，中标人或中标人委托的第三方送货服务仅将货物放置在门口/门卫室，而没有送货至</w:t>
      </w:r>
      <w:r>
        <w:rPr>
          <w:rFonts w:hint="eastAsia" w:ascii="宋体" w:hAnsi="宋体" w:eastAsia="宋体" w:cs="宋体"/>
          <w:color w:val="auto"/>
          <w:szCs w:val="21"/>
          <w:lang w:eastAsia="zh-CN"/>
        </w:rPr>
        <w:t>招标人（或招标人的下属公司）</w:t>
      </w:r>
      <w:r>
        <w:rPr>
          <w:rFonts w:hint="eastAsia" w:ascii="宋体" w:hAnsi="宋体" w:eastAsia="宋体" w:cs="宋体"/>
          <w:color w:val="auto"/>
          <w:szCs w:val="21"/>
        </w:rPr>
        <w:t>指定的地点的，视为中标人未履行送货义务，</w:t>
      </w:r>
      <w:r>
        <w:rPr>
          <w:rFonts w:hint="eastAsia" w:ascii="宋体" w:hAnsi="宋体" w:eastAsia="宋体" w:cs="宋体"/>
          <w:color w:val="auto"/>
          <w:szCs w:val="21"/>
          <w:lang w:eastAsia="zh-CN"/>
        </w:rPr>
        <w:t>招标人（或招标人的下属公司）</w:t>
      </w:r>
      <w:r>
        <w:rPr>
          <w:rFonts w:hint="eastAsia" w:ascii="宋体" w:hAnsi="宋体" w:eastAsia="宋体" w:cs="宋体"/>
          <w:color w:val="auto"/>
          <w:szCs w:val="21"/>
        </w:rPr>
        <w:t>有权拒绝接受货物且不予支付该次货款。上述情况下</w:t>
      </w:r>
      <w:r>
        <w:rPr>
          <w:rFonts w:hint="eastAsia" w:ascii="宋体" w:hAnsi="宋体" w:eastAsia="宋体" w:cs="宋体"/>
          <w:color w:val="auto"/>
          <w:szCs w:val="21"/>
          <w:lang w:eastAsia="zh-CN"/>
        </w:rPr>
        <w:t>招标人（或招标人的下属公司）</w:t>
      </w:r>
      <w:r>
        <w:rPr>
          <w:rFonts w:hint="eastAsia" w:ascii="宋体" w:hAnsi="宋体" w:eastAsia="宋体" w:cs="宋体"/>
          <w:color w:val="auto"/>
          <w:szCs w:val="21"/>
        </w:rPr>
        <w:t>不负保管责任，货物未按照</w:t>
      </w:r>
      <w:r>
        <w:rPr>
          <w:rFonts w:hint="eastAsia" w:ascii="宋体" w:hAnsi="宋体" w:eastAsia="宋体" w:cs="宋体"/>
          <w:color w:val="auto"/>
          <w:szCs w:val="21"/>
          <w:lang w:eastAsia="zh-CN"/>
        </w:rPr>
        <w:t>招标人（或招标人的下属公司）</w:t>
      </w:r>
      <w:r>
        <w:rPr>
          <w:rFonts w:hint="eastAsia" w:ascii="宋体" w:hAnsi="宋体" w:eastAsia="宋体" w:cs="宋体"/>
          <w:color w:val="auto"/>
          <w:szCs w:val="21"/>
        </w:rPr>
        <w:t>要求放置而造成的损毁、灭失风险概由中标人承担。</w:t>
      </w:r>
    </w:p>
    <w:p w14:paraId="0FD7593D">
      <w:pPr>
        <w:spacing w:line="360" w:lineRule="auto"/>
        <w:rPr>
          <w:rFonts w:ascii="宋体" w:hAnsi="宋体" w:eastAsia="宋体" w:cs="宋体"/>
          <w:color w:val="auto"/>
          <w:szCs w:val="21"/>
        </w:rPr>
      </w:pPr>
    </w:p>
    <w:p w14:paraId="72CEBB05">
      <w:pPr>
        <w:spacing w:line="360" w:lineRule="auto"/>
        <w:rPr>
          <w:rFonts w:ascii="宋体" w:hAnsi="宋体" w:eastAsia="宋体" w:cs="宋体"/>
          <w:b/>
          <w:color w:val="auto"/>
          <w:szCs w:val="21"/>
        </w:rPr>
      </w:pPr>
      <w:r>
        <w:rPr>
          <w:rFonts w:hint="eastAsia" w:ascii="宋体" w:hAnsi="宋体" w:eastAsia="宋体" w:cs="宋体"/>
          <w:b/>
          <w:color w:val="auto"/>
          <w:szCs w:val="21"/>
        </w:rPr>
        <w:t>五、报价及款项支付</w:t>
      </w:r>
    </w:p>
    <w:p w14:paraId="018BDF26">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一）本项目的投标报价采用统一折扣系数报价，合同履约过程中以实际供货数量进行结算，采购清单中安全及劳保物资不含税中标综合单价按以下方式计算：不含税中标综合单价=不含税预算综合单价×中标折扣系数，不含税中标综合单价出现小数点，保留小数点后两位，从小数点后第3位四舍五入。</w:t>
      </w:r>
    </w:p>
    <w:p w14:paraId="784A3FB9">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不含税中标综合单价包含完成供货的全部费用，包括但不限于货物及用户需求书采购清单中要求每项货物配备的附件、备品备件的采购、制造、检测、试验、送货、装卸（含二次搬运至</w:t>
      </w:r>
      <w:r>
        <w:rPr>
          <w:rFonts w:hint="eastAsia" w:ascii="宋体" w:hAnsi="宋体" w:eastAsia="宋体" w:cs="宋体"/>
          <w:color w:val="auto"/>
          <w:szCs w:val="21"/>
          <w:lang w:eastAsia="zh-CN"/>
        </w:rPr>
        <w:t>招标人（或招标人的下属公司）</w:t>
      </w:r>
      <w:r>
        <w:rPr>
          <w:rFonts w:hint="eastAsia" w:ascii="宋体" w:hAnsi="宋体" w:eastAsia="宋体" w:cs="宋体"/>
          <w:color w:val="auto"/>
          <w:szCs w:val="21"/>
        </w:rPr>
        <w:t>指定仓储地点）、包装费、运费、保险、现场仓储、质保、投标人销项税额以外的税费等相关服务的全部费用。</w:t>
      </w:r>
    </w:p>
    <w:p w14:paraId="22E5E83A">
      <w:pPr>
        <w:spacing w:line="360" w:lineRule="auto"/>
        <w:ind w:firstLine="422" w:firstLineChars="200"/>
        <w:rPr>
          <w:rFonts w:ascii="宋体" w:hAnsi="宋体" w:eastAsia="宋体" w:cs="宋体"/>
          <w:b/>
          <w:color w:val="auto"/>
          <w:szCs w:val="21"/>
        </w:rPr>
      </w:pPr>
      <w:r>
        <w:rPr>
          <w:rFonts w:hint="eastAsia" w:ascii="宋体" w:hAnsi="宋体" w:eastAsia="宋体" w:cs="宋体"/>
          <w:b/>
          <w:color w:val="auto"/>
          <w:szCs w:val="21"/>
        </w:rPr>
        <w:t>（二）合同签订后，每个季度全部货物交货完毕后并经</w:t>
      </w:r>
      <w:r>
        <w:rPr>
          <w:rFonts w:hint="eastAsia" w:ascii="宋体" w:hAnsi="宋体" w:eastAsia="宋体" w:cs="宋体"/>
          <w:b/>
          <w:color w:val="auto"/>
          <w:szCs w:val="21"/>
          <w:lang w:eastAsia="zh-CN"/>
        </w:rPr>
        <w:t>招标人（或招标人的下属公司）</w:t>
      </w:r>
      <w:r>
        <w:rPr>
          <w:rFonts w:hint="eastAsia" w:ascii="宋体" w:hAnsi="宋体" w:eastAsia="宋体" w:cs="宋体"/>
          <w:b/>
          <w:color w:val="auto"/>
          <w:szCs w:val="21"/>
        </w:rPr>
        <w:t>最终验收合格后，中标人向</w:t>
      </w:r>
      <w:r>
        <w:rPr>
          <w:rFonts w:hint="eastAsia" w:ascii="宋体" w:hAnsi="宋体" w:eastAsia="宋体" w:cs="宋体"/>
          <w:b/>
          <w:color w:val="auto"/>
          <w:szCs w:val="21"/>
          <w:lang w:eastAsia="zh-CN"/>
        </w:rPr>
        <w:t>招标人（或招标人的下属公司）</w:t>
      </w:r>
      <w:r>
        <w:rPr>
          <w:rFonts w:hint="eastAsia" w:ascii="宋体" w:hAnsi="宋体" w:eastAsia="宋体" w:cs="宋体"/>
          <w:b/>
          <w:color w:val="auto"/>
          <w:szCs w:val="21"/>
        </w:rPr>
        <w:t>提交请款报告、供货清单、到货验收单和等额的合法、有效的增值税专用发票或普通发票等相关请款资料，</w:t>
      </w:r>
      <w:r>
        <w:rPr>
          <w:rFonts w:hint="eastAsia" w:ascii="宋体" w:hAnsi="宋体" w:eastAsia="宋体" w:cs="宋体"/>
          <w:b/>
          <w:color w:val="auto"/>
          <w:szCs w:val="21"/>
          <w:lang w:eastAsia="zh-CN"/>
        </w:rPr>
        <w:t>招标人（或招标人的下属公司）</w:t>
      </w:r>
      <w:r>
        <w:rPr>
          <w:rFonts w:hint="eastAsia" w:ascii="宋体" w:hAnsi="宋体" w:eastAsia="宋体" w:cs="宋体"/>
          <w:b/>
          <w:color w:val="auto"/>
          <w:szCs w:val="21"/>
        </w:rPr>
        <w:t>收到前述材料并确认无误后，依据本季度的《供应商履约评价表》评价分数进行本季度货物供货的结算，在15个工作日内支付本季度应付货款的100%。</w:t>
      </w:r>
    </w:p>
    <w:p w14:paraId="59FFB6D2">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（三）中标人逾期提供请款资料及发票或提交资料不符合</w:t>
      </w:r>
      <w:r>
        <w:rPr>
          <w:rFonts w:hint="eastAsia" w:ascii="宋体" w:hAnsi="宋体" w:eastAsia="宋体" w:cs="宋体"/>
          <w:color w:val="auto"/>
          <w:szCs w:val="21"/>
          <w:lang w:eastAsia="zh-CN"/>
        </w:rPr>
        <w:t>招标人（或招标人的下属公司）</w:t>
      </w:r>
      <w:r>
        <w:rPr>
          <w:rFonts w:hint="eastAsia" w:ascii="宋体" w:hAnsi="宋体" w:eastAsia="宋体" w:cs="宋体"/>
          <w:color w:val="auto"/>
          <w:szCs w:val="21"/>
        </w:rPr>
        <w:t>要求的，</w:t>
      </w:r>
      <w:r>
        <w:rPr>
          <w:rFonts w:hint="eastAsia" w:ascii="宋体" w:hAnsi="宋体" w:eastAsia="宋体" w:cs="宋体"/>
          <w:color w:val="auto"/>
          <w:szCs w:val="21"/>
          <w:lang w:eastAsia="zh-CN"/>
        </w:rPr>
        <w:t>招标人（或招标人的下属公司）</w:t>
      </w:r>
      <w:r>
        <w:rPr>
          <w:rFonts w:hint="eastAsia" w:ascii="宋体" w:hAnsi="宋体" w:eastAsia="宋体" w:cs="宋体"/>
          <w:color w:val="auto"/>
          <w:szCs w:val="21"/>
        </w:rPr>
        <w:t>有权顺延支付相应款项，并不承担逾期付款违约责任。由于中标人提供的发票不符合税法规定，给</w:t>
      </w:r>
      <w:r>
        <w:rPr>
          <w:rFonts w:hint="eastAsia" w:ascii="宋体" w:hAnsi="宋体" w:eastAsia="宋体" w:cs="宋体"/>
          <w:color w:val="auto"/>
          <w:szCs w:val="21"/>
          <w:lang w:eastAsia="zh-CN"/>
        </w:rPr>
        <w:t>招标人（或招标人的下属公司）</w:t>
      </w:r>
      <w:r>
        <w:rPr>
          <w:rFonts w:hint="eastAsia" w:ascii="宋体" w:hAnsi="宋体" w:eastAsia="宋体" w:cs="宋体"/>
          <w:color w:val="auto"/>
          <w:szCs w:val="21"/>
        </w:rPr>
        <w:t>造成的损失由中标人承担赔偿责任。</w:t>
      </w:r>
    </w:p>
    <w:p w14:paraId="0014F49C">
      <w:pPr>
        <w:spacing w:line="360" w:lineRule="auto"/>
        <w:rPr>
          <w:rFonts w:ascii="宋体" w:hAnsi="宋体" w:eastAsia="宋体" w:cs="宋体"/>
          <w:b/>
          <w:color w:val="auto"/>
          <w:szCs w:val="21"/>
        </w:rPr>
      </w:pPr>
    </w:p>
    <w:p w14:paraId="3112CDAF">
      <w:pPr>
        <w:spacing w:line="360" w:lineRule="auto"/>
        <w:rPr>
          <w:rFonts w:ascii="宋体" w:hAnsi="宋体" w:eastAsia="宋体" w:cs="宋体"/>
          <w:b/>
          <w:color w:val="auto"/>
          <w:szCs w:val="21"/>
        </w:rPr>
      </w:pPr>
      <w:r>
        <w:rPr>
          <w:rFonts w:hint="eastAsia" w:ascii="宋体" w:hAnsi="宋体" w:eastAsia="宋体" w:cs="宋体"/>
          <w:b/>
          <w:color w:val="auto"/>
          <w:szCs w:val="21"/>
        </w:rPr>
        <w:t>六、履约要求</w:t>
      </w:r>
    </w:p>
    <w:p w14:paraId="6C00667B">
      <w:pPr>
        <w:widowControl/>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（一）本项目签订合同按“统采分签”，即东莞市水务集团有限公司集中招标采购，形成中标价格，然后由东莞市水务集团有限公司</w:t>
      </w:r>
      <w:r>
        <w:rPr>
          <w:rFonts w:hint="eastAsia" w:ascii="宋体" w:hAnsi="宋体" w:eastAsia="宋体" w:cs="宋体"/>
          <w:color w:val="auto"/>
          <w:szCs w:val="21"/>
          <w:lang w:eastAsia="zh-CN"/>
        </w:rPr>
        <w:t>及其下属公司</w:t>
      </w:r>
      <w:r>
        <w:rPr>
          <w:rFonts w:hint="eastAsia" w:ascii="宋体" w:hAnsi="宋体" w:eastAsia="宋体" w:cs="宋体"/>
          <w:color w:val="auto"/>
          <w:szCs w:val="21"/>
        </w:rPr>
        <w:t>与中标供应商签订分合同、分别进行支付，履行合同要求条款等。合同签订主体暂定为：东莞市水务集团有限公司</w:t>
      </w:r>
      <w:r>
        <w:rPr>
          <w:rFonts w:hint="eastAsia" w:ascii="宋体" w:hAnsi="宋体" w:eastAsia="宋体" w:cs="宋体"/>
          <w:color w:val="auto"/>
          <w:szCs w:val="21"/>
          <w:lang w:eastAsia="zh-CN"/>
        </w:rPr>
        <w:t>、</w:t>
      </w:r>
      <w:r>
        <w:rPr>
          <w:rFonts w:hint="eastAsia" w:ascii="宋体" w:hAnsi="宋体" w:eastAsia="宋体" w:cs="宋体"/>
          <w:color w:val="auto"/>
          <w:szCs w:val="21"/>
        </w:rPr>
        <w:t>东莞市水务集团供水有限公司及其下属公司、东莞市水务集团净水有限公司及其下属公司、东莞市水务集团管网有限公司及其下属公司、东莞市水务集团实业有限公司及其下属公司、东莞市水务集团建设管理有限公司及其下属公司等。</w:t>
      </w:r>
    </w:p>
    <w:p w14:paraId="4A9353D2">
      <w:pPr>
        <w:widowControl/>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（二）投标人有义务接受</w:t>
      </w:r>
      <w:r>
        <w:rPr>
          <w:rFonts w:hint="eastAsia" w:ascii="宋体" w:hAnsi="宋体" w:eastAsia="宋体" w:cs="宋体"/>
          <w:color w:val="auto"/>
          <w:szCs w:val="21"/>
          <w:lang w:eastAsia="zh-CN"/>
        </w:rPr>
        <w:t>招标人（或招标人的下属公司）</w:t>
      </w:r>
      <w:r>
        <w:rPr>
          <w:rFonts w:hint="eastAsia" w:ascii="宋体" w:hAnsi="宋体" w:eastAsia="宋体" w:cs="宋体"/>
          <w:color w:val="auto"/>
          <w:szCs w:val="21"/>
        </w:rPr>
        <w:t>的监督、评价及考核。</w:t>
      </w:r>
    </w:p>
    <w:p w14:paraId="18FBEB64">
      <w:pPr>
        <w:widowControl/>
        <w:spacing w:line="360" w:lineRule="auto"/>
        <w:ind w:firstLine="420" w:firstLineChars="200"/>
        <w:jc w:val="left"/>
        <w:rPr>
          <w:rFonts w:ascii="宋体" w:hAnsi="宋体" w:eastAsia="宋体" w:cs="宋体"/>
          <w:color w:val="auto"/>
          <w:szCs w:val="21"/>
        </w:rPr>
      </w:pPr>
      <w:r>
        <w:rPr>
          <w:rFonts w:hint="eastAsia" w:ascii="宋体" w:hAnsi="宋体" w:eastAsia="宋体" w:cs="宋体"/>
          <w:color w:val="auto"/>
          <w:szCs w:val="21"/>
        </w:rPr>
        <w:t>（三）投标人必须清楚理解：本项目不具排他性，本采购结果仅作为投标人在合同期限内取得向</w:t>
      </w:r>
      <w:r>
        <w:rPr>
          <w:rFonts w:hint="eastAsia" w:ascii="宋体" w:hAnsi="宋体" w:eastAsia="宋体" w:cs="宋体"/>
          <w:color w:val="auto"/>
          <w:szCs w:val="21"/>
          <w:lang w:eastAsia="zh-CN"/>
        </w:rPr>
        <w:t>招标人（或招标人的下属公司）</w:t>
      </w:r>
      <w:r>
        <w:rPr>
          <w:rFonts w:hint="eastAsia" w:ascii="宋体" w:hAnsi="宋体" w:eastAsia="宋体" w:cs="宋体"/>
          <w:color w:val="auto"/>
          <w:szCs w:val="21"/>
        </w:rPr>
        <w:t>供应安全及劳保物资的资格，但并不代表投标人必然取得具体运营项目供货的权利。</w:t>
      </w:r>
      <w:r>
        <w:rPr>
          <w:rFonts w:hint="eastAsia" w:ascii="宋体" w:hAnsi="宋体" w:eastAsia="宋体" w:cs="宋体"/>
          <w:color w:val="auto"/>
          <w:szCs w:val="21"/>
          <w:lang w:eastAsia="zh-CN"/>
        </w:rPr>
        <w:t>招标人（或招标人的下属公司）</w:t>
      </w:r>
      <w:r>
        <w:rPr>
          <w:rFonts w:hint="eastAsia" w:ascii="宋体" w:hAnsi="宋体" w:eastAsia="宋体" w:cs="宋体"/>
          <w:color w:val="auto"/>
          <w:szCs w:val="21"/>
        </w:rPr>
        <w:t>根据投标人资质条件、履约能力和实际履约情况，及</w:t>
      </w:r>
      <w:r>
        <w:rPr>
          <w:rFonts w:hint="eastAsia" w:ascii="宋体" w:hAnsi="宋体" w:eastAsia="宋体" w:cs="宋体"/>
          <w:color w:val="auto"/>
          <w:szCs w:val="21"/>
          <w:lang w:eastAsia="zh-CN"/>
        </w:rPr>
        <w:t>招标人（或招标人的下属公司）</w:t>
      </w:r>
      <w:r>
        <w:rPr>
          <w:rFonts w:hint="eastAsia" w:ascii="宋体" w:hAnsi="宋体" w:eastAsia="宋体" w:cs="宋体"/>
          <w:color w:val="auto"/>
          <w:szCs w:val="21"/>
        </w:rPr>
        <w:t>的实际需求仍有权另行采购其他第三方进行本次合同范围内的货物供货服务。</w:t>
      </w:r>
    </w:p>
    <w:p w14:paraId="0855A00F">
      <w:pPr>
        <w:widowControl/>
        <w:spacing w:line="360" w:lineRule="auto"/>
        <w:ind w:firstLine="420" w:firstLineChars="200"/>
        <w:jc w:val="left"/>
        <w:rPr>
          <w:rFonts w:ascii="宋体" w:hAnsi="宋体" w:eastAsia="宋体" w:cs="宋体"/>
          <w:b/>
          <w:bCs/>
          <w:color w:val="auto"/>
          <w:szCs w:val="21"/>
        </w:rPr>
      </w:pPr>
      <w:r>
        <w:rPr>
          <w:rFonts w:hint="eastAsia" w:ascii="宋体" w:hAnsi="宋体" w:eastAsia="宋体" w:cs="宋体"/>
          <w:color w:val="auto"/>
          <w:szCs w:val="21"/>
        </w:rPr>
        <w:t>（四）</w:t>
      </w:r>
      <w:r>
        <w:rPr>
          <w:rFonts w:hint="eastAsia" w:ascii="宋体" w:hAnsi="宋体" w:eastAsia="宋体" w:cs="宋体"/>
          <w:color w:val="auto"/>
          <w:szCs w:val="21"/>
          <w:lang w:eastAsia="zh-CN"/>
        </w:rPr>
        <w:t>招标人（或招标人的下属公司）</w:t>
      </w:r>
      <w:r>
        <w:rPr>
          <w:rFonts w:hint="eastAsia" w:ascii="宋体" w:hAnsi="宋体" w:eastAsia="宋体" w:cs="宋体"/>
          <w:color w:val="auto"/>
          <w:szCs w:val="21"/>
        </w:rPr>
        <w:t>在每季度</w:t>
      </w:r>
      <w:r>
        <w:rPr>
          <w:rFonts w:hint="eastAsia" w:ascii="宋体" w:hAnsi="宋体" w:eastAsia="宋体" w:cs="宋体"/>
          <w:color w:val="auto"/>
          <w:szCs w:val="21"/>
          <w:lang w:eastAsia="zh-CN"/>
        </w:rPr>
        <w:t>货物</w:t>
      </w:r>
      <w:r>
        <w:rPr>
          <w:rFonts w:hint="eastAsia" w:ascii="宋体" w:hAnsi="宋体" w:eastAsia="宋体" w:cs="宋体"/>
          <w:color w:val="auto"/>
          <w:szCs w:val="21"/>
        </w:rPr>
        <w:t>付款手续前对投标人的履约情况进行评价，并按市水务集团劳保防护用品相关管理办法开展评价工作，填写《劳保防护用品供应商履约评价表》，</w:t>
      </w:r>
      <w:r>
        <w:rPr>
          <w:rFonts w:hint="eastAsia" w:ascii="宋体" w:hAnsi="宋体" w:eastAsia="宋体" w:cs="宋体"/>
          <w:b/>
          <w:bCs/>
          <w:color w:val="auto"/>
          <w:szCs w:val="21"/>
        </w:rPr>
        <w:t>供应商履约评价表满分为100分，评价分数在80分或以上的为合格；评价分数低于80分为不及格，对于评审结论为不合格的，</w:t>
      </w:r>
      <w:r>
        <w:rPr>
          <w:rFonts w:hint="eastAsia" w:ascii="宋体" w:hAnsi="宋体" w:eastAsia="宋体" w:cs="宋体"/>
          <w:b/>
          <w:bCs/>
          <w:color w:val="auto"/>
          <w:szCs w:val="21"/>
          <w:lang w:eastAsia="zh-CN"/>
        </w:rPr>
        <w:t>招标人（或招标人的下属公司）</w:t>
      </w:r>
      <w:r>
        <w:rPr>
          <w:rFonts w:hint="eastAsia" w:ascii="宋体" w:hAnsi="宋体" w:eastAsia="宋体" w:cs="宋体"/>
          <w:b/>
          <w:bCs/>
          <w:color w:val="auto"/>
          <w:szCs w:val="21"/>
        </w:rPr>
        <w:t>有权暂停向投标人采购一个月，其它评价合格项目正常供应；若当个供货项目出现第二次评审结论为不合格的，</w:t>
      </w:r>
      <w:r>
        <w:rPr>
          <w:rFonts w:hint="eastAsia" w:ascii="宋体" w:hAnsi="宋体" w:eastAsia="宋体" w:cs="宋体"/>
          <w:b/>
          <w:bCs/>
          <w:color w:val="auto"/>
          <w:szCs w:val="21"/>
          <w:lang w:eastAsia="zh-CN"/>
        </w:rPr>
        <w:t>招标人（或招标人的下属公司）</w:t>
      </w:r>
      <w:r>
        <w:rPr>
          <w:rFonts w:hint="eastAsia" w:ascii="宋体" w:hAnsi="宋体" w:eastAsia="宋体" w:cs="宋体"/>
          <w:b/>
          <w:bCs/>
          <w:color w:val="auto"/>
          <w:szCs w:val="21"/>
        </w:rPr>
        <w:t>有权取消投标人的供货资格并单方解除本合同、不予退还履约担保。</w:t>
      </w:r>
    </w:p>
    <w:p w14:paraId="3878945F">
      <w:pPr>
        <w:spacing w:line="360" w:lineRule="auto"/>
        <w:rPr>
          <w:rFonts w:ascii="宋体" w:hAnsi="宋体" w:eastAsia="宋体" w:cs="宋体"/>
          <w:b/>
          <w:color w:val="auto"/>
          <w:szCs w:val="21"/>
        </w:rPr>
      </w:pPr>
    </w:p>
    <w:p w14:paraId="0DE40991">
      <w:pPr>
        <w:spacing w:line="360" w:lineRule="auto"/>
        <w:rPr>
          <w:rFonts w:ascii="宋体" w:hAnsi="宋体" w:eastAsia="宋体" w:cs="宋体"/>
          <w:b/>
          <w:color w:val="auto"/>
          <w:szCs w:val="21"/>
        </w:rPr>
      </w:pPr>
      <w:r>
        <w:rPr>
          <w:rFonts w:hint="eastAsia" w:ascii="宋体" w:hAnsi="宋体" w:eastAsia="宋体" w:cs="宋体"/>
          <w:b/>
          <w:color w:val="auto"/>
          <w:szCs w:val="21"/>
        </w:rPr>
        <w:t>七、质保期要求</w:t>
      </w:r>
    </w:p>
    <w:p w14:paraId="447719EC">
      <w:pPr>
        <w:widowControl/>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质保期为六个月，自中标人完成每次配送清单的所有货物并经</w:t>
      </w:r>
      <w:r>
        <w:rPr>
          <w:rFonts w:hint="eastAsia" w:ascii="宋体" w:hAnsi="宋体" w:eastAsia="宋体" w:cs="宋体"/>
          <w:color w:val="auto"/>
          <w:szCs w:val="21"/>
          <w:lang w:eastAsia="zh-CN"/>
        </w:rPr>
        <w:t>招标人（或招标人的下属公司）</w:t>
      </w:r>
      <w:r>
        <w:rPr>
          <w:rFonts w:hint="eastAsia" w:ascii="宋体" w:hAnsi="宋体" w:eastAsia="宋体" w:cs="宋体"/>
          <w:color w:val="auto"/>
          <w:szCs w:val="21"/>
        </w:rPr>
        <w:t>最终验收合格之日起计算。</w:t>
      </w:r>
    </w:p>
    <w:p w14:paraId="78204CEE">
      <w:pPr>
        <w:widowControl/>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1、质保期内投标人在收到质保通知之日起【3】日内免费提供上门服务（该费用已包含在货款内）。若货物厂家出厂时承诺更长的质保期限或更高标准的质保义务的，投标人需按厂家承诺提供质保服务。若投标人逾期提供质保服务或未能对具有质量问题的货物进行维护的，</w:t>
      </w:r>
      <w:r>
        <w:rPr>
          <w:rFonts w:hint="eastAsia" w:ascii="宋体" w:hAnsi="宋体" w:eastAsia="宋体" w:cs="宋体"/>
          <w:color w:val="auto"/>
          <w:szCs w:val="21"/>
          <w:lang w:eastAsia="zh-CN"/>
        </w:rPr>
        <w:t>招标人（或招标人的下属公司）</w:t>
      </w:r>
      <w:r>
        <w:rPr>
          <w:rFonts w:hint="eastAsia" w:ascii="宋体" w:hAnsi="宋体" w:eastAsia="宋体" w:cs="宋体"/>
          <w:color w:val="auto"/>
          <w:szCs w:val="21"/>
        </w:rPr>
        <w:t>有权另行委托第三方对上述货物进行维护，因此产生的所有费用均由投标人承担。</w:t>
      </w:r>
    </w:p>
    <w:p w14:paraId="0642E3FC">
      <w:pPr>
        <w:widowControl/>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2、质保期内，若货物经 1 次维修或维修时间超过1个月，仍不能正常使用的，投标人应免费给予更换，被更换的货物的质保期为从更换日起重新计算。</w:t>
      </w:r>
    </w:p>
    <w:p w14:paraId="4CD2739E">
      <w:pPr>
        <w:widowControl/>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3、在合同规定的质保期内，当货物出现故障问题时，投标人接到</w:t>
      </w:r>
      <w:r>
        <w:rPr>
          <w:rFonts w:hint="eastAsia" w:ascii="宋体" w:hAnsi="宋体" w:eastAsia="宋体" w:cs="宋体"/>
          <w:color w:val="auto"/>
          <w:szCs w:val="21"/>
          <w:lang w:eastAsia="zh-CN"/>
        </w:rPr>
        <w:t>招标人（或招标人的下属公司）</w:t>
      </w:r>
      <w:r>
        <w:rPr>
          <w:rFonts w:hint="eastAsia" w:ascii="宋体" w:hAnsi="宋体" w:eastAsia="宋体" w:cs="宋体"/>
          <w:color w:val="auto"/>
          <w:szCs w:val="21"/>
        </w:rPr>
        <w:t>通知后4小时内响应，24小时内赶到现场维修或更换，保证货物的正常使用。</w:t>
      </w:r>
    </w:p>
    <w:p w14:paraId="74E8D139">
      <w:pPr>
        <w:spacing w:line="360" w:lineRule="auto"/>
        <w:rPr>
          <w:rFonts w:ascii="宋体" w:hAnsi="宋体" w:eastAsia="宋体" w:cs="宋体"/>
          <w:b/>
          <w:color w:val="auto"/>
          <w:szCs w:val="21"/>
        </w:rPr>
      </w:pPr>
    </w:p>
    <w:p w14:paraId="180FF724">
      <w:pPr>
        <w:spacing w:line="360" w:lineRule="auto"/>
        <w:rPr>
          <w:rFonts w:ascii="宋体" w:hAnsi="宋体" w:eastAsia="宋体" w:cs="宋体"/>
          <w:b/>
          <w:color w:val="auto"/>
          <w:szCs w:val="21"/>
        </w:rPr>
      </w:pPr>
      <w:r>
        <w:rPr>
          <w:rFonts w:hint="eastAsia" w:ascii="宋体" w:hAnsi="宋体" w:eastAsia="宋体" w:cs="宋体"/>
          <w:b/>
          <w:color w:val="auto"/>
          <w:szCs w:val="21"/>
        </w:rPr>
        <w:t>八、其他要求</w:t>
      </w:r>
    </w:p>
    <w:p w14:paraId="2AC5A84A">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（一）投标人所供货物的品牌可参考推荐品牌或投标人所供货物的品牌其质量同等或优于推荐品牌。所供货物须符合国家现行有效的法律法规、行业规范及相关的质量标准并达到使用要求。</w:t>
      </w:r>
    </w:p>
    <w:p w14:paraId="04CDED3F">
      <w:pPr>
        <w:spacing w:line="360" w:lineRule="auto"/>
        <w:ind w:firstLine="420" w:firstLineChars="200"/>
        <w:rPr>
          <w:rFonts w:ascii="宋体" w:hAnsi="宋体" w:eastAsia="宋体" w:cs="宋体"/>
          <w:b/>
          <w:color w:val="auto"/>
          <w:szCs w:val="21"/>
        </w:rPr>
      </w:pPr>
      <w:r>
        <w:rPr>
          <w:rFonts w:hint="eastAsia" w:ascii="宋体" w:hAnsi="Calibri" w:eastAsia="宋体" w:cs="宋体"/>
          <w:color w:val="auto"/>
          <w:szCs w:val="24"/>
        </w:rPr>
        <w:t>（二）</w:t>
      </w:r>
      <w:r>
        <w:rPr>
          <w:rFonts w:hint="eastAsia" w:ascii="宋体" w:hAnsi="宋体" w:eastAsia="宋体" w:cs="宋体"/>
          <w:b/>
          <w:color w:val="auto"/>
          <w:szCs w:val="21"/>
        </w:rPr>
        <w:t>投标人所提供的货物必须保证其产品使用质量，满足</w:t>
      </w:r>
      <w:r>
        <w:rPr>
          <w:rFonts w:hint="eastAsia" w:ascii="宋体" w:hAnsi="宋体" w:eastAsia="宋体" w:cs="宋体"/>
          <w:b/>
          <w:color w:val="auto"/>
          <w:szCs w:val="21"/>
          <w:lang w:eastAsia="zh-CN"/>
        </w:rPr>
        <w:t>招标人（或招标人的下属公司）</w:t>
      </w:r>
      <w:r>
        <w:rPr>
          <w:rFonts w:hint="eastAsia" w:ascii="宋体" w:hAnsi="宋体" w:eastAsia="宋体" w:cs="宋体"/>
          <w:b/>
          <w:color w:val="auto"/>
          <w:szCs w:val="21"/>
        </w:rPr>
        <w:t>的实际使用需求。如在货物送货时发现货物破损或者发生质量问题，</w:t>
      </w:r>
      <w:r>
        <w:rPr>
          <w:rFonts w:hint="eastAsia" w:ascii="宋体" w:hAnsi="宋体" w:eastAsia="宋体" w:cs="宋体"/>
          <w:b/>
          <w:color w:val="auto"/>
          <w:szCs w:val="21"/>
          <w:lang w:eastAsia="zh-CN"/>
        </w:rPr>
        <w:t>招标人（或招标人的下属公司）</w:t>
      </w:r>
      <w:r>
        <w:rPr>
          <w:rFonts w:hint="eastAsia" w:ascii="宋体" w:hAnsi="宋体" w:eastAsia="宋体" w:cs="宋体"/>
          <w:b/>
          <w:color w:val="auto"/>
          <w:szCs w:val="21"/>
        </w:rPr>
        <w:t>有权退换相应的货物；如因货物质量问题在安装使用后导致设备损坏无法正常使用，由投标人负责对该设备进行维修，因此产生的费用由投标人承担。</w:t>
      </w:r>
    </w:p>
    <w:p w14:paraId="3EAC7E8C">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三）投标人提供的货物必须是原厂生产的、非组装的、全新的、未使用过的产品（含零部件、配件、随机工具等），随机配备的所有配件必须为原厂原配，表面无划伤、无碰撞的痕迹。有原厂包装的，应附有合格证、货物出厂质量合格证明书、技术说明等。特种劳动防护用品应取得安全标志，安全标志由特种劳动防护用品安全标志证书和特种劳动防护用品安全标志标识两部分组成，应在产品的明显位置加施特种劳动防护用品安全标志标识，标识加施应牢固耐用。</w:t>
      </w:r>
    </w:p>
    <w:p w14:paraId="1D85389A">
      <w:pPr>
        <w:widowControl/>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（四）本项目中标人分别与招标人及招标人权属子公司签订合同，并根据</w:t>
      </w:r>
      <w:r>
        <w:rPr>
          <w:rFonts w:hint="eastAsia" w:ascii="宋体" w:hAnsi="宋体" w:eastAsia="宋体" w:cs="宋体"/>
          <w:bCs/>
          <w:color w:val="auto"/>
          <w:szCs w:val="21"/>
          <w:lang w:eastAsia="zh-CN"/>
        </w:rPr>
        <w:t>招标人（或招标人的下属公司）</w:t>
      </w:r>
      <w:r>
        <w:rPr>
          <w:rFonts w:hint="eastAsia" w:ascii="宋体" w:hAnsi="宋体" w:eastAsia="宋体" w:cs="宋体"/>
          <w:color w:val="auto"/>
          <w:szCs w:val="21"/>
        </w:rPr>
        <w:t>的要求提供等额合法有效的增值税专用发票（或增值税普通发票）、请款报告等请款资料，未按要求开发票的将无法支付货款。</w:t>
      </w:r>
    </w:p>
    <w:p w14:paraId="6BBD9B97">
      <w:pPr>
        <w:widowControl/>
        <w:spacing w:line="360" w:lineRule="auto"/>
        <w:ind w:firstLine="420" w:firstLineChars="200"/>
        <w:rPr>
          <w:rFonts w:ascii="宋体" w:hAnsi="宋体" w:eastAsia="宋体" w:cs="宋体"/>
          <w:color w:val="auto"/>
          <w:szCs w:val="21"/>
        </w:rPr>
      </w:pPr>
      <w:r>
        <w:rPr>
          <w:rFonts w:hint="eastAsia" w:ascii="宋体" w:hAnsi="宋体" w:eastAsia="宋体" w:cs="宋体"/>
          <w:bCs/>
          <w:color w:val="auto"/>
          <w:szCs w:val="21"/>
        </w:rPr>
        <w:t>（五）投标人所提供的货物，如需要</w:t>
      </w:r>
      <w:r>
        <w:rPr>
          <w:rFonts w:hint="eastAsia" w:ascii="宋体" w:hAnsi="宋体" w:eastAsia="宋体" w:cs="宋体"/>
          <w:bCs/>
          <w:color w:val="auto"/>
          <w:szCs w:val="21"/>
          <w:lang w:eastAsia="zh-CN"/>
        </w:rPr>
        <w:t>招标人（或招标人的下属公司）</w:t>
      </w:r>
      <w:r>
        <w:rPr>
          <w:rFonts w:hint="eastAsia" w:ascii="宋体" w:hAnsi="宋体" w:eastAsia="宋体" w:cs="宋体"/>
          <w:bCs/>
          <w:color w:val="auto"/>
          <w:szCs w:val="21"/>
        </w:rPr>
        <w:t>自行安装使用，需提供配套的安装培训或指导，避免因安装失误而导致设备损坏。如因投标人未进行安装培训或指导，导致</w:t>
      </w:r>
      <w:r>
        <w:rPr>
          <w:rFonts w:hint="eastAsia" w:ascii="宋体" w:hAnsi="宋体" w:eastAsia="宋体" w:cs="宋体"/>
          <w:bCs/>
          <w:color w:val="auto"/>
          <w:szCs w:val="21"/>
          <w:lang w:eastAsia="zh-CN"/>
        </w:rPr>
        <w:t>招标人（或招标人的下属公司）</w:t>
      </w:r>
      <w:r>
        <w:rPr>
          <w:rFonts w:hint="eastAsia" w:ascii="宋体" w:hAnsi="宋体" w:eastAsia="宋体" w:cs="宋体"/>
          <w:bCs/>
          <w:color w:val="auto"/>
          <w:szCs w:val="21"/>
        </w:rPr>
        <w:t>设备损坏的，投标人需对该设备进行维修，所产生的费用由投标人负责。</w:t>
      </w:r>
    </w:p>
    <w:p w14:paraId="6233DAFA">
      <w:pPr>
        <w:widowControl/>
        <w:spacing w:line="360" w:lineRule="auto"/>
        <w:rPr>
          <w:rFonts w:ascii="宋体" w:hAnsi="宋体" w:eastAsia="宋体" w:cs="宋体"/>
          <w:color w:val="auto"/>
          <w:szCs w:val="21"/>
        </w:rPr>
      </w:pPr>
    </w:p>
    <w:p w14:paraId="4848684F">
      <w:pPr>
        <w:snapToGrid/>
        <w:spacing w:line="360" w:lineRule="auto"/>
        <w:ind w:firstLine="420" w:firstLineChars="200"/>
        <w:rPr>
          <w:rFonts w:ascii="宋体" w:hAnsi="宋体" w:eastAsia="宋体" w:cs="Times New Roman"/>
          <w:b/>
          <w:bCs/>
          <w:color w:val="auto"/>
          <w:szCs w:val="21"/>
        </w:rPr>
      </w:pPr>
      <w:r>
        <w:rPr>
          <w:rFonts w:hint="eastAsia" w:ascii="宋体" w:hAnsi="宋体" w:eastAsia="宋体" w:cs="宋体"/>
          <w:color w:val="auto"/>
          <w:szCs w:val="21"/>
        </w:rPr>
        <w:t>附件一：</w:t>
      </w:r>
      <w:r>
        <w:rPr>
          <w:rFonts w:hint="eastAsia" w:ascii="宋体" w:hAnsi="宋体" w:eastAsia="宋体" w:cs="宋体"/>
          <w:color w:val="auto"/>
          <w:szCs w:val="21"/>
          <w:lang w:eastAsia="zh-CN"/>
        </w:rPr>
        <w:t>东莞市水务集团有限公司2025年安全及劳保物资采购项目</w:t>
      </w:r>
      <w:r>
        <w:rPr>
          <w:rFonts w:hint="eastAsia" w:ascii="宋体" w:hAnsi="宋体" w:eastAsia="宋体" w:cs="宋体"/>
          <w:color w:val="auto"/>
          <w:szCs w:val="21"/>
        </w:rPr>
        <w:t xml:space="preserve">采购清单（另册装订，详见附件）   </w:t>
      </w:r>
      <w:bookmarkEnd w:id="369"/>
    </w:p>
    <w:p w14:paraId="10050A05">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kern w:val="44"/>
          <w:sz w:val="32"/>
          <w:szCs w:val="32"/>
          <w:lang w:val="zh-CN"/>
        </w:rPr>
      </w:pPr>
      <w:bookmarkStart w:id="375" w:name="_Toc173182304"/>
      <w:bookmarkStart w:id="376" w:name="_Toc9821"/>
      <w:r>
        <w:rPr>
          <w:rFonts w:hint="eastAsia" w:ascii="宋体" w:hAnsi="宋体" w:eastAsia="宋体" w:cs="宋体"/>
          <w:b/>
          <w:bCs/>
          <w:color w:val="auto"/>
          <w:kern w:val="44"/>
          <w:sz w:val="32"/>
          <w:szCs w:val="32"/>
          <w:lang w:val="zh-CN"/>
        </w:rPr>
        <w:t>第四篇</w:t>
      </w:r>
      <w:r>
        <w:rPr>
          <w:rFonts w:ascii="宋体" w:hAnsi="宋体" w:eastAsia="宋体" w:cs="宋体"/>
          <w:b/>
          <w:bCs/>
          <w:color w:val="auto"/>
          <w:kern w:val="44"/>
          <w:sz w:val="32"/>
          <w:szCs w:val="32"/>
          <w:lang w:val="zh-CN"/>
        </w:rPr>
        <w:t xml:space="preserve"> </w:t>
      </w:r>
      <w:r>
        <w:rPr>
          <w:rFonts w:hint="eastAsia" w:ascii="宋体" w:hAnsi="宋体" w:eastAsia="宋体" w:cs="宋体"/>
          <w:b/>
          <w:bCs/>
          <w:color w:val="auto"/>
          <w:kern w:val="44"/>
          <w:sz w:val="32"/>
          <w:szCs w:val="32"/>
          <w:lang w:val="zh-CN"/>
        </w:rPr>
        <w:t>合同条款格式</w:t>
      </w:r>
      <w:bookmarkEnd w:id="370"/>
      <w:bookmarkEnd w:id="371"/>
      <w:bookmarkEnd w:id="372"/>
      <w:bookmarkEnd w:id="373"/>
      <w:bookmarkEnd w:id="374"/>
      <w:bookmarkEnd w:id="375"/>
      <w:bookmarkEnd w:id="376"/>
    </w:p>
    <w:p w14:paraId="3A3A6B39">
      <w:pPr>
        <w:autoSpaceDE w:val="0"/>
        <w:autoSpaceDN w:val="0"/>
        <w:adjustRightInd w:val="0"/>
        <w:spacing w:line="360" w:lineRule="auto"/>
        <w:jc w:val="left"/>
        <w:rPr>
          <w:rFonts w:ascii="宋体" w:hAnsi="宋体" w:eastAsia="宋体" w:cs="Times New Roman"/>
          <w:color w:val="auto"/>
          <w:kern w:val="0"/>
          <w:sz w:val="21"/>
          <w:szCs w:val="21"/>
        </w:rPr>
      </w:pPr>
      <w:bookmarkStart w:id="377" w:name="_Toc450662895"/>
      <w:bookmarkStart w:id="378" w:name="_Toc12794"/>
      <w:bookmarkStart w:id="379" w:name="_Toc32761_WPSOffice_Level1"/>
      <w:bookmarkStart w:id="380" w:name="_Toc486167708"/>
      <w:bookmarkStart w:id="381" w:name="_Toc142508361"/>
      <w:r>
        <w:rPr>
          <w:rFonts w:hint="eastAsia" w:ascii="宋体" w:hAnsi="宋体" w:eastAsia="宋体" w:cs="Times New Roman"/>
          <w:color w:val="auto"/>
          <w:kern w:val="0"/>
          <w:sz w:val="28"/>
          <w:szCs w:val="28"/>
        </w:rPr>
        <w:t xml:space="preserve">  </w:t>
      </w:r>
      <w:r>
        <w:rPr>
          <w:rFonts w:ascii="宋体" w:hAnsi="宋体" w:eastAsia="宋体" w:cs="Times New Roman"/>
          <w:color w:val="auto"/>
          <w:kern w:val="0"/>
          <w:sz w:val="21"/>
          <w:szCs w:val="21"/>
        </w:rPr>
        <w:t>合同编号：</w:t>
      </w:r>
    </w:p>
    <w:p w14:paraId="758F0EB8">
      <w:pPr>
        <w:autoSpaceDE w:val="0"/>
        <w:autoSpaceDN w:val="0"/>
        <w:adjustRightInd w:val="0"/>
        <w:spacing w:line="360" w:lineRule="auto"/>
        <w:jc w:val="center"/>
        <w:rPr>
          <w:rFonts w:ascii="宋体" w:hAnsi="宋体" w:eastAsia="宋体" w:cs="Times New Roman"/>
          <w:b/>
          <w:color w:val="auto"/>
          <w:kern w:val="0"/>
          <w:sz w:val="52"/>
          <w:szCs w:val="52"/>
        </w:rPr>
      </w:pPr>
    </w:p>
    <w:p w14:paraId="2ABA352E">
      <w:pPr>
        <w:autoSpaceDE w:val="0"/>
        <w:autoSpaceDN w:val="0"/>
        <w:adjustRightInd w:val="0"/>
        <w:spacing w:line="360" w:lineRule="auto"/>
        <w:jc w:val="center"/>
        <w:rPr>
          <w:rFonts w:hint="eastAsia" w:ascii="宋体" w:hAnsi="宋体" w:eastAsia="宋体" w:cs="Times New Roman"/>
          <w:b/>
          <w:color w:val="auto"/>
          <w:kern w:val="0"/>
          <w:sz w:val="56"/>
          <w:szCs w:val="56"/>
          <w:u w:color="FFFFFF"/>
        </w:rPr>
      </w:pPr>
    </w:p>
    <w:p w14:paraId="6F9B292B">
      <w:pPr>
        <w:autoSpaceDE w:val="0"/>
        <w:autoSpaceDN w:val="0"/>
        <w:adjustRightInd w:val="0"/>
        <w:spacing w:line="360" w:lineRule="auto"/>
        <w:jc w:val="center"/>
        <w:rPr>
          <w:rFonts w:hint="eastAsia" w:ascii="宋体" w:hAnsi="宋体" w:eastAsia="宋体" w:cs="Times New Roman"/>
          <w:b/>
          <w:color w:val="auto"/>
          <w:kern w:val="0"/>
          <w:sz w:val="56"/>
          <w:szCs w:val="56"/>
        </w:rPr>
      </w:pPr>
      <w:r>
        <w:rPr>
          <w:rFonts w:hint="eastAsia" w:ascii="宋体" w:hAnsi="宋体" w:eastAsia="宋体" w:cs="Times New Roman"/>
          <w:b/>
          <w:color w:val="auto"/>
          <w:kern w:val="0"/>
          <w:sz w:val="56"/>
          <w:szCs w:val="56"/>
          <w:u w:color="FFFFFF"/>
          <w:lang w:eastAsia="zh-CN"/>
        </w:rPr>
        <w:t>东莞市水务集团有限公司2025年安全及劳保物资采购项目</w:t>
      </w:r>
    </w:p>
    <w:p w14:paraId="483E7F66">
      <w:pPr>
        <w:autoSpaceDE w:val="0"/>
        <w:autoSpaceDN w:val="0"/>
        <w:adjustRightInd w:val="0"/>
        <w:spacing w:line="360" w:lineRule="auto"/>
        <w:jc w:val="center"/>
        <w:rPr>
          <w:rFonts w:ascii="宋体" w:hAnsi="宋体" w:eastAsia="宋体" w:cs="Times New Roman"/>
          <w:b/>
          <w:color w:val="auto"/>
          <w:kern w:val="0"/>
          <w:sz w:val="56"/>
          <w:szCs w:val="56"/>
        </w:rPr>
      </w:pPr>
    </w:p>
    <w:p w14:paraId="6571A7F1">
      <w:pPr>
        <w:autoSpaceDE w:val="0"/>
        <w:autoSpaceDN w:val="0"/>
        <w:adjustRightInd w:val="0"/>
        <w:spacing w:line="360" w:lineRule="auto"/>
        <w:jc w:val="center"/>
        <w:rPr>
          <w:rFonts w:ascii="宋体" w:hAnsi="宋体" w:eastAsia="宋体" w:cs="Times New Roman"/>
          <w:b/>
          <w:strike/>
          <w:color w:val="auto"/>
          <w:kern w:val="0"/>
          <w:sz w:val="52"/>
          <w:szCs w:val="52"/>
        </w:rPr>
      </w:pPr>
    </w:p>
    <w:p w14:paraId="59CB8E57">
      <w:pPr>
        <w:autoSpaceDE w:val="0"/>
        <w:autoSpaceDN w:val="0"/>
        <w:adjustRightInd w:val="0"/>
        <w:spacing w:line="360" w:lineRule="auto"/>
        <w:jc w:val="center"/>
        <w:rPr>
          <w:rFonts w:ascii="宋体" w:hAnsi="宋体" w:eastAsia="宋体" w:cs="Times New Roman"/>
          <w:b/>
          <w:color w:val="auto"/>
          <w:kern w:val="0"/>
          <w:sz w:val="52"/>
          <w:szCs w:val="52"/>
        </w:rPr>
      </w:pPr>
    </w:p>
    <w:p w14:paraId="74503B07">
      <w:pPr>
        <w:autoSpaceDE w:val="0"/>
        <w:autoSpaceDN w:val="0"/>
        <w:adjustRightInd w:val="0"/>
        <w:spacing w:before="840" w:beforeLines="350" w:after="360" w:afterLines="150" w:line="360" w:lineRule="auto"/>
        <w:jc w:val="center"/>
        <w:rPr>
          <w:rFonts w:hint="eastAsia" w:ascii="宋体" w:hAnsi="宋体" w:eastAsia="宋体" w:cs="Times New Roman"/>
          <w:b/>
          <w:bCs/>
          <w:color w:val="auto"/>
          <w:spacing w:val="60"/>
          <w:kern w:val="0"/>
          <w:sz w:val="52"/>
          <w:szCs w:val="52"/>
        </w:rPr>
      </w:pPr>
      <w:r>
        <w:rPr>
          <w:rFonts w:hint="eastAsia" w:ascii="宋体" w:hAnsi="宋体" w:eastAsia="宋体" w:cs="Times New Roman"/>
          <w:b/>
          <w:bCs/>
          <w:color w:val="auto"/>
          <w:spacing w:val="60"/>
          <w:kern w:val="0"/>
          <w:sz w:val="52"/>
          <w:szCs w:val="52"/>
        </w:rPr>
        <w:t>合同书</w:t>
      </w:r>
    </w:p>
    <w:p w14:paraId="38B25D6F">
      <w:pPr>
        <w:autoSpaceDE w:val="0"/>
        <w:autoSpaceDN w:val="0"/>
        <w:adjustRightInd w:val="0"/>
        <w:spacing w:line="360" w:lineRule="auto"/>
        <w:jc w:val="left"/>
        <w:rPr>
          <w:rFonts w:ascii="宋体" w:hAnsi="宋体" w:eastAsia="宋体" w:cs="Times New Roman"/>
          <w:color w:val="auto"/>
          <w:kern w:val="0"/>
          <w:sz w:val="48"/>
          <w:szCs w:val="48"/>
        </w:rPr>
      </w:pPr>
    </w:p>
    <w:p w14:paraId="364496AA">
      <w:pPr>
        <w:autoSpaceDE w:val="0"/>
        <w:autoSpaceDN w:val="0"/>
        <w:adjustRightInd w:val="0"/>
        <w:spacing w:line="360" w:lineRule="auto"/>
        <w:jc w:val="left"/>
        <w:rPr>
          <w:rFonts w:ascii="宋体" w:hAnsi="宋体" w:eastAsia="宋体" w:cs="Times New Roman"/>
          <w:color w:val="auto"/>
          <w:kern w:val="0"/>
          <w:sz w:val="48"/>
          <w:szCs w:val="48"/>
        </w:rPr>
      </w:pPr>
    </w:p>
    <w:p w14:paraId="6BBA5104">
      <w:pPr>
        <w:autoSpaceDE w:val="0"/>
        <w:autoSpaceDN w:val="0"/>
        <w:adjustRightInd w:val="0"/>
        <w:spacing w:line="360" w:lineRule="auto"/>
        <w:contextualSpacing/>
        <w:jc w:val="left"/>
        <w:rPr>
          <w:rFonts w:ascii="宋体" w:hAnsi="宋体" w:eastAsia="宋体" w:cs="Times New Roman"/>
          <w:color w:val="auto"/>
          <w:kern w:val="0"/>
          <w:sz w:val="21"/>
          <w:szCs w:val="21"/>
        </w:rPr>
      </w:pPr>
      <w:r>
        <w:rPr>
          <w:rFonts w:ascii="宋体" w:hAnsi="宋体" w:eastAsia="宋体" w:cs="Times New Roman"/>
          <w:color w:val="auto"/>
          <w:kern w:val="0"/>
          <w:sz w:val="21"/>
          <w:szCs w:val="21"/>
        </w:rPr>
        <w:br w:type="page"/>
      </w:r>
    </w:p>
    <w:p w14:paraId="1B129D59">
      <w:pPr>
        <w:widowControl/>
        <w:autoSpaceDE/>
        <w:autoSpaceDN/>
        <w:adjustRightInd/>
        <w:spacing w:line="360" w:lineRule="auto"/>
        <w:jc w:val="left"/>
        <w:rPr>
          <w:rFonts w:ascii="宋体" w:hAnsi="宋体" w:eastAsia="宋体" w:cs="Times New Roman"/>
          <w:color w:val="auto"/>
          <w:kern w:val="0"/>
          <w:sz w:val="21"/>
          <w:szCs w:val="21"/>
          <w:u w:val="single"/>
        </w:rPr>
      </w:pPr>
      <w:r>
        <w:rPr>
          <w:rFonts w:hint="eastAsia" w:ascii="宋体" w:hAnsi="宋体" w:eastAsia="宋体" w:cs="Times New Roman"/>
          <w:color w:val="auto"/>
          <w:kern w:val="0"/>
          <w:sz w:val="21"/>
          <w:szCs w:val="21"/>
        </w:rPr>
        <w:t>甲方（买方）：</w:t>
      </w:r>
      <w:r>
        <w:rPr>
          <w:rFonts w:hint="eastAsia" w:ascii="宋体" w:hAnsi="宋体" w:eastAsia="宋体" w:cs="Times New Roman"/>
          <w:color w:val="auto"/>
          <w:kern w:val="0"/>
          <w:sz w:val="21"/>
          <w:szCs w:val="21"/>
          <w:u w:val="single"/>
        </w:rPr>
        <w:t xml:space="preserve">  </w:t>
      </w:r>
      <w:r>
        <w:rPr>
          <w:rFonts w:hint="eastAsia" w:ascii="宋体" w:hAnsi="宋体" w:eastAsia="宋体" w:cs="Times New Roman"/>
          <w:color w:val="auto"/>
          <w:kern w:val="0"/>
          <w:sz w:val="21"/>
          <w:szCs w:val="21"/>
          <w:u w:val="single"/>
          <w:lang w:val="en-US" w:eastAsia="zh-CN"/>
        </w:rPr>
        <w:t xml:space="preserve"> </w:t>
      </w:r>
      <w:r>
        <w:rPr>
          <w:rFonts w:hint="eastAsia" w:ascii="宋体" w:hAnsi="宋体" w:eastAsia="宋体" w:cs="Times New Roman"/>
          <w:color w:val="auto"/>
          <w:kern w:val="0"/>
          <w:sz w:val="21"/>
          <w:szCs w:val="21"/>
          <w:u w:val="single"/>
        </w:rPr>
        <w:t xml:space="preserve">     </w:t>
      </w:r>
    </w:p>
    <w:p w14:paraId="62C5DFF2">
      <w:pPr>
        <w:autoSpaceDE w:val="0"/>
        <w:autoSpaceDN w:val="0"/>
        <w:adjustRightInd w:val="0"/>
        <w:snapToGrid w:val="0"/>
        <w:spacing w:line="360" w:lineRule="auto"/>
        <w:jc w:val="left"/>
        <w:rPr>
          <w:rFonts w:ascii="宋体" w:hAnsi="宋体" w:eastAsia="宋体" w:cs="Times New Roman"/>
          <w:color w:val="auto"/>
          <w:kern w:val="0"/>
          <w:sz w:val="21"/>
          <w:szCs w:val="21"/>
        </w:rPr>
      </w:pPr>
      <w:r>
        <w:rPr>
          <w:rFonts w:hint="eastAsia" w:ascii="宋体" w:hAnsi="宋体" w:eastAsia="宋体" w:cs="Times New Roman"/>
          <w:color w:val="auto"/>
          <w:kern w:val="0"/>
          <w:sz w:val="21"/>
          <w:szCs w:val="21"/>
        </w:rPr>
        <w:t>乙方（卖方）：</w:t>
      </w:r>
      <w:r>
        <w:rPr>
          <w:rFonts w:hint="eastAsia" w:ascii="宋体" w:hAnsi="宋体" w:eastAsia="宋体" w:cs="Times New Roman"/>
          <w:color w:val="auto"/>
          <w:kern w:val="0"/>
          <w:sz w:val="21"/>
          <w:szCs w:val="21"/>
          <w:u w:val="single"/>
        </w:rPr>
        <w:t xml:space="preserve">        </w:t>
      </w:r>
    </w:p>
    <w:p w14:paraId="2C76E8B7">
      <w:pPr>
        <w:autoSpaceDE w:val="0"/>
        <w:autoSpaceDN w:val="0"/>
        <w:adjustRightInd w:val="0"/>
        <w:snapToGrid w:val="0"/>
        <w:spacing w:line="360" w:lineRule="auto"/>
        <w:jc w:val="left"/>
        <w:rPr>
          <w:rFonts w:ascii="宋体" w:hAnsi="宋体" w:eastAsia="宋体" w:cs="Times New Roman"/>
          <w:color w:val="auto"/>
          <w:kern w:val="0"/>
          <w:sz w:val="21"/>
          <w:szCs w:val="21"/>
        </w:rPr>
      </w:pPr>
    </w:p>
    <w:p w14:paraId="60165829">
      <w:pPr>
        <w:autoSpaceDE w:val="0"/>
        <w:autoSpaceDN w:val="0"/>
        <w:adjustRightInd w:val="0"/>
        <w:snapToGrid w:val="0"/>
        <w:spacing w:line="360" w:lineRule="auto"/>
        <w:ind w:firstLine="420" w:firstLineChars="200"/>
        <w:jc w:val="left"/>
        <w:rPr>
          <w:rFonts w:ascii="宋体" w:hAnsi="宋体" w:eastAsia="宋体" w:cs="Times New Roman"/>
          <w:color w:val="auto"/>
          <w:kern w:val="0"/>
          <w:sz w:val="21"/>
          <w:szCs w:val="21"/>
        </w:rPr>
      </w:pPr>
      <w:r>
        <w:rPr>
          <w:rFonts w:hint="eastAsia" w:ascii="宋体" w:hAnsi="宋体" w:eastAsia="宋体" w:cs="Times New Roman"/>
          <w:color w:val="auto"/>
          <w:kern w:val="0"/>
          <w:sz w:val="21"/>
          <w:szCs w:val="21"/>
        </w:rPr>
        <w:t>根据《中华人民共和国民法典》及</w:t>
      </w:r>
      <w:r>
        <w:rPr>
          <w:rFonts w:hint="eastAsia" w:ascii="宋体" w:hAnsi="宋体" w:eastAsia="宋体" w:cs="Times New Roman"/>
          <w:color w:val="auto"/>
          <w:kern w:val="0"/>
          <w:sz w:val="21"/>
          <w:szCs w:val="21"/>
          <w:u w:val="single"/>
        </w:rPr>
        <w:t xml:space="preserve">  </w:t>
      </w:r>
      <w:r>
        <w:rPr>
          <w:rFonts w:hint="eastAsia" w:ascii="宋体" w:hAnsi="宋体" w:eastAsia="宋体" w:cs="Times New Roman"/>
          <w:color w:val="auto"/>
          <w:kern w:val="0"/>
          <w:sz w:val="21"/>
          <w:szCs w:val="21"/>
        </w:rPr>
        <w:t>年</w:t>
      </w:r>
      <w:r>
        <w:rPr>
          <w:rFonts w:hint="eastAsia" w:ascii="宋体" w:hAnsi="宋体" w:eastAsia="宋体" w:cs="Times New Roman"/>
          <w:color w:val="auto"/>
          <w:kern w:val="0"/>
          <w:sz w:val="21"/>
          <w:szCs w:val="21"/>
          <w:u w:val="single"/>
        </w:rPr>
        <w:t xml:space="preserve">  </w:t>
      </w:r>
      <w:r>
        <w:rPr>
          <w:rFonts w:hint="eastAsia" w:ascii="宋体" w:hAnsi="宋体" w:eastAsia="宋体" w:cs="Times New Roman"/>
          <w:color w:val="auto"/>
          <w:kern w:val="0"/>
          <w:sz w:val="21"/>
          <w:szCs w:val="21"/>
        </w:rPr>
        <w:t>月</w:t>
      </w:r>
      <w:r>
        <w:rPr>
          <w:rFonts w:hint="eastAsia" w:ascii="宋体" w:hAnsi="宋体" w:eastAsia="宋体" w:cs="Times New Roman"/>
          <w:color w:val="auto"/>
          <w:kern w:val="0"/>
          <w:sz w:val="21"/>
          <w:szCs w:val="21"/>
          <w:u w:val="single"/>
        </w:rPr>
        <w:t xml:space="preserve">  </w:t>
      </w:r>
      <w:r>
        <w:rPr>
          <w:rFonts w:hint="eastAsia" w:ascii="宋体" w:hAnsi="宋体" w:eastAsia="宋体" w:cs="Times New Roman"/>
          <w:color w:val="auto"/>
          <w:kern w:val="0"/>
          <w:sz w:val="21"/>
          <w:szCs w:val="21"/>
        </w:rPr>
        <w:t>日通知的</w:t>
      </w:r>
      <w:r>
        <w:rPr>
          <w:rFonts w:hint="eastAsia" w:ascii="宋体" w:hAnsi="宋体" w:eastAsia="宋体" w:cs="Times New Roman"/>
          <w:color w:val="auto"/>
          <w:kern w:val="0"/>
          <w:sz w:val="21"/>
          <w:szCs w:val="21"/>
          <w:u w:val="single"/>
          <w:lang w:eastAsia="zh-CN"/>
        </w:rPr>
        <w:t>东莞市水务集团有限公司2025年安全及劳保物资采购项目</w:t>
      </w:r>
      <w:r>
        <w:rPr>
          <w:rFonts w:hint="eastAsia" w:ascii="宋体" w:hAnsi="宋体" w:eastAsia="宋体" w:cs="Times New Roman"/>
          <w:color w:val="auto"/>
          <w:kern w:val="0"/>
          <w:sz w:val="21"/>
          <w:szCs w:val="21"/>
        </w:rPr>
        <w:t>中标结果（招标编号：</w:t>
      </w:r>
      <w:r>
        <w:rPr>
          <w:rFonts w:hint="eastAsia" w:ascii="宋体" w:hAnsi="宋体" w:eastAsia="宋体" w:cs="Times New Roman"/>
          <w:color w:val="auto"/>
          <w:kern w:val="0"/>
          <w:sz w:val="21"/>
          <w:szCs w:val="21"/>
          <w:lang w:val="en-US" w:eastAsia="zh-CN"/>
        </w:rPr>
        <w:t>DGDS2024-079</w:t>
      </w:r>
      <w:r>
        <w:rPr>
          <w:rFonts w:hint="eastAsia" w:ascii="宋体" w:hAnsi="宋体" w:eastAsia="宋体" w:cs="Times New Roman"/>
          <w:color w:val="auto"/>
          <w:kern w:val="0"/>
          <w:sz w:val="21"/>
          <w:szCs w:val="21"/>
        </w:rPr>
        <w:t>）和招标文件的要求，经双方协商一致，签订本合同。</w:t>
      </w:r>
    </w:p>
    <w:p w14:paraId="67C97703">
      <w:pPr>
        <w:autoSpaceDE w:val="0"/>
        <w:autoSpaceDN w:val="0"/>
        <w:adjustRightInd w:val="0"/>
        <w:snapToGrid w:val="0"/>
        <w:spacing w:line="360" w:lineRule="auto"/>
        <w:ind w:firstLine="420" w:firstLineChars="200"/>
        <w:jc w:val="left"/>
        <w:rPr>
          <w:rFonts w:ascii="宋体" w:hAnsi="宋体" w:eastAsia="宋体" w:cs="Times New Roman"/>
          <w:color w:val="auto"/>
          <w:kern w:val="0"/>
          <w:sz w:val="21"/>
          <w:szCs w:val="21"/>
        </w:rPr>
      </w:pPr>
    </w:p>
    <w:p w14:paraId="6D260601">
      <w:pPr>
        <w:numPr>
          <w:ilvl w:val="0"/>
          <w:numId w:val="2"/>
        </w:numPr>
        <w:autoSpaceDE w:val="0"/>
        <w:autoSpaceDN w:val="0"/>
        <w:adjustRightInd w:val="0"/>
        <w:spacing w:line="360" w:lineRule="auto"/>
        <w:ind w:left="720" w:hanging="720"/>
        <w:jc w:val="left"/>
        <w:outlineLvl w:val="1"/>
        <w:rPr>
          <w:rFonts w:ascii="宋体" w:hAnsi="宋体" w:eastAsia="宋体" w:cs="仿宋_GB2312"/>
          <w:b/>
          <w:color w:val="auto"/>
          <w:kern w:val="2"/>
          <w:sz w:val="21"/>
          <w:szCs w:val="21"/>
        </w:rPr>
      </w:pPr>
      <w:bookmarkStart w:id="382" w:name="_Toc23013"/>
      <w:r>
        <w:rPr>
          <w:rFonts w:hint="eastAsia" w:ascii="宋体" w:hAnsi="宋体" w:eastAsia="宋体" w:cs="仿宋_GB2312"/>
          <w:b/>
          <w:color w:val="auto"/>
          <w:kern w:val="2"/>
          <w:sz w:val="21"/>
          <w:szCs w:val="21"/>
        </w:rPr>
        <w:t>供货资格及范围</w:t>
      </w:r>
      <w:bookmarkEnd w:id="382"/>
    </w:p>
    <w:p w14:paraId="0FD046B7">
      <w:pPr>
        <w:autoSpaceDE w:val="0"/>
        <w:autoSpaceDN w:val="0"/>
        <w:adjustRightInd w:val="0"/>
        <w:spacing w:line="360" w:lineRule="auto"/>
        <w:ind w:firstLine="420" w:firstLineChars="200"/>
        <w:jc w:val="both"/>
        <w:rPr>
          <w:rFonts w:ascii="宋体" w:hAnsi="宋体" w:eastAsia="宋体" w:cs="Times New Roman"/>
          <w:color w:val="auto"/>
          <w:kern w:val="0"/>
          <w:sz w:val="21"/>
          <w:szCs w:val="21"/>
        </w:rPr>
      </w:pPr>
      <w:r>
        <w:rPr>
          <w:rFonts w:ascii="宋体" w:hAnsi="宋体" w:eastAsia="宋体" w:cs="Times New Roman"/>
          <w:color w:val="auto"/>
          <w:kern w:val="0"/>
          <w:sz w:val="21"/>
          <w:szCs w:val="21"/>
        </w:rPr>
        <w:t>1、甲方确定乙方成为</w:t>
      </w:r>
      <w:r>
        <w:rPr>
          <w:rFonts w:hint="eastAsia" w:ascii="宋体" w:hAnsi="宋体" w:eastAsia="宋体" w:cs="Times New Roman"/>
          <w:color w:val="auto"/>
          <w:kern w:val="0"/>
          <w:sz w:val="21"/>
          <w:szCs w:val="21"/>
          <w:u w:val="single"/>
        </w:rPr>
        <w:t xml:space="preserve"> </w:t>
      </w:r>
      <w:r>
        <w:rPr>
          <w:rFonts w:hint="eastAsia" w:ascii="宋体" w:hAnsi="宋体" w:eastAsia="宋体" w:cs="Times New Roman"/>
          <w:color w:val="auto"/>
          <w:kern w:val="0"/>
          <w:sz w:val="21"/>
          <w:szCs w:val="21"/>
          <w:u w:val="single"/>
          <w:lang w:eastAsia="zh-CN"/>
        </w:rPr>
        <w:t>东莞市水务集团有限公司2025年安全及劳保物资采购项目</w:t>
      </w:r>
      <w:r>
        <w:rPr>
          <w:rFonts w:hint="eastAsia" w:ascii="宋体" w:hAnsi="宋体" w:eastAsia="宋体" w:cs="Times New Roman"/>
          <w:color w:val="auto"/>
          <w:kern w:val="0"/>
          <w:sz w:val="21"/>
          <w:szCs w:val="21"/>
          <w:u w:val="single"/>
        </w:rPr>
        <w:t xml:space="preserve"> </w:t>
      </w:r>
      <w:r>
        <w:rPr>
          <w:rFonts w:hint="eastAsia" w:ascii="宋体" w:hAnsi="宋体" w:eastAsia="宋体" w:cs="Times New Roman"/>
          <w:color w:val="auto"/>
          <w:kern w:val="0"/>
          <w:sz w:val="21"/>
          <w:szCs w:val="21"/>
        </w:rPr>
        <w:t>供应商</w:t>
      </w:r>
      <w:r>
        <w:rPr>
          <w:rFonts w:ascii="宋体" w:hAnsi="宋体" w:eastAsia="宋体" w:cs="Times New Roman"/>
          <w:color w:val="auto"/>
          <w:kern w:val="0"/>
          <w:sz w:val="21"/>
          <w:szCs w:val="21"/>
        </w:rPr>
        <w:t>，</w:t>
      </w:r>
      <w:r>
        <w:rPr>
          <w:rFonts w:hint="eastAsia" w:ascii="宋体" w:hAnsi="宋体" w:eastAsia="宋体" w:cs="Times New Roman"/>
          <w:color w:val="auto"/>
          <w:kern w:val="0"/>
          <w:sz w:val="21"/>
          <w:szCs w:val="21"/>
        </w:rPr>
        <w:t>由乙方</w:t>
      </w:r>
      <w:r>
        <w:rPr>
          <w:rFonts w:ascii="宋体" w:hAnsi="宋体" w:eastAsia="宋体" w:cs="Times New Roman"/>
          <w:color w:val="auto"/>
          <w:kern w:val="0"/>
          <w:sz w:val="21"/>
          <w:szCs w:val="21"/>
        </w:rPr>
        <w:t>向甲方</w:t>
      </w:r>
      <w:r>
        <w:rPr>
          <w:rFonts w:hint="eastAsia" w:ascii="宋体" w:hAnsi="宋体" w:eastAsia="宋体" w:cs="Times New Roman"/>
          <w:color w:val="auto"/>
          <w:kern w:val="0"/>
          <w:sz w:val="21"/>
          <w:szCs w:val="21"/>
        </w:rPr>
        <w:t>各地区供应安全及劳保物资，</w:t>
      </w:r>
      <w:r>
        <w:rPr>
          <w:rFonts w:ascii="宋体" w:hAnsi="宋体" w:eastAsia="宋体" w:cs="Times New Roman"/>
          <w:color w:val="auto"/>
          <w:kern w:val="0"/>
          <w:sz w:val="21"/>
          <w:szCs w:val="21"/>
        </w:rPr>
        <w:t>详见附件</w:t>
      </w:r>
      <w:r>
        <w:rPr>
          <w:rFonts w:hint="eastAsia" w:ascii="宋体" w:hAnsi="宋体" w:eastAsia="宋体" w:cs="Times New Roman"/>
          <w:color w:val="auto"/>
          <w:kern w:val="0"/>
          <w:sz w:val="21"/>
          <w:szCs w:val="21"/>
          <w:lang w:val="en-US" w:eastAsia="zh-CN"/>
        </w:rPr>
        <w:t>3</w:t>
      </w:r>
      <w:r>
        <w:rPr>
          <w:rFonts w:hint="eastAsia" w:ascii="宋体" w:hAnsi="宋体" w:eastAsia="宋体" w:cs="Times New Roman"/>
          <w:color w:val="auto"/>
          <w:kern w:val="0"/>
          <w:sz w:val="21"/>
          <w:szCs w:val="21"/>
        </w:rPr>
        <w:t>《</w:t>
      </w:r>
      <w:r>
        <w:rPr>
          <w:rFonts w:hint="eastAsia" w:ascii="宋体" w:hAnsi="宋体" w:eastAsia="宋体" w:cs="Times New Roman"/>
          <w:color w:val="auto"/>
          <w:kern w:val="0"/>
          <w:sz w:val="21"/>
          <w:szCs w:val="21"/>
          <w:lang w:eastAsia="zh-CN"/>
        </w:rPr>
        <w:t>东莞市水务集团有限公司2025年安全及劳保物资采购项目</w:t>
      </w:r>
      <w:r>
        <w:rPr>
          <w:rFonts w:hint="eastAsia" w:ascii="宋体" w:hAnsi="宋体" w:eastAsia="宋体" w:cs="Times New Roman"/>
          <w:color w:val="auto"/>
          <w:kern w:val="0"/>
          <w:sz w:val="21"/>
          <w:szCs w:val="21"/>
        </w:rPr>
        <w:t>采购清单及价格表》（以下简称为“《采购清单及价格表》”）</w:t>
      </w:r>
      <w:r>
        <w:rPr>
          <w:rFonts w:ascii="宋体" w:hAnsi="宋体" w:eastAsia="宋体" w:cs="Times New Roman"/>
          <w:color w:val="auto"/>
          <w:kern w:val="0"/>
          <w:sz w:val="21"/>
          <w:szCs w:val="21"/>
        </w:rPr>
        <w:t>。</w:t>
      </w:r>
    </w:p>
    <w:p w14:paraId="4BEE61E5">
      <w:pPr>
        <w:autoSpaceDE w:val="0"/>
        <w:autoSpaceDN w:val="0"/>
        <w:adjustRightInd w:val="0"/>
        <w:spacing w:line="360" w:lineRule="auto"/>
        <w:ind w:firstLine="420" w:firstLineChars="200"/>
        <w:jc w:val="both"/>
        <w:rPr>
          <w:rFonts w:ascii="宋体" w:hAnsi="宋体" w:eastAsia="宋体" w:cs="Times New Roman"/>
          <w:color w:val="auto"/>
          <w:kern w:val="0"/>
          <w:sz w:val="21"/>
          <w:szCs w:val="21"/>
        </w:rPr>
      </w:pPr>
      <w:r>
        <w:rPr>
          <w:rFonts w:ascii="宋体" w:hAnsi="宋体" w:eastAsia="宋体" w:cs="Times New Roman"/>
          <w:color w:val="auto"/>
          <w:kern w:val="0"/>
          <w:sz w:val="21"/>
          <w:szCs w:val="21"/>
        </w:rPr>
        <w:t>2、</w:t>
      </w:r>
      <w:r>
        <w:rPr>
          <w:rFonts w:hint="eastAsia" w:ascii="宋体" w:hAnsi="宋体" w:eastAsia="宋体" w:cs="Times New Roman"/>
          <w:color w:val="auto"/>
          <w:kern w:val="0"/>
          <w:sz w:val="21"/>
          <w:szCs w:val="21"/>
        </w:rPr>
        <w:t>本次采购数量为暂定数量，仅为便于计算暂定合同价使用，不作为甲方最终采购数量的保证。实际需求数量以</w:t>
      </w:r>
      <w:r>
        <w:rPr>
          <w:rFonts w:ascii="宋体" w:hAnsi="宋体" w:eastAsia="宋体" w:cs="Times New Roman"/>
          <w:color w:val="auto"/>
          <w:kern w:val="0"/>
          <w:sz w:val="21"/>
          <w:szCs w:val="21"/>
        </w:rPr>
        <w:t>甲方</w:t>
      </w:r>
      <w:r>
        <w:rPr>
          <w:rFonts w:hint="eastAsia" w:ascii="宋体" w:hAnsi="宋体" w:eastAsia="宋体" w:cs="Times New Roman"/>
          <w:color w:val="auto"/>
          <w:kern w:val="0"/>
          <w:sz w:val="21"/>
          <w:szCs w:val="21"/>
        </w:rPr>
        <w:t>具体供货通知为准，按实结算。折扣系数及不含税中标综合单价不随数量的变化而增减。乙方不得因甲方实际采购数量的减少或增加而要求提供任何形式的补偿或赔偿，或者要求甲方按暂定数量采购相应货物。</w:t>
      </w:r>
    </w:p>
    <w:p w14:paraId="48FB6417">
      <w:pPr>
        <w:autoSpaceDE w:val="0"/>
        <w:autoSpaceDN w:val="0"/>
        <w:adjustRightInd w:val="0"/>
        <w:spacing w:line="360" w:lineRule="auto"/>
        <w:ind w:firstLine="315" w:firstLineChars="150"/>
        <w:jc w:val="both"/>
        <w:rPr>
          <w:rFonts w:ascii="宋体" w:hAnsi="宋体" w:eastAsia="宋体" w:cs="Times New Roman"/>
          <w:color w:val="auto"/>
          <w:kern w:val="0"/>
          <w:sz w:val="21"/>
          <w:szCs w:val="21"/>
        </w:rPr>
      </w:pPr>
      <w:r>
        <w:rPr>
          <w:rFonts w:hint="eastAsia" w:ascii="宋体" w:hAnsi="宋体" w:eastAsia="宋体" w:cs="Times New Roman"/>
          <w:color w:val="auto"/>
          <w:kern w:val="0"/>
          <w:sz w:val="21"/>
          <w:szCs w:val="21"/>
        </w:rPr>
        <w:t>合同履约过程中，如甲方有新增或更改收货地址（东莞市）/联系人的，以甲方实际通知为准，乙方需予以配合。</w:t>
      </w:r>
    </w:p>
    <w:p w14:paraId="54A170C6">
      <w:pPr>
        <w:widowControl/>
        <w:autoSpaceDE w:val="0"/>
        <w:autoSpaceDN w:val="0"/>
        <w:adjustRightInd w:val="0"/>
        <w:spacing w:line="360" w:lineRule="auto"/>
        <w:ind w:firstLine="420" w:firstLineChars="200"/>
        <w:jc w:val="left"/>
        <w:rPr>
          <w:rFonts w:ascii="宋体" w:hAnsi="宋体" w:eastAsia="宋体" w:cs="Times New Roman"/>
          <w:color w:val="auto"/>
          <w:kern w:val="0"/>
          <w:sz w:val="21"/>
          <w:szCs w:val="21"/>
        </w:rPr>
      </w:pPr>
      <w:r>
        <w:rPr>
          <w:rFonts w:hint="eastAsia" w:ascii="宋体" w:hAnsi="宋体" w:eastAsia="宋体" w:cs="Times New Roman"/>
          <w:color w:val="auto"/>
          <w:kern w:val="0"/>
          <w:sz w:val="21"/>
          <w:szCs w:val="21"/>
        </w:rPr>
        <w:t xml:space="preserve">3、乙方有义务接受甲方的监督、评价及考核。 </w:t>
      </w:r>
    </w:p>
    <w:p w14:paraId="0F55F404">
      <w:pPr>
        <w:widowControl/>
        <w:autoSpaceDE w:val="0"/>
        <w:autoSpaceDN w:val="0"/>
        <w:adjustRightInd w:val="0"/>
        <w:spacing w:line="360" w:lineRule="auto"/>
        <w:ind w:firstLine="420" w:firstLineChars="200"/>
        <w:jc w:val="left"/>
        <w:rPr>
          <w:rFonts w:ascii="宋体" w:hAnsi="宋体" w:eastAsia="宋体" w:cs="Times New Roman"/>
          <w:color w:val="auto"/>
          <w:kern w:val="0"/>
          <w:sz w:val="21"/>
          <w:szCs w:val="21"/>
        </w:rPr>
      </w:pPr>
      <w:r>
        <w:rPr>
          <w:rFonts w:hint="eastAsia" w:ascii="宋体" w:hAnsi="宋体" w:eastAsia="宋体" w:cs="Times New Roman"/>
          <w:color w:val="auto"/>
          <w:kern w:val="0"/>
          <w:sz w:val="21"/>
          <w:szCs w:val="21"/>
        </w:rPr>
        <w:t>4、乙方必须清楚理解：本项目不具排他性，本采购结果仅作为乙方在合同期限内取得向甲方各地区供应安全及劳保物资的资格，但并不代表乙方必然取得该项目供货的权利。甲方根据乙方资质条件、履约能力和实际履约情况，及甲方的实际需求仍有权另行采购其他第三方进行本次合同范围内的货物供货服务。</w:t>
      </w:r>
    </w:p>
    <w:p w14:paraId="76C0B4BA">
      <w:pPr>
        <w:autoSpaceDE w:val="0"/>
        <w:autoSpaceDN w:val="0"/>
        <w:adjustRightInd w:val="0"/>
        <w:spacing w:line="360" w:lineRule="auto"/>
        <w:ind w:firstLine="420" w:firstLineChars="200"/>
        <w:jc w:val="both"/>
        <w:rPr>
          <w:rFonts w:hint="eastAsia" w:ascii="宋体" w:hAnsi="宋体" w:eastAsia="宋体" w:cs="Times New Roman"/>
          <w:color w:val="auto"/>
          <w:kern w:val="0"/>
          <w:sz w:val="21"/>
          <w:szCs w:val="21"/>
        </w:rPr>
      </w:pPr>
      <w:r>
        <w:rPr>
          <w:rFonts w:hint="eastAsia" w:ascii="宋体" w:hAnsi="宋体" w:eastAsia="宋体" w:cs="Times New Roman"/>
          <w:color w:val="auto"/>
          <w:kern w:val="0"/>
          <w:sz w:val="21"/>
          <w:szCs w:val="21"/>
        </w:rPr>
        <w:t>5、甲方</w:t>
      </w:r>
      <w:r>
        <w:rPr>
          <w:rFonts w:ascii="宋体" w:hAnsi="宋体" w:eastAsia="宋体" w:cs="Times New Roman"/>
          <w:color w:val="auto"/>
          <w:kern w:val="0"/>
          <w:sz w:val="21"/>
          <w:szCs w:val="21"/>
        </w:rPr>
        <w:t>在</w:t>
      </w:r>
      <w:r>
        <w:rPr>
          <w:rFonts w:hint="eastAsia" w:ascii="宋体" w:hAnsi="宋体" w:eastAsia="宋体" w:cs="Times New Roman"/>
          <w:color w:val="auto"/>
          <w:kern w:val="0"/>
          <w:sz w:val="21"/>
          <w:szCs w:val="21"/>
        </w:rPr>
        <w:t>每季度货物付款手续前分别对乙方的履约情况进行评价，</w:t>
      </w:r>
      <w:r>
        <w:rPr>
          <w:rFonts w:hint="eastAsia" w:ascii="宋体" w:hAnsi="宋体" w:eastAsia="宋体" w:cs="Times New Roman"/>
          <w:color w:val="auto"/>
          <w:kern w:val="0"/>
          <w:sz w:val="21"/>
          <w:szCs w:val="21"/>
          <w:lang w:val="en-US" w:eastAsia="zh-CN"/>
        </w:rPr>
        <w:t>并按市水务集团劳保防护用品相关管理办法开展评价工作，</w:t>
      </w:r>
      <w:r>
        <w:rPr>
          <w:rFonts w:hint="eastAsia" w:ascii="宋体" w:hAnsi="宋体" w:eastAsia="宋体" w:cs="Times New Roman"/>
          <w:color w:val="auto"/>
          <w:kern w:val="0"/>
          <w:sz w:val="21"/>
          <w:szCs w:val="21"/>
        </w:rPr>
        <w:t>填写</w:t>
      </w:r>
      <w:r>
        <w:rPr>
          <w:rFonts w:hint="eastAsia" w:ascii="宋体" w:hAnsi="宋体" w:eastAsia="宋体" w:cs="Times New Roman"/>
          <w:color w:val="auto"/>
          <w:kern w:val="0"/>
          <w:sz w:val="21"/>
          <w:szCs w:val="21"/>
          <w:lang w:val="en-US" w:eastAsia="zh-CN"/>
        </w:rPr>
        <w:t>《劳保防护用品供应商履约评价表》（附件6）</w:t>
      </w:r>
      <w:r>
        <w:rPr>
          <w:rFonts w:hint="eastAsia" w:ascii="宋体" w:hAnsi="宋体" w:eastAsia="宋体" w:cs="Times New Roman"/>
          <w:color w:val="auto"/>
          <w:kern w:val="0"/>
          <w:sz w:val="21"/>
          <w:szCs w:val="21"/>
        </w:rPr>
        <w:t>，供应商履约评价表满分为100分，评价分数在80分或以上的为合格；评价分数低于80分为不及格，对于评审结论为不合格的，</w:t>
      </w:r>
      <w:r>
        <w:rPr>
          <w:rFonts w:hint="eastAsia" w:ascii="宋体" w:hAnsi="宋体" w:eastAsia="宋体" w:cs="Times New Roman"/>
          <w:color w:val="auto"/>
          <w:kern w:val="0"/>
          <w:sz w:val="21"/>
          <w:szCs w:val="21"/>
          <w:lang w:eastAsia="zh-CN"/>
        </w:rPr>
        <w:t>甲方</w:t>
      </w:r>
      <w:r>
        <w:rPr>
          <w:rFonts w:hint="eastAsia" w:ascii="宋体" w:hAnsi="宋体" w:eastAsia="宋体" w:cs="Times New Roman"/>
          <w:color w:val="auto"/>
          <w:kern w:val="0"/>
          <w:sz w:val="21"/>
          <w:szCs w:val="21"/>
        </w:rPr>
        <w:t>有权暂停向</w:t>
      </w:r>
      <w:r>
        <w:rPr>
          <w:rFonts w:hint="eastAsia" w:ascii="宋体" w:hAnsi="宋体" w:eastAsia="宋体" w:cs="Times New Roman"/>
          <w:color w:val="auto"/>
          <w:kern w:val="0"/>
          <w:sz w:val="21"/>
          <w:szCs w:val="21"/>
          <w:lang w:eastAsia="zh-CN"/>
        </w:rPr>
        <w:t>乙方</w:t>
      </w:r>
      <w:r>
        <w:rPr>
          <w:rFonts w:hint="eastAsia" w:ascii="宋体" w:hAnsi="宋体" w:eastAsia="宋体" w:cs="Times New Roman"/>
          <w:color w:val="auto"/>
          <w:kern w:val="0"/>
          <w:sz w:val="21"/>
          <w:szCs w:val="21"/>
        </w:rPr>
        <w:t>采购一个月</w:t>
      </w:r>
      <w:r>
        <w:rPr>
          <w:rFonts w:hint="eastAsia" w:ascii="宋体" w:hAnsi="宋体" w:eastAsia="宋体" w:cs="Times New Roman"/>
          <w:color w:val="auto"/>
          <w:kern w:val="0"/>
          <w:sz w:val="21"/>
          <w:szCs w:val="21"/>
          <w:lang w:eastAsia="zh-CN"/>
        </w:rPr>
        <w:t>，</w:t>
      </w:r>
      <w:r>
        <w:rPr>
          <w:rFonts w:hint="eastAsia" w:ascii="宋体" w:hAnsi="宋体" w:eastAsia="宋体" w:cs="Times New Roman"/>
          <w:color w:val="auto"/>
          <w:kern w:val="0"/>
          <w:sz w:val="21"/>
          <w:szCs w:val="21"/>
          <w:lang w:val="en-US" w:eastAsia="zh-CN"/>
        </w:rPr>
        <w:t>其它评价合格项目正常供应</w:t>
      </w:r>
      <w:r>
        <w:rPr>
          <w:rFonts w:hint="eastAsia" w:ascii="宋体" w:hAnsi="宋体" w:eastAsia="宋体" w:cs="Times New Roman"/>
          <w:color w:val="auto"/>
          <w:kern w:val="0"/>
          <w:sz w:val="21"/>
          <w:szCs w:val="21"/>
        </w:rPr>
        <w:t>；若</w:t>
      </w:r>
      <w:r>
        <w:rPr>
          <w:rFonts w:hint="eastAsia" w:ascii="宋体" w:hAnsi="宋体" w:eastAsia="宋体" w:cs="Times New Roman"/>
          <w:color w:val="auto"/>
          <w:kern w:val="0"/>
          <w:sz w:val="21"/>
          <w:szCs w:val="21"/>
          <w:lang w:val="en-US" w:eastAsia="zh-CN"/>
        </w:rPr>
        <w:t>当个供货项目</w:t>
      </w:r>
      <w:r>
        <w:rPr>
          <w:rFonts w:hint="eastAsia" w:ascii="宋体" w:hAnsi="宋体" w:eastAsia="宋体" w:cs="Times New Roman"/>
          <w:color w:val="auto"/>
          <w:kern w:val="0"/>
          <w:sz w:val="21"/>
          <w:szCs w:val="21"/>
        </w:rPr>
        <w:t>出现第二次评审结论为不合格的，</w:t>
      </w:r>
      <w:r>
        <w:rPr>
          <w:rFonts w:hint="eastAsia" w:ascii="宋体" w:hAnsi="宋体" w:eastAsia="宋体" w:cs="Times New Roman"/>
          <w:color w:val="auto"/>
          <w:kern w:val="0"/>
          <w:sz w:val="21"/>
          <w:szCs w:val="21"/>
          <w:lang w:eastAsia="zh-CN"/>
        </w:rPr>
        <w:t>甲方</w:t>
      </w:r>
      <w:r>
        <w:rPr>
          <w:rFonts w:hint="eastAsia" w:ascii="宋体" w:hAnsi="宋体" w:eastAsia="宋体" w:cs="Times New Roman"/>
          <w:color w:val="auto"/>
          <w:kern w:val="0"/>
          <w:sz w:val="21"/>
          <w:szCs w:val="21"/>
        </w:rPr>
        <w:t>有权取消</w:t>
      </w:r>
      <w:r>
        <w:rPr>
          <w:rFonts w:hint="eastAsia" w:ascii="宋体" w:hAnsi="宋体" w:eastAsia="宋体" w:cs="Times New Roman"/>
          <w:color w:val="auto"/>
          <w:kern w:val="0"/>
          <w:sz w:val="21"/>
          <w:szCs w:val="21"/>
          <w:lang w:eastAsia="zh-CN"/>
        </w:rPr>
        <w:t>乙方</w:t>
      </w:r>
      <w:r>
        <w:rPr>
          <w:rFonts w:hint="eastAsia" w:ascii="宋体" w:hAnsi="宋体" w:eastAsia="宋体" w:cs="Times New Roman"/>
          <w:color w:val="auto"/>
          <w:kern w:val="0"/>
          <w:sz w:val="21"/>
          <w:szCs w:val="21"/>
        </w:rPr>
        <w:t>的供货资格并单方解除本合同、</w:t>
      </w:r>
      <w:r>
        <w:rPr>
          <w:rFonts w:hint="eastAsia" w:ascii="宋体" w:hAnsi="宋体" w:eastAsia="宋体" w:cs="Times New Roman"/>
          <w:color w:val="auto"/>
          <w:kern w:val="0"/>
          <w:sz w:val="21"/>
          <w:szCs w:val="21"/>
          <w:lang w:eastAsia="zh-CN"/>
        </w:rPr>
        <w:t>不予退还履约担保</w:t>
      </w:r>
      <w:r>
        <w:rPr>
          <w:rFonts w:hint="eastAsia" w:ascii="宋体" w:hAnsi="宋体" w:eastAsia="宋体" w:cs="Times New Roman"/>
          <w:color w:val="auto"/>
          <w:kern w:val="0"/>
          <w:sz w:val="21"/>
          <w:szCs w:val="21"/>
        </w:rPr>
        <w:t>。</w:t>
      </w:r>
    </w:p>
    <w:p w14:paraId="5C93DC4D">
      <w:pPr>
        <w:autoSpaceDE w:val="0"/>
        <w:autoSpaceDN w:val="0"/>
        <w:adjustRightInd w:val="0"/>
        <w:spacing w:line="360" w:lineRule="auto"/>
        <w:ind w:firstLine="420" w:firstLineChars="200"/>
        <w:jc w:val="both"/>
        <w:rPr>
          <w:rFonts w:ascii="宋体" w:hAnsi="宋体" w:eastAsia="宋体" w:cs="Times New Roman"/>
          <w:color w:val="auto"/>
          <w:kern w:val="0"/>
          <w:sz w:val="21"/>
          <w:szCs w:val="21"/>
        </w:rPr>
      </w:pPr>
    </w:p>
    <w:p w14:paraId="5FCC28D6">
      <w:pPr>
        <w:numPr>
          <w:ilvl w:val="0"/>
          <w:numId w:val="2"/>
        </w:numPr>
        <w:autoSpaceDE w:val="0"/>
        <w:autoSpaceDN w:val="0"/>
        <w:adjustRightInd w:val="0"/>
        <w:spacing w:line="360" w:lineRule="auto"/>
        <w:ind w:left="720" w:hanging="720"/>
        <w:jc w:val="left"/>
        <w:outlineLvl w:val="1"/>
        <w:rPr>
          <w:rFonts w:ascii="宋体" w:hAnsi="宋体" w:eastAsia="宋体" w:cs="仿宋_GB2312"/>
          <w:b/>
          <w:color w:val="auto"/>
          <w:kern w:val="2"/>
          <w:sz w:val="21"/>
          <w:szCs w:val="21"/>
        </w:rPr>
      </w:pPr>
      <w:bookmarkStart w:id="383" w:name="_Toc4631"/>
      <w:r>
        <w:rPr>
          <w:rFonts w:hint="eastAsia" w:ascii="宋体" w:hAnsi="宋体" w:eastAsia="宋体" w:cs="仿宋_GB2312"/>
          <w:b/>
          <w:color w:val="auto"/>
          <w:kern w:val="2"/>
          <w:sz w:val="21"/>
          <w:szCs w:val="21"/>
        </w:rPr>
        <w:t>合同供货期</w:t>
      </w:r>
      <w:bookmarkEnd w:id="383"/>
    </w:p>
    <w:p w14:paraId="54CD4500">
      <w:pPr>
        <w:autoSpaceDE w:val="0"/>
        <w:autoSpaceDN w:val="0"/>
        <w:adjustRightInd w:val="0"/>
        <w:spacing w:line="360" w:lineRule="auto"/>
        <w:ind w:firstLine="420" w:firstLineChars="200"/>
        <w:jc w:val="both"/>
        <w:rPr>
          <w:rFonts w:ascii="宋体" w:hAnsi="宋体" w:eastAsia="宋体" w:cs="Times New Roman"/>
          <w:color w:val="auto"/>
          <w:kern w:val="0"/>
          <w:sz w:val="21"/>
          <w:szCs w:val="21"/>
        </w:rPr>
      </w:pPr>
      <w:r>
        <w:rPr>
          <w:rFonts w:hint="eastAsia" w:ascii="宋体" w:hAnsi="宋体" w:eastAsia="宋体" w:cs="Times New Roman"/>
          <w:color w:val="auto"/>
          <w:kern w:val="0"/>
          <w:sz w:val="21"/>
          <w:szCs w:val="21"/>
        </w:rPr>
        <w:t>自双方签订合同之日起一年。供货期限满后，双方经友好协商一致之后，可在保持</w:t>
      </w:r>
      <w:r>
        <w:rPr>
          <w:rFonts w:hint="eastAsia" w:ascii="宋体" w:hAnsi="宋体" w:eastAsia="宋体" w:cs="Times New Roman"/>
          <w:color w:val="auto"/>
          <w:kern w:val="2"/>
          <w:sz w:val="21"/>
          <w:szCs w:val="21"/>
        </w:rPr>
        <w:t>折扣系数及</w:t>
      </w:r>
      <w:r>
        <w:rPr>
          <w:rFonts w:hint="eastAsia" w:ascii="宋体" w:hAnsi="宋体" w:eastAsia="宋体" w:cs="Times New Roman"/>
          <w:color w:val="auto"/>
          <w:kern w:val="0"/>
          <w:sz w:val="21"/>
          <w:szCs w:val="21"/>
        </w:rPr>
        <w:t>不含税中标综合单价不变的情况下，签订补充协议延长供货资格期限，延长的供货资格期限原则上不超过三个月。</w:t>
      </w:r>
    </w:p>
    <w:p w14:paraId="69547D80">
      <w:pPr>
        <w:autoSpaceDE w:val="0"/>
        <w:autoSpaceDN w:val="0"/>
        <w:adjustRightInd w:val="0"/>
        <w:spacing w:line="360" w:lineRule="auto"/>
        <w:ind w:firstLine="420" w:firstLineChars="200"/>
        <w:jc w:val="left"/>
        <w:rPr>
          <w:rFonts w:ascii="宋体" w:hAnsi="宋体" w:eastAsia="宋体" w:cs="Times New Roman"/>
          <w:color w:val="auto"/>
          <w:kern w:val="0"/>
          <w:sz w:val="21"/>
          <w:szCs w:val="21"/>
        </w:rPr>
      </w:pPr>
    </w:p>
    <w:p w14:paraId="0148AD89">
      <w:pPr>
        <w:numPr>
          <w:ilvl w:val="0"/>
          <w:numId w:val="2"/>
        </w:numPr>
        <w:autoSpaceDE w:val="0"/>
        <w:autoSpaceDN w:val="0"/>
        <w:adjustRightInd w:val="0"/>
        <w:spacing w:line="360" w:lineRule="auto"/>
        <w:ind w:left="720" w:hanging="720"/>
        <w:jc w:val="left"/>
        <w:outlineLvl w:val="1"/>
        <w:rPr>
          <w:rFonts w:ascii="宋体" w:hAnsi="宋体" w:eastAsia="宋体" w:cs="仿宋_GB2312"/>
          <w:b/>
          <w:color w:val="auto"/>
          <w:kern w:val="2"/>
          <w:sz w:val="21"/>
          <w:szCs w:val="21"/>
        </w:rPr>
      </w:pPr>
      <w:bookmarkStart w:id="384" w:name="_Toc31885"/>
      <w:r>
        <w:rPr>
          <w:rFonts w:hint="eastAsia" w:ascii="宋体" w:hAnsi="宋体" w:eastAsia="宋体" w:cs="仿宋_GB2312"/>
          <w:b/>
          <w:color w:val="auto"/>
          <w:kern w:val="2"/>
          <w:sz w:val="21"/>
          <w:szCs w:val="21"/>
        </w:rPr>
        <w:t>货物质量要求</w:t>
      </w:r>
      <w:bookmarkEnd w:id="384"/>
    </w:p>
    <w:p w14:paraId="087EC609">
      <w:pPr>
        <w:autoSpaceDE/>
        <w:autoSpaceDN/>
        <w:adjustRightInd/>
        <w:spacing w:line="360" w:lineRule="auto"/>
        <w:ind w:firstLine="420" w:firstLineChars="200"/>
        <w:jc w:val="both"/>
        <w:rPr>
          <w:rFonts w:ascii="宋体" w:hAnsi="宋体" w:eastAsia="宋体" w:cs="宋体"/>
          <w:color w:val="auto"/>
          <w:kern w:val="2"/>
          <w:sz w:val="21"/>
          <w:szCs w:val="21"/>
        </w:rPr>
      </w:pPr>
      <w:r>
        <w:rPr>
          <w:rFonts w:hint="eastAsia" w:ascii="宋体" w:hAnsi="宋体" w:eastAsia="宋体" w:cs="宋体"/>
          <w:color w:val="auto"/>
          <w:kern w:val="2"/>
          <w:sz w:val="21"/>
          <w:szCs w:val="21"/>
        </w:rPr>
        <w:t>1、乙方所供货物必须满足或优于采购清单中的规格参数。采购清单的货物有品牌、规格要求的，乙方优先采用采购清单中的推荐品牌、规格供货</w:t>
      </w:r>
      <w:r>
        <w:rPr>
          <w:rFonts w:hint="eastAsia" w:ascii="宋体" w:hAnsi="宋体" w:eastAsia="宋体" w:cs="宋体"/>
          <w:color w:val="auto"/>
          <w:kern w:val="2"/>
          <w:sz w:val="21"/>
          <w:szCs w:val="21"/>
          <w:lang w:eastAsia="zh-CN"/>
        </w:rPr>
        <w:t>，</w:t>
      </w:r>
      <w:r>
        <w:rPr>
          <w:rFonts w:hint="eastAsia" w:ascii="宋体" w:hAnsi="宋体" w:eastAsia="宋体" w:cs="宋体"/>
          <w:b/>
          <w:bCs/>
          <w:i w:val="0"/>
          <w:iCs w:val="0"/>
          <w:color w:val="auto"/>
          <w:kern w:val="2"/>
          <w:sz w:val="21"/>
          <w:szCs w:val="21"/>
          <w:lang w:val="en-US" w:eastAsia="zh-CN"/>
        </w:rPr>
        <w:t>同时乙方所供货物应符合《投标文件》要求</w:t>
      </w:r>
      <w:r>
        <w:rPr>
          <w:rFonts w:hint="eastAsia" w:ascii="宋体" w:hAnsi="宋体" w:eastAsia="宋体" w:cs="宋体"/>
          <w:color w:val="auto"/>
          <w:kern w:val="2"/>
          <w:sz w:val="21"/>
          <w:szCs w:val="21"/>
        </w:rPr>
        <w:t>。若乙方所供货物的品牌其质量同等或优于推荐品牌，综合单价或总价均不做出变更。</w:t>
      </w:r>
    </w:p>
    <w:p w14:paraId="0195DD21">
      <w:pPr>
        <w:autoSpaceDE/>
        <w:autoSpaceDN/>
        <w:adjustRightInd/>
        <w:spacing w:line="360" w:lineRule="auto"/>
        <w:ind w:firstLine="420" w:firstLineChars="200"/>
        <w:jc w:val="both"/>
        <w:rPr>
          <w:rFonts w:ascii="宋体" w:hAnsi="宋体" w:eastAsia="宋体" w:cs="宋体"/>
          <w:color w:val="auto"/>
          <w:kern w:val="2"/>
          <w:sz w:val="21"/>
          <w:szCs w:val="21"/>
        </w:rPr>
      </w:pPr>
      <w:r>
        <w:rPr>
          <w:rFonts w:hint="eastAsia" w:ascii="宋体" w:hAnsi="宋体" w:eastAsia="宋体" w:cs="宋体"/>
          <w:color w:val="auto"/>
          <w:kern w:val="2"/>
          <w:sz w:val="21"/>
          <w:szCs w:val="21"/>
        </w:rPr>
        <w:t>2、乙方所提供的货物必须符合国家现行有效的法律法规、行业规范及相关的质量标准并保证其产品使用质量，满足甲方的实际使用需求。如在货物送货时发现货物破损或者发生质量问题，甲方有权要求乙方在收到通知后【3】日内退换相应的货物；如因货物质量问题在安装使用后导致设备损坏无法正常使用，由乙方负责对该设备进行维修，因此产生的费用由乙方承担。</w:t>
      </w:r>
    </w:p>
    <w:p w14:paraId="6A5E0C62">
      <w:pPr>
        <w:autoSpaceDE/>
        <w:autoSpaceDN/>
        <w:adjustRightInd/>
        <w:spacing w:line="360" w:lineRule="auto"/>
        <w:ind w:firstLine="420" w:firstLineChars="200"/>
        <w:jc w:val="both"/>
        <w:rPr>
          <w:rFonts w:ascii="宋体" w:hAnsi="宋体" w:eastAsia="宋体" w:cs="宋体"/>
          <w:color w:val="auto"/>
          <w:kern w:val="2"/>
          <w:sz w:val="21"/>
          <w:szCs w:val="21"/>
        </w:rPr>
      </w:pPr>
      <w:r>
        <w:rPr>
          <w:rFonts w:hint="eastAsia" w:ascii="宋体" w:hAnsi="宋体" w:eastAsia="宋体" w:cs="宋体"/>
          <w:color w:val="auto"/>
          <w:kern w:val="2"/>
          <w:sz w:val="21"/>
          <w:szCs w:val="21"/>
        </w:rPr>
        <w:t>3、乙方提供的货物必须是原厂生产的、非组装的、全新的、未使用过的产品(含零部件、配件、随机工具等)，随机配备的所有配件必须为原厂原配，表面无划伤、无碰撞的痕迹。有原厂包装的，应附有合格证、货物出厂质量合格证明书、技术说明等。</w:t>
      </w:r>
    </w:p>
    <w:p w14:paraId="462692E7">
      <w:pPr>
        <w:autoSpaceDE/>
        <w:autoSpaceDN/>
        <w:adjustRightInd/>
        <w:spacing w:line="360" w:lineRule="auto"/>
        <w:ind w:firstLine="420" w:firstLineChars="200"/>
        <w:jc w:val="both"/>
        <w:rPr>
          <w:rFonts w:ascii="宋体" w:hAnsi="宋体" w:eastAsia="宋体" w:cs="宋体"/>
          <w:color w:val="auto"/>
          <w:kern w:val="2"/>
          <w:sz w:val="21"/>
          <w:szCs w:val="21"/>
        </w:rPr>
      </w:pPr>
      <w:r>
        <w:rPr>
          <w:rFonts w:hint="eastAsia" w:ascii="宋体" w:hAnsi="宋体" w:eastAsia="宋体" w:cs="宋体"/>
          <w:color w:val="auto"/>
          <w:kern w:val="2"/>
          <w:sz w:val="21"/>
          <w:szCs w:val="21"/>
        </w:rPr>
        <w:t>4、乙方必须提供目前市场上技术较先进、成熟的原装产品，其质量、规格及技术特征符合合同附件的要求，并符合国家有关标准。</w:t>
      </w:r>
    </w:p>
    <w:p w14:paraId="585138A8">
      <w:pPr>
        <w:autoSpaceDE/>
        <w:autoSpaceDN/>
        <w:adjustRightInd/>
        <w:spacing w:line="360" w:lineRule="auto"/>
        <w:ind w:firstLine="420" w:firstLineChars="200"/>
        <w:jc w:val="both"/>
        <w:rPr>
          <w:rFonts w:ascii="宋体" w:hAnsi="宋体" w:eastAsia="宋体" w:cs="宋体"/>
          <w:color w:val="auto"/>
          <w:kern w:val="2"/>
          <w:sz w:val="21"/>
          <w:szCs w:val="21"/>
        </w:rPr>
      </w:pPr>
      <w:r>
        <w:rPr>
          <w:rFonts w:hint="eastAsia" w:ascii="宋体" w:hAnsi="宋体" w:eastAsia="宋体" w:cs="宋体"/>
          <w:color w:val="auto"/>
          <w:kern w:val="2"/>
          <w:sz w:val="21"/>
          <w:szCs w:val="21"/>
        </w:rPr>
        <w:t>5、如货物属于国家规定的特种劳动防护用品的，乙方应在交货时提供相关产品检验报告等质量证明文件。</w:t>
      </w:r>
    </w:p>
    <w:p w14:paraId="0D444C47">
      <w:pPr>
        <w:autoSpaceDE/>
        <w:autoSpaceDN/>
        <w:adjustRightInd/>
        <w:spacing w:line="360" w:lineRule="auto"/>
        <w:ind w:firstLine="420" w:firstLineChars="20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6、所供货物若出现质量不符合采购清单要求或甲方实际使用要求的，甲方有权要求乙方选用综合单价不变、质量符合要求的货物替换该项货物。若乙方投标时的货物出现停产、断货等情况，乙方可向甲方书面申请调整供货的货物，经甲方同意调整后的货物必须同等或优于原投标时货物，综合单价或总价均不做出变更。</w:t>
      </w:r>
    </w:p>
    <w:p w14:paraId="4C8B0E21">
      <w:pPr>
        <w:autoSpaceDE/>
        <w:autoSpaceDN/>
        <w:adjustRightInd/>
        <w:spacing w:line="360" w:lineRule="auto"/>
        <w:ind w:firstLine="420" w:firstLineChars="200"/>
        <w:jc w:val="both"/>
        <w:rPr>
          <w:rFonts w:ascii="宋体" w:hAnsi="宋体" w:eastAsia="宋体" w:cs="宋体"/>
          <w:color w:val="auto"/>
          <w:kern w:val="2"/>
          <w:sz w:val="21"/>
          <w:szCs w:val="21"/>
        </w:rPr>
      </w:pPr>
      <w:r>
        <w:rPr>
          <w:rFonts w:hint="eastAsia" w:ascii="宋体" w:hAnsi="宋体" w:eastAsia="宋体" w:cs="宋体"/>
          <w:color w:val="auto"/>
          <w:kern w:val="2"/>
          <w:sz w:val="21"/>
          <w:szCs w:val="21"/>
          <w:lang w:val="en-US" w:eastAsia="zh-CN"/>
        </w:rPr>
        <w:t>7、</w:t>
      </w:r>
      <w:r>
        <w:rPr>
          <w:rFonts w:hint="eastAsia" w:ascii="宋体" w:hAnsi="宋体" w:eastAsia="宋体" w:cs="宋体"/>
          <w:color w:val="auto"/>
          <w:kern w:val="2"/>
          <w:sz w:val="21"/>
          <w:szCs w:val="21"/>
        </w:rPr>
        <w:t>乙方</w:t>
      </w:r>
      <w:r>
        <w:rPr>
          <w:rFonts w:hint="eastAsia" w:ascii="宋体" w:hAnsi="宋体" w:eastAsia="宋体" w:cs="宋体"/>
          <w:color w:val="auto"/>
          <w:kern w:val="2"/>
          <w:sz w:val="21"/>
          <w:szCs w:val="21"/>
          <w:lang w:val="en-US" w:eastAsia="zh-CN"/>
        </w:rPr>
        <w:t>不得配送</w:t>
      </w:r>
      <w:r>
        <w:rPr>
          <w:rFonts w:hint="eastAsia" w:ascii="宋体" w:hAnsi="宋体" w:eastAsia="宋体" w:cs="宋体"/>
          <w:color w:val="auto"/>
          <w:kern w:val="2"/>
          <w:sz w:val="21"/>
          <w:szCs w:val="21"/>
        </w:rPr>
        <w:t>临期</w:t>
      </w:r>
      <w:r>
        <w:rPr>
          <w:rFonts w:hint="eastAsia" w:ascii="宋体" w:hAnsi="宋体" w:eastAsia="宋体" w:cs="宋体"/>
          <w:color w:val="auto"/>
          <w:kern w:val="2"/>
          <w:sz w:val="21"/>
          <w:szCs w:val="21"/>
          <w:lang w:val="en-US" w:eastAsia="zh-CN"/>
        </w:rPr>
        <w:t>物品至甲方任何收货点，配送物品剩余有效期或保质期应大于三分二时长。</w:t>
      </w:r>
      <w:r>
        <w:rPr>
          <w:rFonts w:hint="eastAsia" w:ascii="宋体" w:hAnsi="宋体" w:eastAsia="宋体" w:cs="宋体"/>
          <w:color w:val="auto"/>
          <w:kern w:val="2"/>
          <w:sz w:val="21"/>
          <w:szCs w:val="21"/>
        </w:rPr>
        <w:t>如</w:t>
      </w:r>
      <w:r>
        <w:rPr>
          <w:rFonts w:hint="eastAsia" w:ascii="宋体" w:hAnsi="宋体" w:eastAsia="宋体" w:cs="宋体"/>
          <w:color w:val="auto"/>
          <w:kern w:val="2"/>
          <w:sz w:val="21"/>
          <w:szCs w:val="21"/>
          <w:lang w:val="en-US" w:eastAsia="zh-CN"/>
        </w:rPr>
        <w:t>临期物品必须进行退货，</w:t>
      </w:r>
      <w:r>
        <w:rPr>
          <w:rFonts w:hint="eastAsia" w:ascii="宋体" w:hAnsi="宋体" w:eastAsia="宋体" w:cs="宋体"/>
          <w:color w:val="auto"/>
          <w:kern w:val="2"/>
          <w:sz w:val="21"/>
          <w:szCs w:val="21"/>
        </w:rPr>
        <w:t>因此产生的</w:t>
      </w:r>
      <w:r>
        <w:rPr>
          <w:rFonts w:hint="eastAsia" w:ascii="宋体" w:hAnsi="宋体" w:eastAsia="宋体" w:cs="宋体"/>
          <w:color w:val="auto"/>
          <w:kern w:val="2"/>
          <w:sz w:val="21"/>
          <w:szCs w:val="21"/>
          <w:lang w:val="en-US" w:eastAsia="zh-CN"/>
        </w:rPr>
        <w:t>退货运费及误工</w:t>
      </w:r>
      <w:r>
        <w:rPr>
          <w:rFonts w:hint="eastAsia" w:ascii="宋体" w:hAnsi="宋体" w:eastAsia="宋体" w:cs="宋体"/>
          <w:color w:val="auto"/>
          <w:kern w:val="2"/>
          <w:sz w:val="21"/>
          <w:szCs w:val="21"/>
        </w:rPr>
        <w:t>费用由乙方承担。</w:t>
      </w:r>
    </w:p>
    <w:p w14:paraId="4F416DD1">
      <w:pPr>
        <w:autoSpaceDE w:val="0"/>
        <w:autoSpaceDN w:val="0"/>
        <w:adjustRightInd/>
        <w:spacing w:line="360" w:lineRule="auto"/>
        <w:ind w:right="-26" w:firstLine="420" w:firstLineChars="200"/>
        <w:jc w:val="left"/>
        <w:rPr>
          <w:rFonts w:ascii="宋体" w:hAnsi="宋体" w:eastAsia="宋体" w:cs="宋体"/>
          <w:color w:val="auto"/>
          <w:kern w:val="2"/>
          <w:sz w:val="21"/>
          <w:szCs w:val="21"/>
        </w:rPr>
      </w:pPr>
    </w:p>
    <w:p w14:paraId="3560C0DD">
      <w:pPr>
        <w:numPr>
          <w:ilvl w:val="0"/>
          <w:numId w:val="2"/>
        </w:numPr>
        <w:autoSpaceDE w:val="0"/>
        <w:autoSpaceDN w:val="0"/>
        <w:adjustRightInd w:val="0"/>
        <w:spacing w:line="360" w:lineRule="auto"/>
        <w:ind w:left="720" w:hanging="720"/>
        <w:jc w:val="left"/>
        <w:outlineLvl w:val="1"/>
        <w:rPr>
          <w:rFonts w:ascii="宋体" w:hAnsi="宋体" w:eastAsia="宋体" w:cs="仿宋_GB2312"/>
          <w:b/>
          <w:color w:val="auto"/>
          <w:kern w:val="2"/>
          <w:sz w:val="21"/>
          <w:szCs w:val="21"/>
        </w:rPr>
      </w:pPr>
      <w:bookmarkStart w:id="385" w:name="_Toc8633"/>
      <w:r>
        <w:rPr>
          <w:rFonts w:ascii="宋体" w:hAnsi="宋体" w:eastAsia="宋体" w:cs="仿宋_GB2312"/>
          <w:b/>
          <w:color w:val="auto"/>
          <w:kern w:val="2"/>
          <w:sz w:val="21"/>
          <w:szCs w:val="21"/>
        </w:rPr>
        <w:t>交货约定</w:t>
      </w:r>
      <w:bookmarkEnd w:id="385"/>
    </w:p>
    <w:p w14:paraId="0F75E581">
      <w:pPr>
        <w:widowControl/>
        <w:autoSpaceDE w:val="0"/>
        <w:autoSpaceDN w:val="0"/>
        <w:adjustRightInd w:val="0"/>
        <w:spacing w:line="360" w:lineRule="auto"/>
        <w:ind w:firstLine="420" w:firstLineChars="200"/>
        <w:jc w:val="both"/>
        <w:rPr>
          <w:rFonts w:ascii="宋体" w:hAnsi="宋体" w:eastAsia="宋体" w:cs="Times New Roman"/>
          <w:color w:val="auto"/>
          <w:kern w:val="0"/>
          <w:sz w:val="21"/>
          <w:szCs w:val="21"/>
        </w:rPr>
      </w:pPr>
      <w:r>
        <w:rPr>
          <w:rFonts w:ascii="宋体" w:hAnsi="宋体" w:eastAsia="宋体" w:cs="Times New Roman"/>
          <w:color w:val="auto"/>
          <w:kern w:val="0"/>
          <w:sz w:val="21"/>
          <w:szCs w:val="21"/>
        </w:rPr>
        <w:t>1</w:t>
      </w:r>
      <w:r>
        <w:rPr>
          <w:rFonts w:hint="eastAsia" w:ascii="宋体" w:hAnsi="宋体" w:eastAsia="宋体" w:cs="Times New Roman"/>
          <w:color w:val="auto"/>
          <w:kern w:val="0"/>
          <w:sz w:val="21"/>
          <w:szCs w:val="21"/>
        </w:rPr>
        <w:t>、交货期：</w:t>
      </w:r>
    </w:p>
    <w:p w14:paraId="1AAE17F9">
      <w:pPr>
        <w:widowControl/>
        <w:autoSpaceDE w:val="0"/>
        <w:autoSpaceDN w:val="0"/>
        <w:adjustRightInd w:val="0"/>
        <w:spacing w:line="360" w:lineRule="auto"/>
        <w:ind w:firstLine="420" w:firstLineChars="200"/>
        <w:jc w:val="both"/>
        <w:rPr>
          <w:rFonts w:ascii="宋体" w:hAnsi="宋体" w:eastAsia="宋体" w:cs="Times New Roman"/>
          <w:color w:val="auto"/>
          <w:kern w:val="0"/>
          <w:sz w:val="21"/>
          <w:szCs w:val="21"/>
        </w:rPr>
      </w:pPr>
      <w:r>
        <w:rPr>
          <w:rFonts w:hint="eastAsia" w:ascii="宋体" w:hAnsi="宋体" w:eastAsia="宋体" w:cs="Times New Roman"/>
          <w:color w:val="auto"/>
          <w:kern w:val="0"/>
          <w:sz w:val="21"/>
          <w:szCs w:val="21"/>
        </w:rPr>
        <w:t>（1）月度</w:t>
      </w:r>
      <w:r>
        <w:rPr>
          <w:rFonts w:hint="eastAsia" w:ascii="宋体" w:hAnsi="宋体" w:eastAsia="宋体" w:cs="Times New Roman"/>
          <w:color w:val="auto"/>
          <w:kern w:val="0"/>
          <w:sz w:val="21"/>
          <w:szCs w:val="21"/>
          <w:lang w:val="en-US" w:eastAsia="zh-CN"/>
        </w:rPr>
        <w:t>/季度</w:t>
      </w:r>
      <w:r>
        <w:rPr>
          <w:rFonts w:hint="eastAsia" w:ascii="宋体" w:hAnsi="宋体" w:eastAsia="宋体" w:cs="Times New Roman"/>
          <w:color w:val="auto"/>
          <w:kern w:val="0"/>
          <w:sz w:val="21"/>
          <w:szCs w:val="21"/>
        </w:rPr>
        <w:t>配送：每月1</w:t>
      </w:r>
      <w:r>
        <w:rPr>
          <w:rFonts w:ascii="宋体" w:hAnsi="宋体" w:eastAsia="宋体" w:cs="Times New Roman"/>
          <w:color w:val="auto"/>
          <w:kern w:val="0"/>
          <w:sz w:val="21"/>
          <w:szCs w:val="21"/>
        </w:rPr>
        <w:t>0</w:t>
      </w:r>
      <w:r>
        <w:rPr>
          <w:rFonts w:hint="eastAsia" w:ascii="宋体" w:hAnsi="宋体" w:eastAsia="宋体" w:cs="Times New Roman"/>
          <w:color w:val="auto"/>
          <w:kern w:val="0"/>
          <w:sz w:val="21"/>
          <w:szCs w:val="21"/>
        </w:rPr>
        <w:t>日前</w:t>
      </w:r>
      <w:r>
        <w:rPr>
          <w:rFonts w:hint="eastAsia" w:ascii="宋体" w:hAnsi="宋体" w:eastAsia="宋体" w:cs="Times New Roman"/>
          <w:color w:val="auto"/>
          <w:kern w:val="0"/>
          <w:sz w:val="21"/>
          <w:szCs w:val="21"/>
          <w:lang w:val="en-US" w:eastAsia="zh-CN"/>
        </w:rPr>
        <w:t>或每季度首月</w:t>
      </w:r>
      <w:r>
        <w:rPr>
          <w:rFonts w:hint="eastAsia" w:ascii="宋体" w:hAnsi="宋体" w:eastAsia="宋体" w:cs="Times New Roman"/>
          <w:color w:val="auto"/>
          <w:kern w:val="0"/>
          <w:sz w:val="21"/>
          <w:szCs w:val="21"/>
        </w:rPr>
        <w:t>1</w:t>
      </w:r>
      <w:r>
        <w:rPr>
          <w:rFonts w:ascii="宋体" w:hAnsi="宋体" w:eastAsia="宋体" w:cs="Times New Roman"/>
          <w:color w:val="auto"/>
          <w:kern w:val="0"/>
          <w:sz w:val="21"/>
          <w:szCs w:val="21"/>
        </w:rPr>
        <w:t>0</w:t>
      </w:r>
      <w:r>
        <w:rPr>
          <w:rFonts w:hint="eastAsia" w:ascii="宋体" w:hAnsi="宋体" w:eastAsia="宋体" w:cs="Times New Roman"/>
          <w:color w:val="auto"/>
          <w:kern w:val="0"/>
          <w:sz w:val="21"/>
          <w:szCs w:val="21"/>
        </w:rPr>
        <w:t>日前</w:t>
      </w:r>
      <w:r>
        <w:rPr>
          <w:rFonts w:hint="eastAsia" w:ascii="宋体" w:hAnsi="宋体" w:eastAsia="宋体" w:cs="Times New Roman"/>
          <w:color w:val="auto"/>
          <w:kern w:val="0"/>
          <w:sz w:val="21"/>
          <w:szCs w:val="21"/>
          <w:lang w:eastAsia="zh-CN"/>
        </w:rPr>
        <w:t>，</w:t>
      </w:r>
      <w:r>
        <w:rPr>
          <w:rFonts w:hint="eastAsia" w:ascii="宋体" w:hAnsi="宋体" w:eastAsia="宋体" w:cs="Times New Roman"/>
          <w:color w:val="auto"/>
          <w:kern w:val="0"/>
          <w:sz w:val="21"/>
          <w:szCs w:val="21"/>
        </w:rPr>
        <w:t>甲方根据实际需求通过电子邮箱发出供货通知至乙方电子邮箱（邮箱地址：</w:t>
      </w:r>
      <w:r>
        <w:rPr>
          <w:rFonts w:hint="eastAsia" w:ascii="宋体" w:hAnsi="宋体" w:eastAsia="宋体" w:cs="Times New Roman"/>
          <w:color w:val="auto"/>
          <w:kern w:val="0"/>
          <w:sz w:val="21"/>
          <w:szCs w:val="21"/>
          <w:u w:val="single"/>
        </w:rPr>
        <w:t xml:space="preserve"> </w:t>
      </w:r>
      <w:r>
        <w:rPr>
          <w:rFonts w:hint="eastAsia" w:ascii="宋体" w:hAnsi="宋体" w:eastAsia="宋体" w:cs="Times New Roman"/>
          <w:color w:val="auto"/>
          <w:kern w:val="0"/>
          <w:sz w:val="21"/>
          <w:szCs w:val="21"/>
          <w:u w:val="single"/>
          <w:lang w:val="en-US" w:eastAsia="zh-CN"/>
        </w:rPr>
        <w:t xml:space="preserve">           </w:t>
      </w:r>
      <w:r>
        <w:rPr>
          <w:rFonts w:ascii="宋体" w:hAnsi="宋体" w:eastAsia="宋体" w:cs="Times New Roman"/>
          <w:color w:val="auto"/>
          <w:kern w:val="0"/>
          <w:sz w:val="21"/>
          <w:szCs w:val="21"/>
          <w:u w:val="single"/>
        </w:rPr>
        <w:t xml:space="preserve"> </w:t>
      </w:r>
      <w:r>
        <w:rPr>
          <w:rFonts w:hint="eastAsia" w:ascii="宋体" w:hAnsi="宋体" w:eastAsia="宋体" w:cs="Times New Roman"/>
          <w:color w:val="auto"/>
          <w:kern w:val="0"/>
          <w:sz w:val="21"/>
          <w:szCs w:val="21"/>
        </w:rPr>
        <w:t>），供货通知书送达乙方指定邮箱后，视为乙方已接收到供货通知。乙方自接到供货通知后，需联系甲方核实供货货物规格，并在接收到供货通知之日起【10】个工作日内按甲方发出供货清单并送达货物，经各地区联系人验收合格后，由双方签字确认。</w:t>
      </w:r>
    </w:p>
    <w:p w14:paraId="1ED7D50F">
      <w:pPr>
        <w:widowControl/>
        <w:autoSpaceDE w:val="0"/>
        <w:autoSpaceDN w:val="0"/>
        <w:adjustRightInd w:val="0"/>
        <w:spacing w:line="360" w:lineRule="auto"/>
        <w:ind w:firstLine="420" w:firstLineChars="200"/>
        <w:jc w:val="both"/>
        <w:rPr>
          <w:rFonts w:ascii="宋体" w:hAnsi="宋体" w:eastAsia="宋体" w:cs="Times New Roman"/>
          <w:color w:val="auto"/>
          <w:kern w:val="0"/>
          <w:sz w:val="21"/>
          <w:szCs w:val="21"/>
        </w:rPr>
      </w:pPr>
      <w:r>
        <w:rPr>
          <w:rFonts w:hint="eastAsia" w:ascii="宋体" w:hAnsi="宋体" w:eastAsia="宋体" w:cs="Times New Roman"/>
          <w:color w:val="auto"/>
          <w:kern w:val="0"/>
          <w:sz w:val="21"/>
          <w:szCs w:val="21"/>
        </w:rPr>
        <w:t>（2）临时紧急配送：如遇临时紧急配送，供货通知书送达乙方指定邮箱后，需在3个工作日内按甲方发出供货清单并送达货物，经验收合格后，由双方签字确认，供货是否为紧急配送，以甲方各地区书面通知为准。</w:t>
      </w:r>
    </w:p>
    <w:p w14:paraId="1E2CBDBB">
      <w:pPr>
        <w:widowControl/>
        <w:autoSpaceDE w:val="0"/>
        <w:autoSpaceDN w:val="0"/>
        <w:adjustRightInd w:val="0"/>
        <w:spacing w:line="360" w:lineRule="auto"/>
        <w:ind w:firstLine="420" w:firstLineChars="200"/>
        <w:jc w:val="both"/>
        <w:rPr>
          <w:rFonts w:ascii="宋体" w:hAnsi="宋体" w:eastAsia="宋体" w:cs="Times New Roman"/>
          <w:color w:val="auto"/>
          <w:kern w:val="0"/>
          <w:sz w:val="21"/>
          <w:szCs w:val="21"/>
        </w:rPr>
      </w:pPr>
      <w:r>
        <w:rPr>
          <w:rFonts w:hint="eastAsia" w:ascii="宋体" w:hAnsi="宋体" w:eastAsia="宋体" w:cs="Times New Roman"/>
          <w:color w:val="auto"/>
          <w:kern w:val="0"/>
          <w:sz w:val="21"/>
          <w:szCs w:val="21"/>
        </w:rPr>
        <w:t>（3）交货延期要求：出现货源不充足需要订购的货物，乙方需在收到甲方各地区的供货通知后24小时内与上述各地区联系人进行沟通并经甲方各地区书面同意后，可延长交货期。各地区联系人不同意延长交货期的，以逾期供货处理，每逾期一个工作日乙方需向甲方支付1000元违约金，甲方有权从履约担保中扣除。若逾期供货达到10次及以上，已严重影响甲方生产经营的，甲方有权</w:t>
      </w:r>
      <w:r>
        <w:rPr>
          <w:rFonts w:hint="eastAsia" w:ascii="宋体" w:hAnsi="宋体" w:eastAsia="宋体" w:cs="Times New Roman"/>
          <w:color w:val="auto"/>
          <w:kern w:val="0"/>
          <w:sz w:val="21"/>
          <w:szCs w:val="21"/>
          <w:lang w:eastAsia="zh-CN"/>
        </w:rPr>
        <w:t>不予退还履约担保</w:t>
      </w:r>
      <w:r>
        <w:rPr>
          <w:rFonts w:hint="eastAsia" w:ascii="宋体" w:hAnsi="宋体" w:eastAsia="宋体" w:cs="Times New Roman"/>
          <w:color w:val="auto"/>
          <w:kern w:val="0"/>
          <w:sz w:val="21"/>
          <w:szCs w:val="21"/>
        </w:rPr>
        <w:t>并单方面取消合同。</w:t>
      </w:r>
    </w:p>
    <w:p w14:paraId="108FF67D">
      <w:pPr>
        <w:widowControl/>
        <w:autoSpaceDE w:val="0"/>
        <w:autoSpaceDN w:val="0"/>
        <w:adjustRightInd w:val="0"/>
        <w:spacing w:line="360" w:lineRule="auto"/>
        <w:ind w:firstLine="420" w:firstLineChars="200"/>
        <w:jc w:val="both"/>
        <w:rPr>
          <w:rFonts w:ascii="宋体" w:hAnsi="宋体" w:eastAsia="宋体" w:cs="Times New Roman"/>
          <w:color w:val="auto"/>
          <w:kern w:val="0"/>
          <w:sz w:val="21"/>
          <w:szCs w:val="21"/>
        </w:rPr>
      </w:pPr>
      <w:r>
        <w:rPr>
          <w:rFonts w:hint="eastAsia" w:ascii="宋体" w:hAnsi="宋体" w:eastAsia="宋体" w:cs="Times New Roman"/>
          <w:color w:val="auto"/>
          <w:kern w:val="0"/>
          <w:sz w:val="21"/>
          <w:szCs w:val="21"/>
        </w:rPr>
        <w:t>（4）合同履约过程中，若出现因厂家停产或其他不可抗力因素等情况导致无法供应对应货物的，乙方应当提交材料说明情况，经甲方确认情况属实后，乙方需提供不低于同等质量的货物，综合单价不做变更。</w:t>
      </w:r>
    </w:p>
    <w:p w14:paraId="75666BE5">
      <w:pPr>
        <w:widowControl/>
        <w:autoSpaceDE w:val="0"/>
        <w:autoSpaceDN w:val="0"/>
        <w:adjustRightInd w:val="0"/>
        <w:spacing w:line="360" w:lineRule="auto"/>
        <w:ind w:firstLine="420" w:firstLineChars="200"/>
        <w:jc w:val="both"/>
        <w:rPr>
          <w:rFonts w:ascii="宋体" w:hAnsi="宋体" w:eastAsia="宋体" w:cs="Times New Roman"/>
          <w:color w:val="auto"/>
          <w:kern w:val="2"/>
          <w:sz w:val="21"/>
          <w:szCs w:val="21"/>
        </w:rPr>
      </w:pPr>
      <w:r>
        <w:rPr>
          <w:rFonts w:hint="eastAsia" w:ascii="宋体" w:hAnsi="宋体" w:eastAsia="宋体" w:cs="Times New Roman"/>
          <w:color w:val="auto"/>
          <w:kern w:val="2"/>
          <w:sz w:val="21"/>
          <w:szCs w:val="21"/>
        </w:rPr>
        <w:t>（5）甲方有权对本合同项下的货物数量进行调整，调整后增加的供货金额不能超过暂定合同价（含税）的10%，乙方承诺不因增加或减少供货数量向甲方主张任何形式的补偿或者赔偿。</w:t>
      </w:r>
    </w:p>
    <w:p w14:paraId="6162D784">
      <w:pPr>
        <w:widowControl/>
        <w:autoSpaceDE w:val="0"/>
        <w:autoSpaceDN w:val="0"/>
        <w:adjustRightInd w:val="0"/>
        <w:spacing w:line="360" w:lineRule="auto"/>
        <w:ind w:firstLine="420" w:firstLineChars="200"/>
        <w:jc w:val="left"/>
        <w:rPr>
          <w:rFonts w:ascii="宋体" w:hAnsi="宋体" w:eastAsia="宋体" w:cs="Times New Roman"/>
          <w:color w:val="auto"/>
          <w:kern w:val="0"/>
          <w:sz w:val="21"/>
          <w:szCs w:val="21"/>
        </w:rPr>
      </w:pPr>
      <w:r>
        <w:rPr>
          <w:rFonts w:hint="eastAsia" w:ascii="宋体" w:hAnsi="宋体" w:eastAsia="宋体" w:cs="Times New Roman"/>
          <w:color w:val="auto"/>
          <w:kern w:val="0"/>
          <w:sz w:val="21"/>
          <w:szCs w:val="21"/>
        </w:rPr>
        <w:t>2、</w:t>
      </w:r>
      <w:r>
        <w:rPr>
          <w:rFonts w:ascii="宋体" w:hAnsi="宋体" w:eastAsia="宋体" w:cs="Times New Roman"/>
          <w:color w:val="auto"/>
          <w:kern w:val="0"/>
          <w:sz w:val="21"/>
          <w:szCs w:val="21"/>
        </w:rPr>
        <w:t>交货地点</w:t>
      </w:r>
      <w:r>
        <w:rPr>
          <w:rFonts w:hint="eastAsia" w:ascii="宋体" w:hAnsi="宋体" w:eastAsia="宋体" w:cs="Times New Roman"/>
          <w:color w:val="auto"/>
          <w:kern w:val="0"/>
          <w:sz w:val="21"/>
          <w:szCs w:val="21"/>
        </w:rPr>
        <w:t>：详见《</w:t>
      </w:r>
      <w:r>
        <w:rPr>
          <w:rFonts w:hint="eastAsia" w:ascii="宋体" w:hAnsi="宋体" w:eastAsia="宋体" w:cs="宋体"/>
          <w:color w:val="auto"/>
          <w:kern w:val="0"/>
          <w:sz w:val="21"/>
          <w:szCs w:val="21"/>
        </w:rPr>
        <w:t>收货地址汇总表</w:t>
      </w:r>
      <w:r>
        <w:rPr>
          <w:rFonts w:hint="eastAsia" w:ascii="宋体" w:hAnsi="宋体" w:eastAsia="宋体" w:cs="Times New Roman"/>
          <w:color w:val="auto"/>
          <w:kern w:val="0"/>
          <w:sz w:val="21"/>
          <w:szCs w:val="21"/>
        </w:rPr>
        <w:t>》（附件</w:t>
      </w:r>
      <w:r>
        <w:rPr>
          <w:rFonts w:hint="eastAsia" w:ascii="宋体" w:hAnsi="宋体" w:eastAsia="宋体" w:cs="Times New Roman"/>
          <w:color w:val="auto"/>
          <w:kern w:val="0"/>
          <w:sz w:val="21"/>
          <w:szCs w:val="21"/>
          <w:lang w:val="en-US" w:eastAsia="zh-CN"/>
        </w:rPr>
        <w:t>4</w:t>
      </w:r>
      <w:r>
        <w:rPr>
          <w:rFonts w:hint="eastAsia" w:ascii="宋体" w:hAnsi="宋体" w:eastAsia="宋体" w:cs="Times New Roman"/>
          <w:color w:val="auto"/>
          <w:kern w:val="0"/>
          <w:sz w:val="21"/>
          <w:szCs w:val="21"/>
        </w:rPr>
        <w:t>）。各收货地址联系人有权代表甲方执行货物验收等行为，如甲方有新增或更改收货地址（东莞市）/联系人的，以甲方实际通知为准，乙方需予以配合。</w:t>
      </w:r>
    </w:p>
    <w:p w14:paraId="28A77986">
      <w:pPr>
        <w:autoSpaceDE w:val="0"/>
        <w:autoSpaceDN w:val="0"/>
        <w:adjustRightInd w:val="0"/>
        <w:spacing w:line="360" w:lineRule="auto"/>
        <w:ind w:right="-28" w:firstLine="422" w:firstLineChars="200"/>
        <w:jc w:val="left"/>
        <w:rPr>
          <w:rFonts w:ascii="宋体" w:hAnsi="宋体" w:eastAsia="宋体" w:cs="Times New Roman"/>
          <w:b/>
          <w:bCs/>
          <w:color w:val="auto"/>
          <w:kern w:val="0"/>
          <w:sz w:val="21"/>
          <w:szCs w:val="21"/>
          <w:lang w:val="zh-CN"/>
        </w:rPr>
      </w:pPr>
      <w:r>
        <w:rPr>
          <w:rFonts w:ascii="宋体" w:hAnsi="宋体" w:eastAsia="宋体" w:cs="Times New Roman"/>
          <w:b/>
          <w:bCs/>
          <w:color w:val="auto"/>
          <w:kern w:val="0"/>
          <w:sz w:val="21"/>
          <w:szCs w:val="21"/>
          <w:lang w:val="zh-CN"/>
        </w:rPr>
        <w:t>3</w:t>
      </w:r>
      <w:r>
        <w:rPr>
          <w:rFonts w:hint="eastAsia" w:ascii="宋体" w:hAnsi="宋体" w:eastAsia="宋体" w:cs="Times New Roman"/>
          <w:b/>
          <w:bCs/>
          <w:color w:val="auto"/>
          <w:kern w:val="0"/>
          <w:sz w:val="21"/>
          <w:szCs w:val="21"/>
          <w:lang w:val="zh-CN"/>
        </w:rPr>
        <w:t>、交货方式与风险承担：在货物移交给甲方并经甲方最终验收合格前，货物的毁损、灭失的风险和责任均由乙方承担。</w:t>
      </w:r>
    </w:p>
    <w:p w14:paraId="1489325E">
      <w:pPr>
        <w:widowControl w:val="0"/>
        <w:autoSpaceDE w:val="0"/>
        <w:autoSpaceDN w:val="0"/>
        <w:adjustRightInd w:val="0"/>
        <w:ind w:right="-26" w:firstLine="422" w:firstLineChars="200"/>
        <w:jc w:val="left"/>
        <w:rPr>
          <w:rFonts w:ascii="宋体" w:hAnsi="宋体" w:eastAsia="宋体" w:cs="Times New Roman"/>
          <w:b/>
          <w:bCs/>
          <w:color w:val="auto"/>
          <w:sz w:val="21"/>
          <w:szCs w:val="21"/>
          <w:lang w:val="zh-CN" w:eastAsia="zh-CN" w:bidi="ar-SA"/>
        </w:rPr>
      </w:pPr>
      <w:r>
        <w:rPr>
          <w:rFonts w:hint="eastAsia" w:ascii="宋体" w:hAnsi="宋体" w:eastAsia="宋体" w:cs="Times New Roman"/>
          <w:b/>
          <w:bCs/>
          <w:color w:val="auto"/>
          <w:sz w:val="21"/>
          <w:szCs w:val="21"/>
          <w:lang w:val="en-US" w:eastAsia="zh-CN" w:bidi="ar-SA"/>
        </w:rPr>
        <w:t>4、其余要求详见《投标文件》第XXX-XXX页。</w:t>
      </w:r>
    </w:p>
    <w:p w14:paraId="09EA3649">
      <w:pPr>
        <w:autoSpaceDE w:val="0"/>
        <w:autoSpaceDN w:val="0"/>
        <w:adjustRightInd w:val="0"/>
        <w:spacing w:line="360" w:lineRule="auto"/>
        <w:jc w:val="left"/>
        <w:outlineLvl w:val="1"/>
        <w:rPr>
          <w:rFonts w:ascii="宋体" w:hAnsi="宋体" w:eastAsia="宋体" w:cs="Times New Roman"/>
          <w:b/>
          <w:color w:val="auto"/>
          <w:kern w:val="0"/>
          <w:sz w:val="21"/>
          <w:szCs w:val="21"/>
        </w:rPr>
      </w:pPr>
      <w:bookmarkStart w:id="386" w:name="_Toc27516"/>
      <w:r>
        <w:rPr>
          <w:rFonts w:ascii="宋体" w:hAnsi="宋体" w:eastAsia="宋体" w:cs="Times New Roman"/>
          <w:b/>
          <w:color w:val="auto"/>
          <w:kern w:val="0"/>
          <w:sz w:val="21"/>
          <w:szCs w:val="21"/>
        </w:rPr>
        <w:t>第</w:t>
      </w:r>
      <w:r>
        <w:rPr>
          <w:rFonts w:hint="eastAsia" w:ascii="宋体" w:hAnsi="宋体" w:eastAsia="宋体" w:cs="Times New Roman"/>
          <w:b/>
          <w:color w:val="auto"/>
          <w:kern w:val="0"/>
          <w:sz w:val="21"/>
          <w:szCs w:val="21"/>
        </w:rPr>
        <w:t>五</w:t>
      </w:r>
      <w:r>
        <w:rPr>
          <w:rFonts w:ascii="宋体" w:hAnsi="宋体" w:eastAsia="宋体" w:cs="Times New Roman"/>
          <w:b/>
          <w:color w:val="auto"/>
          <w:kern w:val="0"/>
          <w:sz w:val="21"/>
          <w:szCs w:val="21"/>
        </w:rPr>
        <w:t>条</w:t>
      </w:r>
      <w:r>
        <w:rPr>
          <w:rFonts w:hint="eastAsia" w:ascii="宋体" w:hAnsi="宋体" w:eastAsia="宋体" w:cs="Times New Roman"/>
          <w:b/>
          <w:color w:val="auto"/>
          <w:kern w:val="0"/>
          <w:sz w:val="21"/>
          <w:szCs w:val="21"/>
        </w:rPr>
        <w:t xml:space="preserve"> 验收要求</w:t>
      </w:r>
      <w:bookmarkEnd w:id="386"/>
    </w:p>
    <w:p w14:paraId="224D5970">
      <w:pPr>
        <w:autoSpaceDE w:val="0"/>
        <w:autoSpaceDN w:val="0"/>
        <w:adjustRightInd w:val="0"/>
        <w:spacing w:line="360" w:lineRule="auto"/>
        <w:ind w:firstLine="420" w:firstLineChars="200"/>
        <w:jc w:val="left"/>
        <w:rPr>
          <w:rFonts w:hint="default" w:ascii="宋体" w:hAnsi="宋体" w:eastAsia="宋体" w:cs="宋体"/>
          <w:color w:val="auto"/>
          <w:kern w:val="2"/>
          <w:sz w:val="21"/>
          <w:szCs w:val="21"/>
          <w:lang w:val="en-US" w:eastAsia="zh-CN"/>
        </w:rPr>
      </w:pPr>
      <w:r>
        <w:rPr>
          <w:rFonts w:ascii="宋体" w:hAnsi="宋体" w:eastAsia="宋体" w:cs="宋体"/>
          <w:color w:val="auto"/>
          <w:kern w:val="2"/>
          <w:sz w:val="21"/>
          <w:szCs w:val="21"/>
        </w:rPr>
        <w:t>1</w:t>
      </w:r>
      <w:r>
        <w:rPr>
          <w:rFonts w:hint="eastAsia" w:ascii="宋体" w:hAnsi="宋体" w:eastAsia="宋体" w:cs="宋体"/>
          <w:color w:val="auto"/>
          <w:kern w:val="2"/>
          <w:sz w:val="21"/>
          <w:szCs w:val="21"/>
        </w:rPr>
        <w:t>、每次货物到达收货地点后，甲方各收货地联系人（含甲方委托的第三方）、乙方代表共同清点及验货，甲方应提供《到货验收单》（附件</w:t>
      </w:r>
      <w:r>
        <w:rPr>
          <w:rFonts w:hint="eastAsia" w:ascii="宋体" w:hAnsi="宋体" w:eastAsia="宋体" w:cs="宋体"/>
          <w:color w:val="auto"/>
          <w:kern w:val="2"/>
          <w:sz w:val="21"/>
          <w:szCs w:val="21"/>
          <w:lang w:val="en-US" w:eastAsia="zh-CN"/>
        </w:rPr>
        <w:t>5</w:t>
      </w:r>
      <w:r>
        <w:rPr>
          <w:rFonts w:hint="eastAsia" w:ascii="宋体" w:hAnsi="宋体" w:eastAsia="宋体" w:cs="宋体"/>
          <w:color w:val="auto"/>
          <w:kern w:val="2"/>
          <w:sz w:val="21"/>
          <w:szCs w:val="21"/>
        </w:rPr>
        <w:t>）。甲方按照合同及货物清单及《到货验收单》、国家相关法律法规以及规范的要求等相关的规定，对货物的品种、品牌、产地、规格型号、数量、外观质量、资料进行清点和全面的检验，并作详细的记录，验收完成后双方于《到货验收单》签字确认</w:t>
      </w:r>
      <w:r>
        <w:rPr>
          <w:rFonts w:hint="eastAsia" w:ascii="宋体" w:hAnsi="宋体" w:eastAsia="宋体" w:cs="宋体"/>
          <w:color w:val="auto"/>
          <w:kern w:val="2"/>
          <w:sz w:val="21"/>
          <w:szCs w:val="21"/>
          <w:lang w:eastAsia="zh-CN"/>
        </w:rPr>
        <w:t>。</w:t>
      </w:r>
      <w:r>
        <w:rPr>
          <w:rFonts w:hint="eastAsia" w:ascii="宋体" w:hAnsi="宋体" w:eastAsia="宋体" w:cs="宋体"/>
          <w:color w:val="auto"/>
          <w:kern w:val="2"/>
          <w:sz w:val="21"/>
          <w:szCs w:val="21"/>
          <w:lang w:val="en-US" w:eastAsia="zh-CN"/>
        </w:rPr>
        <w:t>以上甲方上级代表，即“东莞市水务集团有限公司”本部代表不定期抽查货品验收及履约评价环节。</w:t>
      </w:r>
    </w:p>
    <w:p w14:paraId="0FF6634D">
      <w:pPr>
        <w:autoSpaceDE w:val="0"/>
        <w:autoSpaceDN w:val="0"/>
        <w:adjustRightInd w:val="0"/>
        <w:spacing w:line="360" w:lineRule="auto"/>
        <w:ind w:firstLine="420" w:firstLineChars="200"/>
        <w:jc w:val="left"/>
        <w:rPr>
          <w:rFonts w:ascii="宋体" w:hAnsi="宋体" w:eastAsia="宋体" w:cs="宋体"/>
          <w:color w:val="auto"/>
          <w:kern w:val="2"/>
          <w:sz w:val="21"/>
          <w:szCs w:val="21"/>
        </w:rPr>
      </w:pPr>
      <w:r>
        <w:rPr>
          <w:rFonts w:hint="eastAsia" w:ascii="宋体" w:hAnsi="宋体" w:eastAsia="宋体" w:cs="宋体"/>
          <w:color w:val="auto"/>
          <w:kern w:val="2"/>
          <w:sz w:val="21"/>
          <w:szCs w:val="21"/>
        </w:rPr>
        <w:t>供货期内乙方需安排固定的代表人员</w:t>
      </w:r>
      <w:r>
        <w:rPr>
          <w:rFonts w:hint="eastAsia" w:ascii="宋体" w:hAnsi="宋体" w:eastAsia="宋体" w:cs="宋体"/>
          <w:color w:val="auto"/>
          <w:kern w:val="2"/>
          <w:sz w:val="21"/>
          <w:szCs w:val="21"/>
          <w:lang w:eastAsia="zh-CN"/>
        </w:rPr>
        <w:t>（</w:t>
      </w:r>
      <w:r>
        <w:rPr>
          <w:rFonts w:hint="eastAsia" w:ascii="宋体" w:hAnsi="宋体" w:eastAsia="宋体" w:cs="宋体"/>
          <w:color w:val="auto"/>
          <w:kern w:val="2"/>
          <w:sz w:val="21"/>
          <w:szCs w:val="21"/>
          <w:lang w:val="en-US" w:eastAsia="zh-CN"/>
        </w:rPr>
        <w:t>固定</w:t>
      </w:r>
      <w:r>
        <w:rPr>
          <w:rFonts w:hint="eastAsia" w:ascii="宋体" w:hAnsi="宋体" w:eastAsia="宋体" w:cs="宋体"/>
          <w:color w:val="auto"/>
          <w:kern w:val="2"/>
          <w:sz w:val="21"/>
          <w:szCs w:val="21"/>
        </w:rPr>
        <w:t>代表人员的姓名</w:t>
      </w:r>
      <w:r>
        <w:rPr>
          <w:rFonts w:hint="eastAsia" w:ascii="宋体" w:hAnsi="宋体" w:eastAsia="宋体" w:cs="宋体"/>
          <w:color w:val="auto"/>
          <w:kern w:val="2"/>
          <w:sz w:val="21"/>
          <w:szCs w:val="21"/>
          <w:lang w:eastAsia="zh-CN"/>
        </w:rPr>
        <w:t>：</w:t>
      </w:r>
      <w:r>
        <w:rPr>
          <w:rFonts w:hint="eastAsia" w:ascii="宋体" w:hAnsi="宋体" w:eastAsia="宋体" w:cs="宋体"/>
          <w:color w:val="auto"/>
          <w:kern w:val="2"/>
          <w:sz w:val="21"/>
          <w:szCs w:val="21"/>
          <w:lang w:val="en-US" w:eastAsia="zh-CN"/>
        </w:rPr>
        <w:t>XXX</w:t>
      </w:r>
      <w:r>
        <w:rPr>
          <w:rFonts w:hint="eastAsia" w:ascii="宋体" w:hAnsi="宋体" w:eastAsia="宋体" w:cs="宋体"/>
          <w:color w:val="auto"/>
          <w:kern w:val="2"/>
          <w:sz w:val="21"/>
          <w:szCs w:val="21"/>
        </w:rPr>
        <w:t>、职务</w:t>
      </w:r>
      <w:r>
        <w:rPr>
          <w:rFonts w:hint="eastAsia" w:ascii="宋体" w:hAnsi="宋体" w:eastAsia="宋体" w:cs="宋体"/>
          <w:color w:val="auto"/>
          <w:kern w:val="2"/>
          <w:sz w:val="21"/>
          <w:szCs w:val="21"/>
          <w:lang w:eastAsia="zh-CN"/>
        </w:rPr>
        <w:t>：</w:t>
      </w:r>
      <w:r>
        <w:rPr>
          <w:rFonts w:hint="eastAsia" w:ascii="宋体" w:hAnsi="宋体" w:eastAsia="宋体" w:cs="宋体"/>
          <w:color w:val="auto"/>
          <w:kern w:val="2"/>
          <w:sz w:val="21"/>
          <w:szCs w:val="21"/>
          <w:lang w:val="en-US" w:eastAsia="zh-CN"/>
        </w:rPr>
        <w:t>XXX</w:t>
      </w:r>
      <w:r>
        <w:rPr>
          <w:rFonts w:hint="eastAsia" w:ascii="宋体" w:hAnsi="宋体" w:eastAsia="宋体" w:cs="宋体"/>
          <w:color w:val="auto"/>
          <w:kern w:val="2"/>
          <w:sz w:val="21"/>
          <w:szCs w:val="21"/>
        </w:rPr>
        <w:t>、联系方式信息</w:t>
      </w:r>
      <w:r>
        <w:rPr>
          <w:rFonts w:hint="eastAsia" w:ascii="宋体" w:hAnsi="宋体" w:eastAsia="宋体" w:cs="宋体"/>
          <w:color w:val="auto"/>
          <w:kern w:val="2"/>
          <w:sz w:val="21"/>
          <w:szCs w:val="21"/>
          <w:lang w:eastAsia="zh-CN"/>
        </w:rPr>
        <w:t>：</w:t>
      </w:r>
      <w:r>
        <w:rPr>
          <w:rFonts w:hint="eastAsia" w:ascii="宋体" w:hAnsi="宋体" w:eastAsia="宋体" w:cs="宋体"/>
          <w:color w:val="auto"/>
          <w:kern w:val="2"/>
          <w:sz w:val="21"/>
          <w:szCs w:val="21"/>
          <w:lang w:val="en-US" w:eastAsia="zh-CN"/>
        </w:rPr>
        <w:t>13XXXXXXXX</w:t>
      </w:r>
      <w:r>
        <w:rPr>
          <w:rFonts w:hint="eastAsia" w:ascii="宋体" w:hAnsi="宋体" w:eastAsia="宋体" w:cs="宋体"/>
          <w:color w:val="auto"/>
          <w:kern w:val="2"/>
          <w:sz w:val="21"/>
          <w:szCs w:val="21"/>
          <w:lang w:eastAsia="zh-CN"/>
        </w:rPr>
        <w:t>）</w:t>
      </w:r>
      <w:r>
        <w:rPr>
          <w:rFonts w:hint="eastAsia" w:ascii="宋体" w:hAnsi="宋体" w:eastAsia="宋体" w:cs="宋体"/>
          <w:color w:val="auto"/>
          <w:kern w:val="2"/>
          <w:sz w:val="21"/>
          <w:szCs w:val="21"/>
        </w:rPr>
        <w:t>与甲方对接，服务期间乙方不得随意变更其代表人员，如乙方需变更其代表人员的，应当在下一次供货前【3】日内将书面的变更申请提交至甲方。否则甲方有权依据本合同项下乙方代表人员名单对相关货物进行检验或确认，由此产生的责任均由乙方自行承担。</w:t>
      </w:r>
    </w:p>
    <w:p w14:paraId="28CB0723">
      <w:pPr>
        <w:autoSpaceDE w:val="0"/>
        <w:autoSpaceDN w:val="0"/>
        <w:adjustRightInd w:val="0"/>
        <w:spacing w:line="360" w:lineRule="auto"/>
        <w:ind w:firstLine="420" w:firstLineChars="200"/>
        <w:jc w:val="left"/>
        <w:rPr>
          <w:rFonts w:ascii="宋体" w:hAnsi="宋体" w:eastAsia="宋体" w:cs="宋体"/>
          <w:color w:val="auto"/>
          <w:kern w:val="2"/>
          <w:sz w:val="21"/>
          <w:szCs w:val="21"/>
        </w:rPr>
      </w:pPr>
      <w:r>
        <w:rPr>
          <w:rFonts w:ascii="宋体" w:hAnsi="宋体" w:eastAsia="宋体" w:cs="宋体"/>
          <w:color w:val="auto"/>
          <w:kern w:val="2"/>
          <w:sz w:val="21"/>
          <w:szCs w:val="21"/>
        </w:rPr>
        <w:t>2</w:t>
      </w:r>
      <w:r>
        <w:rPr>
          <w:rFonts w:hint="eastAsia" w:ascii="宋体" w:hAnsi="宋体" w:eastAsia="宋体" w:cs="宋体"/>
          <w:color w:val="auto"/>
          <w:kern w:val="2"/>
          <w:sz w:val="21"/>
          <w:szCs w:val="21"/>
        </w:rPr>
        <w:t>、乙方的货物应当按照甲方要求送到指定的地点，由于使用第三方送货服务导致货物未能经过双方共同验收、未送到指定地点的，甲方有权拒绝收货。</w:t>
      </w:r>
    </w:p>
    <w:p w14:paraId="7CB7234F">
      <w:pPr>
        <w:autoSpaceDE w:val="0"/>
        <w:autoSpaceDN w:val="0"/>
        <w:adjustRightInd w:val="0"/>
        <w:spacing w:line="360" w:lineRule="auto"/>
        <w:ind w:firstLine="420" w:firstLineChars="200"/>
        <w:jc w:val="left"/>
        <w:rPr>
          <w:rFonts w:ascii="宋体" w:hAnsi="宋体" w:eastAsia="宋体" w:cs="宋体"/>
          <w:color w:val="auto"/>
          <w:kern w:val="2"/>
          <w:sz w:val="21"/>
          <w:szCs w:val="21"/>
        </w:rPr>
      </w:pPr>
      <w:r>
        <w:rPr>
          <w:rFonts w:ascii="宋体" w:hAnsi="宋体" w:eastAsia="宋体" w:cs="宋体"/>
          <w:color w:val="auto"/>
          <w:kern w:val="2"/>
          <w:sz w:val="21"/>
          <w:szCs w:val="21"/>
        </w:rPr>
        <w:t>3</w:t>
      </w:r>
      <w:r>
        <w:rPr>
          <w:rFonts w:hint="eastAsia" w:ascii="宋体" w:hAnsi="宋体" w:eastAsia="宋体" w:cs="宋体"/>
          <w:color w:val="auto"/>
          <w:kern w:val="2"/>
          <w:sz w:val="21"/>
          <w:szCs w:val="21"/>
        </w:rPr>
        <w:t>、未经甲方同意，乙方或乙方委托的第三方送货服务仅将货物放置在门口/门卫室，而没有送货至甲方指定的地点的，视为乙方未履行送货义务，甲方有权拒绝接收货物且不予支付货款。上述情况下甲方不负保管责任，货物未按照甲方要求放置而造成的损毁、灭失风险概由乙方承担。</w:t>
      </w:r>
    </w:p>
    <w:p w14:paraId="40B753F0">
      <w:pPr>
        <w:autoSpaceDE w:val="0"/>
        <w:autoSpaceDN w:val="0"/>
        <w:adjustRightInd w:val="0"/>
        <w:spacing w:line="360" w:lineRule="auto"/>
        <w:ind w:firstLine="420" w:firstLineChars="200"/>
        <w:jc w:val="left"/>
        <w:rPr>
          <w:rFonts w:ascii="宋体" w:hAnsi="宋体" w:eastAsia="宋体" w:cs="宋体"/>
          <w:color w:val="auto"/>
          <w:kern w:val="2"/>
          <w:sz w:val="21"/>
          <w:szCs w:val="21"/>
        </w:rPr>
      </w:pPr>
      <w:r>
        <w:rPr>
          <w:rFonts w:ascii="宋体" w:hAnsi="宋体" w:eastAsia="宋体" w:cs="宋体"/>
          <w:color w:val="auto"/>
          <w:kern w:val="2"/>
          <w:sz w:val="21"/>
          <w:szCs w:val="21"/>
        </w:rPr>
        <w:t>4</w:t>
      </w:r>
      <w:r>
        <w:rPr>
          <w:rFonts w:hint="eastAsia" w:ascii="宋体" w:hAnsi="宋体" w:eastAsia="宋体" w:cs="宋体"/>
          <w:color w:val="auto"/>
          <w:kern w:val="2"/>
          <w:sz w:val="21"/>
          <w:szCs w:val="21"/>
        </w:rPr>
        <w:t>、若乙方所提供的货物是国外制造的，应提供原产地证书、报关资料等必备证明资料。根据法律法规的规定，在货物入境过程中需要实施检验检疫的入境商品，经入境管理部门检验后，如有相关证明的，乙方应提供入境货物检验检疫证明。</w:t>
      </w:r>
    </w:p>
    <w:p w14:paraId="170B3052">
      <w:pPr>
        <w:autoSpaceDE w:val="0"/>
        <w:autoSpaceDN w:val="0"/>
        <w:adjustRightInd w:val="0"/>
        <w:spacing w:line="360" w:lineRule="auto"/>
        <w:ind w:firstLine="420" w:firstLineChars="200"/>
        <w:jc w:val="left"/>
        <w:rPr>
          <w:rFonts w:ascii="宋体" w:hAnsi="宋体" w:eastAsia="宋体" w:cs="宋体"/>
          <w:color w:val="auto"/>
          <w:kern w:val="2"/>
          <w:sz w:val="21"/>
          <w:szCs w:val="21"/>
        </w:rPr>
      </w:pPr>
      <w:r>
        <w:rPr>
          <w:rFonts w:ascii="宋体" w:hAnsi="宋体" w:eastAsia="宋体" w:cs="宋体"/>
          <w:color w:val="auto"/>
          <w:kern w:val="2"/>
          <w:sz w:val="21"/>
          <w:szCs w:val="21"/>
        </w:rPr>
        <w:t>5</w:t>
      </w:r>
      <w:r>
        <w:rPr>
          <w:rFonts w:hint="eastAsia" w:ascii="宋体" w:hAnsi="宋体" w:eastAsia="宋体" w:cs="宋体"/>
          <w:color w:val="auto"/>
          <w:kern w:val="2"/>
          <w:sz w:val="21"/>
          <w:szCs w:val="21"/>
        </w:rPr>
        <w:t>、如发现货物的品种、规格型号、数量、外观质量、品牌与合同及供货清单不符，或货物短缺、质次、损坏等问题，应作详细记录，且甲方有权拒绝收货及拒绝付款，乙方应在收到甲方通知后【3】日内，无条件为甲方免费更换、补齐或无条件退货，更换或补齐后的货物，甲方有权按照本条有关验收的约定进行验收，由此产生的制造、修理、运费及保险费等费用均应由乙方承担，与甲方无关。</w:t>
      </w:r>
    </w:p>
    <w:p w14:paraId="7E001476">
      <w:pPr>
        <w:autoSpaceDE w:val="0"/>
        <w:autoSpaceDN w:val="0"/>
        <w:adjustRightInd w:val="0"/>
        <w:spacing w:line="360" w:lineRule="auto"/>
        <w:ind w:firstLine="420" w:firstLineChars="200"/>
        <w:jc w:val="left"/>
        <w:rPr>
          <w:rFonts w:ascii="宋体" w:hAnsi="宋体" w:eastAsia="宋体" w:cs="宋体"/>
          <w:color w:val="auto"/>
          <w:kern w:val="2"/>
          <w:sz w:val="21"/>
          <w:szCs w:val="21"/>
        </w:rPr>
      </w:pPr>
      <w:r>
        <w:rPr>
          <w:rFonts w:ascii="宋体" w:hAnsi="宋体" w:eastAsia="宋体" w:cs="宋体"/>
          <w:color w:val="auto"/>
          <w:kern w:val="2"/>
          <w:sz w:val="21"/>
          <w:szCs w:val="21"/>
        </w:rPr>
        <w:t>6</w:t>
      </w:r>
      <w:r>
        <w:rPr>
          <w:rFonts w:hint="eastAsia" w:ascii="宋体" w:hAnsi="宋体" w:eastAsia="宋体" w:cs="宋体"/>
          <w:color w:val="auto"/>
          <w:kern w:val="2"/>
          <w:sz w:val="21"/>
          <w:szCs w:val="21"/>
        </w:rPr>
        <w:t xml:space="preserve">、由于非甲方原因而引起货物的修理或更换的，应以不影响甲方生产为原则，且修理或更换应在甲方许可的时限内完成。交接并验收合格后，乙方向甲方出具相关签收手续。 </w:t>
      </w:r>
    </w:p>
    <w:p w14:paraId="2D770B79">
      <w:pPr>
        <w:autoSpaceDE w:val="0"/>
        <w:autoSpaceDN w:val="0"/>
        <w:adjustRightInd w:val="0"/>
        <w:spacing w:line="360" w:lineRule="auto"/>
        <w:ind w:firstLine="420" w:firstLineChars="200"/>
        <w:jc w:val="left"/>
        <w:rPr>
          <w:rFonts w:ascii="宋体" w:hAnsi="宋体" w:eastAsia="宋体" w:cs="宋体"/>
          <w:color w:val="auto"/>
          <w:kern w:val="2"/>
          <w:sz w:val="21"/>
          <w:szCs w:val="21"/>
        </w:rPr>
      </w:pPr>
      <w:r>
        <w:rPr>
          <w:rFonts w:ascii="宋体" w:hAnsi="宋体" w:eastAsia="宋体" w:cs="宋体"/>
          <w:color w:val="auto"/>
          <w:kern w:val="2"/>
          <w:sz w:val="21"/>
          <w:szCs w:val="21"/>
        </w:rPr>
        <w:t>7</w:t>
      </w:r>
      <w:r>
        <w:rPr>
          <w:rFonts w:hint="eastAsia" w:ascii="宋体" w:hAnsi="宋体" w:eastAsia="宋体" w:cs="宋体"/>
          <w:color w:val="auto"/>
          <w:kern w:val="2"/>
          <w:sz w:val="21"/>
          <w:szCs w:val="21"/>
        </w:rPr>
        <w:t>、货物经验收合格后，乙方仍应在质保期内对产品质量承担保证责任。</w:t>
      </w:r>
    </w:p>
    <w:p w14:paraId="6E045EEC">
      <w:pPr>
        <w:autoSpaceDE w:val="0"/>
        <w:autoSpaceDN w:val="0"/>
        <w:adjustRightInd w:val="0"/>
        <w:spacing w:line="360" w:lineRule="auto"/>
        <w:ind w:firstLine="420" w:firstLineChars="200"/>
        <w:jc w:val="left"/>
        <w:rPr>
          <w:rFonts w:ascii="宋体" w:hAnsi="宋体" w:eastAsia="宋体" w:cs="宋体"/>
          <w:color w:val="auto"/>
          <w:kern w:val="2"/>
          <w:sz w:val="21"/>
          <w:szCs w:val="21"/>
        </w:rPr>
      </w:pPr>
      <w:r>
        <w:rPr>
          <w:rFonts w:ascii="宋体" w:hAnsi="宋体" w:eastAsia="宋体" w:cs="宋体"/>
          <w:color w:val="auto"/>
          <w:kern w:val="2"/>
          <w:sz w:val="21"/>
          <w:szCs w:val="21"/>
        </w:rPr>
        <w:t>8</w:t>
      </w:r>
      <w:r>
        <w:rPr>
          <w:rFonts w:hint="eastAsia" w:ascii="宋体" w:hAnsi="宋体" w:eastAsia="宋体" w:cs="宋体"/>
          <w:color w:val="auto"/>
          <w:kern w:val="2"/>
          <w:sz w:val="21"/>
          <w:szCs w:val="21"/>
        </w:rPr>
        <w:t>、甲方根据本项目验收要求的约定对货物所做出的验收，仅作为付款及起算质保期之用，不视为甲方对于货物质量的最终认定。</w:t>
      </w:r>
    </w:p>
    <w:p w14:paraId="642DC8AE">
      <w:pPr>
        <w:autoSpaceDE w:val="0"/>
        <w:autoSpaceDN w:val="0"/>
        <w:adjustRightInd w:val="0"/>
        <w:spacing w:line="360" w:lineRule="auto"/>
        <w:ind w:firstLine="420" w:firstLineChars="200"/>
        <w:jc w:val="left"/>
        <w:rPr>
          <w:rFonts w:ascii="宋体" w:hAnsi="宋体" w:eastAsia="宋体" w:cs="宋体"/>
          <w:color w:val="auto"/>
          <w:kern w:val="2"/>
          <w:sz w:val="21"/>
          <w:szCs w:val="21"/>
        </w:rPr>
      </w:pPr>
      <w:r>
        <w:rPr>
          <w:rFonts w:ascii="宋体" w:hAnsi="宋体" w:eastAsia="宋体" w:cs="宋体"/>
          <w:color w:val="auto"/>
          <w:kern w:val="2"/>
          <w:sz w:val="21"/>
          <w:szCs w:val="21"/>
        </w:rPr>
        <w:t>9</w:t>
      </w:r>
      <w:r>
        <w:rPr>
          <w:rFonts w:hint="eastAsia" w:ascii="宋体" w:hAnsi="宋体" w:eastAsia="宋体" w:cs="宋体"/>
          <w:color w:val="auto"/>
          <w:kern w:val="2"/>
          <w:sz w:val="21"/>
          <w:szCs w:val="21"/>
        </w:rPr>
        <w:t>、货物在全部经甲方各地区验收合格前，其损耗、毁损、灭失等风险及责任由乙方承担，如因发生前述情形，导致乙方所供应的货物不能通过甲方验收的，乙方应按甲方各地区要求予以免费更换、补齐或无条件退货。</w:t>
      </w:r>
    </w:p>
    <w:p w14:paraId="3B4A582F">
      <w:pPr>
        <w:autoSpaceDE w:val="0"/>
        <w:autoSpaceDN w:val="0"/>
        <w:adjustRightInd w:val="0"/>
        <w:spacing w:line="360" w:lineRule="auto"/>
        <w:ind w:firstLine="420" w:firstLineChars="200"/>
        <w:jc w:val="left"/>
        <w:rPr>
          <w:rFonts w:ascii="宋体" w:hAnsi="宋体" w:eastAsia="宋体" w:cs="Times New Roman"/>
          <w:color w:val="auto"/>
          <w:kern w:val="0"/>
          <w:sz w:val="21"/>
          <w:szCs w:val="21"/>
        </w:rPr>
      </w:pPr>
      <w:r>
        <w:rPr>
          <w:rFonts w:ascii="宋体" w:hAnsi="宋体" w:eastAsia="宋体" w:cs="宋体"/>
          <w:color w:val="auto"/>
          <w:kern w:val="2"/>
          <w:sz w:val="21"/>
          <w:szCs w:val="21"/>
        </w:rPr>
        <w:t>10</w:t>
      </w:r>
      <w:r>
        <w:rPr>
          <w:rFonts w:hint="eastAsia" w:ascii="宋体" w:hAnsi="宋体" w:eastAsia="宋体" w:cs="宋体"/>
          <w:color w:val="auto"/>
          <w:kern w:val="2"/>
          <w:sz w:val="21"/>
          <w:szCs w:val="21"/>
        </w:rPr>
        <w:t>、验收过程中，如对检验记录不能取得一致意见时，一方可委托货物交付地有资质的第三方检验机构联合进行检验。检验结果具有约束力，检验费用由责任方承担。</w:t>
      </w:r>
    </w:p>
    <w:p w14:paraId="6D2BCD8D">
      <w:pPr>
        <w:autoSpaceDE w:val="0"/>
        <w:autoSpaceDN w:val="0"/>
        <w:adjustRightInd w:val="0"/>
        <w:spacing w:line="360" w:lineRule="auto"/>
        <w:ind w:firstLine="422" w:firstLineChars="200"/>
        <w:jc w:val="left"/>
        <w:rPr>
          <w:rFonts w:ascii="宋体" w:hAnsi="宋体" w:eastAsia="宋体" w:cs="Times New Roman"/>
          <w:b/>
          <w:color w:val="auto"/>
          <w:kern w:val="0"/>
          <w:sz w:val="21"/>
          <w:szCs w:val="21"/>
        </w:rPr>
      </w:pPr>
    </w:p>
    <w:p w14:paraId="2FB43341">
      <w:pPr>
        <w:autoSpaceDE w:val="0"/>
        <w:autoSpaceDN w:val="0"/>
        <w:adjustRightInd w:val="0"/>
        <w:spacing w:line="360" w:lineRule="auto"/>
        <w:jc w:val="left"/>
        <w:outlineLvl w:val="1"/>
        <w:rPr>
          <w:rFonts w:ascii="宋体" w:hAnsi="宋体" w:eastAsia="宋体" w:cs="Times New Roman"/>
          <w:b/>
          <w:color w:val="auto"/>
          <w:kern w:val="0"/>
          <w:sz w:val="21"/>
          <w:szCs w:val="21"/>
        </w:rPr>
      </w:pPr>
      <w:bookmarkStart w:id="387" w:name="_Toc28041"/>
      <w:r>
        <w:rPr>
          <w:rFonts w:hint="eastAsia" w:ascii="宋体" w:hAnsi="宋体" w:eastAsia="宋体" w:cs="Times New Roman"/>
          <w:b/>
          <w:color w:val="auto"/>
          <w:kern w:val="0"/>
          <w:sz w:val="21"/>
          <w:szCs w:val="21"/>
        </w:rPr>
        <w:t>第六条 综合单价、暂定合同价</w:t>
      </w:r>
      <w:r>
        <w:rPr>
          <w:rFonts w:ascii="宋体" w:hAnsi="宋体" w:eastAsia="宋体" w:cs="Times New Roman"/>
          <w:b/>
          <w:color w:val="auto"/>
          <w:kern w:val="0"/>
          <w:sz w:val="21"/>
          <w:szCs w:val="21"/>
        </w:rPr>
        <w:t>及付款方式</w:t>
      </w:r>
      <w:bookmarkEnd w:id="387"/>
    </w:p>
    <w:p w14:paraId="785A8A6F">
      <w:pPr>
        <w:autoSpaceDE w:val="0"/>
        <w:autoSpaceDN w:val="0"/>
        <w:adjustRightInd w:val="0"/>
        <w:spacing w:line="360" w:lineRule="auto"/>
        <w:ind w:firstLine="420" w:firstLineChars="200"/>
        <w:jc w:val="left"/>
        <w:rPr>
          <w:rFonts w:ascii="宋体" w:hAnsi="宋体" w:eastAsia="宋体" w:cs="仿宋_GB2312"/>
          <w:color w:val="auto"/>
          <w:kern w:val="0"/>
          <w:sz w:val="21"/>
          <w:szCs w:val="21"/>
        </w:rPr>
      </w:pPr>
      <w:r>
        <w:rPr>
          <w:rFonts w:ascii="宋体" w:hAnsi="宋体" w:eastAsia="宋体" w:cs="仿宋_GB2312"/>
          <w:color w:val="auto"/>
          <w:kern w:val="0"/>
          <w:sz w:val="21"/>
          <w:szCs w:val="21"/>
        </w:rPr>
        <w:t>1、</w:t>
      </w:r>
      <w:r>
        <w:rPr>
          <w:rFonts w:hint="eastAsia" w:ascii="宋体" w:hAnsi="宋体" w:eastAsia="宋体" w:cs="仿宋_GB2312"/>
          <w:color w:val="auto"/>
          <w:kern w:val="0"/>
          <w:sz w:val="21"/>
          <w:szCs w:val="21"/>
        </w:rPr>
        <w:t>本合同价采用折扣系数，本项目执行的中标折扣系数为：</w:t>
      </w:r>
      <w:r>
        <w:rPr>
          <w:rFonts w:ascii="宋体" w:hAnsi="宋体" w:eastAsia="宋体" w:cs="仿宋_GB2312"/>
          <w:color w:val="auto"/>
          <w:kern w:val="0"/>
          <w:sz w:val="21"/>
          <w:szCs w:val="21"/>
          <w:u w:val="single"/>
        </w:rPr>
        <w:t xml:space="preserve"> </w:t>
      </w:r>
      <w:r>
        <w:rPr>
          <w:rFonts w:hint="eastAsia" w:ascii="宋体" w:hAnsi="宋体" w:eastAsia="宋体" w:cs="仿宋_GB2312"/>
          <w:color w:val="auto"/>
          <w:kern w:val="0"/>
          <w:sz w:val="21"/>
          <w:szCs w:val="21"/>
          <w:u w:val="single"/>
          <w:lang w:val="en-US" w:eastAsia="zh-CN"/>
        </w:rPr>
        <w:tab/>
      </w:r>
      <w:r>
        <w:rPr>
          <w:rFonts w:hint="eastAsia" w:ascii="宋体" w:hAnsi="宋体" w:eastAsia="宋体" w:cs="仿宋_GB2312"/>
          <w:color w:val="auto"/>
          <w:kern w:val="0"/>
          <w:sz w:val="21"/>
          <w:szCs w:val="21"/>
          <w:u w:val="single"/>
          <w:lang w:val="en-US" w:eastAsia="zh-CN"/>
        </w:rPr>
        <w:tab/>
      </w:r>
      <w:r>
        <w:rPr>
          <w:rFonts w:ascii="宋体" w:hAnsi="宋体" w:eastAsia="宋体" w:cs="仿宋_GB2312"/>
          <w:color w:val="auto"/>
          <w:kern w:val="0"/>
          <w:sz w:val="21"/>
          <w:szCs w:val="21"/>
          <w:u w:val="single"/>
        </w:rPr>
        <w:t xml:space="preserve"> </w:t>
      </w:r>
      <w:r>
        <w:rPr>
          <w:rFonts w:hint="eastAsia" w:ascii="宋体" w:hAnsi="宋体" w:eastAsia="宋体" w:cs="仿宋_GB2312"/>
          <w:color w:val="auto"/>
          <w:kern w:val="0"/>
          <w:sz w:val="21"/>
          <w:szCs w:val="21"/>
        </w:rPr>
        <w:t>。合同履约过程中，采购清单中不含税中标综合单价按以下方式计算：不含税中标综合单价=不含税全费用综合单价×中标折扣系数，以实际供货数量进行结算，不含税中标综合单价出现小数点，保留小数点后两位，从小数点后第3位四舍五入。具体报价详见附件</w:t>
      </w:r>
      <w:r>
        <w:rPr>
          <w:rFonts w:hint="eastAsia" w:ascii="宋体" w:hAnsi="宋体" w:eastAsia="宋体" w:cs="仿宋_GB2312"/>
          <w:color w:val="auto"/>
          <w:kern w:val="0"/>
          <w:sz w:val="21"/>
          <w:szCs w:val="21"/>
          <w:lang w:val="en-US" w:eastAsia="zh-CN"/>
        </w:rPr>
        <w:t>3</w:t>
      </w:r>
      <w:r>
        <w:rPr>
          <w:rFonts w:hint="eastAsia" w:ascii="宋体" w:hAnsi="宋体" w:eastAsia="宋体" w:cs="仿宋_GB2312"/>
          <w:color w:val="auto"/>
          <w:kern w:val="0"/>
          <w:sz w:val="21"/>
          <w:szCs w:val="21"/>
        </w:rPr>
        <w:t>《采购清单及价格表》</w:t>
      </w:r>
      <w:r>
        <w:rPr>
          <w:rFonts w:hint="eastAsia" w:ascii="宋体" w:hAnsi="宋体" w:eastAsia="宋体" w:cs="宋体"/>
          <w:color w:val="auto"/>
          <w:kern w:val="0"/>
          <w:sz w:val="21"/>
          <w:szCs w:val="21"/>
        </w:rPr>
        <w:t>，</w:t>
      </w:r>
      <w:r>
        <w:rPr>
          <w:rFonts w:hint="eastAsia" w:ascii="宋体" w:hAnsi="宋体" w:eastAsia="宋体" w:cs="仿宋_GB2312"/>
          <w:color w:val="auto"/>
          <w:kern w:val="0"/>
          <w:sz w:val="21"/>
          <w:szCs w:val="21"/>
        </w:rPr>
        <w:t>对应招标时暂列采购数量清单计算的暂定合同价（即销售额，不含销项税额）为¥</w:t>
      </w:r>
      <w:r>
        <w:rPr>
          <w:rFonts w:ascii="宋体" w:hAnsi="宋体" w:eastAsia="宋体" w:cs="仿宋_GB2312"/>
          <w:color w:val="auto"/>
          <w:kern w:val="0"/>
          <w:sz w:val="21"/>
          <w:szCs w:val="21"/>
          <w:u w:val="single"/>
        </w:rPr>
        <w:t xml:space="preserve"> </w:t>
      </w:r>
      <w:r>
        <w:rPr>
          <w:rFonts w:hint="eastAsia" w:ascii="宋体" w:hAnsi="宋体" w:eastAsia="宋体" w:cs="仿宋_GB2312"/>
          <w:color w:val="auto"/>
          <w:kern w:val="0"/>
          <w:sz w:val="21"/>
          <w:szCs w:val="21"/>
          <w:u w:val="single"/>
          <w:lang w:val="en-US" w:eastAsia="zh-CN"/>
        </w:rPr>
        <w:t xml:space="preserve">XXXXXXXXX </w:t>
      </w:r>
      <w:r>
        <w:rPr>
          <w:rFonts w:hint="eastAsia" w:ascii="宋体" w:hAnsi="宋体" w:eastAsia="宋体" w:cs="仿宋_GB2312"/>
          <w:color w:val="auto"/>
          <w:kern w:val="0"/>
          <w:sz w:val="21"/>
          <w:szCs w:val="21"/>
        </w:rPr>
        <w:t>元（大写人民币</w:t>
      </w:r>
      <w:r>
        <w:rPr>
          <w:rFonts w:ascii="宋体" w:hAnsi="宋体" w:eastAsia="宋体" w:cs="仿宋_GB2312"/>
          <w:color w:val="auto"/>
          <w:kern w:val="0"/>
          <w:sz w:val="21"/>
          <w:szCs w:val="21"/>
          <w:u w:val="single"/>
        </w:rPr>
        <w:t xml:space="preserve"> </w:t>
      </w:r>
      <w:r>
        <w:rPr>
          <w:rFonts w:hint="eastAsia" w:ascii="宋体" w:hAnsi="宋体" w:eastAsia="宋体" w:cs="仿宋_GB2312"/>
          <w:color w:val="auto"/>
          <w:kern w:val="0"/>
          <w:sz w:val="21"/>
          <w:szCs w:val="21"/>
          <w:u w:val="single"/>
          <w:lang w:val="en-US" w:eastAsia="zh-CN"/>
        </w:rPr>
        <w:t>XXXXXXXXXXXXXXXX</w:t>
      </w:r>
      <w:r>
        <w:rPr>
          <w:rFonts w:ascii="宋体" w:hAnsi="宋体" w:eastAsia="宋体" w:cs="仿宋_GB2312"/>
          <w:color w:val="auto"/>
          <w:kern w:val="0"/>
          <w:sz w:val="21"/>
          <w:szCs w:val="21"/>
          <w:u w:val="single"/>
        </w:rPr>
        <w:t xml:space="preserve"> </w:t>
      </w:r>
      <w:r>
        <w:rPr>
          <w:rFonts w:hint="eastAsia" w:ascii="宋体" w:hAnsi="宋体" w:eastAsia="宋体" w:cs="仿宋_GB2312"/>
          <w:color w:val="auto"/>
          <w:kern w:val="0"/>
          <w:sz w:val="21"/>
          <w:szCs w:val="21"/>
        </w:rPr>
        <w:t>）。</w:t>
      </w:r>
    </w:p>
    <w:p w14:paraId="35F06C3F">
      <w:pPr>
        <w:autoSpaceDE w:val="0"/>
        <w:autoSpaceDN w:val="0"/>
        <w:adjustRightInd w:val="0"/>
        <w:spacing w:line="360" w:lineRule="auto"/>
        <w:ind w:firstLine="420" w:firstLineChars="200"/>
        <w:jc w:val="left"/>
        <w:rPr>
          <w:rFonts w:ascii="宋体" w:hAnsi="宋体" w:eastAsia="宋体" w:cs="仿宋_GB2312"/>
          <w:color w:val="auto"/>
          <w:kern w:val="0"/>
          <w:sz w:val="21"/>
          <w:szCs w:val="21"/>
        </w:rPr>
      </w:pPr>
      <w:r>
        <w:rPr>
          <w:rFonts w:ascii="宋体" w:hAnsi="宋体" w:eastAsia="宋体" w:cs="仿宋_GB2312"/>
          <w:color w:val="auto"/>
          <w:kern w:val="0"/>
          <w:sz w:val="21"/>
          <w:szCs w:val="21"/>
        </w:rPr>
        <w:t>2、</w:t>
      </w:r>
      <w:r>
        <w:rPr>
          <w:rFonts w:hint="eastAsia" w:ascii="宋体" w:hAnsi="宋体" w:eastAsia="宋体" w:cs="仿宋_GB2312"/>
          <w:color w:val="auto"/>
          <w:kern w:val="0"/>
          <w:sz w:val="21"/>
          <w:szCs w:val="21"/>
        </w:rPr>
        <w:t>依法计得并根据本合同约定确定的销项税额由甲方承担。根据《中华人民共和国增值税暂行条例》（国务院令第</w:t>
      </w:r>
      <w:r>
        <w:rPr>
          <w:rFonts w:ascii="宋体" w:hAnsi="宋体" w:eastAsia="宋体" w:cs="仿宋_GB2312"/>
          <w:color w:val="auto"/>
          <w:kern w:val="0"/>
          <w:sz w:val="21"/>
          <w:szCs w:val="21"/>
        </w:rPr>
        <w:t>691号修订版）及当前税务部门的相关规定，本合同项目的增值税税率为</w:t>
      </w:r>
      <w:r>
        <w:rPr>
          <w:rFonts w:hint="eastAsia" w:ascii="宋体" w:hAnsi="宋体" w:eastAsia="宋体" w:cs="仿宋_GB2312"/>
          <w:color w:val="auto"/>
          <w:kern w:val="0"/>
          <w:sz w:val="21"/>
          <w:szCs w:val="21"/>
          <w:u w:val="single"/>
          <w:lang w:val="en-US" w:eastAsia="zh-CN"/>
        </w:rPr>
        <w:t xml:space="preserve"> XX </w:t>
      </w:r>
      <w:r>
        <w:rPr>
          <w:rFonts w:ascii="宋体" w:hAnsi="宋体" w:eastAsia="宋体" w:cs="仿宋_GB2312"/>
          <w:color w:val="auto"/>
          <w:kern w:val="0"/>
          <w:sz w:val="21"/>
          <w:szCs w:val="21"/>
        </w:rPr>
        <w:t>%</w:t>
      </w:r>
      <w:r>
        <w:rPr>
          <w:rFonts w:hint="eastAsia" w:ascii="宋体" w:hAnsi="宋体" w:eastAsia="宋体" w:cs="仿宋_GB2312"/>
          <w:color w:val="auto"/>
          <w:kern w:val="0"/>
          <w:sz w:val="21"/>
          <w:szCs w:val="21"/>
        </w:rPr>
        <w:t>，在本合同履行过程中，税收政策变动导致增值税税率调整，依法应调整销项税额的，依法调整；但因乙方未按甲方要求时间完成供货、未根据合同约定提供合法、完整的请款资料、货物验收不合格导致的返工或退货、货物验收合格前的非正常损耗等原因导致销项税额增加的，相应损失由乙方承担。</w:t>
      </w:r>
    </w:p>
    <w:p w14:paraId="46C7853E">
      <w:pPr>
        <w:autoSpaceDE w:val="0"/>
        <w:autoSpaceDN w:val="0"/>
        <w:adjustRightInd w:val="0"/>
        <w:spacing w:line="360" w:lineRule="auto"/>
        <w:ind w:firstLine="420" w:firstLineChars="200"/>
        <w:jc w:val="left"/>
        <w:rPr>
          <w:rFonts w:ascii="宋体" w:hAnsi="宋体" w:eastAsia="宋体" w:cs="仿宋_GB2312"/>
          <w:color w:val="auto"/>
          <w:kern w:val="0"/>
          <w:sz w:val="21"/>
          <w:szCs w:val="21"/>
        </w:rPr>
      </w:pPr>
      <w:r>
        <w:rPr>
          <w:rFonts w:hint="eastAsia" w:ascii="宋体" w:hAnsi="宋体" w:eastAsia="宋体" w:cs="仿宋_GB2312"/>
          <w:color w:val="auto"/>
          <w:kern w:val="0"/>
          <w:sz w:val="21"/>
          <w:szCs w:val="21"/>
        </w:rPr>
        <w:t>因乙方未按法定税率计算税额或未根据本合同约定出具对应税额的增值税专用发票</w:t>
      </w:r>
      <w:r>
        <w:rPr>
          <w:rFonts w:hint="eastAsia" w:ascii="宋体" w:hAnsi="宋体" w:eastAsia="宋体" w:cs="仿宋_GB2312"/>
          <w:color w:val="auto"/>
          <w:kern w:val="0"/>
          <w:sz w:val="21"/>
          <w:szCs w:val="21"/>
          <w:lang w:val="en-US" w:eastAsia="zh-CN"/>
        </w:rPr>
        <w:t>或普通发票</w:t>
      </w:r>
      <w:r>
        <w:rPr>
          <w:rFonts w:hint="eastAsia" w:ascii="宋体" w:hAnsi="宋体" w:eastAsia="宋体" w:cs="仿宋_GB2312"/>
          <w:color w:val="auto"/>
          <w:kern w:val="0"/>
          <w:sz w:val="21"/>
          <w:szCs w:val="21"/>
        </w:rPr>
        <w:t>等</w:t>
      </w:r>
      <w:r>
        <w:rPr>
          <w:rFonts w:hint="eastAsia" w:ascii="宋体" w:hAnsi="宋体" w:eastAsia="宋体" w:cs="仿宋_GB2312"/>
          <w:color w:val="auto"/>
          <w:kern w:val="0"/>
          <w:sz w:val="21"/>
          <w:szCs w:val="21"/>
          <w:lang w:eastAsia="zh-CN"/>
        </w:rPr>
        <w:t>，</w:t>
      </w:r>
      <w:r>
        <w:rPr>
          <w:rFonts w:hint="eastAsia" w:ascii="宋体" w:hAnsi="宋体" w:eastAsia="宋体" w:cs="仿宋_GB2312"/>
          <w:color w:val="auto"/>
          <w:kern w:val="0"/>
          <w:sz w:val="21"/>
          <w:szCs w:val="21"/>
        </w:rPr>
        <w:t>乙方原因导致甲方多支付税额的，乙方必须退还甲方，给甲方造成损失的，乙方须向甲方赔偿相应损失。</w:t>
      </w:r>
    </w:p>
    <w:p w14:paraId="3F100CE5">
      <w:pPr>
        <w:autoSpaceDE w:val="0"/>
        <w:autoSpaceDN w:val="0"/>
        <w:adjustRightInd w:val="0"/>
        <w:spacing w:line="360" w:lineRule="auto"/>
        <w:ind w:firstLine="420" w:firstLineChars="200"/>
        <w:jc w:val="left"/>
        <w:rPr>
          <w:rFonts w:ascii="宋体" w:hAnsi="宋体" w:eastAsia="宋体" w:cs="仿宋_GB2312"/>
          <w:color w:val="auto"/>
          <w:kern w:val="0"/>
          <w:sz w:val="21"/>
          <w:szCs w:val="21"/>
        </w:rPr>
      </w:pPr>
      <w:r>
        <w:rPr>
          <w:rFonts w:ascii="宋体" w:hAnsi="宋体" w:eastAsia="宋体" w:cs="仿宋_GB2312"/>
          <w:color w:val="auto"/>
          <w:kern w:val="0"/>
          <w:sz w:val="21"/>
          <w:szCs w:val="21"/>
        </w:rPr>
        <w:t>3、</w:t>
      </w:r>
      <w:r>
        <w:rPr>
          <w:rFonts w:hint="eastAsia" w:ascii="宋体" w:hAnsi="宋体" w:eastAsia="宋体" w:cs="仿宋_GB2312"/>
          <w:color w:val="auto"/>
          <w:kern w:val="0"/>
          <w:sz w:val="21"/>
          <w:szCs w:val="21"/>
        </w:rPr>
        <w:t>采购合同下暂定采购数量对应的暂定总合同价（含税）为【</w:t>
      </w:r>
      <w:r>
        <w:rPr>
          <w:rFonts w:hint="eastAsia" w:ascii="宋体" w:hAnsi="宋体" w:eastAsia="宋体" w:cs="仿宋_GB2312"/>
          <w:color w:val="auto"/>
          <w:kern w:val="0"/>
          <w:sz w:val="21"/>
          <w:szCs w:val="21"/>
          <w:lang w:val="en-US" w:eastAsia="zh-CN"/>
        </w:rPr>
        <w:t>XXXXXXXXXX</w:t>
      </w:r>
      <w:r>
        <w:rPr>
          <w:rFonts w:hint="eastAsia" w:ascii="宋体" w:hAnsi="宋体" w:eastAsia="宋体" w:cs="仿宋_GB2312"/>
          <w:color w:val="auto"/>
          <w:kern w:val="0"/>
          <w:sz w:val="21"/>
          <w:szCs w:val="21"/>
        </w:rPr>
        <w:t>】元（大写人民币【</w:t>
      </w:r>
      <w:r>
        <w:rPr>
          <w:rFonts w:hint="eastAsia" w:ascii="宋体" w:hAnsi="宋体" w:eastAsia="宋体" w:cs="仿宋_GB2312"/>
          <w:color w:val="auto"/>
          <w:kern w:val="0"/>
          <w:sz w:val="21"/>
          <w:szCs w:val="21"/>
          <w:lang w:val="en-US" w:eastAsia="zh-CN"/>
        </w:rPr>
        <w:t>XXXXXXXXXXXX</w:t>
      </w:r>
      <w:r>
        <w:rPr>
          <w:rFonts w:hint="eastAsia" w:ascii="宋体" w:hAnsi="宋体" w:eastAsia="宋体" w:cs="仿宋_GB2312"/>
          <w:color w:val="auto"/>
          <w:kern w:val="0"/>
          <w:sz w:val="21"/>
          <w:szCs w:val="21"/>
        </w:rPr>
        <w:t>】），合同履行期间根据本条第</w:t>
      </w:r>
      <w:r>
        <w:rPr>
          <w:rFonts w:ascii="宋体" w:hAnsi="宋体" w:eastAsia="宋体" w:cs="仿宋_GB2312"/>
          <w:color w:val="auto"/>
          <w:kern w:val="0"/>
          <w:sz w:val="21"/>
          <w:szCs w:val="21"/>
        </w:rPr>
        <w:t>2</w:t>
      </w:r>
      <w:r>
        <w:rPr>
          <w:rFonts w:hint="eastAsia" w:ascii="宋体" w:hAnsi="宋体" w:eastAsia="宋体" w:cs="仿宋_GB2312"/>
          <w:color w:val="auto"/>
          <w:kern w:val="0"/>
          <w:sz w:val="21"/>
          <w:szCs w:val="21"/>
        </w:rPr>
        <w:t>款规定调整销项税额的，结算合同价税合计对应调整。</w:t>
      </w:r>
    </w:p>
    <w:p w14:paraId="6C3E4224">
      <w:pPr>
        <w:autoSpaceDE w:val="0"/>
        <w:autoSpaceDN w:val="0"/>
        <w:adjustRightInd w:val="0"/>
        <w:spacing w:line="360" w:lineRule="auto"/>
        <w:ind w:firstLine="420" w:firstLineChars="200"/>
        <w:jc w:val="left"/>
        <w:rPr>
          <w:rFonts w:ascii="宋体" w:hAnsi="宋体" w:eastAsia="宋体" w:cs="仿宋_GB2312"/>
          <w:color w:val="auto"/>
          <w:kern w:val="0"/>
          <w:sz w:val="21"/>
          <w:szCs w:val="21"/>
        </w:rPr>
      </w:pPr>
      <w:r>
        <w:rPr>
          <w:rFonts w:hint="eastAsia" w:ascii="宋体" w:hAnsi="宋体" w:eastAsia="宋体" w:cs="仿宋_GB2312"/>
          <w:color w:val="auto"/>
          <w:kern w:val="0"/>
          <w:sz w:val="21"/>
          <w:szCs w:val="21"/>
        </w:rPr>
        <w:t>4、综合单价包括了甲方需就购买本合同项下货物及其服务所支付的全部价款，</w:t>
      </w:r>
      <w:r>
        <w:rPr>
          <w:rFonts w:hint="eastAsia" w:ascii="宋体" w:hAnsi="宋体" w:eastAsia="宋体" w:cs="仿宋_GB2312"/>
          <w:color w:val="auto"/>
          <w:kern w:val="0"/>
          <w:sz w:val="21"/>
          <w:szCs w:val="21"/>
          <w:lang w:val="zh-CN"/>
        </w:rPr>
        <w:t>包括但不限于：</w:t>
      </w:r>
      <w:r>
        <w:rPr>
          <w:rFonts w:hint="eastAsia" w:ascii="宋体" w:hAnsi="宋体" w:eastAsia="宋体" w:cs="仿宋_GB2312"/>
          <w:color w:val="auto"/>
          <w:kern w:val="0"/>
          <w:sz w:val="21"/>
          <w:szCs w:val="21"/>
        </w:rPr>
        <w:t>（1）货物及用户需求书采购清单中要求每项货物及其配备的附件、备品备件的采购、制造、检测、试验、送货、搬运（含二次搬运至甲方指定仓储地点）、包装费、运费、保险、现场仓储、质保、乙方销项税额以外的税费等相关服务的全部费用；（</w:t>
      </w:r>
      <w:r>
        <w:rPr>
          <w:rFonts w:ascii="宋体" w:hAnsi="宋体" w:eastAsia="宋体" w:cs="仿宋_GB2312"/>
          <w:color w:val="auto"/>
          <w:kern w:val="0"/>
          <w:sz w:val="21"/>
          <w:szCs w:val="21"/>
        </w:rPr>
        <w:t>2</w:t>
      </w:r>
      <w:r>
        <w:rPr>
          <w:rFonts w:hint="eastAsia" w:ascii="宋体" w:hAnsi="宋体" w:eastAsia="宋体" w:cs="仿宋_GB2312"/>
          <w:color w:val="auto"/>
          <w:kern w:val="0"/>
          <w:sz w:val="21"/>
          <w:szCs w:val="21"/>
        </w:rPr>
        <w:t>）货物验收合格前发生的安全事故所产生的一切费用；（3）货物及其工艺所有制造方、使用方应支付的对专有技术、商标权、专利权和版权、设计或其他知识产权而需要向其他方支付的版税；（4）日常技术指导，免费的质保服务，包括但不限于免费现场质量问题处理或更换无效产品；（5）合理利润；（6）法律法规、商业公认、招标文件规定由乙方承担的其他直接及间接费用。</w:t>
      </w:r>
    </w:p>
    <w:p w14:paraId="1D26B0A6">
      <w:pPr>
        <w:autoSpaceDE w:val="0"/>
        <w:autoSpaceDN w:val="0"/>
        <w:adjustRightInd w:val="0"/>
        <w:spacing w:line="360" w:lineRule="auto"/>
        <w:ind w:firstLine="420" w:firstLineChars="200"/>
        <w:jc w:val="left"/>
        <w:rPr>
          <w:rFonts w:ascii="宋体" w:hAnsi="宋体" w:eastAsia="宋体" w:cs="Times New Roman"/>
          <w:color w:val="auto"/>
          <w:kern w:val="0"/>
          <w:sz w:val="21"/>
          <w:szCs w:val="21"/>
        </w:rPr>
      </w:pPr>
      <w:r>
        <w:rPr>
          <w:rFonts w:hint="eastAsia" w:ascii="宋体" w:hAnsi="宋体" w:eastAsia="宋体" w:cs="Times New Roman"/>
          <w:color w:val="auto"/>
          <w:kern w:val="0"/>
          <w:sz w:val="21"/>
          <w:szCs w:val="21"/>
        </w:rPr>
        <w:t>5、</w:t>
      </w:r>
      <w:r>
        <w:rPr>
          <w:rFonts w:hint="eastAsia" w:ascii="宋体" w:hAnsi="宋体" w:eastAsia="宋体" w:cs="Times New Roman"/>
          <w:color w:val="auto"/>
          <w:kern w:val="0"/>
          <w:sz w:val="21"/>
          <w:szCs w:val="21"/>
          <w:lang w:val="zh-CN"/>
        </w:rPr>
        <w:t>在本合同履行过程中，不含税中标</w:t>
      </w:r>
      <w:r>
        <w:rPr>
          <w:rFonts w:hint="eastAsia" w:ascii="宋体" w:hAnsi="宋体" w:eastAsia="宋体" w:cs="Times New Roman"/>
          <w:color w:val="auto"/>
          <w:kern w:val="0"/>
          <w:sz w:val="21"/>
          <w:szCs w:val="21"/>
        </w:rPr>
        <w:t>综合单价（不含销项税额）在</w:t>
      </w:r>
      <w:r>
        <w:rPr>
          <w:rFonts w:hint="eastAsia" w:ascii="宋体" w:hAnsi="宋体" w:eastAsia="宋体" w:cs="Times New Roman"/>
          <w:color w:val="auto"/>
          <w:kern w:val="0"/>
          <w:sz w:val="21"/>
          <w:szCs w:val="21"/>
          <w:lang w:val="zh-CN"/>
        </w:rPr>
        <w:t>合同执行期间</w:t>
      </w:r>
      <w:r>
        <w:rPr>
          <w:rFonts w:hint="eastAsia" w:ascii="宋体" w:hAnsi="宋体" w:eastAsia="宋体" w:cs="Times New Roman"/>
          <w:color w:val="auto"/>
          <w:kern w:val="0"/>
          <w:sz w:val="21"/>
          <w:szCs w:val="21"/>
        </w:rPr>
        <w:t>固定不变，不得因材料、劳务成本、运输成本、国家政策、货物的行业标准或国家标准的变动或其他任何理由</w:t>
      </w:r>
      <w:r>
        <w:rPr>
          <w:rFonts w:hint="eastAsia" w:ascii="宋体" w:hAnsi="宋体" w:eastAsia="宋体" w:cs="Times New Roman"/>
          <w:color w:val="auto"/>
          <w:kern w:val="0"/>
          <w:sz w:val="21"/>
          <w:szCs w:val="21"/>
          <w:lang w:val="zh-CN"/>
        </w:rPr>
        <w:t>予以变更。</w:t>
      </w:r>
      <w:r>
        <w:rPr>
          <w:rFonts w:hint="eastAsia" w:ascii="宋体" w:hAnsi="宋体" w:eastAsia="宋体" w:cs="Times New Roman"/>
          <w:color w:val="auto"/>
          <w:kern w:val="0"/>
          <w:sz w:val="21"/>
          <w:szCs w:val="21"/>
        </w:rPr>
        <w:t>未经甲方书面确认，乙方无权另行收取其它任何费用。</w:t>
      </w:r>
    </w:p>
    <w:p w14:paraId="02559B65">
      <w:pPr>
        <w:autoSpaceDE w:val="0"/>
        <w:autoSpaceDN w:val="0"/>
        <w:adjustRightInd w:val="0"/>
        <w:spacing w:line="360" w:lineRule="auto"/>
        <w:ind w:firstLine="420" w:firstLineChars="200"/>
        <w:jc w:val="left"/>
        <w:rPr>
          <w:rFonts w:ascii="宋体" w:hAnsi="宋体" w:eastAsia="宋体" w:cs="Times New Roman"/>
          <w:b/>
          <w:color w:val="auto"/>
          <w:kern w:val="0"/>
          <w:sz w:val="21"/>
          <w:szCs w:val="21"/>
        </w:rPr>
      </w:pPr>
      <w:r>
        <w:rPr>
          <w:rFonts w:hint="eastAsia" w:ascii="宋体" w:hAnsi="宋体" w:eastAsia="宋体" w:cs="Times New Roman"/>
          <w:b w:val="0"/>
          <w:bCs/>
          <w:color w:val="auto"/>
          <w:kern w:val="0"/>
          <w:sz w:val="21"/>
          <w:szCs w:val="21"/>
        </w:rPr>
        <w:t>6</w:t>
      </w:r>
      <w:r>
        <w:rPr>
          <w:rFonts w:ascii="宋体" w:hAnsi="宋体" w:eastAsia="宋体" w:cs="Times New Roman"/>
          <w:b w:val="0"/>
          <w:bCs/>
          <w:color w:val="auto"/>
          <w:kern w:val="0"/>
          <w:sz w:val="21"/>
          <w:szCs w:val="21"/>
        </w:rPr>
        <w:t>、</w:t>
      </w:r>
      <w:r>
        <w:rPr>
          <w:rFonts w:hint="eastAsia" w:ascii="宋体" w:hAnsi="宋体" w:eastAsia="宋体" w:cs="Times New Roman"/>
          <w:b w:val="0"/>
          <w:bCs/>
          <w:color w:val="auto"/>
          <w:kern w:val="0"/>
          <w:sz w:val="21"/>
          <w:szCs w:val="21"/>
        </w:rPr>
        <w:t>付款方式：</w:t>
      </w:r>
      <w:r>
        <w:rPr>
          <w:rFonts w:hint="eastAsia" w:ascii="宋体" w:hAnsi="宋体" w:eastAsia="宋体" w:cs="Times New Roman"/>
          <w:color w:val="auto"/>
          <w:kern w:val="2"/>
          <w:sz w:val="21"/>
          <w:szCs w:val="21"/>
        </w:rPr>
        <w:t>每个季度全部货物交货完毕后并经甲方最终验收合格后，乙方向甲方提交请款报告、供货清单</w:t>
      </w:r>
      <w:r>
        <w:rPr>
          <w:rFonts w:ascii="宋体" w:hAnsi="宋体" w:eastAsia="宋体" w:cs="Times New Roman"/>
          <w:color w:val="auto"/>
          <w:kern w:val="2"/>
          <w:sz w:val="21"/>
          <w:szCs w:val="21"/>
        </w:rPr>
        <w:t>、</w:t>
      </w:r>
      <w:r>
        <w:rPr>
          <w:rFonts w:hint="eastAsia" w:ascii="宋体" w:hAnsi="宋体" w:eastAsia="宋体" w:cs="Times New Roman"/>
          <w:color w:val="auto"/>
          <w:kern w:val="2"/>
          <w:sz w:val="21"/>
          <w:szCs w:val="21"/>
        </w:rPr>
        <w:t>到货</w:t>
      </w:r>
      <w:r>
        <w:rPr>
          <w:rFonts w:ascii="宋体" w:hAnsi="宋体" w:eastAsia="宋体" w:cs="Times New Roman"/>
          <w:color w:val="auto"/>
          <w:kern w:val="2"/>
          <w:sz w:val="21"/>
          <w:szCs w:val="21"/>
        </w:rPr>
        <w:t>验收单</w:t>
      </w:r>
      <w:r>
        <w:rPr>
          <w:rFonts w:hint="eastAsia" w:ascii="宋体" w:hAnsi="宋体" w:eastAsia="宋体" w:cs="Times New Roman"/>
          <w:color w:val="auto"/>
          <w:kern w:val="2"/>
          <w:sz w:val="21"/>
          <w:szCs w:val="21"/>
        </w:rPr>
        <w:t>和等额的合法、有效的增值税专用发票</w:t>
      </w:r>
      <w:r>
        <w:rPr>
          <w:rFonts w:hint="eastAsia" w:ascii="宋体" w:hAnsi="宋体" w:eastAsia="宋体" w:cs="Times New Roman"/>
          <w:color w:val="auto"/>
          <w:kern w:val="2"/>
          <w:sz w:val="21"/>
          <w:szCs w:val="21"/>
          <w:lang w:val="en-US" w:eastAsia="zh-CN"/>
        </w:rPr>
        <w:t>或普通发票</w:t>
      </w:r>
      <w:r>
        <w:rPr>
          <w:rFonts w:hint="eastAsia" w:ascii="宋体" w:hAnsi="宋体" w:eastAsia="宋体" w:cs="Times New Roman"/>
          <w:color w:val="auto"/>
          <w:kern w:val="2"/>
          <w:sz w:val="21"/>
          <w:szCs w:val="21"/>
        </w:rPr>
        <w:t>等相关请款资料，甲方收到前述材料并确认无误后</w:t>
      </w:r>
      <w:r>
        <w:rPr>
          <w:rFonts w:ascii="宋体" w:hAnsi="宋体" w:eastAsia="宋体" w:cs="Times New Roman"/>
          <w:color w:val="auto"/>
          <w:kern w:val="2"/>
          <w:sz w:val="21"/>
          <w:szCs w:val="21"/>
        </w:rPr>
        <w:t>，依据</w:t>
      </w:r>
      <w:r>
        <w:rPr>
          <w:rFonts w:hint="eastAsia" w:ascii="宋体" w:hAnsi="宋体" w:eastAsia="宋体" w:cs="Times New Roman"/>
          <w:color w:val="auto"/>
          <w:kern w:val="2"/>
          <w:sz w:val="21"/>
          <w:szCs w:val="21"/>
        </w:rPr>
        <w:t>本季度的</w:t>
      </w:r>
      <w:r>
        <w:rPr>
          <w:rFonts w:ascii="宋体" w:hAnsi="宋体" w:eastAsia="宋体" w:cs="Times New Roman"/>
          <w:color w:val="auto"/>
          <w:kern w:val="2"/>
          <w:sz w:val="21"/>
          <w:szCs w:val="21"/>
        </w:rPr>
        <w:t>《供应商履约评价表》评价分数进行本</w:t>
      </w:r>
      <w:r>
        <w:rPr>
          <w:rFonts w:hint="eastAsia" w:ascii="宋体" w:hAnsi="宋体" w:eastAsia="宋体" w:cs="Times New Roman"/>
          <w:color w:val="auto"/>
          <w:kern w:val="2"/>
          <w:sz w:val="21"/>
          <w:szCs w:val="21"/>
        </w:rPr>
        <w:t>季度</w:t>
      </w:r>
      <w:r>
        <w:rPr>
          <w:rFonts w:ascii="宋体" w:hAnsi="宋体" w:eastAsia="宋体" w:cs="Times New Roman"/>
          <w:color w:val="auto"/>
          <w:kern w:val="2"/>
          <w:sz w:val="21"/>
          <w:szCs w:val="21"/>
        </w:rPr>
        <w:t>货物供货的结算，在</w:t>
      </w:r>
      <w:r>
        <w:rPr>
          <w:rFonts w:hint="eastAsia" w:ascii="宋体" w:hAnsi="宋体" w:eastAsia="宋体" w:cs="Times New Roman"/>
          <w:color w:val="auto"/>
          <w:kern w:val="2"/>
          <w:sz w:val="21"/>
          <w:szCs w:val="21"/>
        </w:rPr>
        <w:t>15个工作日内支付本季度应付货款的100%</w:t>
      </w:r>
      <w:r>
        <w:rPr>
          <w:rFonts w:ascii="宋体" w:hAnsi="宋体" w:eastAsia="宋体" w:cs="Times New Roman"/>
          <w:color w:val="auto"/>
          <w:kern w:val="2"/>
          <w:sz w:val="21"/>
          <w:szCs w:val="21"/>
        </w:rPr>
        <w:t>。</w:t>
      </w:r>
    </w:p>
    <w:p w14:paraId="6FD69E29">
      <w:pPr>
        <w:autoSpaceDE w:val="0"/>
        <w:autoSpaceDN w:val="0"/>
        <w:adjustRightInd w:val="0"/>
        <w:spacing w:line="360" w:lineRule="auto"/>
        <w:ind w:firstLine="420" w:firstLineChars="200"/>
        <w:jc w:val="left"/>
        <w:rPr>
          <w:rFonts w:hint="eastAsia" w:ascii="宋体" w:hAnsi="宋体" w:eastAsia="宋体" w:cs="Times New Roman"/>
          <w:color w:val="auto"/>
          <w:kern w:val="2"/>
          <w:sz w:val="21"/>
          <w:szCs w:val="21"/>
        </w:rPr>
      </w:pPr>
      <w:r>
        <w:rPr>
          <w:rFonts w:hint="eastAsia" w:ascii="宋体" w:hAnsi="宋体" w:eastAsia="宋体" w:cs="Times New Roman"/>
          <w:color w:val="auto"/>
          <w:kern w:val="0"/>
          <w:sz w:val="21"/>
          <w:szCs w:val="21"/>
        </w:rPr>
        <w:t>7</w:t>
      </w:r>
      <w:r>
        <w:rPr>
          <w:rFonts w:ascii="宋体" w:hAnsi="宋体" w:eastAsia="宋体" w:cs="Times New Roman"/>
          <w:color w:val="auto"/>
          <w:kern w:val="0"/>
          <w:sz w:val="21"/>
          <w:szCs w:val="21"/>
        </w:rPr>
        <w:t>、</w:t>
      </w:r>
      <w:r>
        <w:rPr>
          <w:rFonts w:hint="eastAsia" w:ascii="宋体" w:hAnsi="宋体" w:eastAsia="宋体" w:cs="Times New Roman"/>
          <w:color w:val="auto"/>
          <w:kern w:val="2"/>
          <w:sz w:val="21"/>
          <w:szCs w:val="21"/>
        </w:rPr>
        <w:t>乙方按项目</w:t>
      </w:r>
      <w:r>
        <w:rPr>
          <w:rFonts w:ascii="宋体" w:hAnsi="宋体" w:eastAsia="宋体" w:cs="Times New Roman"/>
          <w:color w:val="auto"/>
          <w:kern w:val="2"/>
          <w:sz w:val="21"/>
          <w:szCs w:val="21"/>
        </w:rPr>
        <w:t>供货</w:t>
      </w:r>
      <w:r>
        <w:rPr>
          <w:rFonts w:hint="eastAsia" w:ascii="宋体" w:hAnsi="宋体" w:eastAsia="宋体" w:cs="Times New Roman"/>
          <w:color w:val="auto"/>
          <w:kern w:val="2"/>
          <w:sz w:val="21"/>
          <w:szCs w:val="21"/>
        </w:rPr>
        <w:t>清单提供货物价款等额合法的增值税专用发票</w:t>
      </w:r>
      <w:r>
        <w:rPr>
          <w:rFonts w:hint="eastAsia" w:ascii="宋体" w:hAnsi="宋体" w:eastAsia="宋体" w:cs="Times New Roman"/>
          <w:color w:val="auto"/>
          <w:kern w:val="2"/>
          <w:sz w:val="21"/>
          <w:szCs w:val="21"/>
          <w:lang w:val="en-US" w:eastAsia="zh-CN"/>
        </w:rPr>
        <w:t>(部分项目须提供普通发票)</w:t>
      </w:r>
      <w:r>
        <w:rPr>
          <w:rFonts w:hint="eastAsia" w:ascii="宋体" w:hAnsi="宋体" w:eastAsia="宋体" w:cs="Times New Roman"/>
          <w:color w:val="auto"/>
          <w:kern w:val="2"/>
          <w:sz w:val="21"/>
          <w:szCs w:val="21"/>
        </w:rPr>
        <w:t>、请款报告等请款资料，逾期提交请款资料及发票或提交资料不符合甲方要求的，甲方付款时间顺延，并不承担逾期付款违约责任。由于</w:t>
      </w:r>
      <w:r>
        <w:rPr>
          <w:rFonts w:ascii="宋体" w:hAnsi="宋体" w:eastAsia="宋体" w:cs="Times New Roman"/>
          <w:color w:val="auto"/>
          <w:kern w:val="2"/>
          <w:sz w:val="21"/>
          <w:szCs w:val="21"/>
        </w:rPr>
        <w:t>乙方</w:t>
      </w:r>
      <w:r>
        <w:rPr>
          <w:rFonts w:hint="eastAsia" w:ascii="宋体" w:hAnsi="宋体" w:eastAsia="宋体" w:cs="Times New Roman"/>
          <w:color w:val="auto"/>
          <w:kern w:val="2"/>
          <w:sz w:val="21"/>
          <w:szCs w:val="21"/>
        </w:rPr>
        <w:t>提供的发票不符合税法规定，给甲方造成的损失由乙方承担赔偿责任。</w:t>
      </w:r>
    </w:p>
    <w:p w14:paraId="253E8920">
      <w:pPr>
        <w:autoSpaceDE w:val="0"/>
        <w:autoSpaceDN w:val="0"/>
        <w:adjustRightInd w:val="0"/>
        <w:spacing w:line="360" w:lineRule="auto"/>
        <w:ind w:firstLine="420" w:firstLineChars="200"/>
        <w:jc w:val="left"/>
        <w:rPr>
          <w:rFonts w:hint="default" w:ascii="宋体" w:hAnsi="宋体" w:eastAsia="宋体" w:cs="Times New Roman"/>
          <w:color w:val="auto"/>
          <w:kern w:val="2"/>
          <w:sz w:val="21"/>
          <w:szCs w:val="21"/>
          <w:lang w:val="en-US"/>
        </w:rPr>
      </w:pPr>
      <w:r>
        <w:rPr>
          <w:rFonts w:hint="eastAsia" w:ascii="宋体" w:hAnsi="宋体" w:eastAsia="宋体" w:cs="Times New Roman"/>
          <w:color w:val="auto"/>
          <w:kern w:val="2"/>
          <w:sz w:val="21"/>
          <w:szCs w:val="21"/>
          <w:lang w:val="en-US" w:eastAsia="zh-CN"/>
        </w:rPr>
        <w:t>8</w:t>
      </w:r>
      <w:r>
        <w:rPr>
          <w:rFonts w:hint="eastAsia" w:ascii="宋体" w:hAnsi="宋体" w:eastAsia="宋体" w:cs="Times New Roman"/>
          <w:color w:val="auto"/>
          <w:kern w:val="2"/>
          <w:sz w:val="21"/>
          <w:szCs w:val="21"/>
        </w:rPr>
        <w:t>、</w:t>
      </w:r>
      <w:r>
        <w:rPr>
          <w:rFonts w:hint="eastAsia" w:ascii="宋体" w:hAnsi="宋体" w:eastAsia="宋体" w:cs="Times New Roman"/>
          <w:color w:val="auto"/>
          <w:kern w:val="2"/>
          <w:sz w:val="21"/>
          <w:szCs w:val="21"/>
          <w:lang w:val="en-US" w:eastAsia="zh-CN"/>
        </w:rPr>
        <w:t>如</w:t>
      </w:r>
      <w:r>
        <w:rPr>
          <w:rFonts w:hint="eastAsia" w:ascii="宋体" w:hAnsi="宋体" w:eastAsia="宋体" w:cs="Times New Roman"/>
          <w:color w:val="auto"/>
          <w:kern w:val="0"/>
          <w:sz w:val="21"/>
          <w:szCs w:val="21"/>
          <w:lang w:val="en-US" w:eastAsia="zh-CN"/>
        </w:rPr>
        <w:t>甲方</w:t>
      </w:r>
      <w:r>
        <w:rPr>
          <w:rFonts w:hint="eastAsia" w:ascii="宋体" w:hAnsi="宋体" w:eastAsia="宋体" w:cs="Times New Roman"/>
          <w:color w:val="auto"/>
          <w:kern w:val="2"/>
          <w:sz w:val="21"/>
          <w:szCs w:val="21"/>
          <w:lang w:val="en-US" w:eastAsia="zh-CN"/>
        </w:rPr>
        <w:t>付款项目公司不止唯一时，有涉及合同价格内部分摊的，可参照以下《合同价格内部分摊表》：</w:t>
      </w:r>
    </w:p>
    <w:p w14:paraId="7B8AE3A8">
      <w:pPr>
        <w:autoSpaceDE w:val="0"/>
        <w:autoSpaceDN w:val="0"/>
        <w:adjustRightInd w:val="0"/>
        <w:spacing w:before="156" w:beforeLines="50" w:line="360" w:lineRule="auto"/>
        <w:ind w:left="420"/>
        <w:jc w:val="center"/>
        <w:outlineLvl w:val="1"/>
        <w:rPr>
          <w:rFonts w:hint="eastAsia" w:ascii="宋体" w:hAnsi="Times New Roman" w:eastAsia="宋体" w:cs="Times New Roman"/>
          <w:b/>
          <w:bCs/>
          <w:color w:val="auto"/>
          <w:kern w:val="0"/>
          <w:sz w:val="21"/>
          <w:szCs w:val="21"/>
          <w:lang w:val="en-US" w:eastAsia="zh-CN"/>
        </w:rPr>
      </w:pPr>
      <w:bookmarkStart w:id="388" w:name="_Toc26580"/>
      <w:r>
        <w:rPr>
          <w:rFonts w:hint="eastAsia" w:ascii="宋体" w:hAnsi="Times New Roman" w:eastAsia="宋体" w:cs="Times New Roman"/>
          <w:b/>
          <w:bCs/>
          <w:color w:val="auto"/>
          <w:kern w:val="0"/>
          <w:sz w:val="21"/>
          <w:szCs w:val="21"/>
          <w:lang w:val="en-US" w:eastAsia="zh-CN"/>
        </w:rPr>
        <w:t>合同价格内部分摊表</w:t>
      </w:r>
      <w:bookmarkEnd w:id="388"/>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12"/>
        <w:gridCol w:w="5013"/>
      </w:tblGrid>
      <w:tr w14:paraId="5C5C4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2" w:type="dxa"/>
          </w:tcPr>
          <w:p w14:paraId="219171A5">
            <w:pPr>
              <w:keepNext w:val="0"/>
              <w:keepLines w:val="0"/>
              <w:suppressLineNumbers w:val="0"/>
              <w:autoSpaceDE w:val="0"/>
              <w:autoSpaceDN w:val="0"/>
              <w:adjustRightInd w:val="0"/>
              <w:spacing w:before="156" w:beforeLines="50" w:beforeAutospacing="0" w:after="0" w:afterAutospacing="0" w:line="360" w:lineRule="auto"/>
              <w:ind w:left="0" w:right="0"/>
              <w:jc w:val="center"/>
              <w:outlineLvl w:val="1"/>
              <w:rPr>
                <w:rFonts w:hint="default" w:ascii="宋体" w:hAnsi="Times New Roman" w:eastAsia="宋体" w:cs="Times New Roman"/>
                <w:b/>
                <w:bCs/>
                <w:color w:val="auto"/>
                <w:kern w:val="0"/>
                <w:sz w:val="21"/>
                <w:szCs w:val="21"/>
                <w:vertAlign w:val="baseline"/>
                <w:lang w:val="en-US" w:eastAsia="zh-CN"/>
              </w:rPr>
            </w:pPr>
            <w:bookmarkStart w:id="389" w:name="_Toc23630"/>
            <w:r>
              <w:rPr>
                <w:rFonts w:hint="eastAsia" w:ascii="宋体" w:hAnsi="Times New Roman" w:eastAsia="宋体" w:cs="Times New Roman"/>
                <w:b/>
                <w:bCs/>
                <w:color w:val="auto"/>
                <w:kern w:val="0"/>
                <w:sz w:val="21"/>
                <w:szCs w:val="21"/>
                <w:vertAlign w:val="baseline"/>
                <w:lang w:val="en-US" w:eastAsia="zh-CN"/>
              </w:rPr>
              <w:t>项目公司</w:t>
            </w:r>
            <w:bookmarkEnd w:id="389"/>
          </w:p>
        </w:tc>
        <w:tc>
          <w:tcPr>
            <w:tcW w:w="5013" w:type="dxa"/>
          </w:tcPr>
          <w:p w14:paraId="6869440E">
            <w:pPr>
              <w:keepNext w:val="0"/>
              <w:keepLines w:val="0"/>
              <w:suppressLineNumbers w:val="0"/>
              <w:autoSpaceDE w:val="0"/>
              <w:autoSpaceDN w:val="0"/>
              <w:adjustRightInd w:val="0"/>
              <w:spacing w:before="156" w:beforeLines="50" w:beforeAutospacing="0" w:after="0" w:afterAutospacing="0" w:line="360" w:lineRule="auto"/>
              <w:ind w:left="0" w:right="0"/>
              <w:jc w:val="center"/>
              <w:outlineLvl w:val="1"/>
              <w:rPr>
                <w:rFonts w:hint="default" w:ascii="宋体" w:hAnsi="Times New Roman" w:eastAsia="宋体" w:cs="Times New Roman"/>
                <w:b/>
                <w:bCs/>
                <w:color w:val="auto"/>
                <w:kern w:val="0"/>
                <w:sz w:val="21"/>
                <w:szCs w:val="21"/>
                <w:vertAlign w:val="baseline"/>
                <w:lang w:val="en-US" w:eastAsia="zh-CN"/>
              </w:rPr>
            </w:pPr>
            <w:bookmarkStart w:id="390" w:name="_Toc26301"/>
            <w:r>
              <w:rPr>
                <w:rFonts w:hint="eastAsia" w:ascii="宋体" w:hAnsi="Times New Roman" w:eastAsia="宋体" w:cs="Times New Roman"/>
                <w:b/>
                <w:bCs/>
                <w:color w:val="auto"/>
                <w:kern w:val="0"/>
                <w:sz w:val="21"/>
                <w:szCs w:val="21"/>
                <w:vertAlign w:val="baseline"/>
                <w:lang w:val="en-US" w:eastAsia="zh-CN"/>
              </w:rPr>
              <w:t>分摊金额（含税）</w:t>
            </w:r>
            <w:bookmarkEnd w:id="390"/>
          </w:p>
        </w:tc>
      </w:tr>
      <w:tr w14:paraId="7EBE5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2" w:type="dxa"/>
          </w:tcPr>
          <w:p w14:paraId="73E2F4DE">
            <w:pPr>
              <w:keepNext w:val="0"/>
              <w:keepLines w:val="0"/>
              <w:suppressLineNumbers w:val="0"/>
              <w:autoSpaceDE w:val="0"/>
              <w:autoSpaceDN w:val="0"/>
              <w:adjustRightInd w:val="0"/>
              <w:spacing w:before="156" w:beforeLines="50" w:beforeAutospacing="0" w:after="0" w:afterAutospacing="0" w:line="360" w:lineRule="auto"/>
              <w:ind w:left="0" w:right="0"/>
              <w:jc w:val="center"/>
              <w:outlineLvl w:val="1"/>
              <w:rPr>
                <w:rFonts w:hint="default" w:ascii="宋体" w:hAnsi="Times New Roman" w:eastAsia="宋体" w:cs="Times New Roman"/>
                <w:b/>
                <w:bCs/>
                <w:color w:val="auto"/>
                <w:kern w:val="0"/>
                <w:sz w:val="21"/>
                <w:szCs w:val="21"/>
                <w:vertAlign w:val="baseline"/>
                <w:lang w:val="en-US" w:eastAsia="zh-CN"/>
              </w:rPr>
            </w:pPr>
            <w:bookmarkStart w:id="391" w:name="_Toc6665"/>
            <w:r>
              <w:rPr>
                <w:rFonts w:hint="default" w:ascii="宋体" w:hAnsi="Times New Roman" w:eastAsia="宋体" w:cs="Times New Roman"/>
                <w:b w:val="0"/>
                <w:bCs w:val="0"/>
                <w:color w:val="auto"/>
                <w:kern w:val="0"/>
                <w:sz w:val="21"/>
                <w:szCs w:val="21"/>
                <w:vertAlign w:val="baseline"/>
                <w:lang w:val="en-US" w:eastAsia="zh-CN"/>
              </w:rPr>
              <w:t>东莞市水务集团</w:t>
            </w:r>
            <w:r>
              <w:rPr>
                <w:rFonts w:hint="eastAsia" w:ascii="宋体" w:hAnsi="Times New Roman" w:eastAsia="宋体" w:cs="Times New Roman"/>
                <w:b w:val="0"/>
                <w:bCs w:val="0"/>
                <w:color w:val="auto"/>
                <w:kern w:val="0"/>
                <w:sz w:val="21"/>
                <w:szCs w:val="21"/>
                <w:vertAlign w:val="baseline"/>
                <w:lang w:val="en-US" w:eastAsia="zh-CN"/>
              </w:rPr>
              <w:t>XX</w:t>
            </w:r>
            <w:r>
              <w:rPr>
                <w:rFonts w:hint="default" w:ascii="宋体" w:hAnsi="Times New Roman" w:eastAsia="宋体" w:cs="Times New Roman"/>
                <w:b w:val="0"/>
                <w:bCs w:val="0"/>
                <w:color w:val="auto"/>
                <w:kern w:val="0"/>
                <w:sz w:val="21"/>
                <w:szCs w:val="21"/>
                <w:vertAlign w:val="baseline"/>
                <w:lang w:val="en-US" w:eastAsia="zh-CN"/>
              </w:rPr>
              <w:t>有限公司</w:t>
            </w:r>
            <w:bookmarkEnd w:id="391"/>
          </w:p>
        </w:tc>
        <w:tc>
          <w:tcPr>
            <w:tcW w:w="5013" w:type="dxa"/>
          </w:tcPr>
          <w:p w14:paraId="122A0B3A">
            <w:pPr>
              <w:keepNext w:val="0"/>
              <w:keepLines w:val="0"/>
              <w:suppressLineNumbers w:val="0"/>
              <w:autoSpaceDE w:val="0"/>
              <w:autoSpaceDN w:val="0"/>
              <w:adjustRightInd w:val="0"/>
              <w:spacing w:before="156" w:beforeLines="50" w:beforeAutospacing="0" w:after="0" w:afterAutospacing="0" w:line="360" w:lineRule="auto"/>
              <w:ind w:left="0" w:right="0"/>
              <w:jc w:val="center"/>
              <w:outlineLvl w:val="1"/>
              <w:rPr>
                <w:rFonts w:hint="default" w:ascii="宋体" w:hAnsi="Times New Roman" w:eastAsia="宋体" w:cs="Times New Roman"/>
                <w:b w:val="0"/>
                <w:bCs w:val="0"/>
                <w:color w:val="auto"/>
                <w:kern w:val="0"/>
                <w:sz w:val="21"/>
                <w:szCs w:val="21"/>
                <w:vertAlign w:val="baseline"/>
                <w:lang w:val="en-US" w:eastAsia="zh-CN"/>
              </w:rPr>
            </w:pPr>
          </w:p>
        </w:tc>
      </w:tr>
      <w:tr w14:paraId="3F350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2" w:type="dxa"/>
            <w:vAlign w:val="top"/>
          </w:tcPr>
          <w:p w14:paraId="4C81D60D">
            <w:pPr>
              <w:keepNext w:val="0"/>
              <w:keepLines w:val="0"/>
              <w:suppressLineNumbers w:val="0"/>
              <w:autoSpaceDE w:val="0"/>
              <w:autoSpaceDN w:val="0"/>
              <w:adjustRightInd w:val="0"/>
              <w:spacing w:before="156" w:beforeLines="50" w:beforeAutospacing="0" w:after="0" w:afterAutospacing="0" w:line="360" w:lineRule="auto"/>
              <w:ind w:left="0" w:right="0"/>
              <w:jc w:val="center"/>
              <w:outlineLvl w:val="1"/>
              <w:rPr>
                <w:rFonts w:hint="default" w:ascii="宋体" w:hAnsi="Times New Roman" w:eastAsia="宋体" w:cs="Times New Roman"/>
                <w:b/>
                <w:bCs/>
                <w:color w:val="auto"/>
                <w:kern w:val="0"/>
                <w:sz w:val="21"/>
                <w:szCs w:val="21"/>
                <w:vertAlign w:val="baseline"/>
                <w:lang w:val="en-US" w:eastAsia="zh-CN"/>
              </w:rPr>
            </w:pPr>
            <w:bookmarkStart w:id="392" w:name="_Toc10697"/>
            <w:r>
              <w:rPr>
                <w:rFonts w:hint="eastAsia" w:ascii="宋体" w:hAnsi="宋体" w:eastAsia="宋体" w:cs="Times New Roman"/>
                <w:b w:val="0"/>
                <w:bCs/>
                <w:color w:val="auto"/>
                <w:kern w:val="0"/>
                <w:sz w:val="21"/>
                <w:szCs w:val="21"/>
                <w:lang w:val="en-US" w:eastAsia="zh-CN"/>
              </w:rPr>
              <w:t>东莞市莞泽XXXX有限公司</w:t>
            </w:r>
            <w:bookmarkEnd w:id="392"/>
          </w:p>
        </w:tc>
        <w:tc>
          <w:tcPr>
            <w:tcW w:w="5013" w:type="dxa"/>
            <w:vAlign w:val="top"/>
          </w:tcPr>
          <w:p w14:paraId="4BF2B373">
            <w:pPr>
              <w:keepNext w:val="0"/>
              <w:keepLines w:val="0"/>
              <w:suppressLineNumbers w:val="0"/>
              <w:autoSpaceDE w:val="0"/>
              <w:autoSpaceDN w:val="0"/>
              <w:adjustRightInd w:val="0"/>
              <w:spacing w:before="156" w:beforeLines="50" w:beforeAutospacing="0" w:after="0" w:afterAutospacing="0" w:line="360" w:lineRule="auto"/>
              <w:ind w:left="0" w:right="0"/>
              <w:jc w:val="center"/>
              <w:outlineLvl w:val="1"/>
              <w:rPr>
                <w:rFonts w:hint="default" w:ascii="宋体" w:hAnsi="Times New Roman" w:eastAsia="宋体" w:cs="Times New Roman"/>
                <w:b w:val="0"/>
                <w:bCs w:val="0"/>
                <w:color w:val="auto"/>
                <w:kern w:val="0"/>
                <w:sz w:val="21"/>
                <w:szCs w:val="21"/>
                <w:vertAlign w:val="baseline"/>
                <w:lang w:val="en-US" w:eastAsia="zh-CN"/>
              </w:rPr>
            </w:pPr>
          </w:p>
        </w:tc>
      </w:tr>
      <w:tr w14:paraId="34042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2" w:type="dxa"/>
            <w:vAlign w:val="top"/>
          </w:tcPr>
          <w:p w14:paraId="59F01194">
            <w:pPr>
              <w:keepNext w:val="0"/>
              <w:keepLines w:val="0"/>
              <w:suppressLineNumbers w:val="0"/>
              <w:autoSpaceDE w:val="0"/>
              <w:autoSpaceDN w:val="0"/>
              <w:adjustRightInd w:val="0"/>
              <w:spacing w:before="156" w:beforeLines="50" w:beforeAutospacing="0" w:after="0" w:afterAutospacing="0" w:line="360" w:lineRule="auto"/>
              <w:ind w:left="0" w:right="0"/>
              <w:jc w:val="center"/>
              <w:outlineLvl w:val="1"/>
              <w:rPr>
                <w:rFonts w:hint="default" w:ascii="宋体" w:hAnsi="Times New Roman" w:eastAsia="宋体" w:cs="Times New Roman"/>
                <w:b/>
                <w:bCs/>
                <w:color w:val="auto"/>
                <w:kern w:val="0"/>
                <w:sz w:val="21"/>
                <w:szCs w:val="21"/>
                <w:vertAlign w:val="baseline"/>
                <w:lang w:val="en-US" w:eastAsia="zh-CN"/>
              </w:rPr>
            </w:pPr>
            <w:bookmarkStart w:id="393" w:name="_Toc22864"/>
            <w:r>
              <w:rPr>
                <w:rFonts w:hint="eastAsia" w:ascii="宋体" w:hAnsi="宋体" w:eastAsia="宋体" w:cs="Times New Roman"/>
                <w:b w:val="0"/>
                <w:bCs/>
                <w:color w:val="auto"/>
                <w:kern w:val="0"/>
                <w:sz w:val="21"/>
                <w:szCs w:val="21"/>
                <w:lang w:val="en-US" w:eastAsia="zh-CN"/>
              </w:rPr>
              <w:t>东莞市东信XXXX有限公司</w:t>
            </w:r>
            <w:bookmarkEnd w:id="393"/>
          </w:p>
        </w:tc>
        <w:tc>
          <w:tcPr>
            <w:tcW w:w="5013" w:type="dxa"/>
            <w:vAlign w:val="top"/>
          </w:tcPr>
          <w:p w14:paraId="30EE5202">
            <w:pPr>
              <w:keepNext w:val="0"/>
              <w:keepLines w:val="0"/>
              <w:suppressLineNumbers w:val="0"/>
              <w:autoSpaceDE w:val="0"/>
              <w:autoSpaceDN w:val="0"/>
              <w:adjustRightInd w:val="0"/>
              <w:spacing w:before="156" w:beforeLines="50" w:beforeAutospacing="0" w:after="0" w:afterAutospacing="0" w:line="360" w:lineRule="auto"/>
              <w:ind w:left="0" w:right="0"/>
              <w:jc w:val="center"/>
              <w:outlineLvl w:val="1"/>
              <w:rPr>
                <w:rFonts w:hint="default" w:ascii="宋体" w:hAnsi="Times New Roman" w:eastAsia="宋体" w:cs="Times New Roman"/>
                <w:b w:val="0"/>
                <w:bCs w:val="0"/>
                <w:color w:val="auto"/>
                <w:kern w:val="0"/>
                <w:sz w:val="21"/>
                <w:szCs w:val="21"/>
                <w:vertAlign w:val="baseline"/>
                <w:lang w:val="en-US" w:eastAsia="zh-CN"/>
              </w:rPr>
            </w:pPr>
          </w:p>
        </w:tc>
      </w:tr>
      <w:tr w14:paraId="3D69F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2" w:type="dxa"/>
            <w:vAlign w:val="top"/>
          </w:tcPr>
          <w:p w14:paraId="129D50C2">
            <w:pPr>
              <w:keepNext w:val="0"/>
              <w:keepLines w:val="0"/>
              <w:suppressLineNumbers w:val="0"/>
              <w:autoSpaceDE w:val="0"/>
              <w:autoSpaceDN w:val="0"/>
              <w:adjustRightInd w:val="0"/>
              <w:spacing w:before="156" w:beforeLines="50" w:beforeAutospacing="0" w:after="0" w:afterAutospacing="0" w:line="360" w:lineRule="auto"/>
              <w:ind w:left="0" w:right="0"/>
              <w:jc w:val="center"/>
              <w:outlineLvl w:val="1"/>
              <w:rPr>
                <w:rFonts w:hint="default" w:ascii="宋体" w:hAnsi="Times New Roman" w:eastAsia="宋体" w:cs="Times New Roman"/>
                <w:b/>
                <w:bCs/>
                <w:color w:val="auto"/>
                <w:kern w:val="0"/>
                <w:sz w:val="21"/>
                <w:szCs w:val="21"/>
                <w:vertAlign w:val="baseline"/>
                <w:lang w:val="en-US" w:eastAsia="zh-CN"/>
              </w:rPr>
            </w:pPr>
            <w:bookmarkStart w:id="394" w:name="_Toc23382"/>
            <w:r>
              <w:rPr>
                <w:rFonts w:hint="eastAsia" w:ascii="宋体" w:hAnsi="宋体" w:eastAsia="宋体" w:cs="Times New Roman"/>
                <w:b w:val="0"/>
                <w:bCs/>
                <w:color w:val="auto"/>
                <w:kern w:val="0"/>
                <w:sz w:val="21"/>
                <w:szCs w:val="21"/>
                <w:lang w:val="en-US" w:eastAsia="zh-CN"/>
              </w:rPr>
              <w:t>东莞市东泽XXXX有限公司</w:t>
            </w:r>
            <w:bookmarkEnd w:id="394"/>
          </w:p>
        </w:tc>
        <w:tc>
          <w:tcPr>
            <w:tcW w:w="5013" w:type="dxa"/>
            <w:vAlign w:val="top"/>
          </w:tcPr>
          <w:p w14:paraId="62DBA385">
            <w:pPr>
              <w:keepNext w:val="0"/>
              <w:keepLines w:val="0"/>
              <w:suppressLineNumbers w:val="0"/>
              <w:autoSpaceDE w:val="0"/>
              <w:autoSpaceDN w:val="0"/>
              <w:adjustRightInd w:val="0"/>
              <w:spacing w:before="156" w:beforeLines="50" w:beforeAutospacing="0" w:after="0" w:afterAutospacing="0" w:line="360" w:lineRule="auto"/>
              <w:ind w:left="0" w:right="0"/>
              <w:jc w:val="center"/>
              <w:outlineLvl w:val="1"/>
              <w:rPr>
                <w:rFonts w:hint="default" w:ascii="宋体" w:hAnsi="Times New Roman" w:eastAsia="宋体" w:cs="Times New Roman"/>
                <w:b w:val="0"/>
                <w:bCs w:val="0"/>
                <w:color w:val="auto"/>
                <w:kern w:val="0"/>
                <w:sz w:val="21"/>
                <w:szCs w:val="21"/>
                <w:vertAlign w:val="baseline"/>
                <w:lang w:val="en-US" w:eastAsia="zh-CN"/>
              </w:rPr>
            </w:pPr>
          </w:p>
        </w:tc>
      </w:tr>
      <w:tr w14:paraId="70F5B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2" w:type="dxa"/>
            <w:vAlign w:val="top"/>
          </w:tcPr>
          <w:p w14:paraId="09364E3C">
            <w:pPr>
              <w:keepNext w:val="0"/>
              <w:keepLines w:val="0"/>
              <w:suppressLineNumbers w:val="0"/>
              <w:autoSpaceDE w:val="0"/>
              <w:autoSpaceDN w:val="0"/>
              <w:adjustRightInd w:val="0"/>
              <w:spacing w:before="156" w:beforeLines="50" w:beforeAutospacing="0" w:after="0" w:afterAutospacing="0" w:line="360" w:lineRule="auto"/>
              <w:ind w:left="0" w:right="0"/>
              <w:jc w:val="center"/>
              <w:outlineLvl w:val="1"/>
              <w:rPr>
                <w:rFonts w:hint="eastAsia" w:ascii="宋体" w:hAnsi="Times New Roman" w:eastAsia="宋体" w:cs="Times New Roman"/>
                <w:color w:val="auto"/>
                <w:kern w:val="0"/>
                <w:sz w:val="21"/>
                <w:szCs w:val="21"/>
                <w:lang w:val="en-US" w:eastAsia="zh-CN"/>
              </w:rPr>
            </w:pPr>
          </w:p>
        </w:tc>
        <w:tc>
          <w:tcPr>
            <w:tcW w:w="5013" w:type="dxa"/>
          </w:tcPr>
          <w:p w14:paraId="52F1124A">
            <w:pPr>
              <w:keepNext w:val="0"/>
              <w:keepLines w:val="0"/>
              <w:suppressLineNumbers w:val="0"/>
              <w:autoSpaceDE w:val="0"/>
              <w:autoSpaceDN w:val="0"/>
              <w:adjustRightInd w:val="0"/>
              <w:spacing w:before="156" w:beforeLines="50" w:beforeAutospacing="0" w:after="0" w:afterAutospacing="0" w:line="360" w:lineRule="auto"/>
              <w:ind w:left="0" w:right="0"/>
              <w:jc w:val="center"/>
              <w:outlineLvl w:val="1"/>
              <w:rPr>
                <w:rFonts w:hint="default" w:ascii="宋体" w:hAnsi="Times New Roman" w:eastAsia="宋体" w:cs="Times New Roman"/>
                <w:color w:val="auto"/>
                <w:kern w:val="0"/>
                <w:sz w:val="21"/>
                <w:szCs w:val="21"/>
                <w:lang w:val="en-US" w:eastAsia="zh-CN"/>
              </w:rPr>
            </w:pPr>
          </w:p>
        </w:tc>
      </w:tr>
      <w:tr w14:paraId="68E26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2" w:type="dxa"/>
            <w:vAlign w:val="top"/>
          </w:tcPr>
          <w:p w14:paraId="7664AE1F">
            <w:pPr>
              <w:keepNext w:val="0"/>
              <w:keepLines w:val="0"/>
              <w:suppressLineNumbers w:val="0"/>
              <w:autoSpaceDE w:val="0"/>
              <w:autoSpaceDN w:val="0"/>
              <w:adjustRightInd w:val="0"/>
              <w:spacing w:before="156" w:beforeLines="50" w:beforeAutospacing="0" w:after="0" w:afterAutospacing="0" w:line="360" w:lineRule="auto"/>
              <w:ind w:left="0" w:right="0"/>
              <w:jc w:val="center"/>
              <w:outlineLvl w:val="1"/>
              <w:rPr>
                <w:rFonts w:hint="eastAsia" w:ascii="宋体" w:hAnsi="Times New Roman" w:eastAsia="宋体" w:cs="Times New Roman"/>
                <w:color w:val="auto"/>
                <w:kern w:val="0"/>
                <w:sz w:val="21"/>
                <w:szCs w:val="21"/>
                <w:lang w:val="en-US" w:eastAsia="zh-CN"/>
              </w:rPr>
            </w:pPr>
          </w:p>
        </w:tc>
        <w:tc>
          <w:tcPr>
            <w:tcW w:w="5013" w:type="dxa"/>
          </w:tcPr>
          <w:p w14:paraId="7DCBC325">
            <w:pPr>
              <w:keepNext w:val="0"/>
              <w:keepLines w:val="0"/>
              <w:suppressLineNumbers w:val="0"/>
              <w:autoSpaceDE w:val="0"/>
              <w:autoSpaceDN w:val="0"/>
              <w:adjustRightInd w:val="0"/>
              <w:spacing w:before="156" w:beforeLines="50" w:beforeAutospacing="0" w:after="0" w:afterAutospacing="0" w:line="360" w:lineRule="auto"/>
              <w:ind w:left="0" w:right="0"/>
              <w:jc w:val="center"/>
              <w:outlineLvl w:val="1"/>
              <w:rPr>
                <w:rFonts w:hint="default" w:ascii="宋体" w:hAnsi="Times New Roman" w:eastAsia="宋体" w:cs="Times New Roman"/>
                <w:color w:val="auto"/>
                <w:kern w:val="0"/>
                <w:sz w:val="21"/>
                <w:szCs w:val="21"/>
                <w:lang w:val="en-US" w:eastAsia="zh-CN"/>
              </w:rPr>
            </w:pPr>
          </w:p>
        </w:tc>
      </w:tr>
      <w:tr w14:paraId="49C1B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2" w:type="dxa"/>
          </w:tcPr>
          <w:p w14:paraId="4E2F7CBD">
            <w:pPr>
              <w:keepNext w:val="0"/>
              <w:keepLines w:val="0"/>
              <w:suppressLineNumbers w:val="0"/>
              <w:autoSpaceDE w:val="0"/>
              <w:autoSpaceDN w:val="0"/>
              <w:adjustRightInd w:val="0"/>
              <w:spacing w:before="156" w:beforeLines="50" w:beforeAutospacing="0" w:after="0" w:afterAutospacing="0" w:line="360" w:lineRule="auto"/>
              <w:ind w:left="0" w:right="0"/>
              <w:jc w:val="center"/>
              <w:outlineLvl w:val="1"/>
              <w:rPr>
                <w:rFonts w:hint="default" w:ascii="宋体" w:hAnsi="Times New Roman" w:eastAsia="宋体" w:cs="Times New Roman"/>
                <w:color w:val="auto"/>
                <w:kern w:val="0"/>
                <w:sz w:val="24"/>
                <w:szCs w:val="24"/>
              </w:rPr>
            </w:pPr>
          </w:p>
        </w:tc>
        <w:tc>
          <w:tcPr>
            <w:tcW w:w="5013" w:type="dxa"/>
          </w:tcPr>
          <w:p w14:paraId="06B7EA9B">
            <w:pPr>
              <w:keepNext w:val="0"/>
              <w:keepLines w:val="0"/>
              <w:suppressLineNumbers w:val="0"/>
              <w:autoSpaceDE w:val="0"/>
              <w:autoSpaceDN w:val="0"/>
              <w:adjustRightInd w:val="0"/>
              <w:spacing w:before="156" w:beforeLines="50" w:beforeAutospacing="0" w:after="0" w:afterAutospacing="0" w:line="360" w:lineRule="auto"/>
              <w:ind w:left="0" w:right="0"/>
              <w:jc w:val="center"/>
              <w:outlineLvl w:val="1"/>
              <w:rPr>
                <w:rFonts w:hint="eastAsia" w:ascii="宋体" w:hAnsi="Times New Roman" w:eastAsia="宋体" w:cs="Times New Roman"/>
                <w:color w:val="auto"/>
                <w:kern w:val="0"/>
                <w:sz w:val="21"/>
                <w:szCs w:val="21"/>
                <w:lang w:val="en-US" w:eastAsia="zh-CN"/>
              </w:rPr>
            </w:pPr>
          </w:p>
        </w:tc>
      </w:tr>
      <w:tr w14:paraId="5C499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5" w:type="dxa"/>
            <w:gridSpan w:val="2"/>
          </w:tcPr>
          <w:p w14:paraId="1FE6DD83">
            <w:pPr>
              <w:keepNext w:val="0"/>
              <w:keepLines w:val="0"/>
              <w:suppressLineNumbers w:val="0"/>
              <w:autoSpaceDE w:val="0"/>
              <w:autoSpaceDN w:val="0"/>
              <w:adjustRightInd w:val="0"/>
              <w:spacing w:before="156" w:beforeLines="50" w:beforeAutospacing="0" w:after="0" w:afterAutospacing="0" w:line="360" w:lineRule="auto"/>
              <w:ind w:left="0" w:right="0"/>
              <w:jc w:val="center"/>
              <w:outlineLvl w:val="1"/>
              <w:rPr>
                <w:rFonts w:hint="eastAsia" w:ascii="宋体" w:hAnsi="Times New Roman" w:eastAsia="宋体" w:cs="Times New Roman"/>
                <w:color w:val="auto"/>
                <w:kern w:val="0"/>
                <w:sz w:val="21"/>
                <w:szCs w:val="21"/>
                <w:lang w:val="en-US" w:eastAsia="zh-CN"/>
              </w:rPr>
            </w:pPr>
            <w:bookmarkStart w:id="395" w:name="_Toc23711"/>
            <w:r>
              <w:rPr>
                <w:rFonts w:hint="eastAsia" w:ascii="宋体" w:hAnsi="Times New Roman" w:eastAsia="宋体" w:cs="Times New Roman"/>
                <w:color w:val="auto"/>
                <w:kern w:val="0"/>
                <w:sz w:val="21"/>
                <w:szCs w:val="21"/>
                <w:lang w:val="en-US" w:eastAsia="zh-CN"/>
              </w:rPr>
              <w:t>总计：</w:t>
            </w:r>
            <w:r>
              <w:rPr>
                <w:rFonts w:hint="eastAsia" w:ascii="宋体" w:hAnsi="宋体" w:eastAsia="宋体" w:cs="仿宋_GB2312"/>
                <w:color w:val="auto"/>
                <w:kern w:val="0"/>
                <w:sz w:val="21"/>
                <w:szCs w:val="21"/>
                <w:u w:val="single"/>
                <w:lang w:val="en-US" w:eastAsia="zh-CN"/>
              </w:rPr>
              <w:t>xxxxxxxxx</w:t>
            </w:r>
            <w:r>
              <w:rPr>
                <w:rFonts w:hint="eastAsia" w:ascii="宋体" w:hAnsi="Times New Roman" w:eastAsia="宋体" w:cs="Times New Roman"/>
                <w:color w:val="auto"/>
                <w:kern w:val="0"/>
                <w:sz w:val="21"/>
                <w:szCs w:val="21"/>
                <w:u w:val="single"/>
                <w:lang w:val="en-US" w:eastAsia="zh-CN"/>
              </w:rPr>
              <w:t xml:space="preserve"> </w:t>
            </w:r>
            <w:r>
              <w:rPr>
                <w:rFonts w:hint="eastAsia" w:ascii="宋体" w:hAnsi="宋体" w:eastAsia="宋体" w:cs="宋体"/>
                <w:color w:val="auto"/>
                <w:kern w:val="0"/>
                <w:sz w:val="21"/>
                <w:szCs w:val="21"/>
                <w:u w:val="single"/>
                <w:lang w:val="en-US" w:eastAsia="zh-CN"/>
              </w:rPr>
              <w:t>元</w:t>
            </w:r>
            <w:bookmarkEnd w:id="395"/>
          </w:p>
        </w:tc>
      </w:tr>
    </w:tbl>
    <w:p w14:paraId="7392BB75">
      <w:pPr>
        <w:autoSpaceDE w:val="0"/>
        <w:autoSpaceDN w:val="0"/>
        <w:adjustRightInd w:val="0"/>
        <w:spacing w:line="360" w:lineRule="auto"/>
        <w:ind w:firstLine="420" w:firstLineChars="200"/>
        <w:jc w:val="left"/>
        <w:rPr>
          <w:rFonts w:hint="eastAsia" w:ascii="宋体" w:hAnsi="宋体" w:eastAsia="宋体" w:cs="Times New Roman"/>
          <w:color w:val="auto"/>
          <w:kern w:val="0"/>
          <w:sz w:val="21"/>
          <w:szCs w:val="21"/>
        </w:rPr>
      </w:pPr>
    </w:p>
    <w:p w14:paraId="56216887">
      <w:pPr>
        <w:autoSpaceDE w:val="0"/>
        <w:autoSpaceDN w:val="0"/>
        <w:adjustRightInd w:val="0"/>
        <w:spacing w:line="360" w:lineRule="auto"/>
        <w:ind w:firstLine="420" w:firstLineChars="200"/>
        <w:jc w:val="left"/>
        <w:rPr>
          <w:rFonts w:ascii="宋体" w:hAnsi="宋体" w:eastAsia="宋体" w:cs="Times New Roman"/>
          <w:color w:val="auto"/>
          <w:kern w:val="0"/>
          <w:sz w:val="21"/>
          <w:szCs w:val="21"/>
        </w:rPr>
      </w:pPr>
      <w:r>
        <w:rPr>
          <w:rFonts w:hint="eastAsia" w:ascii="宋体" w:hAnsi="宋体" w:eastAsia="宋体" w:cs="Times New Roman"/>
          <w:color w:val="auto"/>
          <w:kern w:val="0"/>
          <w:sz w:val="21"/>
          <w:szCs w:val="21"/>
        </w:rPr>
        <w:t>8</w:t>
      </w:r>
      <w:r>
        <w:rPr>
          <w:rFonts w:ascii="宋体" w:hAnsi="宋体" w:eastAsia="宋体" w:cs="Times New Roman"/>
          <w:color w:val="auto"/>
          <w:kern w:val="0"/>
          <w:sz w:val="21"/>
          <w:szCs w:val="21"/>
        </w:rPr>
        <w:t>、乙方</w:t>
      </w:r>
      <w:r>
        <w:rPr>
          <w:rFonts w:hint="eastAsia" w:ascii="宋体" w:hAnsi="宋体" w:eastAsia="宋体" w:cs="Times New Roman"/>
          <w:color w:val="auto"/>
          <w:kern w:val="0"/>
          <w:sz w:val="21"/>
          <w:szCs w:val="21"/>
        </w:rPr>
        <w:t>指定</w:t>
      </w:r>
      <w:r>
        <w:rPr>
          <w:rFonts w:ascii="宋体" w:hAnsi="宋体" w:eastAsia="宋体" w:cs="Times New Roman"/>
          <w:color w:val="auto"/>
          <w:kern w:val="0"/>
          <w:sz w:val="21"/>
          <w:szCs w:val="21"/>
        </w:rPr>
        <w:t>收款</w:t>
      </w:r>
      <w:r>
        <w:rPr>
          <w:rFonts w:hint="eastAsia" w:ascii="宋体" w:hAnsi="宋体" w:eastAsia="宋体" w:cs="Times New Roman"/>
          <w:color w:val="auto"/>
          <w:kern w:val="0"/>
          <w:sz w:val="21"/>
          <w:szCs w:val="21"/>
        </w:rPr>
        <w:t>账户</w:t>
      </w:r>
      <w:r>
        <w:rPr>
          <w:rFonts w:ascii="宋体" w:hAnsi="宋体" w:eastAsia="宋体" w:cs="Times New Roman"/>
          <w:color w:val="auto"/>
          <w:kern w:val="0"/>
          <w:sz w:val="21"/>
          <w:szCs w:val="21"/>
        </w:rPr>
        <w:t>：</w:t>
      </w:r>
    </w:p>
    <w:p w14:paraId="07FC0E30">
      <w:pPr>
        <w:autoSpaceDE/>
        <w:autoSpaceDN/>
        <w:adjustRightInd/>
        <w:spacing w:line="360" w:lineRule="auto"/>
        <w:ind w:left="720"/>
        <w:jc w:val="both"/>
        <w:rPr>
          <w:rFonts w:ascii="宋体" w:hAnsi="宋体" w:eastAsia="宋体" w:cs="仿宋_GB2312"/>
          <w:color w:val="auto"/>
          <w:kern w:val="2"/>
          <w:sz w:val="21"/>
          <w:szCs w:val="21"/>
        </w:rPr>
      </w:pPr>
      <w:r>
        <w:rPr>
          <w:rFonts w:ascii="宋体" w:hAnsi="宋体" w:eastAsia="宋体" w:cs="仿宋_GB2312"/>
          <w:color w:val="auto"/>
          <w:kern w:val="2"/>
          <w:sz w:val="21"/>
          <w:szCs w:val="21"/>
        </w:rPr>
        <w:t>户名：</w:t>
      </w:r>
      <w:r>
        <w:rPr>
          <w:rFonts w:hint="eastAsia" w:ascii="宋体" w:hAnsi="宋体" w:eastAsia="宋体" w:cs="仿宋_GB2312"/>
          <w:color w:val="auto"/>
          <w:kern w:val="0"/>
          <w:sz w:val="21"/>
          <w:szCs w:val="21"/>
          <w:u w:val="single"/>
          <w:lang w:val="en-US" w:eastAsia="zh-CN"/>
        </w:rPr>
        <w:t>xxxxxxxxx</w:t>
      </w:r>
    </w:p>
    <w:p w14:paraId="0BEAB1A9">
      <w:pPr>
        <w:autoSpaceDE/>
        <w:autoSpaceDN/>
        <w:adjustRightInd/>
        <w:spacing w:line="360" w:lineRule="auto"/>
        <w:ind w:left="720"/>
        <w:jc w:val="both"/>
        <w:rPr>
          <w:rFonts w:ascii="宋体" w:hAnsi="宋体" w:eastAsia="宋体" w:cs="仿宋_GB2312"/>
          <w:color w:val="auto"/>
          <w:kern w:val="2"/>
          <w:sz w:val="21"/>
          <w:szCs w:val="21"/>
        </w:rPr>
      </w:pPr>
      <w:r>
        <w:rPr>
          <w:rFonts w:ascii="宋体" w:hAnsi="宋体" w:eastAsia="宋体" w:cs="仿宋_GB2312"/>
          <w:color w:val="auto"/>
          <w:kern w:val="2"/>
          <w:sz w:val="21"/>
          <w:szCs w:val="21"/>
        </w:rPr>
        <w:t>开户行：</w:t>
      </w:r>
      <w:r>
        <w:rPr>
          <w:rFonts w:hint="eastAsia" w:ascii="宋体" w:hAnsi="宋体" w:eastAsia="宋体" w:cs="仿宋_GB2312"/>
          <w:color w:val="auto"/>
          <w:kern w:val="0"/>
          <w:sz w:val="21"/>
          <w:szCs w:val="21"/>
          <w:u w:val="single"/>
          <w:lang w:val="en-US" w:eastAsia="zh-CN"/>
        </w:rPr>
        <w:t>xxxxxxxxx</w:t>
      </w:r>
      <w:r>
        <w:rPr>
          <w:rFonts w:hint="eastAsia" w:ascii="宋体" w:hAnsi="宋体" w:eastAsia="宋体" w:cs="仿宋_GB2312"/>
          <w:color w:val="auto"/>
          <w:kern w:val="2"/>
          <w:sz w:val="21"/>
          <w:szCs w:val="21"/>
        </w:rPr>
        <w:t>支行</w:t>
      </w:r>
      <w:r>
        <w:rPr>
          <w:rFonts w:ascii="宋体" w:hAnsi="宋体" w:eastAsia="宋体" w:cs="仿宋_GB2312"/>
          <w:color w:val="auto"/>
          <w:kern w:val="2"/>
          <w:sz w:val="21"/>
          <w:szCs w:val="21"/>
        </w:rPr>
        <w:t xml:space="preserve"> </w:t>
      </w:r>
    </w:p>
    <w:p w14:paraId="158F4102">
      <w:pPr>
        <w:autoSpaceDE/>
        <w:autoSpaceDN/>
        <w:adjustRightInd/>
        <w:spacing w:line="360" w:lineRule="auto"/>
        <w:ind w:left="720"/>
        <w:jc w:val="both"/>
        <w:rPr>
          <w:rFonts w:ascii="宋体" w:hAnsi="宋体" w:eastAsia="宋体" w:cs="仿宋_GB2312"/>
          <w:color w:val="auto"/>
          <w:kern w:val="2"/>
          <w:sz w:val="21"/>
          <w:szCs w:val="21"/>
        </w:rPr>
      </w:pPr>
      <w:r>
        <w:rPr>
          <w:rFonts w:ascii="宋体" w:hAnsi="宋体" w:eastAsia="宋体" w:cs="仿宋_GB2312"/>
          <w:color w:val="auto"/>
          <w:kern w:val="2"/>
          <w:sz w:val="21"/>
          <w:szCs w:val="21"/>
        </w:rPr>
        <w:t>账号：</w:t>
      </w:r>
      <w:r>
        <w:rPr>
          <w:rFonts w:hint="eastAsia" w:ascii="宋体" w:hAnsi="宋体" w:eastAsia="宋体" w:cs="仿宋_GB2312"/>
          <w:color w:val="auto"/>
          <w:kern w:val="0"/>
          <w:sz w:val="21"/>
          <w:szCs w:val="21"/>
          <w:u w:val="single"/>
          <w:lang w:val="en-US" w:eastAsia="zh-CN"/>
        </w:rPr>
        <w:t>xxxxxxxxx</w:t>
      </w:r>
    </w:p>
    <w:p w14:paraId="6E3D5774">
      <w:pPr>
        <w:autoSpaceDE/>
        <w:autoSpaceDN/>
        <w:adjustRightInd/>
        <w:spacing w:line="360" w:lineRule="auto"/>
        <w:ind w:firstLine="420"/>
        <w:jc w:val="both"/>
        <w:rPr>
          <w:rFonts w:ascii="宋体" w:hAnsi="宋体" w:eastAsia="宋体" w:cs="仿宋_GB2312"/>
          <w:color w:val="auto"/>
          <w:kern w:val="2"/>
          <w:sz w:val="21"/>
          <w:szCs w:val="21"/>
          <w:u w:val="words"/>
          <w:lang w:eastAsia="zh-Hans"/>
        </w:rPr>
      </w:pPr>
      <w:r>
        <w:rPr>
          <w:rFonts w:hint="eastAsia" w:ascii="宋体" w:hAnsi="宋体" w:eastAsia="宋体" w:cs="仿宋_GB2312"/>
          <w:color w:val="auto"/>
          <w:kern w:val="2"/>
          <w:sz w:val="21"/>
          <w:szCs w:val="21"/>
          <w:u w:val="words"/>
          <w:lang w:eastAsia="zh-Hans"/>
        </w:rPr>
        <w:t>乙方确认本合同项下的款项均支付至上述银行账户，甲方将款项支付至乙方指定账户即完成支付义务。如乙方收款账户发生任何变更，乙方应至少提前【1</w:t>
      </w:r>
      <w:r>
        <w:rPr>
          <w:rFonts w:ascii="宋体" w:hAnsi="宋体" w:eastAsia="宋体" w:cs="仿宋_GB2312"/>
          <w:color w:val="auto"/>
          <w:kern w:val="2"/>
          <w:sz w:val="21"/>
          <w:szCs w:val="21"/>
          <w:u w:val="words"/>
          <w:lang w:eastAsia="zh-Hans"/>
        </w:rPr>
        <w:t>5</w:t>
      </w:r>
      <w:r>
        <w:rPr>
          <w:rFonts w:hint="eastAsia" w:ascii="宋体" w:hAnsi="宋体" w:eastAsia="宋体" w:cs="仿宋_GB2312"/>
          <w:color w:val="auto"/>
          <w:kern w:val="2"/>
          <w:sz w:val="21"/>
          <w:szCs w:val="21"/>
          <w:u w:val="words"/>
          <w:lang w:eastAsia="zh-Hans"/>
        </w:rPr>
        <w:t>】个工作日书面通知甲方；因未及时通知或因上述银行账户被查封、冻结或发生其他非因甲方原因导致款项未能及时到账的，因此导致的后果由乙方自行承担，与甲方无关。</w:t>
      </w:r>
    </w:p>
    <w:p w14:paraId="7B42D50D">
      <w:pPr>
        <w:autoSpaceDE/>
        <w:autoSpaceDN/>
        <w:adjustRightInd/>
        <w:spacing w:line="360" w:lineRule="auto"/>
        <w:ind w:firstLine="420"/>
        <w:jc w:val="both"/>
        <w:rPr>
          <w:rFonts w:ascii="宋体" w:hAnsi="宋体" w:eastAsia="宋体" w:cs="仿宋_GB2312"/>
          <w:color w:val="auto"/>
          <w:kern w:val="2"/>
          <w:sz w:val="21"/>
          <w:szCs w:val="21"/>
          <w:u w:val="words"/>
        </w:rPr>
      </w:pPr>
      <w:r>
        <w:rPr>
          <w:rFonts w:hint="eastAsia" w:ascii="宋体" w:hAnsi="宋体" w:eastAsia="宋体" w:cs="仿宋_GB2312"/>
          <w:color w:val="auto"/>
          <w:kern w:val="2"/>
          <w:sz w:val="21"/>
          <w:szCs w:val="21"/>
          <w:u w:val="words"/>
          <w:lang w:eastAsia="zh-Hans"/>
        </w:rPr>
        <w:t>特别约定：乙方实际提交的增值税专用发票的税率少于本合同约定的增值税税率的：乙方有权请款的金额变更为“不含税合同价请款金额×（1+乙方实际提交的增值税专用发票的税率）”，对于变更后的差额款项，乙方自愿放弃；乙方实际提交的增值税专用发票的税率多于本合同约定的增值税税率的：甲方有权暂停支付款项直至乙方提供符合本合同约定的增值税专用发票；若乙方因客观情况无法出具的，则经甲方书面同意后，乙方有权请款的金额仍为“不含税合同价请款金额×（1+ 【</w:t>
      </w:r>
      <w:r>
        <w:rPr>
          <w:rFonts w:hint="eastAsia" w:ascii="宋体" w:hAnsi="宋体" w:eastAsia="宋体" w:cs="仿宋_GB2312"/>
          <w:color w:val="auto"/>
          <w:kern w:val="2"/>
          <w:sz w:val="21"/>
          <w:szCs w:val="21"/>
          <w:u w:val="words"/>
          <w:lang w:val="en-US" w:eastAsia="zh-CN"/>
        </w:rPr>
        <w:t xml:space="preserve"> XX </w:t>
      </w:r>
      <w:r>
        <w:rPr>
          <w:rFonts w:hint="eastAsia" w:ascii="宋体" w:hAnsi="宋体" w:eastAsia="宋体" w:cs="仿宋_GB2312"/>
          <w:color w:val="auto"/>
          <w:kern w:val="2"/>
          <w:sz w:val="21"/>
          <w:szCs w:val="21"/>
          <w:u w:val="words"/>
          <w:lang w:eastAsia="zh-Hans"/>
        </w:rPr>
        <w:t>】 %）”，对于多出的税款金额，乙方自愿放弃。</w:t>
      </w:r>
    </w:p>
    <w:p w14:paraId="3581A089">
      <w:pPr>
        <w:autoSpaceDE/>
        <w:autoSpaceDN/>
        <w:adjustRightInd/>
        <w:spacing w:line="360" w:lineRule="auto"/>
        <w:ind w:firstLine="420"/>
        <w:jc w:val="both"/>
        <w:rPr>
          <w:rFonts w:ascii="宋体" w:hAnsi="宋体" w:eastAsia="宋体" w:cs="仿宋_GB2312"/>
          <w:color w:val="auto"/>
          <w:kern w:val="2"/>
          <w:sz w:val="21"/>
          <w:szCs w:val="21"/>
          <w:u w:val="words"/>
        </w:rPr>
      </w:pPr>
    </w:p>
    <w:p w14:paraId="5054F61B">
      <w:pPr>
        <w:autoSpaceDE w:val="0"/>
        <w:autoSpaceDN w:val="0"/>
        <w:adjustRightInd w:val="0"/>
        <w:spacing w:line="360" w:lineRule="auto"/>
        <w:jc w:val="left"/>
        <w:outlineLvl w:val="1"/>
        <w:rPr>
          <w:rFonts w:ascii="宋体" w:hAnsi="宋体" w:eastAsia="宋体" w:cs="Times New Roman"/>
          <w:b/>
          <w:color w:val="auto"/>
          <w:kern w:val="0"/>
          <w:sz w:val="21"/>
          <w:szCs w:val="21"/>
        </w:rPr>
      </w:pPr>
      <w:bookmarkStart w:id="396" w:name="_Toc22310"/>
      <w:r>
        <w:rPr>
          <w:rFonts w:hint="eastAsia" w:ascii="宋体" w:hAnsi="宋体" w:eastAsia="宋体" w:cs="Times New Roman"/>
          <w:b/>
          <w:color w:val="auto"/>
          <w:kern w:val="0"/>
          <w:sz w:val="21"/>
          <w:szCs w:val="21"/>
        </w:rPr>
        <w:t>第七条 质保及售后要求</w:t>
      </w:r>
      <w:bookmarkEnd w:id="396"/>
    </w:p>
    <w:p w14:paraId="734A8102">
      <w:pPr>
        <w:autoSpaceDE/>
        <w:autoSpaceDN/>
        <w:adjustRightInd/>
        <w:spacing w:line="360" w:lineRule="auto"/>
        <w:ind w:firstLine="420" w:firstLineChars="200"/>
        <w:jc w:val="both"/>
        <w:rPr>
          <w:rFonts w:ascii="宋体" w:hAnsi="宋体" w:eastAsia="宋体" w:cs="宋体"/>
          <w:color w:val="auto"/>
          <w:kern w:val="2"/>
          <w:sz w:val="21"/>
          <w:szCs w:val="21"/>
        </w:rPr>
      </w:pPr>
      <w:r>
        <w:rPr>
          <w:rFonts w:ascii="宋体" w:hAnsi="宋体" w:eastAsia="宋体" w:cs="宋体"/>
          <w:color w:val="auto"/>
          <w:kern w:val="2"/>
          <w:sz w:val="21"/>
          <w:szCs w:val="21"/>
        </w:rPr>
        <w:t>1</w:t>
      </w:r>
      <w:r>
        <w:rPr>
          <w:rFonts w:hint="eastAsia" w:ascii="宋体" w:hAnsi="宋体" w:eastAsia="宋体" w:cs="宋体"/>
          <w:color w:val="auto"/>
          <w:kern w:val="2"/>
          <w:sz w:val="21"/>
          <w:szCs w:val="21"/>
        </w:rPr>
        <w:t>、质保期为</w:t>
      </w:r>
      <w:r>
        <w:rPr>
          <w:rFonts w:hint="eastAsia" w:ascii="宋体" w:hAnsi="宋体" w:eastAsia="宋体" w:cs="宋体"/>
          <w:color w:val="auto"/>
          <w:kern w:val="2"/>
          <w:sz w:val="21"/>
          <w:szCs w:val="21"/>
          <w:lang w:val="en-US" w:eastAsia="zh-CN"/>
        </w:rPr>
        <w:t>六</w:t>
      </w:r>
      <w:r>
        <w:rPr>
          <w:rFonts w:hint="eastAsia" w:ascii="宋体" w:hAnsi="宋体" w:eastAsia="宋体" w:cs="宋体"/>
          <w:color w:val="auto"/>
          <w:kern w:val="2"/>
          <w:sz w:val="21"/>
          <w:szCs w:val="21"/>
        </w:rPr>
        <w:t>个月，自乙方完成每次配送清单的所有货物并经甲方最终验收合格之日起计算。质保期内乙方</w:t>
      </w:r>
      <w:r>
        <w:rPr>
          <w:rFonts w:hint="eastAsia" w:ascii="宋体" w:hAnsi="宋体" w:eastAsia="宋体" w:cs="宋体"/>
          <w:color w:val="auto"/>
          <w:kern w:val="2"/>
          <w:sz w:val="21"/>
          <w:szCs w:val="21"/>
          <w:lang w:eastAsia="zh-Hans"/>
        </w:rPr>
        <w:t>在收到质保通知之日起</w:t>
      </w:r>
      <w:r>
        <w:rPr>
          <w:rFonts w:ascii="宋体" w:hAnsi="宋体" w:eastAsia="宋体" w:cs="宋体"/>
          <w:color w:val="auto"/>
          <w:kern w:val="2"/>
          <w:sz w:val="21"/>
          <w:szCs w:val="21"/>
          <w:lang w:eastAsia="zh-Hans"/>
        </w:rPr>
        <w:t>【3】</w:t>
      </w:r>
      <w:r>
        <w:rPr>
          <w:rFonts w:hint="eastAsia" w:ascii="宋体" w:hAnsi="宋体" w:eastAsia="宋体" w:cs="宋体"/>
          <w:color w:val="auto"/>
          <w:kern w:val="2"/>
          <w:sz w:val="21"/>
          <w:szCs w:val="21"/>
          <w:lang w:eastAsia="zh-Hans"/>
        </w:rPr>
        <w:t>日内</w:t>
      </w:r>
      <w:r>
        <w:rPr>
          <w:rFonts w:hint="eastAsia" w:ascii="宋体" w:hAnsi="宋体" w:eastAsia="宋体" w:cs="宋体"/>
          <w:color w:val="auto"/>
          <w:kern w:val="2"/>
          <w:sz w:val="21"/>
          <w:szCs w:val="21"/>
        </w:rPr>
        <w:t>免费提供上门服务（该费用已包含在货款内）。若货物厂家出厂时承诺更长的质保期限或更高标准的质保义务的，乙方需按厂家承诺提供质保服务。</w:t>
      </w:r>
      <w:r>
        <w:rPr>
          <w:rFonts w:hint="eastAsia" w:ascii="宋体" w:hAnsi="宋体" w:eastAsia="宋体" w:cs="宋体"/>
          <w:color w:val="auto"/>
          <w:kern w:val="2"/>
          <w:sz w:val="21"/>
          <w:szCs w:val="21"/>
          <w:lang w:eastAsia="zh-Hans"/>
        </w:rPr>
        <w:t>若</w:t>
      </w:r>
      <w:r>
        <w:rPr>
          <w:rFonts w:hint="eastAsia" w:ascii="宋体" w:hAnsi="宋体" w:eastAsia="宋体" w:cs="宋体"/>
          <w:color w:val="auto"/>
          <w:kern w:val="2"/>
          <w:sz w:val="21"/>
          <w:szCs w:val="21"/>
        </w:rPr>
        <w:t>乙方</w:t>
      </w:r>
      <w:r>
        <w:rPr>
          <w:rFonts w:hint="eastAsia" w:ascii="宋体" w:hAnsi="宋体" w:eastAsia="宋体" w:cs="宋体"/>
          <w:color w:val="auto"/>
          <w:kern w:val="2"/>
          <w:sz w:val="21"/>
          <w:szCs w:val="21"/>
          <w:lang w:eastAsia="zh-Hans"/>
        </w:rPr>
        <w:t>逾期提供质保服务或未能对具有质量问题的货物进行维护的，甲方有权另行委托第三方对上述货物进行维护，因此产生的所有费用均由乙方承担。</w:t>
      </w:r>
    </w:p>
    <w:p w14:paraId="6FBADE2E">
      <w:pPr>
        <w:autoSpaceDE/>
        <w:autoSpaceDN/>
        <w:adjustRightInd/>
        <w:spacing w:line="360" w:lineRule="auto"/>
        <w:ind w:firstLine="420" w:firstLineChars="200"/>
        <w:jc w:val="both"/>
        <w:rPr>
          <w:rFonts w:ascii="宋体" w:hAnsi="宋体" w:eastAsia="宋体" w:cs="宋体"/>
          <w:color w:val="auto"/>
          <w:kern w:val="2"/>
          <w:sz w:val="21"/>
          <w:szCs w:val="21"/>
        </w:rPr>
      </w:pPr>
      <w:r>
        <w:rPr>
          <w:rFonts w:ascii="宋体" w:hAnsi="宋体" w:eastAsia="宋体" w:cs="宋体"/>
          <w:color w:val="auto"/>
          <w:kern w:val="2"/>
          <w:sz w:val="21"/>
          <w:szCs w:val="21"/>
        </w:rPr>
        <w:t>2</w:t>
      </w:r>
      <w:r>
        <w:rPr>
          <w:rFonts w:hint="eastAsia" w:ascii="宋体" w:hAnsi="宋体" w:eastAsia="宋体" w:cs="宋体"/>
          <w:color w:val="auto"/>
          <w:kern w:val="2"/>
          <w:sz w:val="21"/>
          <w:szCs w:val="21"/>
        </w:rPr>
        <w:t>、质保期内，若货物经 1 次维修或维修时间超过1个月，仍不能正常使用的，乙方应免费给予更换，被更换的货物的质保期为从更换日起重新计算。</w:t>
      </w:r>
    </w:p>
    <w:p w14:paraId="008F943E">
      <w:pPr>
        <w:autoSpaceDE w:val="0"/>
        <w:autoSpaceDN w:val="0"/>
        <w:adjustRightInd w:val="0"/>
        <w:spacing w:line="360" w:lineRule="auto"/>
        <w:ind w:right="-28" w:firstLine="420" w:firstLineChars="200"/>
        <w:jc w:val="both"/>
        <w:rPr>
          <w:rFonts w:ascii="宋体" w:hAnsi="宋体" w:eastAsia="宋体" w:cs="Times New Roman"/>
          <w:color w:val="auto"/>
          <w:kern w:val="0"/>
          <w:sz w:val="21"/>
          <w:szCs w:val="21"/>
          <w:lang w:val="zh-CN"/>
        </w:rPr>
      </w:pPr>
      <w:r>
        <w:rPr>
          <w:rFonts w:ascii="宋体" w:hAnsi="宋体" w:eastAsia="宋体" w:cs="Times New Roman"/>
          <w:color w:val="auto"/>
          <w:kern w:val="0"/>
          <w:sz w:val="21"/>
          <w:szCs w:val="21"/>
          <w:lang w:val="zh-CN"/>
        </w:rPr>
        <w:t>3</w:t>
      </w:r>
      <w:r>
        <w:rPr>
          <w:rFonts w:hint="eastAsia" w:ascii="宋体" w:hAnsi="宋体" w:eastAsia="宋体" w:cs="Times New Roman"/>
          <w:color w:val="auto"/>
          <w:kern w:val="0"/>
          <w:sz w:val="21"/>
          <w:szCs w:val="21"/>
          <w:lang w:val="zh-CN"/>
        </w:rPr>
        <w:t>、在合同规定的质保期内，当货物出现故障问题时，乙方接到甲方通知后4小时内响应，24小时内赶到现场维修或更换，保证货物的正常使用。</w:t>
      </w:r>
    </w:p>
    <w:p w14:paraId="7FB13EC3">
      <w:pPr>
        <w:autoSpaceDE/>
        <w:autoSpaceDN/>
        <w:adjustRightInd/>
        <w:spacing w:line="360" w:lineRule="auto"/>
        <w:ind w:firstLine="420" w:firstLineChars="200"/>
        <w:jc w:val="both"/>
        <w:rPr>
          <w:rFonts w:ascii="宋体" w:hAnsi="宋体" w:eastAsia="宋体" w:cs="宋体"/>
          <w:color w:val="auto"/>
          <w:kern w:val="2"/>
          <w:sz w:val="21"/>
          <w:szCs w:val="21"/>
        </w:rPr>
      </w:pPr>
      <w:r>
        <w:rPr>
          <w:rFonts w:ascii="宋体" w:hAnsi="宋体" w:eastAsia="宋体" w:cs="Times New Roman"/>
          <w:color w:val="auto"/>
          <w:kern w:val="0"/>
          <w:sz w:val="21"/>
          <w:szCs w:val="21"/>
          <w:lang w:val="zh-CN"/>
        </w:rPr>
        <w:t>4</w:t>
      </w:r>
      <w:r>
        <w:rPr>
          <w:rFonts w:hint="eastAsia" w:ascii="宋体" w:hAnsi="宋体" w:eastAsia="宋体" w:cs="Times New Roman"/>
          <w:color w:val="auto"/>
          <w:kern w:val="0"/>
          <w:sz w:val="21"/>
          <w:szCs w:val="21"/>
          <w:lang w:val="zh-CN"/>
        </w:rPr>
        <w:t>、</w:t>
      </w:r>
      <w:r>
        <w:rPr>
          <w:rFonts w:hint="eastAsia" w:ascii="宋体" w:hAnsi="宋体" w:eastAsia="宋体" w:cs="Times New Roman"/>
          <w:color w:val="auto"/>
          <w:kern w:val="2"/>
          <w:sz w:val="21"/>
          <w:szCs w:val="21"/>
        </w:rPr>
        <w:t>由甲方负责所供货物的安装工作，甲方在安装、使用货物时所遇技术问题</w:t>
      </w:r>
      <w:r>
        <w:rPr>
          <w:rFonts w:hint="eastAsia" w:ascii="宋体" w:hAnsi="宋体" w:eastAsia="宋体" w:cs="宋体"/>
          <w:color w:val="auto"/>
          <w:kern w:val="2"/>
          <w:sz w:val="21"/>
          <w:szCs w:val="21"/>
        </w:rPr>
        <w:t>，</w:t>
      </w:r>
      <w:r>
        <w:rPr>
          <w:rFonts w:hint="eastAsia" w:ascii="宋体" w:hAnsi="宋体" w:eastAsia="宋体" w:cs="Times New Roman"/>
          <w:color w:val="auto"/>
          <w:kern w:val="2"/>
          <w:sz w:val="21"/>
          <w:szCs w:val="21"/>
        </w:rPr>
        <w:t>乙方应按甲方要求及时向甲方提供技术指导服务</w:t>
      </w:r>
      <w:r>
        <w:rPr>
          <w:rFonts w:hint="eastAsia" w:ascii="宋体" w:hAnsi="宋体" w:eastAsia="宋体" w:cs="宋体"/>
          <w:color w:val="auto"/>
          <w:kern w:val="2"/>
          <w:sz w:val="21"/>
          <w:szCs w:val="21"/>
        </w:rPr>
        <w:t>，避免因安装失误而导致设备损坏。如因乙方未进行安装培训或指导，导致甲方设备损坏的，乙方需对该设备进行维修，所产生的费用由乙方负责。</w:t>
      </w:r>
    </w:p>
    <w:p w14:paraId="2ECE9DFE">
      <w:pPr>
        <w:autoSpaceDE w:val="0"/>
        <w:autoSpaceDN w:val="0"/>
        <w:adjustRightInd/>
        <w:spacing w:line="360" w:lineRule="auto"/>
        <w:ind w:right="-26" w:firstLine="422" w:firstLineChars="200"/>
        <w:jc w:val="left"/>
        <w:rPr>
          <w:rFonts w:hint="eastAsia" w:ascii="宋体" w:hAnsi="宋体" w:eastAsia="宋体" w:cs="Times New Roman"/>
          <w:b/>
          <w:bCs/>
          <w:color w:val="auto"/>
          <w:kern w:val="0"/>
          <w:sz w:val="21"/>
          <w:szCs w:val="21"/>
          <w:lang w:val="en-US" w:eastAsia="zh-CN"/>
        </w:rPr>
      </w:pPr>
      <w:r>
        <w:rPr>
          <w:rFonts w:hint="eastAsia" w:ascii="宋体" w:hAnsi="宋体" w:eastAsia="宋体" w:cs="Times New Roman"/>
          <w:b/>
          <w:bCs/>
          <w:color w:val="auto"/>
          <w:kern w:val="0"/>
          <w:sz w:val="21"/>
          <w:szCs w:val="21"/>
          <w:lang w:val="en-US" w:eastAsia="zh-CN"/>
        </w:rPr>
        <w:t>5、其余质量保证、售后服务内容详见《投标文件》第XXX-XXX页；第XXX-XXX页；第XXX页。</w:t>
      </w:r>
    </w:p>
    <w:p w14:paraId="71C04B95">
      <w:pPr>
        <w:widowControl w:val="0"/>
        <w:autoSpaceDE w:val="0"/>
        <w:autoSpaceDN w:val="0"/>
        <w:adjustRightInd w:val="0"/>
        <w:ind w:right="-26"/>
        <w:jc w:val="both"/>
        <w:rPr>
          <w:rFonts w:hint="default" w:ascii="宋体" w:hAnsi="Times New Roman" w:eastAsia="宋体" w:cs="Times New Roman"/>
          <w:b/>
          <w:bCs/>
          <w:color w:val="auto"/>
          <w:sz w:val="21"/>
          <w:szCs w:val="21"/>
          <w:lang w:val="en-US" w:eastAsia="zh-CN" w:bidi="ar-SA"/>
        </w:rPr>
      </w:pPr>
    </w:p>
    <w:p w14:paraId="7E089C47">
      <w:pPr>
        <w:autoSpaceDE w:val="0"/>
        <w:autoSpaceDN w:val="0"/>
        <w:adjustRightInd w:val="0"/>
        <w:spacing w:line="360" w:lineRule="auto"/>
        <w:jc w:val="left"/>
        <w:outlineLvl w:val="1"/>
        <w:rPr>
          <w:rFonts w:ascii="宋体" w:hAnsi="宋体" w:eastAsia="宋体" w:cs="Times New Roman"/>
          <w:color w:val="auto"/>
          <w:kern w:val="0"/>
          <w:sz w:val="21"/>
          <w:szCs w:val="21"/>
        </w:rPr>
      </w:pPr>
      <w:bookmarkStart w:id="397" w:name="_Toc28445"/>
      <w:r>
        <w:rPr>
          <w:rFonts w:hint="eastAsia" w:ascii="宋体" w:hAnsi="宋体" w:eastAsia="宋体" w:cs="Times New Roman"/>
          <w:b/>
          <w:color w:val="auto"/>
          <w:kern w:val="0"/>
          <w:sz w:val="21"/>
          <w:szCs w:val="21"/>
        </w:rPr>
        <w:t>第八条</w:t>
      </w:r>
      <w:r>
        <w:rPr>
          <w:rFonts w:ascii="宋体" w:hAnsi="宋体" w:eastAsia="宋体" w:cs="Times New Roman"/>
          <w:b/>
          <w:color w:val="auto"/>
          <w:kern w:val="0"/>
          <w:sz w:val="21"/>
          <w:szCs w:val="21"/>
        </w:rPr>
        <w:t xml:space="preserve"> </w:t>
      </w:r>
      <w:r>
        <w:rPr>
          <w:rFonts w:hint="eastAsia" w:ascii="宋体" w:hAnsi="宋体" w:eastAsia="宋体" w:cs="Times New Roman"/>
          <w:b/>
          <w:color w:val="auto"/>
          <w:kern w:val="0"/>
          <w:sz w:val="21"/>
          <w:szCs w:val="21"/>
        </w:rPr>
        <w:t>履约担保</w:t>
      </w:r>
      <w:bookmarkEnd w:id="397"/>
    </w:p>
    <w:p w14:paraId="22007E53">
      <w:pPr>
        <w:autoSpaceDE w:val="0"/>
        <w:autoSpaceDN w:val="0"/>
        <w:adjustRightInd w:val="0"/>
        <w:snapToGrid w:val="0"/>
        <w:spacing w:line="360" w:lineRule="auto"/>
        <w:ind w:firstLine="371" w:firstLineChars="177"/>
        <w:jc w:val="left"/>
        <w:rPr>
          <w:rFonts w:ascii="宋体" w:hAnsi="宋体" w:eastAsia="宋体" w:cs="Times New Roman"/>
          <w:color w:val="auto"/>
          <w:kern w:val="0"/>
          <w:sz w:val="21"/>
          <w:szCs w:val="21"/>
        </w:rPr>
      </w:pPr>
      <w:r>
        <w:rPr>
          <w:rFonts w:ascii="宋体" w:hAnsi="宋体" w:eastAsia="宋体" w:cs="Times New Roman"/>
          <w:color w:val="auto"/>
          <w:kern w:val="0"/>
          <w:sz w:val="21"/>
          <w:szCs w:val="21"/>
        </w:rPr>
        <w:t>1、乙方应当根据招标文件的规定</w:t>
      </w:r>
      <w:r>
        <w:rPr>
          <w:rFonts w:ascii="宋体" w:hAnsi="宋体" w:eastAsia="宋体" w:cs="Times New Roman"/>
          <w:b/>
          <w:bCs/>
          <w:color w:val="auto"/>
          <w:kern w:val="0"/>
          <w:sz w:val="21"/>
          <w:szCs w:val="21"/>
        </w:rPr>
        <w:t>在签订本合同前</w:t>
      </w:r>
      <w:r>
        <w:rPr>
          <w:rFonts w:ascii="宋体" w:hAnsi="宋体" w:eastAsia="宋体" w:cs="Times New Roman"/>
          <w:color w:val="auto"/>
          <w:kern w:val="0"/>
          <w:sz w:val="21"/>
          <w:szCs w:val="21"/>
        </w:rPr>
        <w:t>向</w:t>
      </w:r>
      <w:r>
        <w:rPr>
          <w:rFonts w:hint="eastAsia" w:ascii="宋体" w:hAnsi="宋体" w:eastAsia="宋体" w:cs="Times New Roman"/>
          <w:color w:val="auto"/>
          <w:kern w:val="0"/>
          <w:sz w:val="21"/>
          <w:szCs w:val="21"/>
        </w:rPr>
        <w:t>东莞市水务集团有限公司</w:t>
      </w:r>
      <w:r>
        <w:rPr>
          <w:rFonts w:ascii="宋体" w:hAnsi="宋体" w:eastAsia="宋体" w:cs="Times New Roman"/>
          <w:color w:val="auto"/>
          <w:kern w:val="0"/>
          <w:sz w:val="21"/>
          <w:szCs w:val="21"/>
        </w:rPr>
        <w:t>提供履约担保，履约担保形式及金额由乙方从以下方式中任选一种：</w:t>
      </w:r>
    </w:p>
    <w:p w14:paraId="4EE76704">
      <w:pPr>
        <w:autoSpaceDE w:val="0"/>
        <w:autoSpaceDN w:val="0"/>
        <w:adjustRightInd/>
        <w:spacing w:line="360" w:lineRule="auto"/>
        <w:ind w:firstLine="371" w:firstLineChars="177"/>
        <w:jc w:val="left"/>
        <w:rPr>
          <w:rFonts w:ascii="宋体" w:hAnsi="宋体" w:eastAsia="宋体" w:cs="Times New Roman"/>
          <w:color w:val="auto"/>
          <w:kern w:val="0"/>
          <w:sz w:val="21"/>
          <w:szCs w:val="21"/>
          <w:u w:val="single"/>
        </w:rPr>
      </w:pPr>
      <w:r>
        <w:rPr>
          <w:rFonts w:hint="eastAsia" w:ascii="宋体" w:hAnsi="宋体" w:eastAsia="宋体" w:cs="Times New Roman"/>
          <w:color w:val="auto"/>
          <w:kern w:val="0"/>
          <w:sz w:val="21"/>
          <w:szCs w:val="21"/>
        </w:rPr>
        <w:t>□</w:t>
      </w:r>
      <w:r>
        <w:rPr>
          <w:rFonts w:hint="eastAsia" w:ascii="宋体" w:hAnsi="宋体" w:eastAsia="宋体" w:cs="Times New Roman"/>
          <w:color w:val="auto"/>
          <w:kern w:val="0"/>
          <w:sz w:val="21"/>
          <w:szCs w:val="21"/>
          <w:u w:val="single"/>
        </w:rPr>
        <w:t>履约保证金（银行转账形式）金额为</w:t>
      </w:r>
      <w:r>
        <w:rPr>
          <w:rFonts w:hint="eastAsia" w:ascii="宋体" w:hAnsi="宋体" w:eastAsia="宋体" w:cs="Times New Roman"/>
          <w:color w:val="auto"/>
          <w:kern w:val="0"/>
          <w:sz w:val="21"/>
          <w:szCs w:val="21"/>
          <w:u w:val="single"/>
          <w:lang w:eastAsia="zh-CN"/>
        </w:rPr>
        <w:t>不含税</w:t>
      </w:r>
      <w:r>
        <w:rPr>
          <w:rFonts w:hint="eastAsia" w:ascii="宋体" w:hAnsi="宋体" w:eastAsia="宋体" w:cs="Times New Roman"/>
          <w:color w:val="auto"/>
          <w:kern w:val="0"/>
          <w:sz w:val="21"/>
          <w:szCs w:val="21"/>
          <w:u w:val="single"/>
          <w:lang w:val="en-US" w:eastAsia="zh-CN"/>
        </w:rPr>
        <w:t>暂定合同价的5%</w:t>
      </w:r>
      <w:r>
        <w:rPr>
          <w:rFonts w:hint="eastAsia" w:ascii="宋体" w:hAnsi="宋体" w:eastAsia="宋体" w:cs="Times New Roman"/>
          <w:color w:val="auto"/>
          <w:kern w:val="0"/>
          <w:sz w:val="21"/>
          <w:szCs w:val="21"/>
          <w:u w:val="single"/>
        </w:rPr>
        <w:t>；</w:t>
      </w:r>
    </w:p>
    <w:p w14:paraId="60FD5840">
      <w:pPr>
        <w:autoSpaceDE w:val="0"/>
        <w:autoSpaceDN w:val="0"/>
        <w:adjustRightInd/>
        <w:spacing w:line="360" w:lineRule="auto"/>
        <w:ind w:firstLine="371" w:firstLineChars="177"/>
        <w:jc w:val="left"/>
        <w:rPr>
          <w:rFonts w:ascii="宋体" w:hAnsi="宋体" w:eastAsia="宋体" w:cs="Times New Roman"/>
          <w:color w:val="auto"/>
          <w:kern w:val="0"/>
          <w:sz w:val="21"/>
          <w:szCs w:val="21"/>
          <w:u w:val="single"/>
        </w:rPr>
      </w:pPr>
      <w:r>
        <w:rPr>
          <w:rFonts w:hint="eastAsia" w:ascii="宋体" w:hAnsi="宋体" w:eastAsia="宋体" w:cs="Times New Roman"/>
          <w:color w:val="auto"/>
          <w:kern w:val="0"/>
          <w:sz w:val="21"/>
          <w:szCs w:val="21"/>
        </w:rPr>
        <w:t>□</w:t>
      </w:r>
      <w:r>
        <w:rPr>
          <w:rFonts w:hint="eastAsia" w:ascii="宋体" w:hAnsi="宋体" w:eastAsia="宋体" w:cs="Times New Roman"/>
          <w:color w:val="auto"/>
          <w:kern w:val="0"/>
          <w:sz w:val="21"/>
          <w:szCs w:val="21"/>
          <w:u w:val="single"/>
        </w:rPr>
        <w:t>不可撤销银行履约保函金额为不含税</w:t>
      </w:r>
      <w:r>
        <w:rPr>
          <w:rFonts w:hint="eastAsia" w:ascii="宋体" w:hAnsi="宋体" w:eastAsia="宋体" w:cs="Times New Roman"/>
          <w:color w:val="auto"/>
          <w:kern w:val="0"/>
          <w:sz w:val="21"/>
          <w:szCs w:val="21"/>
          <w:u w:val="single"/>
          <w:lang w:val="en-US" w:eastAsia="zh-CN"/>
        </w:rPr>
        <w:t>暂定合同价的8%</w:t>
      </w:r>
      <w:r>
        <w:rPr>
          <w:rFonts w:hint="eastAsia" w:ascii="宋体" w:hAnsi="宋体" w:eastAsia="宋体" w:cs="Times New Roman"/>
          <w:color w:val="auto"/>
          <w:kern w:val="0"/>
          <w:sz w:val="21"/>
          <w:szCs w:val="21"/>
          <w:u w:val="single"/>
        </w:rPr>
        <w:t>；</w:t>
      </w:r>
    </w:p>
    <w:p w14:paraId="1055154E">
      <w:pPr>
        <w:keepNext w:val="0"/>
        <w:keepLines w:val="0"/>
        <w:widowControl w:val="0"/>
        <w:suppressLineNumbers w:val="0"/>
        <w:autoSpaceDE w:val="0"/>
        <w:autoSpaceDN w:val="0"/>
        <w:spacing w:before="0" w:beforeAutospacing="0" w:after="0" w:afterAutospacing="0" w:line="360" w:lineRule="auto"/>
        <w:ind w:left="0" w:right="0" w:firstLine="371" w:firstLineChars="177"/>
        <w:jc w:val="left"/>
        <w:rPr>
          <w:rFonts w:hint="eastAsia" w:ascii="宋体" w:hAnsi="宋体" w:eastAsia="宋体" w:cs="Times New Roman"/>
          <w:color w:val="auto"/>
          <w:kern w:val="0"/>
          <w:sz w:val="21"/>
          <w:szCs w:val="21"/>
          <w:u w:val="single"/>
        </w:rPr>
      </w:pPr>
      <w:r>
        <w:rPr>
          <w:rFonts w:hint="eastAsia" w:ascii="宋体" w:hAnsi="宋体" w:eastAsia="宋体" w:cs="宋体"/>
          <w:color w:val="auto"/>
          <w:kern w:val="0"/>
          <w:sz w:val="21"/>
          <w:szCs w:val="21"/>
          <w:lang w:val="en-US" w:eastAsia="zh-CN" w:bidi="ar"/>
        </w:rPr>
        <w:t>□</w:t>
      </w:r>
      <w:r>
        <w:rPr>
          <w:rFonts w:hint="eastAsia" w:ascii="宋体" w:hAnsi="宋体" w:eastAsia="宋体" w:cs="宋体"/>
          <w:color w:val="auto"/>
          <w:kern w:val="0"/>
          <w:sz w:val="21"/>
          <w:szCs w:val="21"/>
          <w:u w:val="single"/>
          <w:lang w:val="en-US" w:eastAsia="zh-CN" w:bidi="ar"/>
        </w:rPr>
        <w:t>履约保证保险金额为不含税暂定合同价的8%；</w:t>
      </w:r>
    </w:p>
    <w:p w14:paraId="1C6CD380">
      <w:pPr>
        <w:autoSpaceDE w:val="0"/>
        <w:autoSpaceDN w:val="0"/>
        <w:adjustRightInd/>
        <w:spacing w:line="360" w:lineRule="auto"/>
        <w:ind w:right="-26" w:firstLine="371" w:firstLineChars="177"/>
        <w:jc w:val="left"/>
        <w:rPr>
          <w:rFonts w:ascii="宋体" w:hAnsi="宋体" w:eastAsia="宋体" w:cs="Times New Roman"/>
          <w:color w:val="auto"/>
          <w:kern w:val="0"/>
          <w:sz w:val="21"/>
          <w:szCs w:val="21"/>
          <w:u w:val="single"/>
        </w:rPr>
      </w:pPr>
      <w:r>
        <w:rPr>
          <w:rFonts w:hint="eastAsia" w:ascii="宋体" w:hAnsi="宋体" w:eastAsia="宋体" w:cs="Times New Roman"/>
          <w:color w:val="auto"/>
          <w:kern w:val="0"/>
          <w:sz w:val="21"/>
          <w:szCs w:val="21"/>
        </w:rPr>
        <w:t>□</w:t>
      </w:r>
      <w:r>
        <w:rPr>
          <w:rFonts w:hint="eastAsia" w:ascii="宋体" w:hAnsi="宋体" w:eastAsia="宋体" w:cs="Times New Roman"/>
          <w:color w:val="auto"/>
          <w:kern w:val="0"/>
          <w:sz w:val="21"/>
          <w:szCs w:val="21"/>
          <w:u w:val="single"/>
        </w:rPr>
        <w:t>担保公司履约担保书金额为不含税</w:t>
      </w:r>
      <w:r>
        <w:rPr>
          <w:rFonts w:hint="eastAsia" w:ascii="宋体" w:hAnsi="宋体" w:eastAsia="宋体" w:cs="Times New Roman"/>
          <w:color w:val="auto"/>
          <w:kern w:val="0"/>
          <w:sz w:val="21"/>
          <w:szCs w:val="21"/>
          <w:u w:val="single"/>
          <w:lang w:val="en-US" w:eastAsia="zh-CN"/>
        </w:rPr>
        <w:t>暂定合同价的10%</w:t>
      </w:r>
      <w:r>
        <w:rPr>
          <w:rFonts w:hint="eastAsia" w:ascii="宋体" w:hAnsi="宋体" w:eastAsia="宋体" w:cs="Times New Roman"/>
          <w:color w:val="auto"/>
          <w:kern w:val="0"/>
          <w:sz w:val="21"/>
          <w:szCs w:val="21"/>
          <w:u w:val="single"/>
        </w:rPr>
        <w:t>。</w:t>
      </w:r>
    </w:p>
    <w:p w14:paraId="5293BCFF">
      <w:pPr>
        <w:autoSpaceDE w:val="0"/>
        <w:autoSpaceDN w:val="0"/>
        <w:adjustRightInd/>
        <w:spacing w:line="360" w:lineRule="auto"/>
        <w:ind w:firstLine="371" w:firstLineChars="177"/>
        <w:jc w:val="both"/>
        <w:rPr>
          <w:rFonts w:ascii="宋体" w:hAnsi="宋体" w:eastAsia="宋体" w:cs="Times New Roman"/>
          <w:color w:val="auto"/>
          <w:kern w:val="0"/>
          <w:sz w:val="21"/>
          <w:szCs w:val="21"/>
        </w:rPr>
      </w:pPr>
      <w:r>
        <w:rPr>
          <w:rFonts w:ascii="宋体" w:hAnsi="宋体" w:eastAsia="宋体" w:cs="Times New Roman"/>
          <w:color w:val="auto"/>
          <w:kern w:val="0"/>
          <w:sz w:val="21"/>
          <w:szCs w:val="21"/>
        </w:rPr>
        <w:t>2、</w:t>
      </w:r>
      <w:r>
        <w:rPr>
          <w:rFonts w:hint="eastAsia" w:ascii="宋体" w:hAnsi="宋体" w:eastAsia="宋体" w:cs="宋体"/>
          <w:color w:val="auto"/>
          <w:kern w:val="0"/>
          <w:sz w:val="21"/>
          <w:szCs w:val="21"/>
        </w:rPr>
        <w:t>履约担保用于补偿</w:t>
      </w:r>
      <w:r>
        <w:rPr>
          <w:rFonts w:hint="eastAsia" w:ascii="宋体" w:hAnsi="宋体" w:eastAsia="宋体" w:cs="宋体"/>
          <w:color w:val="auto"/>
          <w:kern w:val="0"/>
          <w:sz w:val="21"/>
          <w:szCs w:val="21"/>
          <w:lang w:eastAsia="zh-CN"/>
        </w:rPr>
        <w:t>甲方</w:t>
      </w:r>
      <w:r>
        <w:rPr>
          <w:rFonts w:hint="eastAsia" w:ascii="宋体" w:hAnsi="宋体" w:eastAsia="宋体" w:cs="宋体"/>
          <w:color w:val="auto"/>
          <w:kern w:val="0"/>
          <w:sz w:val="21"/>
          <w:szCs w:val="21"/>
        </w:rPr>
        <w:t>因</w:t>
      </w:r>
      <w:r>
        <w:rPr>
          <w:rFonts w:hint="eastAsia" w:ascii="宋体" w:hAnsi="宋体" w:eastAsia="宋体" w:cs="宋体"/>
          <w:color w:val="auto"/>
          <w:kern w:val="0"/>
          <w:sz w:val="21"/>
          <w:szCs w:val="21"/>
          <w:lang w:eastAsia="zh-CN"/>
        </w:rPr>
        <w:t>乙方</w:t>
      </w:r>
      <w:r>
        <w:rPr>
          <w:rFonts w:hint="eastAsia" w:ascii="宋体" w:hAnsi="宋体" w:eastAsia="宋体" w:cs="宋体"/>
          <w:color w:val="auto"/>
          <w:kern w:val="0"/>
          <w:sz w:val="21"/>
          <w:szCs w:val="21"/>
        </w:rPr>
        <w:t>不能完全履行其合同义务而蒙受的损失或其他合同约定的事项。如发生下列任一情况时，甲方有权依合同追究违约责任外，同时有权提取履约担保并进行相应处理：</w:t>
      </w:r>
    </w:p>
    <w:p w14:paraId="450DA72E">
      <w:pPr>
        <w:autoSpaceDE w:val="0"/>
        <w:autoSpaceDN w:val="0"/>
        <w:adjustRightInd w:val="0"/>
        <w:snapToGrid w:val="0"/>
        <w:spacing w:line="360" w:lineRule="auto"/>
        <w:ind w:firstLine="371" w:firstLineChars="177"/>
        <w:jc w:val="both"/>
        <w:rPr>
          <w:rFonts w:hint="eastAsia" w:ascii="宋体" w:hAnsi="宋体" w:eastAsia="宋体" w:cs="Times New Roman"/>
          <w:color w:val="auto"/>
          <w:kern w:val="0"/>
          <w:sz w:val="21"/>
          <w:szCs w:val="21"/>
        </w:rPr>
      </w:pPr>
      <w:r>
        <w:rPr>
          <w:rFonts w:hint="eastAsia" w:ascii="宋体" w:hAnsi="宋体" w:eastAsia="宋体" w:cs="Times New Roman"/>
          <w:color w:val="auto"/>
          <w:kern w:val="0"/>
          <w:sz w:val="21"/>
          <w:szCs w:val="21"/>
        </w:rPr>
        <w:t>（1）</w:t>
      </w:r>
      <w:r>
        <w:rPr>
          <w:rFonts w:hint="eastAsia" w:ascii="宋体" w:hAnsi="宋体" w:eastAsia="宋体" w:cs="Times New Roman"/>
          <w:color w:val="auto"/>
          <w:kern w:val="0"/>
          <w:sz w:val="21"/>
          <w:szCs w:val="21"/>
          <w:lang w:eastAsia="zh-CN"/>
        </w:rPr>
        <w:t>乙方</w:t>
      </w:r>
      <w:r>
        <w:rPr>
          <w:rFonts w:hint="eastAsia" w:ascii="宋体" w:hAnsi="宋体" w:eastAsia="宋体" w:cs="Times New Roman"/>
          <w:color w:val="auto"/>
          <w:kern w:val="0"/>
          <w:sz w:val="21"/>
          <w:szCs w:val="21"/>
        </w:rPr>
        <w:t>将合同项下乙方的权利义务全部转让给第三方，或未经</w:t>
      </w:r>
      <w:r>
        <w:rPr>
          <w:rFonts w:hint="eastAsia" w:ascii="宋体" w:hAnsi="宋体" w:eastAsia="宋体" w:cs="Times New Roman"/>
          <w:color w:val="auto"/>
          <w:kern w:val="0"/>
          <w:sz w:val="21"/>
          <w:szCs w:val="21"/>
          <w:lang w:eastAsia="zh-CN"/>
        </w:rPr>
        <w:t>东莞市水务集团有限公司</w:t>
      </w:r>
      <w:r>
        <w:rPr>
          <w:rFonts w:hint="eastAsia" w:ascii="宋体" w:hAnsi="宋体" w:eastAsia="宋体" w:cs="Times New Roman"/>
          <w:color w:val="auto"/>
          <w:kern w:val="0"/>
          <w:sz w:val="21"/>
          <w:szCs w:val="21"/>
        </w:rPr>
        <w:t>书面同意将部分权利义务转让给第三方的，东莞市水务集团有限公司有权没收其履约担保。</w:t>
      </w:r>
    </w:p>
    <w:p w14:paraId="12572CB3">
      <w:pPr>
        <w:autoSpaceDE w:val="0"/>
        <w:autoSpaceDN w:val="0"/>
        <w:adjustRightInd w:val="0"/>
        <w:snapToGrid w:val="0"/>
        <w:spacing w:line="360" w:lineRule="auto"/>
        <w:ind w:firstLine="371" w:firstLineChars="177"/>
        <w:jc w:val="both"/>
        <w:rPr>
          <w:rFonts w:hint="eastAsia" w:ascii="宋体" w:hAnsi="宋体" w:eastAsia="宋体" w:cs="Times New Roman"/>
          <w:color w:val="auto"/>
          <w:kern w:val="0"/>
          <w:sz w:val="21"/>
          <w:szCs w:val="21"/>
        </w:rPr>
      </w:pPr>
      <w:r>
        <w:rPr>
          <w:rFonts w:hint="eastAsia" w:ascii="宋体" w:hAnsi="宋体" w:eastAsia="宋体" w:cs="Times New Roman"/>
          <w:color w:val="auto"/>
          <w:kern w:val="0"/>
          <w:sz w:val="21"/>
          <w:szCs w:val="21"/>
        </w:rPr>
        <w:t>（2）在合同履行期间，乙方怠于履行合同义务，经东莞市水务集团有限公司通知或要求承担违约金后仍拒不改正的，东莞市水务集团有限公司可依法没收或适当扣除其履约担保。</w:t>
      </w:r>
    </w:p>
    <w:p w14:paraId="11E7F214">
      <w:pPr>
        <w:autoSpaceDE w:val="0"/>
        <w:autoSpaceDN w:val="0"/>
        <w:adjustRightInd w:val="0"/>
        <w:snapToGrid w:val="0"/>
        <w:spacing w:line="360" w:lineRule="auto"/>
        <w:ind w:firstLine="371" w:firstLineChars="177"/>
        <w:jc w:val="both"/>
        <w:rPr>
          <w:rFonts w:hint="eastAsia" w:ascii="宋体" w:hAnsi="宋体" w:eastAsia="宋体" w:cs="Times New Roman"/>
          <w:color w:val="auto"/>
          <w:kern w:val="0"/>
          <w:sz w:val="21"/>
          <w:szCs w:val="21"/>
        </w:rPr>
      </w:pPr>
      <w:r>
        <w:rPr>
          <w:rFonts w:hint="eastAsia" w:ascii="宋体" w:hAnsi="宋体" w:eastAsia="宋体" w:cs="Times New Roman"/>
          <w:color w:val="auto"/>
          <w:kern w:val="0"/>
          <w:sz w:val="21"/>
          <w:szCs w:val="21"/>
        </w:rPr>
        <w:t>（3）在合同履行期间，因乙方货物、服务质量问题造成损害、侵权损失（包括但不限于甲方经济损失、乙方所雇佣人员第三人人身财产损失等）、拖欠原材料供应商货款或与其所雇用员工发生劳资纠纷、上访、闹事或其他影响甲方生产经营等情况而其未及时妥善处理的，东莞市水务集团有限公司有权使用履约担保予以支付或作出相应处理，由此产生的一切法律后果由乙方承担。</w:t>
      </w:r>
    </w:p>
    <w:p w14:paraId="2FCE2DE8">
      <w:pPr>
        <w:autoSpaceDE w:val="0"/>
        <w:autoSpaceDN w:val="0"/>
        <w:adjustRightInd w:val="0"/>
        <w:snapToGrid w:val="0"/>
        <w:spacing w:line="360" w:lineRule="auto"/>
        <w:ind w:firstLine="371" w:firstLineChars="177"/>
        <w:jc w:val="both"/>
        <w:rPr>
          <w:rFonts w:hint="eastAsia" w:ascii="宋体" w:hAnsi="宋体" w:eastAsia="宋体" w:cs="Times New Roman"/>
          <w:color w:val="auto"/>
          <w:kern w:val="0"/>
          <w:sz w:val="21"/>
          <w:szCs w:val="21"/>
        </w:rPr>
      </w:pPr>
      <w:r>
        <w:rPr>
          <w:rFonts w:hint="eastAsia" w:ascii="宋体" w:hAnsi="宋体" w:eastAsia="宋体" w:cs="Times New Roman"/>
          <w:color w:val="auto"/>
          <w:kern w:val="0"/>
          <w:sz w:val="21"/>
          <w:szCs w:val="21"/>
        </w:rPr>
        <w:t>（4）在合同履行期间，乙方违约产生的违约金、赔偿、罚款或其他应付费用等款项，东莞市水务集团有限公司有权直接从未付款项中直接扣除或启用履约担保予以支付。</w:t>
      </w:r>
    </w:p>
    <w:p w14:paraId="07CE1334">
      <w:pPr>
        <w:autoSpaceDE w:val="0"/>
        <w:autoSpaceDN w:val="0"/>
        <w:adjustRightInd w:val="0"/>
        <w:snapToGrid w:val="0"/>
        <w:spacing w:line="360" w:lineRule="auto"/>
        <w:ind w:firstLine="371" w:firstLineChars="177"/>
        <w:jc w:val="both"/>
        <w:rPr>
          <w:rFonts w:hint="eastAsia" w:ascii="宋体" w:hAnsi="宋体" w:eastAsia="宋体" w:cs="Times New Roman"/>
          <w:color w:val="auto"/>
          <w:kern w:val="0"/>
          <w:sz w:val="21"/>
          <w:szCs w:val="21"/>
        </w:rPr>
      </w:pPr>
      <w:r>
        <w:rPr>
          <w:rFonts w:hint="eastAsia" w:ascii="宋体" w:hAnsi="宋体" w:eastAsia="宋体" w:cs="Times New Roman"/>
          <w:color w:val="auto"/>
          <w:kern w:val="0"/>
          <w:sz w:val="21"/>
          <w:szCs w:val="21"/>
        </w:rPr>
        <w:t>（5）合同期内，乙方不能及时完成合同某项义务的，东莞市水务集团有限公司有权提取履约担保用于处理该项工作。</w:t>
      </w:r>
    </w:p>
    <w:p w14:paraId="2CAC8045">
      <w:pPr>
        <w:autoSpaceDE w:val="0"/>
        <w:autoSpaceDN w:val="0"/>
        <w:adjustRightInd w:val="0"/>
        <w:snapToGrid w:val="0"/>
        <w:spacing w:line="360" w:lineRule="auto"/>
        <w:ind w:firstLine="371" w:firstLineChars="177"/>
        <w:jc w:val="both"/>
        <w:rPr>
          <w:rFonts w:ascii="宋体" w:hAnsi="宋体" w:eastAsia="宋体" w:cs="Times New Roman"/>
          <w:color w:val="auto"/>
          <w:kern w:val="0"/>
          <w:sz w:val="21"/>
          <w:szCs w:val="21"/>
        </w:rPr>
      </w:pPr>
      <w:r>
        <w:rPr>
          <w:rFonts w:hint="eastAsia" w:ascii="宋体" w:hAnsi="宋体" w:eastAsia="宋体" w:cs="Times New Roman"/>
          <w:color w:val="auto"/>
          <w:kern w:val="0"/>
          <w:sz w:val="21"/>
          <w:szCs w:val="21"/>
        </w:rPr>
        <w:t>（6）其他根据本合同约定或法律规定，东莞市水务集团有限公司可启用履约担保的情形。</w:t>
      </w:r>
    </w:p>
    <w:p w14:paraId="239E3070">
      <w:pPr>
        <w:autoSpaceDE w:val="0"/>
        <w:autoSpaceDN w:val="0"/>
        <w:adjustRightInd w:val="0"/>
        <w:snapToGrid w:val="0"/>
        <w:spacing w:line="360" w:lineRule="auto"/>
        <w:ind w:firstLine="371" w:firstLineChars="177"/>
        <w:jc w:val="both"/>
        <w:rPr>
          <w:rFonts w:ascii="宋体" w:hAnsi="宋体" w:eastAsia="宋体" w:cs="Times New Roman"/>
          <w:color w:val="auto"/>
          <w:kern w:val="0"/>
          <w:sz w:val="21"/>
          <w:szCs w:val="21"/>
        </w:rPr>
      </w:pPr>
      <w:r>
        <w:rPr>
          <w:rFonts w:ascii="宋体" w:hAnsi="宋体" w:eastAsia="宋体" w:cs="Times New Roman"/>
          <w:color w:val="auto"/>
          <w:kern w:val="0"/>
          <w:sz w:val="21"/>
          <w:szCs w:val="21"/>
        </w:rPr>
        <w:t>3、</w:t>
      </w:r>
      <w:r>
        <w:rPr>
          <w:rFonts w:hint="eastAsia" w:ascii="宋体" w:hAnsi="宋体" w:eastAsia="宋体" w:cs="Times New Roman"/>
          <w:color w:val="auto"/>
          <w:kern w:val="0"/>
          <w:sz w:val="21"/>
          <w:szCs w:val="21"/>
          <w:lang w:eastAsia="zh-CN"/>
        </w:rPr>
        <w:t>乙方</w:t>
      </w:r>
      <w:r>
        <w:rPr>
          <w:rFonts w:hint="eastAsia" w:ascii="宋体" w:hAnsi="宋体" w:eastAsia="宋体" w:cs="Times New Roman"/>
          <w:color w:val="auto"/>
          <w:kern w:val="0"/>
          <w:sz w:val="21"/>
          <w:szCs w:val="21"/>
        </w:rPr>
        <w:t>以履约保证金（银行转账形式）提供履约担保的在依法完成本项目的所有合同义务后，经</w:t>
      </w:r>
      <w:r>
        <w:rPr>
          <w:rFonts w:hint="eastAsia" w:ascii="宋体" w:hAnsi="宋体" w:eastAsia="宋体" w:cs="Times New Roman"/>
          <w:color w:val="auto"/>
          <w:kern w:val="0"/>
          <w:sz w:val="21"/>
          <w:szCs w:val="21"/>
          <w:lang w:eastAsia="zh-CN"/>
        </w:rPr>
        <w:t>东莞市水务集团有限公司</w:t>
      </w:r>
      <w:r>
        <w:rPr>
          <w:rFonts w:hint="eastAsia" w:ascii="宋体" w:hAnsi="宋体" w:eastAsia="宋体" w:cs="Times New Roman"/>
          <w:color w:val="auto"/>
          <w:kern w:val="0"/>
          <w:sz w:val="21"/>
          <w:szCs w:val="21"/>
        </w:rPr>
        <w:t>确认，乙方可向东莞市水务集团有限公司提交退回履约担保的申请。东莞市水务集团有限公司审核无异议后，办理履约担保退还手续，退回时一律以银行转账的形式无息退回到乙方的账户。</w:t>
      </w:r>
    </w:p>
    <w:p w14:paraId="7704F494">
      <w:pPr>
        <w:autoSpaceDE w:val="0"/>
        <w:autoSpaceDN w:val="0"/>
        <w:adjustRightInd w:val="0"/>
        <w:snapToGrid w:val="0"/>
        <w:spacing w:line="360" w:lineRule="auto"/>
        <w:ind w:firstLine="371" w:firstLineChars="177"/>
        <w:jc w:val="both"/>
        <w:rPr>
          <w:rFonts w:ascii="宋体" w:hAnsi="宋体" w:eastAsia="宋体" w:cs="Times New Roman"/>
          <w:color w:val="auto"/>
          <w:kern w:val="0"/>
          <w:sz w:val="21"/>
          <w:szCs w:val="21"/>
        </w:rPr>
      </w:pPr>
      <w:r>
        <w:rPr>
          <w:rFonts w:ascii="宋体" w:hAnsi="宋体" w:eastAsia="宋体" w:cs="Times New Roman"/>
          <w:color w:val="auto"/>
          <w:kern w:val="0"/>
          <w:sz w:val="21"/>
          <w:szCs w:val="21"/>
        </w:rPr>
        <w:t>4、如乙方提供不可撤销</w:t>
      </w:r>
      <w:r>
        <w:rPr>
          <w:rFonts w:hint="eastAsia" w:ascii="宋体" w:hAnsi="宋体" w:eastAsia="宋体" w:cs="Times New Roman"/>
          <w:color w:val="auto"/>
          <w:kern w:val="0"/>
          <w:sz w:val="21"/>
          <w:szCs w:val="21"/>
        </w:rPr>
        <w:t>银行履约保函或履约保证保险或担保公司履约担保书作为履约担保的，不可撤销银行履约保函或履约保证保险或担保公司履约担保书应从</w:t>
      </w:r>
      <w:r>
        <w:rPr>
          <w:rFonts w:hint="eastAsia" w:ascii="宋体" w:hAnsi="宋体" w:eastAsia="宋体" w:cs="楷体"/>
          <w:color w:val="auto"/>
          <w:kern w:val="0"/>
          <w:sz w:val="21"/>
          <w:szCs w:val="21"/>
        </w:rPr>
        <w:t>合同签订之日起至合同期限届满并全部货物经最终验收合格且结算完毕后</w:t>
      </w:r>
      <w:r>
        <w:rPr>
          <w:rFonts w:ascii="宋体" w:hAnsi="宋体" w:eastAsia="宋体" w:cs="楷体"/>
          <w:color w:val="auto"/>
          <w:kern w:val="0"/>
          <w:sz w:val="21"/>
          <w:szCs w:val="21"/>
        </w:rPr>
        <w:t>28日内保持有效</w:t>
      </w:r>
      <w:r>
        <w:rPr>
          <w:rFonts w:hint="eastAsia" w:ascii="宋体" w:hAnsi="宋体" w:eastAsia="宋体" w:cs="Times New Roman"/>
          <w:color w:val="auto"/>
          <w:kern w:val="0"/>
          <w:sz w:val="21"/>
          <w:szCs w:val="21"/>
        </w:rPr>
        <w:t>。如不可撤销银行履约保函或履约保证保险或担保公司履约担保书在规定有效期届满时而货物尚未全部最终验收合格的，乙方必须在不可撤销银行履约保函或履约保证保险或担保公司履约担保书到期</w:t>
      </w:r>
      <w:r>
        <w:rPr>
          <w:rFonts w:ascii="宋体" w:hAnsi="宋体" w:eastAsia="宋体" w:cs="Times New Roman"/>
          <w:color w:val="auto"/>
          <w:kern w:val="0"/>
          <w:sz w:val="21"/>
          <w:szCs w:val="21"/>
        </w:rPr>
        <w:t>15日前无条件办理办妥延期手续或重新提供</w:t>
      </w:r>
      <w:r>
        <w:rPr>
          <w:rFonts w:hint="eastAsia" w:ascii="宋体" w:hAnsi="宋体" w:eastAsia="宋体" w:cs="Times New Roman"/>
          <w:color w:val="auto"/>
          <w:kern w:val="0"/>
          <w:sz w:val="21"/>
          <w:szCs w:val="21"/>
        </w:rPr>
        <w:t>；否则视为乙方违约，</w:t>
      </w:r>
      <w:r>
        <w:rPr>
          <w:rFonts w:hint="eastAsia" w:ascii="宋体" w:hAnsi="宋体" w:eastAsia="宋体" w:cs="宋体"/>
          <w:color w:val="auto"/>
          <w:kern w:val="0"/>
          <w:sz w:val="21"/>
          <w:szCs w:val="21"/>
        </w:rPr>
        <w:t>东莞市水务集团有限公司有权在</w:t>
      </w:r>
      <w:r>
        <w:rPr>
          <w:rFonts w:hint="eastAsia" w:ascii="宋体" w:hAnsi="宋体" w:eastAsia="宋体" w:cs="Times New Roman"/>
          <w:color w:val="auto"/>
          <w:kern w:val="0"/>
          <w:sz w:val="21"/>
          <w:szCs w:val="21"/>
        </w:rPr>
        <w:t>不可撤销银行履约保函或履约保证保险或担保公司履约担保书</w:t>
      </w:r>
      <w:r>
        <w:rPr>
          <w:rFonts w:hint="eastAsia" w:ascii="宋体" w:hAnsi="宋体" w:eastAsia="宋体" w:cs="宋体"/>
          <w:color w:val="auto"/>
          <w:kern w:val="0"/>
          <w:sz w:val="21"/>
          <w:szCs w:val="21"/>
        </w:rPr>
        <w:t>到期前向出具履约担保的机构提取履约担保。</w:t>
      </w:r>
      <w:r>
        <w:rPr>
          <w:rFonts w:hint="eastAsia" w:ascii="宋体" w:hAnsi="宋体" w:eastAsia="宋体" w:cs="Times New Roman"/>
          <w:color w:val="auto"/>
          <w:kern w:val="0"/>
          <w:sz w:val="21"/>
          <w:szCs w:val="21"/>
        </w:rPr>
        <w:t>在不可撤销银行履约保函或履约保证保险或担保公司履约担保书到期后乙方未按东莞市水务集团有限公司要求重新提供的，东莞市水务集团有限公司有权要求乙方以履约担保金额为限承担违约金，违约金可直接从未付货款中扣除。</w:t>
      </w:r>
    </w:p>
    <w:p w14:paraId="018CC9DC">
      <w:pPr>
        <w:autoSpaceDE w:val="0"/>
        <w:autoSpaceDN w:val="0"/>
        <w:adjustRightInd w:val="0"/>
        <w:snapToGrid w:val="0"/>
        <w:spacing w:line="360" w:lineRule="auto"/>
        <w:ind w:firstLine="630" w:firstLineChars="300"/>
        <w:jc w:val="left"/>
        <w:rPr>
          <w:rFonts w:ascii="宋体" w:hAnsi="宋体" w:eastAsia="宋体" w:cs="Times New Roman"/>
          <w:color w:val="auto"/>
          <w:kern w:val="0"/>
          <w:sz w:val="21"/>
          <w:szCs w:val="21"/>
        </w:rPr>
      </w:pPr>
      <w:r>
        <w:rPr>
          <w:rFonts w:ascii="宋体" w:hAnsi="宋体" w:eastAsia="宋体" w:cs="Times New Roman"/>
          <w:color w:val="auto"/>
          <w:kern w:val="0"/>
          <w:sz w:val="21"/>
          <w:szCs w:val="21"/>
        </w:rPr>
        <w:t>5、在合同履行过程中，不论何种原因导致履约担保</w:t>
      </w:r>
      <w:r>
        <w:rPr>
          <w:rFonts w:hint="eastAsia" w:ascii="宋体" w:hAnsi="宋体" w:eastAsia="宋体" w:cs="Times New Roman"/>
          <w:color w:val="auto"/>
          <w:kern w:val="0"/>
          <w:sz w:val="21"/>
          <w:szCs w:val="21"/>
          <w:lang w:eastAsia="zh-CN"/>
        </w:rPr>
        <w:t>金</w:t>
      </w:r>
      <w:r>
        <w:rPr>
          <w:rFonts w:ascii="宋体" w:hAnsi="宋体" w:eastAsia="宋体" w:cs="Times New Roman"/>
          <w:color w:val="auto"/>
          <w:kern w:val="0"/>
          <w:sz w:val="21"/>
          <w:szCs w:val="21"/>
        </w:rPr>
        <w:t>额不符合招标文件</w:t>
      </w:r>
      <w:r>
        <w:rPr>
          <w:rFonts w:hint="eastAsia" w:ascii="宋体" w:hAnsi="宋体" w:eastAsia="宋体" w:cs="Times New Roman"/>
          <w:color w:val="auto"/>
          <w:kern w:val="0"/>
          <w:sz w:val="21"/>
          <w:szCs w:val="21"/>
        </w:rPr>
        <w:t>要求</w:t>
      </w:r>
      <w:r>
        <w:rPr>
          <w:rFonts w:hint="eastAsia" w:ascii="宋体" w:hAnsi="宋体" w:eastAsia="宋体" w:cs="宋体"/>
          <w:color w:val="auto"/>
          <w:kern w:val="0"/>
          <w:sz w:val="21"/>
          <w:szCs w:val="21"/>
        </w:rPr>
        <w:t>以及本合同约定</w:t>
      </w:r>
      <w:r>
        <w:rPr>
          <w:rFonts w:ascii="宋体" w:hAnsi="宋体" w:eastAsia="宋体" w:cs="Times New Roman"/>
          <w:color w:val="auto"/>
          <w:kern w:val="0"/>
          <w:sz w:val="21"/>
          <w:szCs w:val="21"/>
        </w:rPr>
        <w:t>的，乙方应当在5日内予以补足。逾期不予补足的，</w:t>
      </w:r>
      <w:r>
        <w:rPr>
          <w:rFonts w:hint="eastAsia" w:ascii="宋体" w:hAnsi="宋体" w:eastAsia="宋体" w:cs="Times New Roman"/>
          <w:color w:val="auto"/>
          <w:kern w:val="0"/>
          <w:sz w:val="21"/>
          <w:szCs w:val="21"/>
        </w:rPr>
        <w:t>东莞市水务集团有限公司有权按需补足的金额要求乙方承担违约金，并要求限期补足。如乙方仍不补足的，东莞市水务集团有限公司有权单方解除本合同，违约金可直接从未付合同款或履约担保中扣除。</w:t>
      </w:r>
    </w:p>
    <w:p w14:paraId="20633AFB">
      <w:pPr>
        <w:autoSpaceDE w:val="0"/>
        <w:autoSpaceDN w:val="0"/>
        <w:adjustRightInd/>
        <w:spacing w:line="360" w:lineRule="auto"/>
        <w:ind w:firstLine="371" w:firstLineChars="177"/>
        <w:jc w:val="left"/>
        <w:rPr>
          <w:rFonts w:ascii="宋体" w:hAnsi="宋体" w:eastAsia="宋体" w:cs="Times New Roman"/>
          <w:color w:val="auto"/>
          <w:kern w:val="0"/>
          <w:sz w:val="21"/>
          <w:szCs w:val="21"/>
        </w:rPr>
      </w:pPr>
    </w:p>
    <w:p w14:paraId="5D88408B">
      <w:pPr>
        <w:autoSpaceDE w:val="0"/>
        <w:autoSpaceDN w:val="0"/>
        <w:adjustRightInd w:val="0"/>
        <w:spacing w:line="360" w:lineRule="auto"/>
        <w:jc w:val="left"/>
        <w:outlineLvl w:val="1"/>
        <w:rPr>
          <w:rFonts w:ascii="宋体" w:hAnsi="宋体" w:eastAsia="宋体" w:cs="Times New Roman"/>
          <w:b/>
          <w:color w:val="auto"/>
          <w:kern w:val="0"/>
          <w:sz w:val="21"/>
          <w:szCs w:val="21"/>
        </w:rPr>
      </w:pPr>
      <w:bookmarkStart w:id="398" w:name="_Toc18562"/>
      <w:r>
        <w:rPr>
          <w:rFonts w:hint="eastAsia" w:ascii="宋体" w:hAnsi="宋体" w:eastAsia="宋体" w:cs="Times New Roman"/>
          <w:b/>
          <w:color w:val="auto"/>
          <w:kern w:val="0"/>
          <w:sz w:val="21"/>
          <w:szCs w:val="21"/>
        </w:rPr>
        <w:t>第九条</w:t>
      </w:r>
      <w:r>
        <w:rPr>
          <w:rFonts w:ascii="宋体" w:hAnsi="宋体" w:eastAsia="宋体" w:cs="Times New Roman"/>
          <w:b/>
          <w:color w:val="auto"/>
          <w:kern w:val="0"/>
          <w:sz w:val="21"/>
          <w:szCs w:val="21"/>
        </w:rPr>
        <w:t xml:space="preserve"> 违约责任</w:t>
      </w:r>
      <w:bookmarkEnd w:id="398"/>
    </w:p>
    <w:p w14:paraId="7670B83F">
      <w:pPr>
        <w:widowControl/>
        <w:autoSpaceDE/>
        <w:autoSpaceDN/>
        <w:adjustRightInd/>
        <w:spacing w:line="360" w:lineRule="auto"/>
        <w:ind w:firstLine="420" w:firstLineChars="200"/>
        <w:jc w:val="left"/>
        <w:rPr>
          <w:rFonts w:ascii="宋体" w:hAnsi="宋体" w:eastAsia="宋体" w:cs="Times New Roman"/>
          <w:color w:val="auto"/>
          <w:kern w:val="0"/>
          <w:sz w:val="21"/>
          <w:szCs w:val="21"/>
        </w:rPr>
      </w:pPr>
      <w:r>
        <w:rPr>
          <w:rFonts w:hint="eastAsia" w:ascii="宋体" w:hAnsi="宋体" w:eastAsia="宋体" w:cs="Times New Roman"/>
          <w:color w:val="auto"/>
          <w:kern w:val="0"/>
          <w:sz w:val="21"/>
          <w:szCs w:val="21"/>
        </w:rPr>
        <w:t>1、资格供货期间，甲方在每季度配送后付款前对乙方供货质量进行考核评分，</w:t>
      </w:r>
      <w:r>
        <w:rPr>
          <w:rFonts w:hint="eastAsia" w:ascii="宋体" w:hAnsi="宋体" w:eastAsia="宋体" w:cs="Times New Roman"/>
          <w:color w:val="auto"/>
          <w:kern w:val="0"/>
          <w:sz w:val="21"/>
          <w:szCs w:val="21"/>
          <w:lang w:val="en-US" w:eastAsia="zh-CN"/>
        </w:rPr>
        <w:t>集团不定期参与抽查及评价，并按《东莞市水务集团有限公司劳保防护用品管理办法》（试行）开展评价工作</w:t>
      </w:r>
      <w:r>
        <w:rPr>
          <w:rFonts w:hint="eastAsia" w:ascii="宋体" w:hAnsi="宋体" w:eastAsia="宋体" w:cs="Times New Roman"/>
          <w:color w:val="auto"/>
          <w:kern w:val="0"/>
          <w:sz w:val="21"/>
          <w:szCs w:val="21"/>
        </w:rPr>
        <w:t>填写</w:t>
      </w:r>
      <w:r>
        <w:rPr>
          <w:rFonts w:hint="eastAsia" w:ascii="宋体" w:hAnsi="宋体" w:eastAsia="宋体" w:cs="Times New Roman"/>
          <w:color w:val="auto"/>
          <w:kern w:val="0"/>
          <w:sz w:val="21"/>
          <w:szCs w:val="21"/>
          <w:lang w:val="en-US" w:eastAsia="zh-CN"/>
        </w:rPr>
        <w:t>《</w:t>
      </w:r>
      <w:r>
        <w:rPr>
          <w:rFonts w:hint="eastAsia" w:ascii="Calibri" w:hAnsi="宋体" w:eastAsia="宋体" w:cs="Times New Roman"/>
          <w:color w:val="auto"/>
          <w:kern w:val="2"/>
          <w:sz w:val="21"/>
          <w:szCs w:val="21"/>
          <w:shd w:val="clear" w:color="auto" w:fill="auto"/>
          <w:lang w:val="en-US" w:eastAsia="zh-CN" w:bidi="ar-SA"/>
        </w:rPr>
        <w:t>劳保防护用品供应商履约评价表</w:t>
      </w:r>
      <w:r>
        <w:rPr>
          <w:rFonts w:hint="eastAsia" w:ascii="宋体" w:hAnsi="宋体" w:eastAsia="宋体" w:cs="Times New Roman"/>
          <w:color w:val="auto"/>
          <w:kern w:val="0"/>
          <w:sz w:val="21"/>
          <w:szCs w:val="21"/>
          <w:lang w:val="en-US" w:eastAsia="zh-CN"/>
        </w:rPr>
        <w:t>》</w:t>
      </w:r>
      <w:r>
        <w:rPr>
          <w:rFonts w:hint="eastAsia" w:ascii="宋体" w:hAnsi="宋体" w:eastAsia="宋体" w:cs="Times New Roman"/>
          <w:color w:val="auto"/>
          <w:kern w:val="0"/>
          <w:sz w:val="21"/>
          <w:szCs w:val="21"/>
        </w:rPr>
        <w:t>。如乙方对考核评分结果有异议的，应在收到甲方考核结果通知之日起三个工作日内书面提出，逾期未提出的，视为乙方确认甲方作出的考核评分结果</w:t>
      </w:r>
      <w:r>
        <w:rPr>
          <w:rFonts w:hint="eastAsia" w:ascii="宋体" w:hAnsi="宋体" w:eastAsia="宋体" w:cs="Times New Roman"/>
          <w:color w:val="auto"/>
          <w:kern w:val="0"/>
          <w:sz w:val="21"/>
          <w:szCs w:val="21"/>
          <w:lang w:eastAsia="zh-CN"/>
        </w:rPr>
        <w:t>。</w:t>
      </w:r>
      <w:r>
        <w:rPr>
          <w:rFonts w:hint="eastAsia" w:ascii="宋体" w:hAnsi="宋体" w:eastAsia="宋体" w:cs="Times New Roman"/>
          <w:color w:val="auto"/>
          <w:kern w:val="0"/>
          <w:sz w:val="21"/>
          <w:szCs w:val="21"/>
          <w:lang w:val="en-US" w:eastAsia="zh-CN"/>
        </w:rPr>
        <w:t>乙方</w:t>
      </w:r>
      <w:r>
        <w:rPr>
          <w:rFonts w:hint="eastAsia" w:ascii="宋体" w:hAnsi="宋体" w:eastAsia="宋体" w:cs="Times New Roman"/>
          <w:color w:val="auto"/>
          <w:kern w:val="0"/>
          <w:sz w:val="21"/>
          <w:szCs w:val="21"/>
        </w:rPr>
        <w:t>履约评价表满分为100分，评价分数在80分或以上的为合格；评价分数低于80分为不及格，对于评审结论为不合格的，</w:t>
      </w:r>
      <w:r>
        <w:rPr>
          <w:rFonts w:hint="eastAsia" w:ascii="宋体" w:hAnsi="宋体" w:eastAsia="宋体" w:cs="Times New Roman"/>
          <w:color w:val="auto"/>
          <w:kern w:val="0"/>
          <w:sz w:val="21"/>
          <w:szCs w:val="21"/>
          <w:lang w:val="en-US" w:eastAsia="zh-CN"/>
        </w:rPr>
        <w:t>甲方</w:t>
      </w:r>
      <w:r>
        <w:rPr>
          <w:rFonts w:hint="eastAsia" w:ascii="宋体" w:hAnsi="宋体" w:eastAsia="宋体" w:cs="Times New Roman"/>
          <w:color w:val="auto"/>
          <w:kern w:val="0"/>
          <w:sz w:val="21"/>
          <w:szCs w:val="21"/>
        </w:rPr>
        <w:t>有权暂停向投标人采购一个月</w:t>
      </w:r>
      <w:r>
        <w:rPr>
          <w:rFonts w:hint="eastAsia" w:ascii="宋体" w:hAnsi="宋体" w:eastAsia="宋体" w:cs="Times New Roman"/>
          <w:color w:val="auto"/>
          <w:kern w:val="0"/>
          <w:sz w:val="21"/>
          <w:szCs w:val="21"/>
          <w:lang w:eastAsia="zh-CN"/>
        </w:rPr>
        <w:t>，</w:t>
      </w:r>
      <w:r>
        <w:rPr>
          <w:rFonts w:hint="eastAsia" w:ascii="宋体" w:hAnsi="宋体" w:eastAsia="宋体" w:cs="Times New Roman"/>
          <w:color w:val="auto"/>
          <w:kern w:val="0"/>
          <w:sz w:val="21"/>
          <w:szCs w:val="21"/>
          <w:lang w:val="en-US" w:eastAsia="zh-CN"/>
        </w:rPr>
        <w:t>其它评价合格项目正常供应</w:t>
      </w:r>
      <w:r>
        <w:rPr>
          <w:rFonts w:hint="eastAsia" w:ascii="宋体" w:hAnsi="宋体" w:eastAsia="宋体" w:cs="Times New Roman"/>
          <w:color w:val="auto"/>
          <w:kern w:val="0"/>
          <w:sz w:val="21"/>
          <w:szCs w:val="21"/>
        </w:rPr>
        <w:t>；若</w:t>
      </w:r>
      <w:r>
        <w:rPr>
          <w:rFonts w:hint="eastAsia" w:ascii="宋体" w:hAnsi="宋体" w:eastAsia="宋体" w:cs="Times New Roman"/>
          <w:color w:val="auto"/>
          <w:kern w:val="0"/>
          <w:sz w:val="21"/>
          <w:szCs w:val="21"/>
          <w:lang w:val="en-US" w:eastAsia="zh-CN"/>
        </w:rPr>
        <w:t>当个供货项目</w:t>
      </w:r>
      <w:r>
        <w:rPr>
          <w:rFonts w:hint="eastAsia" w:ascii="宋体" w:hAnsi="宋体" w:eastAsia="宋体" w:cs="Times New Roman"/>
          <w:color w:val="auto"/>
          <w:kern w:val="0"/>
          <w:sz w:val="21"/>
          <w:szCs w:val="21"/>
        </w:rPr>
        <w:t>出现第二次评审结论为不合格的，</w:t>
      </w:r>
      <w:r>
        <w:rPr>
          <w:rFonts w:hint="eastAsia" w:ascii="宋体" w:hAnsi="宋体" w:eastAsia="宋体" w:cs="Times New Roman"/>
          <w:color w:val="auto"/>
          <w:kern w:val="0"/>
          <w:sz w:val="21"/>
          <w:szCs w:val="21"/>
          <w:lang w:val="en-US" w:eastAsia="zh-CN"/>
        </w:rPr>
        <w:t>甲方有</w:t>
      </w:r>
      <w:r>
        <w:rPr>
          <w:rFonts w:hint="eastAsia" w:ascii="宋体" w:hAnsi="宋体" w:eastAsia="宋体" w:cs="Times New Roman"/>
          <w:color w:val="auto"/>
          <w:kern w:val="0"/>
          <w:sz w:val="21"/>
          <w:szCs w:val="21"/>
        </w:rPr>
        <w:t>权取消投标人的供货资格并单方解除本合同、</w:t>
      </w:r>
      <w:r>
        <w:rPr>
          <w:rFonts w:hint="eastAsia" w:ascii="宋体" w:hAnsi="宋体" w:eastAsia="宋体" w:cs="Times New Roman"/>
          <w:color w:val="auto"/>
          <w:kern w:val="0"/>
          <w:sz w:val="21"/>
          <w:szCs w:val="21"/>
          <w:lang w:eastAsia="zh-CN"/>
        </w:rPr>
        <w:t>不予退还履约担保</w:t>
      </w:r>
      <w:r>
        <w:rPr>
          <w:rFonts w:hint="eastAsia" w:ascii="宋体" w:hAnsi="宋体" w:eastAsia="宋体" w:cs="Times New Roman"/>
          <w:color w:val="auto"/>
          <w:kern w:val="0"/>
          <w:sz w:val="21"/>
          <w:szCs w:val="21"/>
        </w:rPr>
        <w:t>。</w:t>
      </w:r>
    </w:p>
    <w:p w14:paraId="635893E8">
      <w:pPr>
        <w:autoSpaceDE/>
        <w:autoSpaceDN/>
        <w:adjustRightInd/>
        <w:spacing w:line="360" w:lineRule="auto"/>
        <w:ind w:firstLine="420" w:firstLineChars="200"/>
        <w:jc w:val="both"/>
        <w:rPr>
          <w:rFonts w:ascii="宋体" w:hAnsi="宋体" w:eastAsia="宋体" w:cs="仿宋_GB2312"/>
          <w:color w:val="auto"/>
          <w:kern w:val="2"/>
          <w:sz w:val="21"/>
          <w:szCs w:val="21"/>
        </w:rPr>
      </w:pPr>
      <w:r>
        <w:rPr>
          <w:rFonts w:hint="eastAsia" w:ascii="宋体" w:hAnsi="宋体" w:eastAsia="宋体" w:cs="仿宋_GB2312"/>
          <w:color w:val="auto"/>
          <w:kern w:val="2"/>
          <w:sz w:val="21"/>
          <w:szCs w:val="21"/>
        </w:rPr>
        <w:t>2、因货物验收(检验)不合格、或货物在使用过程中出现质量问题，或甲方对货物(包括但不限于其规格、数量、质量、品牌等与合同不符)有异议的，乙方应根据甲方要求予以更换相应合同货物，在甲方发出通知后24小时内将换货货物运离甲方使用地，并承担因此产生的全部费用，同时乙方必须加急(2个工作日内送达)</w:t>
      </w:r>
      <w:r>
        <w:rPr>
          <w:rFonts w:hint="eastAsia" w:ascii="宋体" w:hAnsi="宋体" w:eastAsia="宋体" w:cs="Times New Roman"/>
          <w:color w:val="auto"/>
          <w:kern w:val="0"/>
          <w:sz w:val="24"/>
          <w:szCs w:val="24"/>
        </w:rPr>
        <w:t xml:space="preserve"> </w:t>
      </w:r>
      <w:r>
        <w:rPr>
          <w:rFonts w:hint="eastAsia" w:ascii="宋体" w:hAnsi="宋体" w:eastAsia="宋体" w:cs="仿宋_GB2312"/>
          <w:color w:val="auto"/>
          <w:kern w:val="2"/>
          <w:sz w:val="21"/>
          <w:szCs w:val="21"/>
        </w:rPr>
        <w:t>将等量的合格货物送交甲方，并由乙方赔偿甲方因此所造成的所有损失，更换的货物的质量保证期应按本合同的相关约定重新计算。若自甲方发出通知24小时后乙方未将不合格货物运离甲方使用地的，甲方可自行或委托第三方对不合格货物进行处置，除该批货物无需支付任何货款外，乙方还必须承担甲方处置该批不合格货物所需的全部费用，以及给甲方造成的一切损失。乙方未按约定完成更换供货的，甲方有权直接向第三方采购，由此产生的差价损失由乙方承担；且甲方有权单方解除本合同，同时乙方应按暂定合同价（含税）的5% 的向甲方承担违约金。</w:t>
      </w:r>
    </w:p>
    <w:p w14:paraId="0C3DD700">
      <w:pPr>
        <w:autoSpaceDE/>
        <w:autoSpaceDN/>
        <w:adjustRightInd/>
        <w:spacing w:line="360" w:lineRule="auto"/>
        <w:ind w:firstLine="420" w:firstLineChars="200"/>
        <w:jc w:val="both"/>
        <w:rPr>
          <w:rFonts w:ascii="宋体" w:hAnsi="宋体" w:eastAsia="宋体" w:cs="仿宋_GB2312"/>
          <w:color w:val="auto"/>
          <w:kern w:val="2"/>
          <w:sz w:val="21"/>
          <w:szCs w:val="21"/>
        </w:rPr>
      </w:pPr>
      <w:r>
        <w:rPr>
          <w:rFonts w:hint="eastAsia" w:ascii="宋体" w:hAnsi="宋体" w:eastAsia="宋体" w:cs="仿宋_GB2312"/>
          <w:color w:val="auto"/>
          <w:kern w:val="2"/>
          <w:sz w:val="21"/>
          <w:szCs w:val="21"/>
        </w:rPr>
        <w:t>3、乙方未在约定的时间内完成交货的，每逾期1个工作日，应向甲方支付1000元违约金。乙方逾期超过5个工作日的，甲方可单方解除本合同，乙方除支付前述逾期违约金外，还应额外按暂定合同价（含税）的5%向甲方支付违约金。临时加急供货时，乙方未在约定的时间内(3个工作日内送达)完成交货的，每逾期1个工作日，应向甲方支付1000元违约金，乙方逾期超过5个工作日的，甲方可单方解除本合同，乙方除支付前述逾期违约金外，还应额外按暂定合同价（含税）的5%向甲方支付违约金。</w:t>
      </w:r>
    </w:p>
    <w:p w14:paraId="1B79B860">
      <w:pPr>
        <w:autoSpaceDE/>
        <w:autoSpaceDN/>
        <w:adjustRightInd/>
        <w:spacing w:line="360" w:lineRule="auto"/>
        <w:ind w:firstLine="420" w:firstLineChars="200"/>
        <w:jc w:val="both"/>
        <w:rPr>
          <w:rFonts w:ascii="宋体" w:hAnsi="宋体" w:eastAsia="宋体" w:cs="仿宋_GB2312"/>
          <w:color w:val="auto"/>
          <w:kern w:val="2"/>
          <w:sz w:val="21"/>
          <w:szCs w:val="21"/>
        </w:rPr>
      </w:pPr>
      <w:r>
        <w:rPr>
          <w:rFonts w:hint="eastAsia" w:ascii="宋体" w:hAnsi="宋体" w:eastAsia="宋体" w:cs="仿宋_GB2312"/>
          <w:color w:val="auto"/>
          <w:kern w:val="2"/>
          <w:sz w:val="21"/>
          <w:szCs w:val="21"/>
        </w:rPr>
        <w:t>4、乙方所交货物(包括但不限于品种、型号、规格、质量)不符合合同约定的，甲方有权拒收，并要求乙方予以退货，同时乙方应向甲方支付暂定合同价（含税）的</w:t>
      </w:r>
      <w:r>
        <w:rPr>
          <w:rFonts w:hint="eastAsia" w:ascii="宋体" w:hAnsi="宋体" w:eastAsia="宋体" w:cs="仿宋_GB2312"/>
          <w:color w:val="auto"/>
          <w:kern w:val="2"/>
          <w:sz w:val="21"/>
          <w:szCs w:val="21"/>
          <w:u w:val="single"/>
        </w:rPr>
        <w:t xml:space="preserve">_1 </w:t>
      </w:r>
      <w:r>
        <w:rPr>
          <w:rFonts w:hint="eastAsia" w:ascii="宋体" w:hAnsi="宋体" w:eastAsia="宋体" w:cs="仿宋_GB2312"/>
          <w:color w:val="auto"/>
          <w:kern w:val="2"/>
          <w:sz w:val="21"/>
          <w:szCs w:val="21"/>
        </w:rPr>
        <w:t>%的违约金。</w:t>
      </w:r>
    </w:p>
    <w:p w14:paraId="50A0BDB8">
      <w:pPr>
        <w:autoSpaceDE/>
        <w:autoSpaceDN/>
        <w:adjustRightInd/>
        <w:spacing w:line="360" w:lineRule="auto"/>
        <w:ind w:firstLine="420" w:firstLineChars="200"/>
        <w:jc w:val="both"/>
        <w:rPr>
          <w:rFonts w:ascii="宋体" w:hAnsi="宋体" w:eastAsia="宋体" w:cs="仿宋_GB2312"/>
          <w:color w:val="auto"/>
          <w:kern w:val="2"/>
          <w:sz w:val="21"/>
          <w:szCs w:val="21"/>
        </w:rPr>
      </w:pPr>
      <w:r>
        <w:rPr>
          <w:rFonts w:hint="eastAsia" w:ascii="宋体" w:hAnsi="宋体" w:eastAsia="宋体" w:cs="仿宋_GB2312"/>
          <w:color w:val="auto"/>
          <w:kern w:val="2"/>
          <w:sz w:val="21"/>
          <w:szCs w:val="21"/>
        </w:rPr>
        <w:t>5、乙方未按约定履行培训或售后服务义务的，甲方有权要求限期内改正并符合合同要求，如逾期仍未符合要求的，甲方有权单方解除合同，并</w:t>
      </w:r>
      <w:r>
        <w:rPr>
          <w:rFonts w:hint="eastAsia" w:ascii="宋体" w:hAnsi="宋体" w:eastAsia="宋体" w:cs="仿宋_GB2312"/>
          <w:color w:val="auto"/>
          <w:kern w:val="2"/>
          <w:sz w:val="21"/>
          <w:szCs w:val="21"/>
          <w:lang w:eastAsia="zh-CN"/>
        </w:rPr>
        <w:t>不予退还履约担保</w:t>
      </w:r>
      <w:r>
        <w:rPr>
          <w:rFonts w:hint="eastAsia" w:ascii="宋体" w:hAnsi="宋体" w:eastAsia="宋体" w:cs="仿宋_GB2312"/>
          <w:color w:val="auto"/>
          <w:kern w:val="2"/>
          <w:sz w:val="21"/>
          <w:szCs w:val="21"/>
        </w:rPr>
        <w:t>。</w:t>
      </w:r>
    </w:p>
    <w:p w14:paraId="2165D46D">
      <w:pPr>
        <w:autoSpaceDE/>
        <w:autoSpaceDN/>
        <w:adjustRightInd/>
        <w:spacing w:line="360" w:lineRule="auto"/>
        <w:ind w:firstLine="420" w:firstLineChars="200"/>
        <w:jc w:val="both"/>
        <w:rPr>
          <w:rFonts w:ascii="宋体" w:hAnsi="宋体" w:eastAsia="宋体" w:cs="仿宋_GB2312"/>
          <w:color w:val="auto"/>
          <w:kern w:val="2"/>
          <w:sz w:val="21"/>
          <w:szCs w:val="21"/>
        </w:rPr>
      </w:pPr>
      <w:r>
        <w:rPr>
          <w:rFonts w:hint="eastAsia" w:ascii="宋体" w:hAnsi="宋体" w:eastAsia="宋体" w:cs="仿宋_GB2312"/>
          <w:color w:val="auto"/>
          <w:kern w:val="2"/>
          <w:sz w:val="21"/>
          <w:szCs w:val="21"/>
        </w:rPr>
        <w:t>6、甲方根据本合同的约定要求退货，或因本合同被解除或提前终止而需要退货的，乙方在收到甲方发出退货通知后24小时内无条件将退货货物运回，并自退货之日起</w:t>
      </w:r>
      <w:r>
        <w:rPr>
          <w:rFonts w:hint="eastAsia" w:ascii="宋体" w:hAnsi="宋体" w:eastAsia="宋体" w:cs="仿宋_GB2312"/>
          <w:color w:val="auto"/>
          <w:kern w:val="2"/>
          <w:sz w:val="21"/>
          <w:szCs w:val="21"/>
          <w:u w:val="single"/>
        </w:rPr>
        <w:t xml:space="preserve"> 3 </w:t>
      </w:r>
      <w:r>
        <w:rPr>
          <w:rFonts w:hint="eastAsia" w:ascii="宋体" w:hAnsi="宋体" w:eastAsia="宋体" w:cs="仿宋_GB2312"/>
          <w:color w:val="auto"/>
          <w:kern w:val="2"/>
          <w:sz w:val="21"/>
          <w:szCs w:val="21"/>
        </w:rPr>
        <w:t>个工作日内返还甲方已全部支付的货款及其税额，并承担因此产生的全部费用，以及赔偿因此造成甲方的损失。</w:t>
      </w:r>
    </w:p>
    <w:p w14:paraId="728300F7">
      <w:pPr>
        <w:autoSpaceDE/>
        <w:autoSpaceDN/>
        <w:adjustRightInd/>
        <w:spacing w:line="360" w:lineRule="auto"/>
        <w:ind w:firstLine="420" w:firstLineChars="200"/>
        <w:jc w:val="both"/>
        <w:rPr>
          <w:rFonts w:ascii="宋体" w:hAnsi="宋体" w:eastAsia="宋体" w:cs="仿宋_GB2312"/>
          <w:color w:val="auto"/>
          <w:kern w:val="2"/>
          <w:sz w:val="21"/>
          <w:szCs w:val="21"/>
        </w:rPr>
      </w:pPr>
      <w:r>
        <w:rPr>
          <w:rFonts w:hint="eastAsia" w:ascii="宋体" w:hAnsi="宋体" w:eastAsia="宋体" w:cs="仿宋_GB2312"/>
          <w:color w:val="auto"/>
          <w:kern w:val="2"/>
          <w:sz w:val="21"/>
          <w:szCs w:val="21"/>
        </w:rPr>
        <w:t>7.无论是否在质保期内，因货物质量问题发生安全事故或引起其他损失、造成不良后果的，乙方应承担全部责任及损失赔偿。</w:t>
      </w:r>
    </w:p>
    <w:p w14:paraId="5B053157">
      <w:pPr>
        <w:autoSpaceDE/>
        <w:autoSpaceDN/>
        <w:adjustRightInd/>
        <w:spacing w:line="360" w:lineRule="auto"/>
        <w:ind w:firstLine="420" w:firstLineChars="200"/>
        <w:jc w:val="both"/>
        <w:rPr>
          <w:rFonts w:ascii="宋体" w:hAnsi="宋体" w:eastAsia="宋体" w:cs="仿宋_GB2312"/>
          <w:color w:val="auto"/>
          <w:kern w:val="2"/>
          <w:sz w:val="21"/>
          <w:szCs w:val="21"/>
        </w:rPr>
      </w:pPr>
      <w:r>
        <w:rPr>
          <w:rFonts w:hint="eastAsia" w:ascii="宋体" w:hAnsi="宋体" w:eastAsia="宋体" w:cs="仿宋_GB2312"/>
          <w:color w:val="auto"/>
          <w:kern w:val="2"/>
          <w:sz w:val="21"/>
          <w:szCs w:val="21"/>
        </w:rPr>
        <w:t>8、甲方损失无法计算的，乙方同意按暂定合同价（含税）的</w:t>
      </w:r>
      <w:r>
        <w:rPr>
          <w:rFonts w:hint="eastAsia" w:ascii="宋体" w:hAnsi="宋体" w:eastAsia="宋体" w:cs="仿宋_GB2312"/>
          <w:color w:val="auto"/>
          <w:kern w:val="2"/>
          <w:sz w:val="21"/>
          <w:szCs w:val="21"/>
          <w:u w:val="single"/>
        </w:rPr>
        <w:t xml:space="preserve">5 </w:t>
      </w:r>
      <w:r>
        <w:rPr>
          <w:rFonts w:hint="eastAsia" w:ascii="宋体" w:hAnsi="宋体" w:eastAsia="宋体" w:cs="仿宋_GB2312"/>
          <w:color w:val="auto"/>
          <w:kern w:val="2"/>
          <w:sz w:val="21"/>
          <w:szCs w:val="21"/>
        </w:rPr>
        <w:t>%计算违约金并支付给甲方。</w:t>
      </w:r>
    </w:p>
    <w:p w14:paraId="7EB7D109">
      <w:pPr>
        <w:autoSpaceDE/>
        <w:autoSpaceDN/>
        <w:adjustRightInd/>
        <w:spacing w:line="360" w:lineRule="auto"/>
        <w:ind w:firstLine="420" w:firstLineChars="200"/>
        <w:jc w:val="both"/>
        <w:rPr>
          <w:rFonts w:ascii="宋体" w:hAnsi="宋体" w:eastAsia="宋体" w:cs="仿宋_GB2312"/>
          <w:color w:val="auto"/>
          <w:kern w:val="2"/>
          <w:sz w:val="21"/>
          <w:szCs w:val="21"/>
        </w:rPr>
      </w:pPr>
      <w:r>
        <w:rPr>
          <w:rFonts w:hint="eastAsia" w:ascii="宋体" w:hAnsi="宋体" w:eastAsia="宋体" w:cs="仿宋_GB2312"/>
          <w:color w:val="auto"/>
          <w:kern w:val="2"/>
          <w:sz w:val="21"/>
          <w:szCs w:val="21"/>
        </w:rPr>
        <w:t>9.乙方逾期将应退款项退还给甲方的，乙方需每日按应退款项的</w:t>
      </w:r>
      <w:r>
        <w:rPr>
          <w:rFonts w:hint="eastAsia" w:ascii="宋体" w:hAnsi="宋体" w:eastAsia="宋体" w:cs="仿宋_GB2312"/>
          <w:color w:val="auto"/>
          <w:kern w:val="2"/>
          <w:sz w:val="21"/>
          <w:szCs w:val="21"/>
          <w:u w:val="single"/>
        </w:rPr>
        <w:t xml:space="preserve"> 5</w:t>
      </w:r>
      <w:r>
        <w:rPr>
          <w:rFonts w:ascii="宋体" w:hAnsi="宋体" w:eastAsia="宋体" w:cs="仿宋_GB2312"/>
          <w:color w:val="auto"/>
          <w:kern w:val="2"/>
          <w:sz w:val="21"/>
          <w:szCs w:val="21"/>
          <w:u w:val="single"/>
        </w:rPr>
        <w:t xml:space="preserve"> </w:t>
      </w:r>
      <w:r>
        <w:rPr>
          <w:rFonts w:hint="eastAsia" w:ascii="宋体" w:hAnsi="宋体" w:eastAsia="宋体" w:cs="仿宋_GB2312"/>
          <w:color w:val="auto"/>
          <w:kern w:val="2"/>
          <w:sz w:val="21"/>
          <w:szCs w:val="21"/>
        </w:rPr>
        <w:t>%支付违约金。</w:t>
      </w:r>
    </w:p>
    <w:p w14:paraId="71D024F6">
      <w:pPr>
        <w:autoSpaceDE/>
        <w:autoSpaceDN/>
        <w:adjustRightInd/>
        <w:spacing w:line="360" w:lineRule="auto"/>
        <w:ind w:firstLine="420" w:firstLineChars="200"/>
        <w:jc w:val="both"/>
        <w:rPr>
          <w:rFonts w:ascii="宋体" w:hAnsi="宋体" w:eastAsia="宋体" w:cs="仿宋_GB2312"/>
          <w:color w:val="auto"/>
          <w:kern w:val="2"/>
          <w:sz w:val="21"/>
          <w:szCs w:val="21"/>
        </w:rPr>
      </w:pPr>
      <w:r>
        <w:rPr>
          <w:rFonts w:hint="eastAsia" w:ascii="宋体" w:hAnsi="宋体" w:eastAsia="宋体" w:cs="仿宋_GB2312"/>
          <w:color w:val="auto"/>
          <w:kern w:val="2"/>
          <w:sz w:val="21"/>
          <w:szCs w:val="21"/>
        </w:rPr>
        <w:t>10、服务过程中，乙方须严格遵守相关法律、法规、行业主管部门、上级部门、甲方母公司及甲方（含分公司、子公司）相关标准和制度规定。合同期内如果上述标准和制度有更新，则执行新的标准和制度规定。乙方未按上述要求执行的，甲方有权要求乙方在规定时限内整改，若整改达不到甲方要求的，甲方有权解除合同，同时甲方有权要求乙方按暂定合同价（含税）的5%向甲方支付违约金。</w:t>
      </w:r>
    </w:p>
    <w:p w14:paraId="144EBF50">
      <w:pPr>
        <w:autoSpaceDE/>
        <w:autoSpaceDN/>
        <w:adjustRightInd/>
        <w:spacing w:line="360" w:lineRule="auto"/>
        <w:ind w:firstLine="420" w:firstLineChars="200"/>
        <w:jc w:val="both"/>
        <w:rPr>
          <w:rFonts w:ascii="宋体" w:hAnsi="宋体" w:eastAsia="宋体" w:cs="仿宋_GB2312"/>
          <w:color w:val="auto"/>
          <w:kern w:val="2"/>
          <w:sz w:val="21"/>
          <w:szCs w:val="21"/>
        </w:rPr>
      </w:pPr>
      <w:r>
        <w:rPr>
          <w:rFonts w:hint="eastAsia" w:ascii="宋体" w:hAnsi="宋体" w:eastAsia="宋体" w:cs="宋体"/>
          <w:color w:val="auto"/>
          <w:kern w:val="0"/>
          <w:sz w:val="21"/>
          <w:szCs w:val="21"/>
        </w:rPr>
        <w:t>11、在本合同履行过程中，如乙方存在违约行为的，本合同项下甲方（包括甲方 1、甲方 2、甲方 3、甲方 4</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）皆有权按合同之约定（包括但不限于以本合同暂定总合同价</w:t>
      </w:r>
      <w:r>
        <w:rPr>
          <w:rFonts w:hint="eastAsia" w:ascii="宋体" w:hAnsi="宋体" w:eastAsia="宋体" w:cs="仿宋_GB2312"/>
          <w:color w:val="auto"/>
          <w:kern w:val="2"/>
          <w:sz w:val="21"/>
          <w:szCs w:val="21"/>
        </w:rPr>
        <w:t>（含税）</w:t>
      </w:r>
      <w:r>
        <w:rPr>
          <w:rFonts w:hint="eastAsia" w:ascii="宋体" w:hAnsi="宋体" w:eastAsia="宋体" w:cs="宋体"/>
          <w:color w:val="auto"/>
          <w:kern w:val="0"/>
          <w:sz w:val="21"/>
          <w:szCs w:val="21"/>
        </w:rPr>
        <w:t>作为违约金的计算基数）向乙方追究违约责任；乙方对此同意且没有异议。</w:t>
      </w:r>
    </w:p>
    <w:p w14:paraId="11C9C997">
      <w:pPr>
        <w:autoSpaceDE/>
        <w:autoSpaceDN/>
        <w:adjustRightInd/>
        <w:spacing w:line="360" w:lineRule="auto"/>
        <w:ind w:firstLine="420" w:firstLineChars="200"/>
        <w:jc w:val="both"/>
        <w:rPr>
          <w:rFonts w:ascii="宋体" w:hAnsi="宋体" w:eastAsia="宋体" w:cs="仿宋_GB2312"/>
          <w:color w:val="auto"/>
          <w:kern w:val="2"/>
          <w:sz w:val="21"/>
          <w:szCs w:val="21"/>
        </w:rPr>
      </w:pPr>
      <w:r>
        <w:rPr>
          <w:rFonts w:hint="eastAsia" w:ascii="宋体" w:hAnsi="宋体" w:eastAsia="宋体" w:cs="仿宋_GB2312"/>
          <w:color w:val="auto"/>
          <w:kern w:val="2"/>
          <w:sz w:val="21"/>
          <w:szCs w:val="21"/>
        </w:rPr>
        <w:t>12、本合同履行期间，乙方违约产生的违约金、赔偿或其他应付费用等款项，甲方有权直接从履约担保或未付款项中直接扣除予以支付。</w:t>
      </w:r>
    </w:p>
    <w:p w14:paraId="30A5F387">
      <w:pPr>
        <w:autoSpaceDE/>
        <w:autoSpaceDN/>
        <w:adjustRightInd/>
        <w:spacing w:line="360" w:lineRule="auto"/>
        <w:ind w:firstLine="420" w:firstLineChars="200"/>
        <w:jc w:val="both"/>
        <w:rPr>
          <w:rFonts w:ascii="宋体" w:hAnsi="宋体" w:eastAsia="宋体" w:cs="仿宋_GB2312"/>
          <w:color w:val="auto"/>
          <w:kern w:val="2"/>
          <w:sz w:val="21"/>
          <w:szCs w:val="21"/>
        </w:rPr>
      </w:pPr>
      <w:r>
        <w:rPr>
          <w:rFonts w:hint="eastAsia" w:ascii="宋体" w:hAnsi="宋体" w:eastAsia="宋体" w:cs="仿宋_GB2312"/>
          <w:color w:val="auto"/>
          <w:kern w:val="2"/>
          <w:sz w:val="21"/>
          <w:szCs w:val="21"/>
        </w:rPr>
        <w:t>13、如乙方存在违约行为的，甲方为实现本合同民事权利而产生的诉讼费用、申请财产保全的担保费（保险费）、律师费、差旅费等合理费用，均由乙方承担。</w:t>
      </w:r>
    </w:p>
    <w:p w14:paraId="22851FB0">
      <w:pPr>
        <w:autoSpaceDE/>
        <w:autoSpaceDN/>
        <w:adjustRightInd/>
        <w:spacing w:line="360" w:lineRule="auto"/>
        <w:ind w:firstLine="422" w:firstLineChars="200"/>
        <w:jc w:val="both"/>
        <w:rPr>
          <w:rFonts w:ascii="宋体" w:hAnsi="宋体" w:eastAsia="宋体" w:cs="Times New Roman"/>
          <w:b/>
          <w:color w:val="auto"/>
          <w:kern w:val="0"/>
          <w:sz w:val="21"/>
          <w:szCs w:val="21"/>
        </w:rPr>
      </w:pPr>
    </w:p>
    <w:p w14:paraId="106A4409">
      <w:pPr>
        <w:autoSpaceDE w:val="0"/>
        <w:autoSpaceDN w:val="0"/>
        <w:adjustRightInd w:val="0"/>
        <w:spacing w:line="360" w:lineRule="auto"/>
        <w:jc w:val="both"/>
        <w:outlineLvl w:val="1"/>
        <w:rPr>
          <w:rFonts w:ascii="宋体" w:hAnsi="宋体" w:eastAsia="宋体" w:cs="Times New Roman"/>
          <w:b/>
          <w:color w:val="auto"/>
          <w:kern w:val="0"/>
          <w:sz w:val="21"/>
          <w:szCs w:val="21"/>
        </w:rPr>
      </w:pPr>
      <w:bookmarkStart w:id="399" w:name="_Toc28841"/>
      <w:r>
        <w:rPr>
          <w:rFonts w:hint="eastAsia" w:ascii="宋体" w:hAnsi="宋体" w:eastAsia="宋体" w:cs="Times New Roman"/>
          <w:b/>
          <w:color w:val="auto"/>
          <w:kern w:val="0"/>
          <w:sz w:val="21"/>
          <w:szCs w:val="21"/>
        </w:rPr>
        <w:t>第十条</w:t>
      </w:r>
      <w:r>
        <w:rPr>
          <w:rFonts w:ascii="宋体" w:hAnsi="宋体" w:eastAsia="宋体" w:cs="Times New Roman"/>
          <w:b/>
          <w:color w:val="auto"/>
          <w:kern w:val="0"/>
          <w:sz w:val="21"/>
          <w:szCs w:val="21"/>
        </w:rPr>
        <w:t xml:space="preserve"> 不可抗力</w:t>
      </w:r>
      <w:bookmarkEnd w:id="399"/>
    </w:p>
    <w:p w14:paraId="166F7FD1">
      <w:pPr>
        <w:autoSpaceDE w:val="0"/>
        <w:autoSpaceDN w:val="0"/>
        <w:adjustRightInd w:val="0"/>
        <w:spacing w:line="360" w:lineRule="auto"/>
        <w:ind w:firstLine="420" w:firstLineChars="200"/>
        <w:jc w:val="both"/>
        <w:rPr>
          <w:rFonts w:ascii="宋体" w:hAnsi="宋体" w:eastAsia="宋体" w:cs="Times New Roman"/>
          <w:color w:val="auto"/>
          <w:kern w:val="0"/>
          <w:sz w:val="21"/>
          <w:szCs w:val="21"/>
        </w:rPr>
      </w:pPr>
      <w:r>
        <w:rPr>
          <w:rFonts w:ascii="宋体" w:hAnsi="宋体" w:eastAsia="宋体" w:cs="Times New Roman"/>
          <w:color w:val="auto"/>
          <w:kern w:val="0"/>
          <w:sz w:val="21"/>
          <w:szCs w:val="21"/>
        </w:rPr>
        <w:t>由于地震、台风、水灾、战争以及其他不能预见并且对其发生和后果不能防止或避免的不可抗力事故，致使直接影响本合同的履行或不能按约定的条件履行时，遇有上述不可抗力事故的一方，应</w:t>
      </w:r>
      <w:r>
        <w:rPr>
          <w:rFonts w:hint="eastAsia" w:ascii="宋体" w:hAnsi="宋体" w:eastAsia="宋体" w:cs="Times New Roman"/>
          <w:color w:val="auto"/>
          <w:kern w:val="0"/>
          <w:sz w:val="21"/>
          <w:szCs w:val="21"/>
        </w:rPr>
        <w:t>立即</w:t>
      </w:r>
      <w:r>
        <w:rPr>
          <w:rFonts w:ascii="宋体" w:hAnsi="宋体" w:eastAsia="宋体" w:cs="Times New Roman"/>
          <w:color w:val="auto"/>
          <w:kern w:val="0"/>
          <w:sz w:val="21"/>
          <w:szCs w:val="21"/>
        </w:rPr>
        <w:t>将事故情况以电话、传真或其他有效方式通知对方，并应在</w:t>
      </w:r>
      <w:r>
        <w:rPr>
          <w:rFonts w:ascii="宋体" w:hAnsi="宋体" w:eastAsia="宋体" w:cs="Times New Roman"/>
          <w:color w:val="auto"/>
          <w:kern w:val="0"/>
          <w:sz w:val="21"/>
          <w:szCs w:val="21"/>
          <w:u w:val="single"/>
        </w:rPr>
        <w:t xml:space="preserve"> 3 </w:t>
      </w:r>
      <w:r>
        <w:rPr>
          <w:rFonts w:ascii="宋体" w:hAnsi="宋体" w:eastAsia="宋体" w:cs="Times New Roman"/>
          <w:color w:val="auto"/>
          <w:kern w:val="0"/>
          <w:sz w:val="21"/>
          <w:szCs w:val="21"/>
        </w:rPr>
        <w:t>个工作日内，提供事故详情及合同不能履行、或者部分不能履行、或者需要延期履行的理由的有效证明文件。按照事故对履行合同影响的程度，由各方协商决定是否解除</w:t>
      </w:r>
      <w:r>
        <w:rPr>
          <w:rFonts w:hint="eastAsia" w:ascii="宋体" w:hAnsi="宋体" w:eastAsia="宋体" w:cs="Times New Roman"/>
          <w:color w:val="auto"/>
          <w:kern w:val="0"/>
          <w:sz w:val="21"/>
          <w:szCs w:val="21"/>
        </w:rPr>
        <w:t>本</w:t>
      </w:r>
      <w:r>
        <w:rPr>
          <w:rFonts w:ascii="宋体" w:hAnsi="宋体" w:eastAsia="宋体" w:cs="Times New Roman"/>
          <w:color w:val="auto"/>
          <w:kern w:val="0"/>
          <w:sz w:val="21"/>
          <w:szCs w:val="21"/>
        </w:rPr>
        <w:t>合同，或者部分免除履行合同的责任，或者延期履行合同。</w:t>
      </w:r>
    </w:p>
    <w:p w14:paraId="0DBD0E87">
      <w:pPr>
        <w:autoSpaceDE w:val="0"/>
        <w:autoSpaceDN w:val="0"/>
        <w:adjustRightInd w:val="0"/>
        <w:spacing w:line="360" w:lineRule="auto"/>
        <w:ind w:firstLine="420" w:firstLineChars="200"/>
        <w:jc w:val="both"/>
        <w:rPr>
          <w:rFonts w:ascii="宋体" w:hAnsi="宋体" w:eastAsia="宋体" w:cs="Times New Roman"/>
          <w:color w:val="auto"/>
          <w:kern w:val="0"/>
          <w:sz w:val="21"/>
          <w:szCs w:val="21"/>
        </w:rPr>
      </w:pPr>
    </w:p>
    <w:p w14:paraId="14E76E5E">
      <w:pPr>
        <w:autoSpaceDE w:val="0"/>
        <w:autoSpaceDN w:val="0"/>
        <w:adjustRightInd w:val="0"/>
        <w:spacing w:line="360" w:lineRule="auto"/>
        <w:jc w:val="both"/>
        <w:outlineLvl w:val="1"/>
        <w:rPr>
          <w:rFonts w:ascii="宋体" w:hAnsi="宋体" w:eastAsia="宋体" w:cs="Times New Roman"/>
          <w:b/>
          <w:color w:val="auto"/>
          <w:kern w:val="0"/>
          <w:sz w:val="21"/>
          <w:szCs w:val="21"/>
        </w:rPr>
      </w:pPr>
      <w:bookmarkStart w:id="400" w:name="_Toc21152"/>
      <w:r>
        <w:rPr>
          <w:rFonts w:hint="eastAsia" w:ascii="宋体" w:hAnsi="宋体" w:eastAsia="宋体" w:cs="Times New Roman"/>
          <w:b/>
          <w:color w:val="auto"/>
          <w:kern w:val="0"/>
          <w:sz w:val="21"/>
          <w:szCs w:val="21"/>
        </w:rPr>
        <w:t>第十一条</w:t>
      </w:r>
      <w:r>
        <w:rPr>
          <w:rFonts w:ascii="宋体" w:hAnsi="宋体" w:eastAsia="宋体" w:cs="Times New Roman"/>
          <w:b/>
          <w:color w:val="auto"/>
          <w:kern w:val="0"/>
          <w:sz w:val="21"/>
          <w:szCs w:val="21"/>
        </w:rPr>
        <w:t xml:space="preserve"> 承诺与保证</w:t>
      </w:r>
      <w:bookmarkEnd w:id="400"/>
    </w:p>
    <w:p w14:paraId="372FB5DE">
      <w:pPr>
        <w:autoSpaceDE w:val="0"/>
        <w:autoSpaceDN w:val="0"/>
        <w:adjustRightInd w:val="0"/>
        <w:spacing w:line="360" w:lineRule="auto"/>
        <w:ind w:firstLine="420" w:firstLineChars="200"/>
        <w:jc w:val="both"/>
        <w:rPr>
          <w:rFonts w:ascii="宋体" w:hAnsi="宋体" w:eastAsia="宋体" w:cs="Times New Roman"/>
          <w:color w:val="auto"/>
          <w:kern w:val="0"/>
          <w:sz w:val="21"/>
          <w:szCs w:val="21"/>
        </w:rPr>
      </w:pPr>
      <w:r>
        <w:rPr>
          <w:rFonts w:ascii="宋体" w:hAnsi="宋体" w:eastAsia="宋体" w:cs="Times New Roman"/>
          <w:color w:val="auto"/>
          <w:kern w:val="0"/>
          <w:sz w:val="21"/>
          <w:szCs w:val="21"/>
        </w:rPr>
        <w:t>乙方保证对其销售的货物拥有完全的所有权/处置权或取得相关授权，无任何著作权、商标权、专利权或其他知识产权方面的权利限制或瑕疵</w:t>
      </w:r>
      <w:r>
        <w:rPr>
          <w:rFonts w:hint="eastAsia" w:ascii="宋体" w:hAnsi="宋体" w:eastAsia="宋体" w:cs="Times New Roman"/>
          <w:color w:val="auto"/>
          <w:kern w:val="0"/>
          <w:sz w:val="21"/>
          <w:szCs w:val="21"/>
        </w:rPr>
        <w:t>，</w:t>
      </w:r>
      <w:r>
        <w:rPr>
          <w:rFonts w:ascii="宋体" w:hAnsi="宋体" w:eastAsia="宋体" w:cs="Times New Roman"/>
          <w:color w:val="auto"/>
          <w:kern w:val="0"/>
          <w:sz w:val="21"/>
          <w:szCs w:val="21"/>
        </w:rPr>
        <w:t>否则所造成的一切损失和责任均由乙方承担（包括但不限于甲方聘请</w:t>
      </w:r>
      <w:r>
        <w:rPr>
          <w:rFonts w:hint="eastAsia" w:ascii="宋体" w:hAnsi="宋体" w:eastAsia="宋体" w:cs="Times New Roman"/>
          <w:color w:val="auto"/>
          <w:kern w:val="0"/>
          <w:sz w:val="21"/>
          <w:szCs w:val="21"/>
          <w:lang w:eastAsia="zh-Hans"/>
        </w:rPr>
        <w:t>相关专业人员所支付</w:t>
      </w:r>
      <w:r>
        <w:rPr>
          <w:rFonts w:ascii="宋体" w:hAnsi="宋体" w:eastAsia="宋体" w:cs="Times New Roman"/>
          <w:color w:val="auto"/>
          <w:kern w:val="0"/>
          <w:sz w:val="21"/>
          <w:szCs w:val="21"/>
        </w:rPr>
        <w:t>的律师费、调查取证费、诉讼费、交通费等全部费用）。</w:t>
      </w:r>
    </w:p>
    <w:p w14:paraId="394B460E">
      <w:pPr>
        <w:autoSpaceDE w:val="0"/>
        <w:autoSpaceDN w:val="0"/>
        <w:adjustRightInd w:val="0"/>
        <w:spacing w:line="360" w:lineRule="auto"/>
        <w:ind w:firstLine="420" w:firstLineChars="200"/>
        <w:jc w:val="both"/>
        <w:rPr>
          <w:rFonts w:ascii="宋体" w:hAnsi="宋体" w:eastAsia="宋体" w:cs="Times New Roman"/>
          <w:color w:val="auto"/>
          <w:kern w:val="0"/>
          <w:sz w:val="21"/>
          <w:szCs w:val="21"/>
        </w:rPr>
      </w:pPr>
    </w:p>
    <w:p w14:paraId="25F72A89">
      <w:pPr>
        <w:autoSpaceDE w:val="0"/>
        <w:autoSpaceDN w:val="0"/>
        <w:adjustRightInd w:val="0"/>
        <w:spacing w:line="360" w:lineRule="auto"/>
        <w:jc w:val="both"/>
        <w:outlineLvl w:val="1"/>
        <w:rPr>
          <w:rFonts w:ascii="宋体" w:hAnsi="宋体" w:eastAsia="宋体" w:cs="Times New Roman"/>
          <w:b/>
          <w:color w:val="auto"/>
          <w:kern w:val="0"/>
          <w:sz w:val="21"/>
          <w:szCs w:val="21"/>
        </w:rPr>
      </w:pPr>
      <w:bookmarkStart w:id="401" w:name="_Toc30506"/>
      <w:r>
        <w:rPr>
          <w:rFonts w:hint="eastAsia" w:ascii="宋体" w:hAnsi="宋体" w:eastAsia="宋体" w:cs="Times New Roman"/>
          <w:b/>
          <w:color w:val="auto"/>
          <w:kern w:val="0"/>
          <w:sz w:val="21"/>
          <w:szCs w:val="21"/>
        </w:rPr>
        <w:t>第十二条</w:t>
      </w:r>
      <w:r>
        <w:rPr>
          <w:rFonts w:ascii="宋体" w:hAnsi="宋体" w:eastAsia="宋体" w:cs="Times New Roman"/>
          <w:b/>
          <w:color w:val="auto"/>
          <w:kern w:val="0"/>
          <w:sz w:val="21"/>
          <w:szCs w:val="21"/>
        </w:rPr>
        <w:t xml:space="preserve"> 合同争议的解决办法</w:t>
      </w:r>
      <w:bookmarkEnd w:id="401"/>
    </w:p>
    <w:p w14:paraId="1AC6F8F5">
      <w:pPr>
        <w:autoSpaceDE w:val="0"/>
        <w:autoSpaceDN w:val="0"/>
        <w:adjustRightInd w:val="0"/>
        <w:spacing w:line="360" w:lineRule="auto"/>
        <w:ind w:firstLine="403"/>
        <w:jc w:val="both"/>
        <w:rPr>
          <w:rFonts w:ascii="宋体" w:hAnsi="宋体" w:eastAsia="宋体" w:cs="Times New Roman"/>
          <w:color w:val="auto"/>
          <w:kern w:val="0"/>
          <w:sz w:val="21"/>
          <w:szCs w:val="21"/>
        </w:rPr>
      </w:pPr>
      <w:r>
        <w:rPr>
          <w:rFonts w:ascii="宋体" w:hAnsi="宋体" w:eastAsia="宋体" w:cs="Times New Roman"/>
          <w:color w:val="auto"/>
          <w:kern w:val="0"/>
          <w:sz w:val="21"/>
          <w:szCs w:val="21"/>
        </w:rPr>
        <w:t>双方因本合同发生争议的，可协商解决。协商不成的，任何一方可向甲方住所地有管辖权的人民法院提起诉讼。</w:t>
      </w:r>
      <w:r>
        <w:rPr>
          <w:rFonts w:hint="eastAsia" w:ascii="宋体" w:hAnsi="宋体" w:eastAsia="宋体" w:cs="Times New Roman"/>
          <w:color w:val="auto"/>
          <w:kern w:val="0"/>
          <w:sz w:val="21"/>
          <w:szCs w:val="21"/>
        </w:rPr>
        <w:t>因乙方违约，除应承担合同约定的违约、损失赔偿等责任外，乙方还应承担甲方为解决纠纷而产生的所有费用，包括但不限于律师费、诉讼费、仲裁费及处理费、诉讼担保费、保全费、执行费、公证费、鉴定费、差旅费等。</w:t>
      </w:r>
    </w:p>
    <w:p w14:paraId="5BA44ED0">
      <w:pPr>
        <w:autoSpaceDE w:val="0"/>
        <w:autoSpaceDN w:val="0"/>
        <w:adjustRightInd w:val="0"/>
        <w:spacing w:line="360" w:lineRule="auto"/>
        <w:ind w:firstLine="403"/>
        <w:jc w:val="both"/>
        <w:rPr>
          <w:rFonts w:ascii="宋体" w:hAnsi="宋体" w:eastAsia="宋体" w:cs="Times New Roman"/>
          <w:color w:val="auto"/>
          <w:kern w:val="0"/>
          <w:sz w:val="21"/>
          <w:szCs w:val="21"/>
        </w:rPr>
      </w:pPr>
    </w:p>
    <w:p w14:paraId="4BA16170">
      <w:pPr>
        <w:autoSpaceDE w:val="0"/>
        <w:autoSpaceDN w:val="0"/>
        <w:adjustRightInd w:val="0"/>
        <w:spacing w:line="360" w:lineRule="auto"/>
        <w:jc w:val="both"/>
        <w:outlineLvl w:val="1"/>
        <w:rPr>
          <w:rFonts w:ascii="宋体" w:hAnsi="宋体" w:eastAsia="宋体" w:cs="Times New Roman"/>
          <w:b/>
          <w:color w:val="auto"/>
          <w:kern w:val="0"/>
          <w:sz w:val="21"/>
          <w:szCs w:val="21"/>
        </w:rPr>
      </w:pPr>
      <w:bookmarkStart w:id="402" w:name="_Toc23853"/>
      <w:r>
        <w:rPr>
          <w:rFonts w:hint="eastAsia" w:ascii="宋体" w:hAnsi="宋体" w:eastAsia="宋体" w:cs="Times New Roman"/>
          <w:b/>
          <w:color w:val="auto"/>
          <w:kern w:val="0"/>
          <w:sz w:val="21"/>
          <w:szCs w:val="21"/>
        </w:rPr>
        <w:t>第十三条</w:t>
      </w:r>
      <w:r>
        <w:rPr>
          <w:rFonts w:ascii="宋体" w:hAnsi="宋体" w:eastAsia="宋体" w:cs="Times New Roman"/>
          <w:b/>
          <w:color w:val="auto"/>
          <w:kern w:val="0"/>
          <w:sz w:val="21"/>
          <w:szCs w:val="21"/>
        </w:rPr>
        <w:t xml:space="preserve"> 其他</w:t>
      </w:r>
      <w:bookmarkEnd w:id="402"/>
    </w:p>
    <w:p w14:paraId="1C42951C">
      <w:pPr>
        <w:autoSpaceDE w:val="0"/>
        <w:autoSpaceDN w:val="0"/>
        <w:adjustRightInd w:val="0"/>
        <w:spacing w:line="360" w:lineRule="auto"/>
        <w:ind w:firstLine="420" w:firstLineChars="200"/>
        <w:jc w:val="both"/>
        <w:rPr>
          <w:rFonts w:ascii="宋体" w:hAnsi="宋体" w:eastAsia="宋体" w:cs="Times New Roman"/>
          <w:color w:val="auto"/>
          <w:kern w:val="0"/>
          <w:sz w:val="21"/>
          <w:szCs w:val="21"/>
        </w:rPr>
      </w:pPr>
      <w:r>
        <w:rPr>
          <w:rFonts w:hint="eastAsia" w:ascii="宋体" w:hAnsi="宋体" w:eastAsia="宋体" w:cs="Times New Roman"/>
          <w:color w:val="auto"/>
          <w:kern w:val="0"/>
          <w:sz w:val="21"/>
          <w:szCs w:val="21"/>
        </w:rPr>
        <w:t xml:space="preserve">1、甲乙双方就本合同中涉及各类通知、协议等文件以及就合同发生纠纷时相关文件和法律文书送达时的送达地址及法律后果作如下约定： </w:t>
      </w:r>
    </w:p>
    <w:p w14:paraId="4C8840BB">
      <w:pPr>
        <w:autoSpaceDE w:val="0"/>
        <w:autoSpaceDN w:val="0"/>
        <w:adjustRightInd w:val="0"/>
        <w:spacing w:line="360" w:lineRule="auto"/>
        <w:ind w:firstLine="420" w:firstLineChars="200"/>
        <w:jc w:val="both"/>
        <w:rPr>
          <w:rFonts w:ascii="宋体" w:hAnsi="宋体" w:eastAsia="宋体" w:cs="Times New Roman"/>
          <w:color w:val="auto"/>
          <w:kern w:val="0"/>
          <w:sz w:val="21"/>
          <w:szCs w:val="21"/>
        </w:rPr>
      </w:pPr>
      <w:r>
        <w:rPr>
          <w:rFonts w:hint="eastAsia" w:ascii="宋体" w:hAnsi="宋体" w:eastAsia="宋体" w:cs="Times New Roman"/>
          <w:color w:val="auto"/>
          <w:kern w:val="0"/>
          <w:sz w:val="21"/>
          <w:szCs w:val="21"/>
        </w:rPr>
        <w:t>甲方确认其有效的送达地址为【</w:t>
      </w:r>
      <w:r>
        <w:rPr>
          <w:rFonts w:hint="eastAsia" w:ascii="宋体" w:hAnsi="宋体" w:eastAsia="宋体" w:cs="Times New Roman"/>
          <w:color w:val="auto"/>
          <w:kern w:val="0"/>
          <w:sz w:val="21"/>
          <w:szCs w:val="21"/>
          <w:lang w:val="en-US" w:eastAsia="zh-CN"/>
        </w:rPr>
        <w:t>东莞市XXXXX</w:t>
      </w:r>
      <w:r>
        <w:rPr>
          <w:rFonts w:hint="eastAsia" w:ascii="宋体" w:hAnsi="宋体" w:eastAsia="宋体" w:cs="Times New Roman"/>
          <w:color w:val="auto"/>
          <w:kern w:val="0"/>
          <w:sz w:val="21"/>
          <w:szCs w:val="21"/>
        </w:rPr>
        <w:t>】；联系人：【</w:t>
      </w:r>
      <w:r>
        <w:rPr>
          <w:rFonts w:hint="eastAsia" w:ascii="宋体" w:hAnsi="宋体" w:eastAsia="宋体" w:cs="Times New Roman"/>
          <w:color w:val="auto"/>
          <w:kern w:val="0"/>
          <w:sz w:val="21"/>
          <w:szCs w:val="21"/>
          <w:lang w:val="en-US" w:eastAsia="zh-CN"/>
        </w:rPr>
        <w:t>XXXXX</w:t>
      </w:r>
      <w:r>
        <w:rPr>
          <w:rFonts w:hint="eastAsia" w:ascii="宋体" w:hAnsi="宋体" w:eastAsia="宋体" w:cs="Times New Roman"/>
          <w:color w:val="auto"/>
          <w:kern w:val="0"/>
          <w:sz w:val="21"/>
          <w:szCs w:val="21"/>
        </w:rPr>
        <w:t>】；联系电话【</w:t>
      </w:r>
      <w:r>
        <w:rPr>
          <w:rFonts w:hint="eastAsia" w:ascii="宋体" w:hAnsi="宋体" w:eastAsia="宋体" w:cs="Times New Roman"/>
          <w:color w:val="auto"/>
          <w:kern w:val="0"/>
          <w:sz w:val="21"/>
          <w:szCs w:val="21"/>
          <w:lang w:val="en-US" w:eastAsia="zh-CN"/>
        </w:rPr>
        <w:t>XXXXXXXXX</w:t>
      </w:r>
      <w:r>
        <w:rPr>
          <w:rFonts w:hint="eastAsia" w:ascii="宋体" w:hAnsi="宋体" w:eastAsia="宋体" w:cs="Times New Roman"/>
          <w:color w:val="auto"/>
          <w:kern w:val="0"/>
          <w:sz w:val="21"/>
          <w:szCs w:val="21"/>
        </w:rPr>
        <w:t>】；电子邮箱【</w:t>
      </w:r>
      <w:r>
        <w:rPr>
          <w:rFonts w:hint="eastAsia" w:ascii="宋体" w:hAnsi="宋体" w:eastAsia="宋体" w:cs="Times New Roman"/>
          <w:color w:val="auto"/>
          <w:kern w:val="0"/>
          <w:sz w:val="21"/>
          <w:szCs w:val="21"/>
          <w:lang w:val="en-US" w:eastAsia="zh-CN"/>
        </w:rPr>
        <w:t>XXXXXXXXXXX</w:t>
      </w:r>
      <w:r>
        <w:rPr>
          <w:rFonts w:hint="eastAsia" w:ascii="宋体" w:hAnsi="宋体" w:eastAsia="宋体" w:cs="Times New Roman"/>
          <w:color w:val="auto"/>
          <w:kern w:val="0"/>
          <w:sz w:val="21"/>
          <w:szCs w:val="21"/>
        </w:rPr>
        <w:t>】。</w:t>
      </w:r>
    </w:p>
    <w:p w14:paraId="5B7C9170">
      <w:pPr>
        <w:autoSpaceDE w:val="0"/>
        <w:autoSpaceDN w:val="0"/>
        <w:adjustRightInd w:val="0"/>
        <w:spacing w:line="360" w:lineRule="auto"/>
        <w:ind w:firstLine="420" w:firstLineChars="200"/>
        <w:jc w:val="both"/>
        <w:rPr>
          <w:rFonts w:ascii="宋体" w:hAnsi="宋体" w:eastAsia="宋体" w:cs="Times New Roman"/>
          <w:color w:val="auto"/>
          <w:kern w:val="0"/>
          <w:sz w:val="21"/>
          <w:szCs w:val="21"/>
        </w:rPr>
      </w:pPr>
      <w:r>
        <w:rPr>
          <w:rFonts w:hint="eastAsia" w:ascii="宋体" w:hAnsi="宋体" w:eastAsia="宋体" w:cs="Times New Roman"/>
          <w:color w:val="auto"/>
          <w:kern w:val="0"/>
          <w:sz w:val="21"/>
          <w:szCs w:val="21"/>
        </w:rPr>
        <w:t>乙方确认其有效的送达地址为【</w:t>
      </w:r>
      <w:r>
        <w:rPr>
          <w:rFonts w:hint="eastAsia" w:ascii="宋体" w:hAnsi="Times New Roman" w:eastAsia="宋体" w:cs="Times New Roman"/>
          <w:color w:val="auto"/>
          <w:kern w:val="0"/>
          <w:sz w:val="21"/>
          <w:szCs w:val="21"/>
          <w:u w:val="none"/>
          <w:lang w:val="en-US" w:eastAsia="zh-CN"/>
        </w:rPr>
        <w:t>XXXXXXXXXXX</w:t>
      </w:r>
      <w:r>
        <w:rPr>
          <w:rFonts w:hint="eastAsia" w:ascii="宋体" w:hAnsi="宋体" w:eastAsia="宋体" w:cs="Times New Roman"/>
          <w:color w:val="auto"/>
          <w:kern w:val="0"/>
          <w:sz w:val="21"/>
          <w:szCs w:val="21"/>
        </w:rPr>
        <w:t>】；联系人：【</w:t>
      </w:r>
      <w:r>
        <w:rPr>
          <w:rFonts w:hint="eastAsia" w:ascii="宋体" w:hAnsi="宋体" w:eastAsia="宋体" w:cs="Times New Roman"/>
          <w:color w:val="auto"/>
          <w:kern w:val="0"/>
          <w:sz w:val="21"/>
          <w:szCs w:val="21"/>
          <w:lang w:val="en-US" w:eastAsia="zh-CN"/>
        </w:rPr>
        <w:t>XXXX</w:t>
      </w:r>
      <w:r>
        <w:rPr>
          <w:rFonts w:hint="eastAsia" w:ascii="宋体" w:hAnsi="宋体" w:eastAsia="宋体" w:cs="Times New Roman"/>
          <w:color w:val="auto"/>
          <w:kern w:val="0"/>
          <w:sz w:val="21"/>
          <w:szCs w:val="21"/>
        </w:rPr>
        <w:t>】；联系电话【</w:t>
      </w:r>
      <w:r>
        <w:rPr>
          <w:rFonts w:hint="eastAsia" w:ascii="宋体" w:hAnsi="宋体" w:eastAsia="宋体" w:cs="Times New Roman"/>
          <w:color w:val="auto"/>
          <w:kern w:val="0"/>
          <w:sz w:val="21"/>
          <w:szCs w:val="21"/>
          <w:lang w:val="en-US" w:eastAsia="zh-CN"/>
        </w:rPr>
        <w:t>XXXXXXX</w:t>
      </w:r>
      <w:r>
        <w:rPr>
          <w:rFonts w:hint="eastAsia" w:ascii="宋体" w:hAnsi="宋体" w:eastAsia="宋体" w:cs="Times New Roman"/>
          <w:color w:val="auto"/>
          <w:kern w:val="0"/>
          <w:sz w:val="21"/>
          <w:szCs w:val="21"/>
        </w:rPr>
        <w:t>】；电子邮箱【</w:t>
      </w:r>
      <w:r>
        <w:rPr>
          <w:rFonts w:hint="eastAsia" w:ascii="宋体" w:hAnsi="宋体" w:eastAsia="宋体" w:cs="宋体"/>
          <w:color w:val="auto"/>
          <w:kern w:val="2"/>
          <w:sz w:val="21"/>
          <w:szCs w:val="21"/>
          <w:u w:val="single"/>
          <w:lang w:val="en-US" w:eastAsia="zh-CN"/>
        </w:rPr>
        <w:t>XXXXXXXXXXXX</w:t>
      </w:r>
      <w:r>
        <w:rPr>
          <w:rFonts w:hint="eastAsia" w:ascii="宋体" w:hAnsi="宋体" w:eastAsia="宋体" w:cs="Times New Roman"/>
          <w:color w:val="auto"/>
          <w:kern w:val="0"/>
          <w:sz w:val="21"/>
          <w:szCs w:val="21"/>
        </w:rPr>
        <w:t>】</w:t>
      </w:r>
    </w:p>
    <w:p w14:paraId="2C082CE7">
      <w:pPr>
        <w:autoSpaceDE w:val="0"/>
        <w:autoSpaceDN w:val="0"/>
        <w:adjustRightInd w:val="0"/>
        <w:spacing w:line="360" w:lineRule="auto"/>
        <w:ind w:firstLine="420" w:firstLineChars="200"/>
        <w:jc w:val="both"/>
        <w:rPr>
          <w:rFonts w:ascii="宋体" w:hAnsi="宋体" w:eastAsia="宋体" w:cs="Times New Roman"/>
          <w:color w:val="auto"/>
          <w:kern w:val="0"/>
          <w:sz w:val="21"/>
          <w:szCs w:val="21"/>
        </w:rPr>
      </w:pPr>
      <w:r>
        <w:rPr>
          <w:rFonts w:hint="eastAsia" w:ascii="宋体" w:hAnsi="宋体" w:eastAsia="宋体" w:cs="Times New Roman"/>
          <w:color w:val="auto"/>
          <w:kern w:val="0"/>
          <w:sz w:val="21"/>
          <w:szCs w:val="21"/>
        </w:rPr>
        <w:t>甲乙双方均承诺，上述确认的送达地址和联</w:t>
      </w:r>
      <w:r>
        <w:rPr>
          <w:rFonts w:hint="eastAsia" w:ascii="宋体" w:hAnsi="宋体" w:eastAsia="宋体" w:cs="Times New Roman"/>
          <w:color w:val="auto"/>
          <w:kern w:val="0"/>
          <w:sz w:val="21"/>
          <w:szCs w:val="21"/>
          <w:lang w:val="en-US" w:eastAsia="zh-CN"/>
        </w:rPr>
        <w:t xml:space="preserve"> </w:t>
      </w:r>
      <w:r>
        <w:rPr>
          <w:rFonts w:hint="eastAsia" w:ascii="宋体" w:hAnsi="宋体" w:eastAsia="宋体" w:cs="Times New Roman"/>
          <w:color w:val="auto"/>
          <w:kern w:val="0"/>
          <w:sz w:val="21"/>
          <w:szCs w:val="21"/>
        </w:rPr>
        <w:t>系电话真实有效，如有错误，所导致的商业信函和诉讼文书送达不能的后果由自身承担；甲乙双方就本合同中涉及各类通知、协议等文件按上述联系地址发出后生效，并视为送达。</w:t>
      </w:r>
    </w:p>
    <w:p w14:paraId="7B1BC0D6">
      <w:pPr>
        <w:autoSpaceDE w:val="0"/>
        <w:autoSpaceDN w:val="0"/>
        <w:adjustRightInd w:val="0"/>
        <w:spacing w:line="360" w:lineRule="auto"/>
        <w:ind w:firstLine="420" w:firstLineChars="200"/>
        <w:jc w:val="both"/>
        <w:rPr>
          <w:rFonts w:ascii="宋体" w:hAnsi="宋体" w:eastAsia="宋体" w:cs="Times New Roman"/>
          <w:color w:val="auto"/>
          <w:kern w:val="0"/>
          <w:sz w:val="21"/>
          <w:szCs w:val="21"/>
        </w:rPr>
      </w:pPr>
      <w:r>
        <w:rPr>
          <w:rFonts w:hint="eastAsia" w:ascii="宋体" w:hAnsi="宋体" w:eastAsia="宋体" w:cs="Times New Roman"/>
          <w:color w:val="auto"/>
          <w:kern w:val="0"/>
          <w:sz w:val="21"/>
          <w:szCs w:val="21"/>
        </w:rPr>
        <w:t xml:space="preserve">2、甲乙双方上述确认送达地址适用范围包括但不限于：双方非诉时各类通知、协议等文件以及就合同发生纠纷时相关文件和法律文书的送达，同时包括在争议进入仲裁、民事诉讼程序后的一审、二审、再审和执行程序。 </w:t>
      </w:r>
    </w:p>
    <w:p w14:paraId="15EFFC6A">
      <w:pPr>
        <w:autoSpaceDE w:val="0"/>
        <w:autoSpaceDN w:val="0"/>
        <w:adjustRightInd w:val="0"/>
        <w:spacing w:line="360" w:lineRule="auto"/>
        <w:ind w:firstLine="420" w:firstLineChars="200"/>
        <w:jc w:val="both"/>
        <w:rPr>
          <w:rFonts w:hint="default" w:ascii="宋体" w:hAnsi="宋体" w:eastAsia="宋体" w:cs="Times New Roman"/>
          <w:color w:val="auto"/>
          <w:kern w:val="0"/>
          <w:sz w:val="21"/>
          <w:szCs w:val="21"/>
          <w:u w:val="none"/>
          <w:lang w:val="en-US" w:eastAsia="zh-CN"/>
        </w:rPr>
      </w:pPr>
      <w:r>
        <w:rPr>
          <w:rFonts w:hint="eastAsia" w:ascii="宋体" w:hAnsi="宋体" w:eastAsia="宋体" w:cs="Times New Roman"/>
          <w:color w:val="auto"/>
          <w:kern w:val="0"/>
          <w:sz w:val="21"/>
          <w:szCs w:val="21"/>
        </w:rPr>
        <w:t>3、甲方的送达地址需要变更时应当履行及时通知的义务，应提前【</w:t>
      </w:r>
      <w:r>
        <w:rPr>
          <w:rFonts w:hint="eastAsia" w:ascii="宋体" w:hAnsi="宋体" w:eastAsia="宋体" w:cs="Times New Roman"/>
          <w:color w:val="auto"/>
          <w:kern w:val="0"/>
          <w:sz w:val="21"/>
          <w:szCs w:val="21"/>
          <w:lang w:val="en-US" w:eastAsia="zh-CN"/>
        </w:rPr>
        <w:t>3</w:t>
      </w:r>
      <w:r>
        <w:rPr>
          <w:rFonts w:hint="eastAsia" w:ascii="宋体" w:hAnsi="宋体" w:eastAsia="宋体" w:cs="Times New Roman"/>
          <w:color w:val="auto"/>
          <w:kern w:val="0"/>
          <w:sz w:val="21"/>
          <w:szCs w:val="21"/>
        </w:rPr>
        <w:t>】个工作日通过【</w:t>
      </w:r>
      <w:r>
        <w:rPr>
          <w:rFonts w:hint="eastAsia" w:ascii="宋体" w:hAnsi="宋体" w:eastAsia="宋体" w:cs="Times New Roman"/>
          <w:color w:val="auto"/>
          <w:kern w:val="0"/>
          <w:sz w:val="21"/>
          <w:szCs w:val="21"/>
          <w:lang w:val="en-US" w:eastAsia="zh-CN"/>
        </w:rPr>
        <w:t>微信</w:t>
      </w:r>
      <w:r>
        <w:rPr>
          <w:rFonts w:hint="eastAsia" w:ascii="宋体" w:hAnsi="宋体" w:eastAsia="宋体" w:cs="Times New Roman"/>
          <w:color w:val="auto"/>
          <w:kern w:val="0"/>
          <w:sz w:val="21"/>
          <w:szCs w:val="21"/>
        </w:rPr>
        <w:t>】 的方式向乙方进行通知；乙方的送达地址需要变更时应当履行及时通知的义务，应提前【</w:t>
      </w:r>
      <w:r>
        <w:rPr>
          <w:rFonts w:hint="eastAsia" w:ascii="宋体" w:hAnsi="宋体" w:eastAsia="宋体" w:cs="Times New Roman"/>
          <w:color w:val="auto"/>
          <w:kern w:val="0"/>
          <w:sz w:val="21"/>
          <w:szCs w:val="21"/>
          <w:lang w:val="en-US" w:eastAsia="zh-CN"/>
        </w:rPr>
        <w:t>3</w:t>
      </w:r>
      <w:r>
        <w:rPr>
          <w:rFonts w:hint="eastAsia" w:ascii="宋体" w:hAnsi="宋体" w:eastAsia="宋体" w:cs="Times New Roman"/>
          <w:color w:val="auto"/>
          <w:kern w:val="0"/>
          <w:sz w:val="21"/>
          <w:szCs w:val="21"/>
        </w:rPr>
        <w:t>】个工作日通过【</w:t>
      </w:r>
      <w:r>
        <w:rPr>
          <w:rFonts w:hint="eastAsia" w:ascii="宋体" w:hAnsi="宋体" w:eastAsia="宋体" w:cs="Times New Roman"/>
          <w:color w:val="auto"/>
          <w:kern w:val="0"/>
          <w:sz w:val="21"/>
          <w:szCs w:val="21"/>
          <w:lang w:val="en-US" w:eastAsia="zh-CN"/>
        </w:rPr>
        <w:t>微信</w:t>
      </w:r>
      <w:r>
        <w:rPr>
          <w:rFonts w:hint="eastAsia" w:ascii="宋体" w:hAnsi="宋体" w:eastAsia="宋体" w:cs="Times New Roman"/>
          <w:color w:val="auto"/>
          <w:kern w:val="0"/>
          <w:sz w:val="21"/>
          <w:szCs w:val="21"/>
        </w:rPr>
        <w:t>】的方式向甲方进行通知。</w:t>
      </w:r>
      <w:r>
        <w:rPr>
          <w:rFonts w:hint="eastAsia" w:ascii="宋体" w:hAnsi="宋体" w:eastAsia="宋体" w:cs="Times New Roman"/>
          <w:color w:val="auto"/>
          <w:kern w:val="0"/>
          <w:sz w:val="21"/>
          <w:szCs w:val="21"/>
          <w:lang w:val="en-US" w:eastAsia="zh-CN"/>
        </w:rPr>
        <w:t>其中，甲方指定联系人微信号为：</w:t>
      </w:r>
      <w:r>
        <w:rPr>
          <w:rFonts w:hint="eastAsia" w:ascii="宋体" w:hAnsi="宋体" w:eastAsia="宋体" w:cs="Times New Roman"/>
          <w:color w:val="auto"/>
          <w:kern w:val="0"/>
          <w:sz w:val="21"/>
          <w:szCs w:val="21"/>
          <w:u w:val="single"/>
          <w:lang w:val="en-US" w:eastAsia="zh-CN"/>
        </w:rPr>
        <w:t>XXXXXXXXXXX</w:t>
      </w:r>
      <w:r>
        <w:rPr>
          <w:rFonts w:hint="eastAsia" w:ascii="宋体" w:hAnsi="宋体" w:eastAsia="宋体" w:cs="Times New Roman"/>
          <w:color w:val="auto"/>
          <w:kern w:val="0"/>
          <w:sz w:val="21"/>
          <w:szCs w:val="21"/>
          <w:u w:val="none"/>
          <w:lang w:val="en-US" w:eastAsia="zh-CN"/>
        </w:rPr>
        <w:t>；乙</w:t>
      </w:r>
      <w:r>
        <w:rPr>
          <w:rFonts w:hint="eastAsia" w:ascii="宋体" w:hAnsi="宋体" w:eastAsia="宋体" w:cs="Times New Roman"/>
          <w:color w:val="auto"/>
          <w:kern w:val="0"/>
          <w:sz w:val="21"/>
          <w:szCs w:val="21"/>
          <w:lang w:val="en-US" w:eastAsia="zh-CN"/>
        </w:rPr>
        <w:t>方指定联系人微信号为：</w:t>
      </w:r>
      <w:r>
        <w:rPr>
          <w:rFonts w:hint="eastAsia" w:ascii="宋体" w:hAnsi="宋体" w:eastAsia="宋体" w:cs="Times New Roman"/>
          <w:color w:val="auto"/>
          <w:kern w:val="0"/>
          <w:sz w:val="21"/>
          <w:szCs w:val="21"/>
          <w:u w:val="single"/>
          <w:lang w:val="en-US" w:eastAsia="zh-CN"/>
        </w:rPr>
        <w:t xml:space="preserve"> XXXXXXXXXXXXX </w:t>
      </w:r>
      <w:r>
        <w:rPr>
          <w:rFonts w:hint="eastAsia" w:ascii="宋体" w:hAnsi="宋体" w:eastAsia="宋体" w:cs="Times New Roman"/>
          <w:color w:val="auto"/>
          <w:kern w:val="0"/>
          <w:sz w:val="21"/>
          <w:szCs w:val="21"/>
          <w:u w:val="none"/>
          <w:lang w:val="en-US" w:eastAsia="zh-CN"/>
        </w:rPr>
        <w:t>。</w:t>
      </w:r>
    </w:p>
    <w:p w14:paraId="4C17FD82">
      <w:pPr>
        <w:autoSpaceDE w:val="0"/>
        <w:autoSpaceDN w:val="0"/>
        <w:adjustRightInd w:val="0"/>
        <w:spacing w:line="360" w:lineRule="auto"/>
        <w:ind w:firstLine="420" w:firstLineChars="200"/>
        <w:jc w:val="both"/>
        <w:rPr>
          <w:rFonts w:ascii="宋体" w:hAnsi="宋体" w:eastAsia="宋体" w:cs="Times New Roman"/>
          <w:color w:val="auto"/>
          <w:kern w:val="0"/>
          <w:sz w:val="21"/>
          <w:szCs w:val="21"/>
        </w:rPr>
      </w:pPr>
      <w:r>
        <w:rPr>
          <w:rFonts w:hint="eastAsia" w:ascii="宋体" w:hAnsi="宋体" w:eastAsia="宋体" w:cs="Times New Roman"/>
          <w:color w:val="auto"/>
          <w:kern w:val="0"/>
          <w:sz w:val="21"/>
          <w:szCs w:val="21"/>
        </w:rPr>
        <w:t>4、送达条款具有独立法律效力，不因合同其他条款的无效而无效。</w:t>
      </w:r>
    </w:p>
    <w:p w14:paraId="667830B9">
      <w:pPr>
        <w:autoSpaceDE w:val="0"/>
        <w:autoSpaceDN w:val="0"/>
        <w:adjustRightInd w:val="0"/>
        <w:spacing w:line="360" w:lineRule="auto"/>
        <w:ind w:firstLine="424" w:firstLineChars="202"/>
        <w:jc w:val="both"/>
        <w:rPr>
          <w:rFonts w:ascii="宋体" w:hAnsi="宋体" w:eastAsia="宋体" w:cs="Times New Roman"/>
          <w:color w:val="auto"/>
          <w:kern w:val="0"/>
          <w:sz w:val="21"/>
          <w:szCs w:val="21"/>
        </w:rPr>
      </w:pPr>
      <w:r>
        <w:rPr>
          <w:rFonts w:hint="eastAsia" w:ascii="宋体" w:hAnsi="宋体" w:eastAsia="宋体" w:cs="Times New Roman"/>
          <w:color w:val="auto"/>
          <w:kern w:val="0"/>
          <w:sz w:val="21"/>
          <w:szCs w:val="21"/>
        </w:rPr>
        <w:t>5、乙方须做好安全防护措施，合同履行过程中出现的安全事故由乙方自行承担。乙方人员在甲方场所必须遵守甲方的一切规章制度和安全条例，服从甲方的监督。乙方在提供本合同项下所有供货及服务的过程中，如因违反甲方相关规章制度、安全条例，或因不服从甲方监督而发生安全事故的，其结果与责任均由乙方负责，甲方无须承担任何结果与责任。</w:t>
      </w:r>
    </w:p>
    <w:p w14:paraId="34C7EB4E">
      <w:pPr>
        <w:autoSpaceDE w:val="0"/>
        <w:autoSpaceDN w:val="0"/>
        <w:adjustRightInd w:val="0"/>
        <w:spacing w:line="360" w:lineRule="auto"/>
        <w:ind w:firstLine="420" w:firstLineChars="200"/>
        <w:jc w:val="both"/>
        <w:rPr>
          <w:rFonts w:ascii="宋体" w:hAnsi="宋体" w:eastAsia="宋体" w:cs="Times New Roman"/>
          <w:color w:val="auto"/>
          <w:kern w:val="0"/>
          <w:sz w:val="21"/>
          <w:szCs w:val="21"/>
        </w:rPr>
      </w:pPr>
      <w:r>
        <w:rPr>
          <w:rFonts w:hint="eastAsia" w:ascii="宋体" w:hAnsi="宋体" w:eastAsia="宋体" w:cs="Times New Roman"/>
          <w:color w:val="auto"/>
          <w:kern w:val="0"/>
          <w:sz w:val="21"/>
          <w:szCs w:val="21"/>
        </w:rPr>
        <w:t>6</w:t>
      </w:r>
      <w:r>
        <w:rPr>
          <w:rFonts w:ascii="宋体" w:hAnsi="宋体" w:eastAsia="宋体" w:cs="Times New Roman"/>
          <w:color w:val="auto"/>
          <w:kern w:val="0"/>
          <w:sz w:val="21"/>
          <w:szCs w:val="21"/>
        </w:rPr>
        <w:t>、本合同一式</w:t>
      </w:r>
      <w:r>
        <w:rPr>
          <w:rFonts w:ascii="宋体" w:hAnsi="宋体" w:eastAsia="宋体" w:cs="Times New Roman"/>
          <w:color w:val="auto"/>
          <w:kern w:val="0"/>
          <w:sz w:val="21"/>
          <w:szCs w:val="21"/>
          <w:u w:val="single"/>
        </w:rPr>
        <w:t xml:space="preserve"> </w:t>
      </w:r>
      <w:r>
        <w:rPr>
          <w:rFonts w:hint="eastAsia" w:ascii="宋体" w:hAnsi="宋体" w:eastAsia="宋体" w:cs="Times New Roman"/>
          <w:color w:val="auto"/>
          <w:kern w:val="0"/>
          <w:sz w:val="21"/>
          <w:szCs w:val="21"/>
          <w:u w:val="single"/>
          <w:lang w:val="en-US" w:eastAsia="zh-CN"/>
        </w:rPr>
        <w:t>陆</w:t>
      </w:r>
      <w:r>
        <w:rPr>
          <w:rFonts w:ascii="宋体" w:hAnsi="宋体" w:eastAsia="宋体" w:cs="Times New Roman"/>
          <w:color w:val="auto"/>
          <w:kern w:val="0"/>
          <w:sz w:val="21"/>
          <w:szCs w:val="21"/>
          <w:u w:val="single"/>
        </w:rPr>
        <w:t xml:space="preserve"> </w:t>
      </w:r>
      <w:r>
        <w:rPr>
          <w:rFonts w:ascii="宋体" w:hAnsi="宋体" w:eastAsia="宋体" w:cs="Times New Roman"/>
          <w:color w:val="auto"/>
          <w:kern w:val="0"/>
          <w:sz w:val="21"/>
          <w:szCs w:val="21"/>
        </w:rPr>
        <w:t>份，其中甲方执</w:t>
      </w:r>
      <w:r>
        <w:rPr>
          <w:rFonts w:ascii="宋体" w:hAnsi="宋体" w:eastAsia="宋体" w:cs="Times New Roman"/>
          <w:color w:val="auto"/>
          <w:kern w:val="0"/>
          <w:sz w:val="21"/>
          <w:szCs w:val="21"/>
          <w:u w:val="single"/>
        </w:rPr>
        <w:t xml:space="preserve"> </w:t>
      </w:r>
      <w:r>
        <w:rPr>
          <w:rFonts w:hint="eastAsia" w:ascii="宋体" w:hAnsi="宋体" w:eastAsia="宋体" w:cs="Times New Roman"/>
          <w:color w:val="auto"/>
          <w:kern w:val="0"/>
          <w:sz w:val="21"/>
          <w:szCs w:val="21"/>
          <w:u w:val="single"/>
          <w:lang w:val="en-US" w:eastAsia="zh-CN"/>
        </w:rPr>
        <w:t>叁</w:t>
      </w:r>
      <w:r>
        <w:rPr>
          <w:rFonts w:ascii="宋体" w:hAnsi="宋体" w:eastAsia="宋体" w:cs="Times New Roman"/>
          <w:color w:val="auto"/>
          <w:kern w:val="0"/>
          <w:sz w:val="21"/>
          <w:szCs w:val="21"/>
          <w:u w:val="single"/>
        </w:rPr>
        <w:t xml:space="preserve"> </w:t>
      </w:r>
      <w:r>
        <w:rPr>
          <w:rFonts w:ascii="宋体" w:hAnsi="宋体" w:eastAsia="宋体" w:cs="Times New Roman"/>
          <w:color w:val="auto"/>
          <w:kern w:val="0"/>
          <w:sz w:val="21"/>
          <w:szCs w:val="21"/>
        </w:rPr>
        <w:t>份，乙方执</w:t>
      </w:r>
      <w:r>
        <w:rPr>
          <w:rFonts w:ascii="宋体" w:hAnsi="宋体" w:eastAsia="宋体" w:cs="Times New Roman"/>
          <w:color w:val="auto"/>
          <w:kern w:val="0"/>
          <w:sz w:val="21"/>
          <w:szCs w:val="21"/>
          <w:u w:val="single"/>
        </w:rPr>
        <w:t xml:space="preserve"> </w:t>
      </w:r>
      <w:r>
        <w:rPr>
          <w:rFonts w:hint="eastAsia" w:ascii="宋体" w:hAnsi="宋体" w:eastAsia="宋体" w:cs="Times New Roman"/>
          <w:color w:val="auto"/>
          <w:kern w:val="0"/>
          <w:sz w:val="21"/>
          <w:szCs w:val="21"/>
          <w:u w:val="single"/>
          <w:lang w:val="en-US" w:eastAsia="zh-CN"/>
        </w:rPr>
        <w:t>贰</w:t>
      </w:r>
      <w:r>
        <w:rPr>
          <w:rFonts w:ascii="宋体" w:hAnsi="宋体" w:eastAsia="宋体" w:cs="Times New Roman"/>
          <w:color w:val="auto"/>
          <w:kern w:val="0"/>
          <w:sz w:val="21"/>
          <w:szCs w:val="21"/>
          <w:u w:val="single"/>
        </w:rPr>
        <w:t xml:space="preserve"> </w:t>
      </w:r>
      <w:r>
        <w:rPr>
          <w:rFonts w:ascii="宋体" w:hAnsi="宋体" w:eastAsia="宋体" w:cs="Times New Roman"/>
          <w:color w:val="auto"/>
          <w:kern w:val="0"/>
          <w:sz w:val="21"/>
          <w:szCs w:val="21"/>
        </w:rPr>
        <w:t>份，</w:t>
      </w:r>
      <w:r>
        <w:rPr>
          <w:rFonts w:hint="eastAsia" w:ascii="宋体" w:hAnsi="宋体" w:eastAsia="宋体" w:cs="Times New Roman"/>
          <w:color w:val="auto"/>
          <w:kern w:val="0"/>
          <w:sz w:val="21"/>
          <w:szCs w:val="21"/>
        </w:rPr>
        <w:t>招标代理机构执</w:t>
      </w:r>
      <w:r>
        <w:rPr>
          <w:rFonts w:hint="eastAsia" w:ascii="宋体" w:hAnsi="宋体" w:eastAsia="宋体" w:cs="Times New Roman"/>
          <w:color w:val="auto"/>
          <w:kern w:val="0"/>
          <w:sz w:val="21"/>
          <w:szCs w:val="21"/>
          <w:u w:val="single"/>
        </w:rPr>
        <w:t xml:space="preserve"> 壹 </w:t>
      </w:r>
      <w:r>
        <w:rPr>
          <w:rFonts w:hint="eastAsia" w:ascii="宋体" w:hAnsi="宋体" w:eastAsia="宋体" w:cs="Times New Roman"/>
          <w:color w:val="auto"/>
          <w:kern w:val="0"/>
          <w:sz w:val="21"/>
          <w:szCs w:val="21"/>
        </w:rPr>
        <w:t>份，</w:t>
      </w:r>
      <w:r>
        <w:rPr>
          <w:rFonts w:ascii="宋体" w:hAnsi="宋体" w:eastAsia="宋体" w:cs="Times New Roman"/>
          <w:color w:val="auto"/>
          <w:kern w:val="0"/>
          <w:sz w:val="21"/>
          <w:szCs w:val="21"/>
        </w:rPr>
        <w:t>每份均具有同等法律效力。</w:t>
      </w:r>
    </w:p>
    <w:p w14:paraId="11FB4A54">
      <w:pPr>
        <w:autoSpaceDE w:val="0"/>
        <w:autoSpaceDN w:val="0"/>
        <w:adjustRightInd w:val="0"/>
        <w:spacing w:line="360" w:lineRule="auto"/>
        <w:ind w:firstLine="420" w:firstLineChars="200"/>
        <w:jc w:val="both"/>
        <w:rPr>
          <w:rFonts w:ascii="宋体" w:hAnsi="宋体" w:eastAsia="宋体" w:cs="Times New Roman"/>
          <w:color w:val="auto"/>
          <w:kern w:val="0"/>
          <w:sz w:val="21"/>
          <w:szCs w:val="21"/>
        </w:rPr>
      </w:pPr>
      <w:r>
        <w:rPr>
          <w:rFonts w:hint="eastAsia" w:ascii="宋体" w:hAnsi="宋体" w:eastAsia="宋体" w:cs="Times New Roman"/>
          <w:color w:val="auto"/>
          <w:kern w:val="0"/>
          <w:sz w:val="21"/>
          <w:szCs w:val="21"/>
        </w:rPr>
        <w:t>7</w:t>
      </w:r>
      <w:r>
        <w:rPr>
          <w:rFonts w:ascii="宋体" w:hAnsi="宋体" w:eastAsia="宋体" w:cs="Times New Roman"/>
          <w:color w:val="auto"/>
          <w:kern w:val="0"/>
          <w:sz w:val="21"/>
          <w:szCs w:val="21"/>
        </w:rPr>
        <w:t>、本合同经双方法定代表人或负责人签名并盖章后生效。</w:t>
      </w:r>
    </w:p>
    <w:p w14:paraId="0CC0377C">
      <w:pPr>
        <w:autoSpaceDE w:val="0"/>
        <w:autoSpaceDN w:val="0"/>
        <w:adjustRightInd w:val="0"/>
        <w:spacing w:line="360" w:lineRule="auto"/>
        <w:ind w:firstLine="420" w:firstLineChars="200"/>
        <w:jc w:val="both"/>
        <w:rPr>
          <w:rFonts w:ascii="宋体" w:hAnsi="宋体" w:eastAsia="宋体" w:cs="Times New Roman"/>
          <w:color w:val="auto"/>
          <w:kern w:val="0"/>
          <w:sz w:val="21"/>
          <w:szCs w:val="21"/>
        </w:rPr>
      </w:pPr>
      <w:r>
        <w:rPr>
          <w:rFonts w:hint="eastAsia" w:ascii="宋体" w:hAnsi="宋体" w:eastAsia="宋体" w:cs="Times New Roman"/>
          <w:color w:val="auto"/>
          <w:kern w:val="0"/>
          <w:sz w:val="21"/>
          <w:szCs w:val="21"/>
        </w:rPr>
        <w:t>8</w:t>
      </w:r>
      <w:r>
        <w:rPr>
          <w:rFonts w:ascii="宋体" w:hAnsi="宋体" w:eastAsia="宋体" w:cs="Times New Roman"/>
          <w:color w:val="auto"/>
          <w:kern w:val="0"/>
          <w:sz w:val="21"/>
          <w:szCs w:val="21"/>
        </w:rPr>
        <w:t>、</w:t>
      </w:r>
      <w:r>
        <w:rPr>
          <w:rFonts w:hint="eastAsia" w:ascii="宋体" w:hAnsi="宋体" w:eastAsia="宋体" w:cs="Times New Roman"/>
          <w:color w:val="auto"/>
          <w:kern w:val="0"/>
          <w:sz w:val="21"/>
          <w:szCs w:val="21"/>
        </w:rPr>
        <w:t>本合同及相关招投标文件、中标通知书等作为本合同附件均为合同的有效组成部分，与本合同同具法律效力。合同条款与附件、招标文件、用户需求书、投标文件等其他文件不一致的，以有利于甲方的条款为准。</w:t>
      </w:r>
    </w:p>
    <w:p w14:paraId="1BA6B9A3">
      <w:pPr>
        <w:autoSpaceDE w:val="0"/>
        <w:autoSpaceDN w:val="0"/>
        <w:adjustRightInd w:val="0"/>
        <w:spacing w:line="360" w:lineRule="auto"/>
        <w:ind w:firstLine="420" w:firstLineChars="200"/>
        <w:jc w:val="both"/>
        <w:rPr>
          <w:rFonts w:ascii="宋体" w:hAnsi="宋体" w:eastAsia="宋体" w:cs="Times New Roman"/>
          <w:color w:val="auto"/>
          <w:kern w:val="0"/>
          <w:sz w:val="21"/>
          <w:szCs w:val="21"/>
        </w:rPr>
      </w:pPr>
      <w:r>
        <w:rPr>
          <w:rFonts w:ascii="宋体" w:hAnsi="宋体" w:eastAsia="宋体" w:cs="Times New Roman"/>
          <w:color w:val="auto"/>
          <w:kern w:val="0"/>
          <w:sz w:val="21"/>
          <w:szCs w:val="21"/>
        </w:rPr>
        <w:t>附</w:t>
      </w:r>
      <w:r>
        <w:rPr>
          <w:rFonts w:hint="eastAsia" w:ascii="宋体" w:hAnsi="宋体" w:eastAsia="宋体" w:cs="Times New Roman"/>
          <w:color w:val="auto"/>
          <w:kern w:val="0"/>
          <w:sz w:val="21"/>
          <w:szCs w:val="21"/>
        </w:rPr>
        <w:t xml:space="preserve">件: </w:t>
      </w:r>
      <w:r>
        <w:rPr>
          <w:rFonts w:ascii="宋体" w:hAnsi="宋体" w:eastAsia="宋体" w:cs="Times New Roman"/>
          <w:color w:val="auto"/>
          <w:kern w:val="0"/>
          <w:sz w:val="21"/>
          <w:szCs w:val="21"/>
        </w:rPr>
        <w:t>1</w:t>
      </w:r>
      <w:r>
        <w:rPr>
          <w:rFonts w:hint="eastAsia" w:ascii="宋体" w:hAnsi="宋体" w:eastAsia="宋体" w:cs="Times New Roman"/>
          <w:color w:val="auto"/>
          <w:kern w:val="0"/>
          <w:sz w:val="21"/>
          <w:szCs w:val="21"/>
        </w:rPr>
        <w:t>.</w:t>
      </w:r>
      <w:r>
        <w:rPr>
          <w:rFonts w:hint="eastAsia" w:ascii="宋体" w:hAnsi="宋体" w:eastAsia="宋体" w:cs="Times New Roman"/>
          <w:color w:val="auto"/>
          <w:kern w:val="0"/>
          <w:sz w:val="21"/>
          <w:szCs w:val="21"/>
          <w:lang w:val="en-US" w:eastAsia="zh-CN"/>
        </w:rPr>
        <w:t>中标通知书、2.投标报价表、3.</w:t>
      </w:r>
      <w:r>
        <w:rPr>
          <w:rFonts w:hint="eastAsia" w:ascii="宋体" w:hAnsi="宋体" w:eastAsia="宋体" w:cs="Times New Roman"/>
          <w:color w:val="auto"/>
          <w:kern w:val="0"/>
          <w:sz w:val="21"/>
          <w:szCs w:val="21"/>
        </w:rPr>
        <w:t>《</w:t>
      </w:r>
      <w:r>
        <w:rPr>
          <w:rFonts w:hint="eastAsia" w:ascii="宋体" w:hAnsi="宋体" w:eastAsia="宋体" w:cs="宋体"/>
          <w:color w:val="auto"/>
          <w:kern w:val="0"/>
          <w:sz w:val="21"/>
          <w:szCs w:val="21"/>
          <w:lang w:eastAsia="zh-CN"/>
        </w:rPr>
        <w:t>东莞市水务集团有限公司2025年安全及劳保物资采购项目</w:t>
      </w:r>
      <w:r>
        <w:rPr>
          <w:rFonts w:hint="eastAsia" w:ascii="宋体" w:hAnsi="宋体" w:eastAsia="宋体" w:cs="宋体"/>
          <w:color w:val="auto"/>
          <w:kern w:val="0"/>
          <w:sz w:val="21"/>
          <w:szCs w:val="21"/>
        </w:rPr>
        <w:t>采购清单及价格表</w:t>
      </w:r>
      <w:r>
        <w:rPr>
          <w:rFonts w:hint="eastAsia" w:ascii="宋体" w:hAnsi="宋体" w:eastAsia="宋体" w:cs="Times New Roman"/>
          <w:color w:val="auto"/>
          <w:kern w:val="0"/>
          <w:sz w:val="21"/>
          <w:szCs w:val="21"/>
        </w:rPr>
        <w:t>》、</w:t>
      </w:r>
      <w:r>
        <w:rPr>
          <w:rFonts w:hint="eastAsia" w:ascii="宋体" w:hAnsi="宋体" w:eastAsia="宋体" w:cs="Times New Roman"/>
          <w:color w:val="auto"/>
          <w:kern w:val="0"/>
          <w:sz w:val="21"/>
          <w:szCs w:val="21"/>
          <w:lang w:val="en-US" w:eastAsia="zh-CN"/>
        </w:rPr>
        <w:t>4</w:t>
      </w:r>
      <w:r>
        <w:rPr>
          <w:rFonts w:hint="eastAsia" w:ascii="宋体" w:hAnsi="宋体" w:eastAsia="宋体" w:cs="Times New Roman"/>
          <w:color w:val="auto"/>
          <w:kern w:val="0"/>
          <w:sz w:val="21"/>
          <w:szCs w:val="21"/>
        </w:rPr>
        <w:t>.《</w:t>
      </w:r>
      <w:r>
        <w:rPr>
          <w:rFonts w:hint="eastAsia" w:ascii="宋体" w:hAnsi="宋体" w:eastAsia="宋体" w:cs="宋体"/>
          <w:color w:val="auto"/>
          <w:kern w:val="0"/>
          <w:sz w:val="21"/>
          <w:szCs w:val="21"/>
        </w:rPr>
        <w:t>收货地址汇总表</w:t>
      </w:r>
      <w:r>
        <w:rPr>
          <w:rFonts w:hint="eastAsia" w:ascii="宋体" w:hAnsi="宋体" w:eastAsia="宋体" w:cs="Times New Roman"/>
          <w:color w:val="auto"/>
          <w:kern w:val="0"/>
          <w:sz w:val="21"/>
          <w:szCs w:val="21"/>
        </w:rPr>
        <w:t>》、</w:t>
      </w:r>
      <w:r>
        <w:rPr>
          <w:rFonts w:hint="eastAsia" w:ascii="宋体" w:hAnsi="宋体" w:eastAsia="宋体" w:cs="Times New Roman"/>
          <w:color w:val="auto"/>
          <w:kern w:val="0"/>
          <w:sz w:val="21"/>
          <w:szCs w:val="21"/>
          <w:lang w:val="en-US" w:eastAsia="zh-CN"/>
        </w:rPr>
        <w:t>5</w:t>
      </w:r>
      <w:r>
        <w:rPr>
          <w:rFonts w:ascii="宋体" w:hAnsi="宋体" w:eastAsia="宋体" w:cs="Times New Roman"/>
          <w:color w:val="auto"/>
          <w:kern w:val="0"/>
          <w:sz w:val="21"/>
          <w:szCs w:val="21"/>
        </w:rPr>
        <w:t>.</w:t>
      </w:r>
      <w:r>
        <w:rPr>
          <w:rFonts w:hint="eastAsia" w:ascii="宋体" w:hAnsi="宋体" w:eastAsia="宋体" w:cs="Times New Roman"/>
          <w:color w:val="auto"/>
          <w:kern w:val="0"/>
          <w:sz w:val="21"/>
          <w:szCs w:val="21"/>
        </w:rPr>
        <w:t>《</w:t>
      </w:r>
      <w:r>
        <w:rPr>
          <w:rFonts w:hint="eastAsia" w:ascii="宋体" w:hAnsi="宋体" w:eastAsia="宋体" w:cs="宋体"/>
          <w:color w:val="auto"/>
          <w:kern w:val="0"/>
          <w:sz w:val="21"/>
          <w:szCs w:val="21"/>
        </w:rPr>
        <w:t>到货验收单</w:t>
      </w:r>
      <w:r>
        <w:rPr>
          <w:rFonts w:hint="eastAsia" w:ascii="宋体" w:hAnsi="宋体" w:eastAsia="宋体" w:cs="Times New Roman"/>
          <w:color w:val="auto"/>
          <w:kern w:val="0"/>
          <w:sz w:val="21"/>
          <w:szCs w:val="21"/>
        </w:rPr>
        <w:t>》、</w:t>
      </w:r>
      <w:r>
        <w:rPr>
          <w:rFonts w:hint="eastAsia" w:ascii="宋体" w:hAnsi="宋体" w:eastAsia="宋体" w:cs="Times New Roman"/>
          <w:color w:val="auto"/>
          <w:kern w:val="0"/>
          <w:sz w:val="21"/>
          <w:szCs w:val="21"/>
          <w:lang w:val="en-US" w:eastAsia="zh-CN"/>
        </w:rPr>
        <w:t>6</w:t>
      </w:r>
      <w:r>
        <w:rPr>
          <w:rFonts w:hint="eastAsia" w:ascii="宋体" w:hAnsi="宋体" w:eastAsia="宋体" w:cs="Times New Roman"/>
          <w:color w:val="auto"/>
          <w:kern w:val="0"/>
          <w:sz w:val="21"/>
          <w:szCs w:val="21"/>
        </w:rPr>
        <w:t>.《</w:t>
      </w:r>
      <w:r>
        <w:rPr>
          <w:rFonts w:hint="eastAsia" w:ascii="宋体" w:hAnsi="宋体" w:eastAsia="宋体" w:cs="宋体"/>
          <w:color w:val="auto"/>
          <w:kern w:val="0"/>
          <w:sz w:val="21"/>
          <w:szCs w:val="21"/>
        </w:rPr>
        <w:t>供应商履约评价表</w:t>
      </w:r>
      <w:r>
        <w:rPr>
          <w:rFonts w:hint="eastAsia" w:ascii="宋体" w:hAnsi="宋体" w:eastAsia="宋体" w:cs="Times New Roman"/>
          <w:color w:val="auto"/>
          <w:kern w:val="0"/>
          <w:sz w:val="21"/>
          <w:szCs w:val="21"/>
        </w:rPr>
        <w:t>》、</w:t>
      </w:r>
      <w:r>
        <w:rPr>
          <w:rFonts w:hint="eastAsia" w:ascii="宋体" w:hAnsi="宋体" w:eastAsia="宋体" w:cs="Times New Roman"/>
          <w:color w:val="auto"/>
          <w:kern w:val="0"/>
          <w:sz w:val="21"/>
          <w:szCs w:val="21"/>
          <w:lang w:val="en-US" w:eastAsia="zh-CN"/>
        </w:rPr>
        <w:t>7</w:t>
      </w:r>
      <w:r>
        <w:rPr>
          <w:rFonts w:ascii="宋体" w:hAnsi="宋体" w:eastAsia="宋体" w:cs="Times New Roman"/>
          <w:color w:val="auto"/>
          <w:kern w:val="0"/>
          <w:sz w:val="21"/>
          <w:szCs w:val="21"/>
        </w:rPr>
        <w:t>.</w:t>
      </w:r>
      <w:r>
        <w:rPr>
          <w:rFonts w:hint="eastAsia" w:ascii="宋体" w:hAnsi="宋体" w:eastAsia="宋体" w:cs="Times New Roman"/>
          <w:color w:val="auto"/>
          <w:kern w:val="0"/>
          <w:sz w:val="21"/>
          <w:szCs w:val="21"/>
        </w:rPr>
        <w:t>《</w:t>
      </w:r>
      <w:r>
        <w:rPr>
          <w:rFonts w:hint="eastAsia" w:ascii="宋体" w:hAnsi="宋体" w:eastAsia="宋体" w:cs="宋体"/>
          <w:color w:val="auto"/>
          <w:kern w:val="0"/>
          <w:sz w:val="21"/>
          <w:szCs w:val="21"/>
        </w:rPr>
        <w:t>廉洁协议书</w:t>
      </w:r>
      <w:r>
        <w:rPr>
          <w:rFonts w:hint="eastAsia" w:ascii="宋体" w:hAnsi="宋体" w:eastAsia="宋体" w:cs="Times New Roman"/>
          <w:color w:val="auto"/>
          <w:kern w:val="0"/>
          <w:sz w:val="21"/>
          <w:szCs w:val="21"/>
        </w:rPr>
        <w:t>》</w:t>
      </w:r>
      <w:r>
        <w:rPr>
          <w:rFonts w:hint="eastAsia" w:ascii="宋体" w:hAnsi="宋体" w:eastAsia="宋体" w:cs="Times New Roman"/>
          <w:color w:val="auto"/>
          <w:kern w:val="0"/>
          <w:sz w:val="21"/>
          <w:szCs w:val="21"/>
          <w:lang w:eastAsia="zh-CN"/>
        </w:rPr>
        <w:t>、</w:t>
      </w:r>
      <w:r>
        <w:rPr>
          <w:rFonts w:hint="eastAsia" w:ascii="宋体" w:hAnsi="宋体" w:eastAsia="宋体" w:cs="Times New Roman"/>
          <w:color w:val="auto"/>
          <w:kern w:val="0"/>
          <w:sz w:val="21"/>
          <w:szCs w:val="21"/>
          <w:lang w:val="en-US" w:eastAsia="zh-CN"/>
        </w:rPr>
        <w:t>8.安全生产管理协议、9.招标文件（另附）</w:t>
      </w:r>
      <w:r>
        <w:rPr>
          <w:rFonts w:hint="eastAsia" w:ascii="宋体" w:hAnsi="宋体" w:eastAsia="宋体" w:cs="Times New Roman"/>
          <w:color w:val="auto"/>
          <w:kern w:val="0"/>
          <w:sz w:val="21"/>
          <w:szCs w:val="21"/>
        </w:rPr>
        <w:t>。</w:t>
      </w:r>
    </w:p>
    <w:p w14:paraId="61584A29">
      <w:pPr>
        <w:autoSpaceDE w:val="0"/>
        <w:autoSpaceDN w:val="0"/>
        <w:adjustRightInd w:val="0"/>
        <w:spacing w:line="360" w:lineRule="auto"/>
        <w:contextualSpacing/>
        <w:jc w:val="left"/>
        <w:rPr>
          <w:rFonts w:ascii="宋体" w:hAnsi="宋体" w:eastAsia="宋体" w:cs="Times New Roman"/>
          <w:b/>
          <w:color w:val="auto"/>
          <w:kern w:val="0"/>
          <w:sz w:val="21"/>
          <w:szCs w:val="21"/>
        </w:rPr>
      </w:pPr>
      <w:r>
        <w:rPr>
          <w:rFonts w:hint="eastAsia" w:ascii="宋体" w:hAnsi="宋体" w:eastAsia="宋体" w:cs="Times New Roman"/>
          <w:b/>
          <w:color w:val="auto"/>
          <w:kern w:val="0"/>
          <w:sz w:val="21"/>
          <w:szCs w:val="21"/>
        </w:rPr>
        <w:t>（以下无正文）</w:t>
      </w:r>
      <w:r>
        <w:rPr>
          <w:rFonts w:ascii="宋体" w:hAnsi="宋体" w:eastAsia="宋体" w:cs="Times New Roman"/>
          <w:b/>
          <w:color w:val="auto"/>
          <w:kern w:val="0"/>
          <w:sz w:val="21"/>
          <w:szCs w:val="21"/>
        </w:rPr>
        <w:br w:type="page"/>
      </w:r>
    </w:p>
    <w:p w14:paraId="7028FABA">
      <w:pPr>
        <w:autoSpaceDE w:val="0"/>
        <w:autoSpaceDN w:val="0"/>
        <w:adjustRightInd w:val="0"/>
        <w:spacing w:before="120" w:beforeLines="50" w:after="120" w:afterLines="50" w:line="360" w:lineRule="auto"/>
        <w:jc w:val="left"/>
        <w:rPr>
          <w:rFonts w:ascii="宋体" w:hAnsi="宋体" w:eastAsia="宋体" w:cs="Times New Roman"/>
          <w:b/>
          <w:color w:val="auto"/>
          <w:kern w:val="0"/>
          <w:sz w:val="21"/>
          <w:szCs w:val="21"/>
        </w:rPr>
      </w:pPr>
      <w:r>
        <w:rPr>
          <w:rFonts w:hint="eastAsia" w:ascii="宋体" w:hAnsi="宋体" w:eastAsia="宋体" w:cs="Times New Roman"/>
          <w:b/>
          <w:color w:val="auto"/>
          <w:kern w:val="0"/>
          <w:sz w:val="21"/>
          <w:szCs w:val="21"/>
        </w:rPr>
        <w:t>（本页为《</w:t>
      </w:r>
      <w:r>
        <w:rPr>
          <w:rFonts w:hint="eastAsia" w:ascii="宋体" w:hAnsi="宋体" w:eastAsia="宋体" w:cs="Times New Roman"/>
          <w:b/>
          <w:color w:val="auto"/>
          <w:kern w:val="0"/>
          <w:sz w:val="21"/>
          <w:szCs w:val="21"/>
          <w:lang w:eastAsia="zh-CN"/>
        </w:rPr>
        <w:t>东莞市水务集团有限公司2025年安全及劳保物资采购项目</w:t>
      </w:r>
      <w:r>
        <w:rPr>
          <w:rFonts w:hint="eastAsia" w:ascii="宋体" w:hAnsi="宋体" w:eastAsia="宋体" w:cs="Times New Roman"/>
          <w:b/>
          <w:color w:val="auto"/>
          <w:kern w:val="0"/>
          <w:sz w:val="21"/>
          <w:szCs w:val="21"/>
        </w:rPr>
        <w:t>合同书》的签署页）</w:t>
      </w:r>
    </w:p>
    <w:p w14:paraId="7E3DD348">
      <w:pPr>
        <w:autoSpaceDE w:val="0"/>
        <w:autoSpaceDN w:val="0"/>
        <w:adjustRightInd w:val="0"/>
        <w:spacing w:before="120" w:beforeLines="50" w:after="120" w:afterLines="50" w:line="360" w:lineRule="auto"/>
        <w:jc w:val="left"/>
        <w:rPr>
          <w:rFonts w:ascii="宋体" w:hAnsi="宋体" w:eastAsia="宋体" w:cs="Times New Roman"/>
          <w:b/>
          <w:color w:val="auto"/>
          <w:kern w:val="0"/>
          <w:sz w:val="21"/>
          <w:szCs w:val="21"/>
        </w:rPr>
      </w:pPr>
    </w:p>
    <w:p w14:paraId="0383A6AB">
      <w:pPr>
        <w:autoSpaceDE w:val="0"/>
        <w:autoSpaceDN w:val="0"/>
        <w:adjustRightInd w:val="0"/>
        <w:spacing w:line="360" w:lineRule="auto"/>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甲方：</w:t>
      </w:r>
    </w:p>
    <w:p w14:paraId="08DD4688">
      <w:pPr>
        <w:autoSpaceDE w:val="0"/>
        <w:autoSpaceDN w:val="0"/>
        <w:adjustRightInd w:val="0"/>
        <w:spacing w:line="360" w:lineRule="auto"/>
        <w:jc w:val="left"/>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rPr>
        <w:t>法定代表人或其委托代理人：</w:t>
      </w:r>
    </w:p>
    <w:p w14:paraId="5822C046">
      <w:pPr>
        <w:autoSpaceDE w:val="0"/>
        <w:autoSpaceDN w:val="0"/>
        <w:adjustRightInd w:val="0"/>
        <w:spacing w:line="360" w:lineRule="auto"/>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地址：</w:t>
      </w:r>
    </w:p>
    <w:p w14:paraId="5F0F9AD5">
      <w:pPr>
        <w:widowControl w:val="0"/>
        <w:autoSpaceDE w:val="0"/>
        <w:autoSpaceDN w:val="0"/>
        <w:adjustRightInd w:val="0"/>
        <w:ind w:right="-26"/>
        <w:jc w:val="center"/>
        <w:rPr>
          <w:rFonts w:ascii="宋体" w:hAnsi="宋体" w:eastAsia="宋体" w:cs="Times New Roman"/>
          <w:b/>
          <w:bCs/>
          <w:color w:val="auto"/>
          <w:sz w:val="21"/>
          <w:szCs w:val="21"/>
          <w:lang w:val="zh-CN" w:eastAsia="zh-CN" w:bidi="ar-SA"/>
        </w:rPr>
      </w:pPr>
    </w:p>
    <w:p w14:paraId="0ED59620">
      <w:pPr>
        <w:widowControl w:val="0"/>
        <w:autoSpaceDE w:val="0"/>
        <w:autoSpaceDN w:val="0"/>
        <w:adjustRightInd w:val="0"/>
        <w:ind w:right="-26"/>
        <w:jc w:val="center"/>
        <w:rPr>
          <w:rFonts w:ascii="宋体" w:hAnsi="宋体" w:eastAsia="宋体" w:cs="Times New Roman"/>
          <w:b/>
          <w:bCs/>
          <w:color w:val="auto"/>
          <w:sz w:val="21"/>
          <w:szCs w:val="21"/>
          <w:lang w:val="zh-CN" w:eastAsia="zh-CN" w:bidi="ar-SA"/>
        </w:rPr>
      </w:pPr>
    </w:p>
    <w:p w14:paraId="1ACA423E">
      <w:pPr>
        <w:autoSpaceDE w:val="0"/>
        <w:autoSpaceDN w:val="0"/>
        <w:adjustRightInd w:val="0"/>
        <w:spacing w:line="360" w:lineRule="auto"/>
        <w:jc w:val="left"/>
        <w:rPr>
          <w:rFonts w:hint="eastAsia" w:ascii="宋体" w:hAnsi="宋体" w:eastAsia="宋体" w:cs="宋体"/>
          <w:color w:val="auto"/>
          <w:kern w:val="0"/>
          <w:sz w:val="21"/>
          <w:szCs w:val="21"/>
          <w:u w:val="none"/>
          <w:lang w:val="en-US" w:eastAsia="zh-CN"/>
        </w:rPr>
      </w:pPr>
      <w:r>
        <w:rPr>
          <w:rFonts w:hint="eastAsia" w:ascii="宋体" w:hAnsi="宋体" w:eastAsia="宋体" w:cs="宋体"/>
          <w:color w:val="auto"/>
          <w:kern w:val="0"/>
          <w:sz w:val="21"/>
          <w:szCs w:val="21"/>
        </w:rPr>
        <w:t>乙方：</w:t>
      </w:r>
    </w:p>
    <w:p w14:paraId="348DD8C6">
      <w:pPr>
        <w:autoSpaceDE w:val="0"/>
        <w:autoSpaceDN w:val="0"/>
        <w:adjustRightInd w:val="0"/>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法定代表人或其委托代理人：</w:t>
      </w:r>
    </w:p>
    <w:p w14:paraId="659FA3BF">
      <w:pPr>
        <w:autoSpaceDE w:val="0"/>
        <w:autoSpaceDN w:val="0"/>
        <w:adjustRightInd w:val="0"/>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地址：</w:t>
      </w:r>
    </w:p>
    <w:p w14:paraId="606D02B0">
      <w:pPr>
        <w:widowControl w:val="0"/>
        <w:autoSpaceDE w:val="0"/>
        <w:autoSpaceDN w:val="0"/>
        <w:adjustRightInd w:val="0"/>
        <w:ind w:right="-26"/>
        <w:jc w:val="center"/>
        <w:rPr>
          <w:rFonts w:ascii="宋体" w:hAnsi="宋体" w:eastAsia="宋体" w:cs="Times New Roman"/>
          <w:b/>
          <w:bCs/>
          <w:color w:val="auto"/>
          <w:sz w:val="21"/>
          <w:szCs w:val="21"/>
          <w:lang w:val="zh-CN" w:eastAsia="zh-CN" w:bidi="ar-SA"/>
        </w:rPr>
      </w:pPr>
    </w:p>
    <w:p w14:paraId="7C27116B">
      <w:pPr>
        <w:autoSpaceDE w:val="0"/>
        <w:autoSpaceDN w:val="0"/>
        <w:adjustRightInd w:val="0"/>
        <w:spacing w:line="360" w:lineRule="auto"/>
        <w:jc w:val="left"/>
        <w:rPr>
          <w:rFonts w:hint="eastAsia" w:ascii="宋体" w:hAnsi="宋体" w:eastAsia="宋体" w:cs="Times New Roman"/>
          <w:color w:val="auto"/>
          <w:kern w:val="0"/>
          <w:sz w:val="21"/>
          <w:szCs w:val="21"/>
        </w:rPr>
      </w:pPr>
    </w:p>
    <w:p w14:paraId="3E16D648">
      <w:pPr>
        <w:autoSpaceDE w:val="0"/>
        <w:autoSpaceDN w:val="0"/>
        <w:adjustRightInd w:val="0"/>
        <w:spacing w:line="360" w:lineRule="auto"/>
        <w:jc w:val="left"/>
        <w:rPr>
          <w:rFonts w:hint="default" w:ascii="宋体" w:hAnsi="宋体" w:eastAsia="宋体" w:cs="Times New Roman"/>
          <w:color w:val="auto"/>
          <w:kern w:val="0"/>
          <w:sz w:val="21"/>
          <w:szCs w:val="21"/>
          <w:lang w:val="en-US" w:eastAsia="zh-CN"/>
        </w:rPr>
      </w:pPr>
      <w:r>
        <w:rPr>
          <w:rFonts w:hint="eastAsia" w:ascii="宋体" w:hAnsi="宋体" w:eastAsia="宋体" w:cs="Times New Roman"/>
          <w:color w:val="auto"/>
          <w:kern w:val="0"/>
          <w:sz w:val="21"/>
          <w:szCs w:val="21"/>
        </w:rPr>
        <w:t>订立地点：</w:t>
      </w:r>
      <w:r>
        <w:rPr>
          <w:rFonts w:hint="eastAsia" w:ascii="宋体" w:hAnsi="宋体" w:eastAsia="宋体" w:cs="Times New Roman"/>
          <w:color w:val="auto"/>
          <w:kern w:val="0"/>
          <w:sz w:val="21"/>
          <w:szCs w:val="21"/>
          <w:lang w:val="en-US" w:eastAsia="zh-CN"/>
        </w:rPr>
        <w:t>广东省东莞市</w:t>
      </w:r>
    </w:p>
    <w:p w14:paraId="1596F94E">
      <w:pPr>
        <w:widowControl w:val="0"/>
        <w:autoSpaceDE w:val="0"/>
        <w:autoSpaceDN w:val="0"/>
        <w:adjustRightInd w:val="0"/>
        <w:spacing w:line="360" w:lineRule="auto"/>
        <w:ind w:right="-26"/>
        <w:jc w:val="left"/>
        <w:rPr>
          <w:rFonts w:ascii="宋体" w:hAnsi="宋体" w:eastAsia="宋体" w:cs="Times New Roman"/>
          <w:b w:val="0"/>
          <w:bCs w:val="0"/>
          <w:color w:val="auto"/>
          <w:sz w:val="21"/>
          <w:szCs w:val="21"/>
          <w:lang w:val="en-US" w:eastAsia="zh-CN" w:bidi="ar-SA"/>
        </w:rPr>
      </w:pPr>
      <w:r>
        <w:rPr>
          <w:rFonts w:hint="eastAsia" w:ascii="宋体" w:hAnsi="宋体" w:eastAsia="宋体" w:cs="Times New Roman"/>
          <w:b w:val="0"/>
          <w:bCs w:val="0"/>
          <w:color w:val="auto"/>
          <w:sz w:val="21"/>
          <w:szCs w:val="21"/>
          <w:lang w:val="en-US" w:eastAsia="zh-CN" w:bidi="ar-SA"/>
        </w:rPr>
        <w:t>订立时间：2025 年   月    日</w:t>
      </w:r>
    </w:p>
    <w:p w14:paraId="423B944C">
      <w:pPr>
        <w:autoSpaceDE w:val="0"/>
        <w:autoSpaceDN w:val="0"/>
        <w:adjustRightInd w:val="0"/>
        <w:spacing w:line="360" w:lineRule="auto"/>
        <w:jc w:val="left"/>
        <w:rPr>
          <w:rFonts w:ascii="宋体" w:hAnsi="宋体" w:eastAsia="宋体" w:cs="Times New Roman"/>
          <w:color w:val="auto"/>
          <w:kern w:val="0"/>
          <w:sz w:val="24"/>
          <w:szCs w:val="24"/>
        </w:rPr>
      </w:pPr>
      <w:r>
        <w:rPr>
          <w:rFonts w:ascii="宋体" w:hAnsi="宋体" w:eastAsia="宋体" w:cs="Times New Roman"/>
          <w:color w:val="auto"/>
          <w:kern w:val="0"/>
          <w:sz w:val="24"/>
          <w:szCs w:val="24"/>
        </w:rPr>
        <w:br w:type="page"/>
      </w:r>
    </w:p>
    <w:p w14:paraId="162D4CB9">
      <w:pPr>
        <w:widowControl/>
        <w:spacing w:line="360" w:lineRule="auto"/>
        <w:ind w:firstLine="241" w:firstLineChars="100"/>
        <w:rPr>
          <w:rFonts w:ascii="宋体" w:hAnsi="宋体" w:eastAsia="宋体" w:cs="宋体"/>
          <w:color w:val="auto"/>
          <w:szCs w:val="21"/>
        </w:rPr>
      </w:pPr>
      <w:r>
        <w:rPr>
          <w:rFonts w:hint="eastAsia" w:ascii="宋体" w:hAnsi="宋体" w:eastAsia="宋体" w:cs="仿宋_GB2312"/>
          <w:b/>
          <w:bCs w:val="0"/>
          <w:color w:val="auto"/>
          <w:kern w:val="0"/>
          <w:sz w:val="24"/>
          <w:szCs w:val="24"/>
          <w:lang w:bidi="ar"/>
        </w:rPr>
        <w:t>附件</w:t>
      </w:r>
      <w:r>
        <w:rPr>
          <w:rFonts w:hint="eastAsia" w:ascii="宋体" w:hAnsi="宋体" w:eastAsia="宋体" w:cs="仿宋_GB2312"/>
          <w:b/>
          <w:bCs w:val="0"/>
          <w:color w:val="auto"/>
          <w:kern w:val="0"/>
          <w:sz w:val="24"/>
          <w:szCs w:val="24"/>
          <w:lang w:val="en-US" w:eastAsia="zh-CN" w:bidi="ar"/>
        </w:rPr>
        <w:t>4</w:t>
      </w:r>
      <w:r>
        <w:rPr>
          <w:rFonts w:hint="eastAsia" w:ascii="宋体" w:hAnsi="宋体" w:eastAsia="宋体" w:cs="仿宋_GB2312"/>
          <w:b/>
          <w:bCs w:val="0"/>
          <w:color w:val="auto"/>
          <w:kern w:val="0"/>
          <w:sz w:val="24"/>
          <w:szCs w:val="24"/>
          <w:lang w:bidi="ar"/>
        </w:rPr>
        <w:t>：</w:t>
      </w:r>
      <w:r>
        <w:rPr>
          <w:rFonts w:hint="eastAsia" w:ascii="宋体" w:hAnsi="宋体" w:eastAsia="宋体" w:cs="仿宋_GB2312"/>
          <w:b/>
          <w:color w:val="auto"/>
          <w:kern w:val="0"/>
          <w:sz w:val="24"/>
          <w:szCs w:val="24"/>
          <w:lang w:bidi="ar"/>
        </w:rPr>
        <w:t>收货地址汇总表</w:t>
      </w:r>
    </w:p>
    <w:p w14:paraId="7C49F262">
      <w:pPr>
        <w:widowControl/>
        <w:spacing w:line="360" w:lineRule="auto"/>
        <w:ind w:firstLine="210" w:firstLineChars="100"/>
        <w:rPr>
          <w:rFonts w:ascii="宋体" w:hAnsi="宋体" w:eastAsia="宋体" w:cs="宋体"/>
          <w:color w:val="auto"/>
          <w:szCs w:val="21"/>
        </w:rPr>
      </w:pPr>
      <w:r>
        <w:rPr>
          <w:rFonts w:hint="eastAsia" w:ascii="宋体" w:hAnsi="宋体" w:eastAsia="宋体" w:cs="宋体"/>
          <w:color w:val="auto"/>
          <w:szCs w:val="21"/>
        </w:rPr>
        <w:t>1、供水公司供货点：</w:t>
      </w:r>
    </w:p>
    <w:tbl>
      <w:tblPr>
        <w:tblStyle w:val="45"/>
        <w:tblW w:w="8408" w:type="dxa"/>
        <w:jc w:val="center"/>
        <w:tblLayout w:type="fixed"/>
        <w:tblCellMar>
          <w:top w:w="0" w:type="dxa"/>
          <w:left w:w="108" w:type="dxa"/>
          <w:bottom w:w="0" w:type="dxa"/>
          <w:right w:w="108" w:type="dxa"/>
        </w:tblCellMar>
      </w:tblPr>
      <w:tblGrid>
        <w:gridCol w:w="718"/>
        <w:gridCol w:w="2340"/>
        <w:gridCol w:w="5350"/>
      </w:tblGrid>
      <w:tr w14:paraId="5CF17843">
        <w:tblPrEx>
          <w:tblCellMar>
            <w:top w:w="0" w:type="dxa"/>
            <w:left w:w="108" w:type="dxa"/>
            <w:bottom w:w="0" w:type="dxa"/>
            <w:right w:w="108" w:type="dxa"/>
          </w:tblCellMar>
        </w:tblPrEx>
        <w:trPr>
          <w:trHeight w:val="23"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C019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color w:val="auto"/>
                <w:szCs w:val="21"/>
              </w:rPr>
            </w:pPr>
            <w:r>
              <w:rPr>
                <w:rFonts w:hint="eastAsia" w:ascii="宋体" w:hAnsi="宋体" w:eastAsia="宋体" w:cs="宋体"/>
                <w:b/>
                <w:bCs/>
                <w:color w:val="auto"/>
                <w:kern w:val="0"/>
                <w:szCs w:val="21"/>
                <w:lang w:bidi="ar"/>
              </w:rPr>
              <w:t>序号</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2E44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color w:val="auto"/>
                <w:szCs w:val="21"/>
              </w:rPr>
            </w:pPr>
            <w:r>
              <w:rPr>
                <w:rFonts w:hint="eastAsia" w:ascii="宋体" w:hAnsi="宋体" w:eastAsia="宋体" w:cs="宋体"/>
                <w:b/>
                <w:bCs/>
                <w:color w:val="auto"/>
                <w:kern w:val="0"/>
                <w:szCs w:val="21"/>
                <w:lang w:bidi="ar"/>
              </w:rPr>
              <w:t>单位名称</w:t>
            </w:r>
          </w:p>
        </w:tc>
        <w:tc>
          <w:tcPr>
            <w:tcW w:w="5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D375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color w:val="auto"/>
                <w:szCs w:val="21"/>
              </w:rPr>
            </w:pPr>
            <w:r>
              <w:rPr>
                <w:rFonts w:hint="eastAsia" w:ascii="宋体" w:hAnsi="宋体" w:eastAsia="宋体" w:cs="宋体"/>
                <w:b/>
                <w:bCs/>
                <w:color w:val="auto"/>
                <w:kern w:val="0"/>
                <w:szCs w:val="21"/>
                <w:lang w:bidi="ar"/>
              </w:rPr>
              <w:t>交货地址</w:t>
            </w:r>
          </w:p>
        </w:tc>
      </w:tr>
      <w:tr w14:paraId="1552868E">
        <w:tblPrEx>
          <w:tblCellMar>
            <w:top w:w="0" w:type="dxa"/>
            <w:left w:w="108" w:type="dxa"/>
            <w:bottom w:w="0" w:type="dxa"/>
            <w:right w:w="108" w:type="dxa"/>
          </w:tblCellMar>
        </w:tblPrEx>
        <w:trPr>
          <w:trHeight w:val="23"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7B6E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kern w:val="0"/>
                <w:szCs w:val="21"/>
                <w:lang w:bidi="ar"/>
              </w:rPr>
              <w:t>1</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6858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szCs w:val="21"/>
                <w:lang w:bidi="ar"/>
              </w:rPr>
              <w:t>供水公司</w:t>
            </w:r>
          </w:p>
        </w:tc>
        <w:tc>
          <w:tcPr>
            <w:tcW w:w="5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EAA41">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Cs w:val="21"/>
              </w:rPr>
            </w:pPr>
            <w:r>
              <w:rPr>
                <w:rFonts w:hint="eastAsia" w:ascii="宋体" w:hAnsi="宋体" w:eastAsia="宋体" w:cs="宋体"/>
                <w:color w:val="auto"/>
                <w:kern w:val="0"/>
                <w:szCs w:val="21"/>
                <w:lang w:bidi="ar"/>
              </w:rPr>
              <w:t>东莞市莞城街道莞龙路141号</w:t>
            </w:r>
          </w:p>
        </w:tc>
      </w:tr>
      <w:tr w14:paraId="7CD2A2ED">
        <w:tblPrEx>
          <w:tblCellMar>
            <w:top w:w="0" w:type="dxa"/>
            <w:left w:w="108" w:type="dxa"/>
            <w:bottom w:w="0" w:type="dxa"/>
            <w:right w:w="108" w:type="dxa"/>
          </w:tblCellMar>
        </w:tblPrEx>
        <w:trPr>
          <w:trHeight w:val="23"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131E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kern w:val="0"/>
                <w:szCs w:val="21"/>
                <w:lang w:bidi="ar"/>
              </w:rPr>
              <w:t>2</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E810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szCs w:val="21"/>
                <w:lang w:bidi="ar"/>
              </w:rPr>
              <w:t>莞（南）城分公司</w:t>
            </w:r>
          </w:p>
        </w:tc>
        <w:tc>
          <w:tcPr>
            <w:tcW w:w="5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1AF81">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Cs w:val="21"/>
              </w:rPr>
            </w:pPr>
            <w:r>
              <w:rPr>
                <w:rFonts w:hint="eastAsia" w:ascii="宋体" w:hAnsi="宋体" w:eastAsia="宋体" w:cs="宋体"/>
                <w:color w:val="auto"/>
                <w:kern w:val="0"/>
                <w:szCs w:val="21"/>
                <w:lang w:bidi="ar"/>
              </w:rPr>
              <w:t>东莞市莞城街道元岭路76号</w:t>
            </w:r>
          </w:p>
        </w:tc>
      </w:tr>
      <w:tr w14:paraId="7F0F26D7">
        <w:tblPrEx>
          <w:tblCellMar>
            <w:top w:w="0" w:type="dxa"/>
            <w:left w:w="108" w:type="dxa"/>
            <w:bottom w:w="0" w:type="dxa"/>
            <w:right w:w="108" w:type="dxa"/>
          </w:tblCellMar>
        </w:tblPrEx>
        <w:trPr>
          <w:trHeight w:val="23"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9227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kern w:val="0"/>
                <w:szCs w:val="21"/>
                <w:lang w:bidi="ar"/>
              </w:rPr>
              <w:t>3</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8432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szCs w:val="21"/>
                <w:lang w:bidi="ar"/>
              </w:rPr>
              <w:t>松山湖分公司</w:t>
            </w:r>
          </w:p>
        </w:tc>
        <w:tc>
          <w:tcPr>
            <w:tcW w:w="5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ABEF8">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Cs w:val="21"/>
              </w:rPr>
            </w:pPr>
            <w:r>
              <w:rPr>
                <w:rFonts w:hint="eastAsia" w:ascii="宋体" w:hAnsi="宋体" w:eastAsia="宋体" w:cs="宋体"/>
                <w:color w:val="auto"/>
                <w:kern w:val="0"/>
                <w:szCs w:val="21"/>
                <w:lang w:bidi="ar"/>
              </w:rPr>
              <w:t>东莞市松山湖园区红棉路玉华小区</w:t>
            </w:r>
          </w:p>
        </w:tc>
      </w:tr>
      <w:tr w14:paraId="106D7335">
        <w:tblPrEx>
          <w:tblCellMar>
            <w:top w:w="0" w:type="dxa"/>
            <w:left w:w="108" w:type="dxa"/>
            <w:bottom w:w="0" w:type="dxa"/>
            <w:right w:w="108" w:type="dxa"/>
          </w:tblCellMar>
        </w:tblPrEx>
        <w:trPr>
          <w:trHeight w:val="23"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D828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kern w:val="0"/>
                <w:szCs w:val="21"/>
                <w:lang w:bidi="ar"/>
              </w:rPr>
              <w:t>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E669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szCs w:val="21"/>
                <w:lang w:bidi="ar"/>
              </w:rPr>
              <w:t>万江分公司</w:t>
            </w:r>
          </w:p>
        </w:tc>
        <w:tc>
          <w:tcPr>
            <w:tcW w:w="5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1006E">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Cs w:val="21"/>
              </w:rPr>
            </w:pPr>
            <w:r>
              <w:rPr>
                <w:rFonts w:hint="eastAsia" w:ascii="宋体" w:hAnsi="宋体" w:eastAsia="宋体" w:cs="宋体"/>
                <w:color w:val="auto"/>
                <w:kern w:val="0"/>
                <w:szCs w:val="21"/>
                <w:lang w:bidi="ar"/>
              </w:rPr>
              <w:t>东莞市万江街道万龙路191号</w:t>
            </w:r>
          </w:p>
        </w:tc>
      </w:tr>
      <w:tr w14:paraId="096FD804">
        <w:tblPrEx>
          <w:tblCellMar>
            <w:top w:w="0" w:type="dxa"/>
            <w:left w:w="108" w:type="dxa"/>
            <w:bottom w:w="0" w:type="dxa"/>
            <w:right w:w="108" w:type="dxa"/>
          </w:tblCellMar>
        </w:tblPrEx>
        <w:trPr>
          <w:trHeight w:val="23" w:hRule="atLeast"/>
          <w:jc w:val="center"/>
        </w:trPr>
        <w:tc>
          <w:tcPr>
            <w:tcW w:w="718"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53F47D5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kern w:val="0"/>
                <w:szCs w:val="21"/>
                <w:lang w:bidi="ar"/>
              </w:rPr>
              <w:t>5</w:t>
            </w:r>
          </w:p>
        </w:tc>
        <w:tc>
          <w:tcPr>
            <w:tcW w:w="2340" w:type="dxa"/>
            <w:tcBorders>
              <w:top w:val="single" w:color="000000" w:sz="4" w:space="0"/>
              <w:left w:val="single" w:color="000000" w:sz="4" w:space="0"/>
              <w:bottom w:val="single" w:color="auto" w:sz="4" w:space="0"/>
              <w:right w:val="single" w:color="000000" w:sz="4" w:space="0"/>
            </w:tcBorders>
            <w:shd w:val="clear" w:color="auto" w:fill="auto"/>
            <w:vAlign w:val="center"/>
          </w:tcPr>
          <w:p w14:paraId="091DE73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szCs w:val="21"/>
                <w:lang w:bidi="ar"/>
              </w:rPr>
              <w:t>东城分公司</w:t>
            </w:r>
          </w:p>
        </w:tc>
        <w:tc>
          <w:tcPr>
            <w:tcW w:w="535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0DC990E7">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Cs w:val="21"/>
              </w:rPr>
            </w:pPr>
            <w:r>
              <w:rPr>
                <w:rFonts w:hint="eastAsia" w:ascii="宋体" w:hAnsi="宋体" w:eastAsia="宋体" w:cs="宋体"/>
                <w:color w:val="auto"/>
                <w:kern w:val="0"/>
                <w:szCs w:val="21"/>
                <w:lang w:bidi="ar"/>
              </w:rPr>
              <w:t>东莞市东城街道下桥银岭街9号</w:t>
            </w:r>
          </w:p>
        </w:tc>
      </w:tr>
      <w:tr w14:paraId="1D29D38E">
        <w:tblPrEx>
          <w:tblCellMar>
            <w:top w:w="0" w:type="dxa"/>
            <w:left w:w="108" w:type="dxa"/>
            <w:bottom w:w="0" w:type="dxa"/>
            <w:right w:w="108" w:type="dxa"/>
          </w:tblCellMar>
        </w:tblPrEx>
        <w:trPr>
          <w:trHeight w:val="23" w:hRule="atLeast"/>
          <w:jc w:val="center"/>
        </w:trPr>
        <w:tc>
          <w:tcPr>
            <w:tcW w:w="718" w:type="dxa"/>
            <w:tcBorders>
              <w:top w:val="single" w:color="auto" w:sz="4" w:space="0"/>
              <w:left w:val="single" w:color="auto" w:sz="4" w:space="0"/>
              <w:bottom w:val="single" w:color="auto" w:sz="4" w:space="0"/>
              <w:right w:val="single" w:color="000000" w:sz="4" w:space="0"/>
            </w:tcBorders>
            <w:shd w:val="clear" w:color="auto" w:fill="auto"/>
            <w:noWrap/>
            <w:vAlign w:val="center"/>
          </w:tcPr>
          <w:p w14:paraId="6CF411E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kern w:val="0"/>
                <w:szCs w:val="21"/>
                <w:lang w:bidi="ar"/>
              </w:rPr>
              <w:t>6</w:t>
            </w:r>
          </w:p>
        </w:tc>
        <w:tc>
          <w:tcPr>
            <w:tcW w:w="2340" w:type="dxa"/>
            <w:tcBorders>
              <w:top w:val="single" w:color="auto" w:sz="4" w:space="0"/>
              <w:left w:val="single" w:color="000000" w:sz="4" w:space="0"/>
              <w:bottom w:val="single" w:color="auto" w:sz="4" w:space="0"/>
              <w:right w:val="single" w:color="000000" w:sz="4" w:space="0"/>
            </w:tcBorders>
            <w:shd w:val="clear" w:color="auto" w:fill="auto"/>
            <w:vAlign w:val="center"/>
          </w:tcPr>
          <w:p w14:paraId="24BA1C9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szCs w:val="21"/>
                <w:lang w:bidi="ar"/>
              </w:rPr>
              <w:t>高埗分公司</w:t>
            </w:r>
          </w:p>
        </w:tc>
        <w:tc>
          <w:tcPr>
            <w:tcW w:w="5350" w:type="dxa"/>
            <w:tcBorders>
              <w:top w:val="single" w:color="auto" w:sz="4" w:space="0"/>
              <w:left w:val="single" w:color="000000" w:sz="4" w:space="0"/>
              <w:bottom w:val="single" w:color="auto" w:sz="4" w:space="0"/>
              <w:right w:val="single" w:color="auto" w:sz="4" w:space="0"/>
            </w:tcBorders>
            <w:shd w:val="clear" w:color="auto" w:fill="auto"/>
            <w:vAlign w:val="center"/>
          </w:tcPr>
          <w:p w14:paraId="2D2E4196">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Cs w:val="21"/>
              </w:rPr>
            </w:pPr>
            <w:r>
              <w:rPr>
                <w:rFonts w:hint="eastAsia" w:ascii="宋体" w:hAnsi="宋体" w:eastAsia="宋体" w:cs="宋体"/>
                <w:color w:val="auto"/>
                <w:kern w:val="0"/>
                <w:szCs w:val="21"/>
                <w:lang w:bidi="ar"/>
              </w:rPr>
              <w:t>东莞市高埗镇沿江南路48号</w:t>
            </w:r>
          </w:p>
        </w:tc>
      </w:tr>
      <w:tr w14:paraId="4811C4DD">
        <w:tblPrEx>
          <w:tblCellMar>
            <w:top w:w="0" w:type="dxa"/>
            <w:left w:w="108" w:type="dxa"/>
            <w:bottom w:w="0" w:type="dxa"/>
            <w:right w:w="108" w:type="dxa"/>
          </w:tblCellMar>
        </w:tblPrEx>
        <w:trPr>
          <w:trHeight w:val="23" w:hRule="atLeast"/>
          <w:jc w:val="center"/>
        </w:trPr>
        <w:tc>
          <w:tcPr>
            <w:tcW w:w="718"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11AC569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kern w:val="0"/>
                <w:szCs w:val="21"/>
                <w:lang w:bidi="ar"/>
              </w:rPr>
              <w:t>7</w:t>
            </w:r>
          </w:p>
        </w:tc>
        <w:tc>
          <w:tcPr>
            <w:tcW w:w="2340" w:type="dxa"/>
            <w:tcBorders>
              <w:top w:val="single" w:color="auto" w:sz="4" w:space="0"/>
              <w:left w:val="single" w:color="000000" w:sz="4" w:space="0"/>
              <w:bottom w:val="single" w:color="000000" w:sz="4" w:space="0"/>
              <w:right w:val="single" w:color="000000" w:sz="4" w:space="0"/>
            </w:tcBorders>
            <w:shd w:val="clear" w:color="auto" w:fill="auto"/>
            <w:vAlign w:val="center"/>
          </w:tcPr>
          <w:p w14:paraId="65F3E19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szCs w:val="21"/>
                <w:lang w:bidi="ar"/>
              </w:rPr>
              <w:t>道滘分公司</w:t>
            </w:r>
          </w:p>
        </w:tc>
        <w:tc>
          <w:tcPr>
            <w:tcW w:w="5350"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1BD60FC0">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Cs w:val="21"/>
              </w:rPr>
            </w:pPr>
            <w:r>
              <w:rPr>
                <w:rFonts w:hint="eastAsia" w:ascii="宋体" w:hAnsi="宋体" w:eastAsia="宋体" w:cs="宋体"/>
                <w:color w:val="auto"/>
                <w:kern w:val="0"/>
                <w:szCs w:val="21"/>
                <w:lang w:bidi="ar"/>
              </w:rPr>
              <w:t>东莞市道滘镇滨江西路121号101室</w:t>
            </w:r>
          </w:p>
        </w:tc>
      </w:tr>
      <w:tr w14:paraId="44EB1C7E">
        <w:tblPrEx>
          <w:tblCellMar>
            <w:top w:w="0" w:type="dxa"/>
            <w:left w:w="108" w:type="dxa"/>
            <w:bottom w:w="0" w:type="dxa"/>
            <w:right w:w="108" w:type="dxa"/>
          </w:tblCellMar>
        </w:tblPrEx>
        <w:trPr>
          <w:trHeight w:val="23"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8985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kern w:val="0"/>
                <w:szCs w:val="21"/>
                <w:lang w:bidi="ar"/>
              </w:rPr>
              <w:t>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5123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szCs w:val="21"/>
                <w:lang w:bidi="ar"/>
              </w:rPr>
              <w:t>洪梅分公司</w:t>
            </w:r>
          </w:p>
        </w:tc>
        <w:tc>
          <w:tcPr>
            <w:tcW w:w="5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C5657">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Cs w:val="21"/>
              </w:rPr>
            </w:pPr>
            <w:r>
              <w:rPr>
                <w:rFonts w:hint="eastAsia" w:ascii="宋体" w:hAnsi="宋体" w:eastAsia="宋体" w:cs="宋体"/>
                <w:color w:val="auto"/>
                <w:kern w:val="0"/>
                <w:szCs w:val="21"/>
                <w:lang w:bidi="ar"/>
              </w:rPr>
              <w:t>东莞市洪梅镇新兴街2号</w:t>
            </w:r>
          </w:p>
        </w:tc>
      </w:tr>
      <w:tr w14:paraId="0381B7D2">
        <w:tblPrEx>
          <w:tblCellMar>
            <w:top w:w="0" w:type="dxa"/>
            <w:left w:w="108" w:type="dxa"/>
            <w:bottom w:w="0" w:type="dxa"/>
            <w:right w:w="108" w:type="dxa"/>
          </w:tblCellMar>
        </w:tblPrEx>
        <w:trPr>
          <w:trHeight w:val="23"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C1FB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kern w:val="0"/>
                <w:szCs w:val="21"/>
                <w:lang w:bidi="ar"/>
              </w:rPr>
              <w:t>9</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943C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szCs w:val="21"/>
                <w:lang w:bidi="ar"/>
              </w:rPr>
              <w:t>中堂分公司</w:t>
            </w:r>
          </w:p>
        </w:tc>
        <w:tc>
          <w:tcPr>
            <w:tcW w:w="5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313C5">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Cs w:val="21"/>
              </w:rPr>
            </w:pPr>
            <w:r>
              <w:rPr>
                <w:rFonts w:hint="eastAsia" w:ascii="宋体" w:hAnsi="宋体" w:eastAsia="宋体" w:cs="宋体"/>
                <w:color w:val="auto"/>
                <w:kern w:val="0"/>
                <w:szCs w:val="21"/>
                <w:lang w:bidi="ar"/>
              </w:rPr>
              <w:t>东莞市中堂镇滨江大道3号6栋</w:t>
            </w:r>
          </w:p>
        </w:tc>
      </w:tr>
      <w:tr w14:paraId="66928AD1">
        <w:tblPrEx>
          <w:tblCellMar>
            <w:top w:w="0" w:type="dxa"/>
            <w:left w:w="108" w:type="dxa"/>
            <w:bottom w:w="0" w:type="dxa"/>
            <w:right w:w="108" w:type="dxa"/>
          </w:tblCellMar>
        </w:tblPrEx>
        <w:trPr>
          <w:trHeight w:val="23"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576D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kern w:val="0"/>
                <w:szCs w:val="21"/>
                <w:lang w:bidi="ar"/>
              </w:rPr>
              <w:t>10</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7276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szCs w:val="21"/>
                <w:lang w:bidi="ar"/>
              </w:rPr>
              <w:t>麻涌分公司</w:t>
            </w:r>
          </w:p>
        </w:tc>
        <w:tc>
          <w:tcPr>
            <w:tcW w:w="5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36B99">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Cs w:val="21"/>
              </w:rPr>
            </w:pPr>
            <w:r>
              <w:rPr>
                <w:rFonts w:hint="eastAsia" w:ascii="宋体" w:hAnsi="宋体" w:eastAsia="宋体" w:cs="宋体"/>
                <w:color w:val="auto"/>
                <w:kern w:val="0"/>
                <w:szCs w:val="21"/>
                <w:lang w:bidi="ar"/>
              </w:rPr>
              <w:t>东莞市麻涌镇麻四金宝路2号101室</w:t>
            </w:r>
          </w:p>
        </w:tc>
      </w:tr>
      <w:tr w14:paraId="01FEEA1E">
        <w:tblPrEx>
          <w:tblCellMar>
            <w:top w:w="0" w:type="dxa"/>
            <w:left w:w="108" w:type="dxa"/>
            <w:bottom w:w="0" w:type="dxa"/>
            <w:right w:w="108" w:type="dxa"/>
          </w:tblCellMar>
        </w:tblPrEx>
        <w:trPr>
          <w:trHeight w:val="23"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44C6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kern w:val="0"/>
                <w:szCs w:val="21"/>
                <w:lang w:bidi="ar"/>
              </w:rPr>
              <w:t>11</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CF0A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szCs w:val="21"/>
                <w:lang w:bidi="ar"/>
              </w:rPr>
              <w:t>望牛墩分公司</w:t>
            </w:r>
          </w:p>
        </w:tc>
        <w:tc>
          <w:tcPr>
            <w:tcW w:w="5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40670">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Cs w:val="21"/>
              </w:rPr>
            </w:pPr>
            <w:r>
              <w:rPr>
                <w:rFonts w:hint="eastAsia" w:ascii="宋体" w:hAnsi="宋体" w:eastAsia="宋体" w:cs="宋体"/>
                <w:color w:val="auto"/>
                <w:kern w:val="0"/>
                <w:szCs w:val="21"/>
                <w:lang w:bidi="ar"/>
              </w:rPr>
              <w:t>东莞市望牛墩镇西富路1号</w:t>
            </w:r>
          </w:p>
        </w:tc>
      </w:tr>
      <w:tr w14:paraId="59E62B29">
        <w:tblPrEx>
          <w:tblCellMar>
            <w:top w:w="0" w:type="dxa"/>
            <w:left w:w="108" w:type="dxa"/>
            <w:bottom w:w="0" w:type="dxa"/>
            <w:right w:w="108" w:type="dxa"/>
          </w:tblCellMar>
        </w:tblPrEx>
        <w:trPr>
          <w:trHeight w:val="23"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D8A6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kern w:val="0"/>
                <w:szCs w:val="21"/>
                <w:lang w:bidi="ar"/>
              </w:rPr>
              <w:t>12</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2DA4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szCs w:val="21"/>
                <w:lang w:bidi="ar"/>
              </w:rPr>
              <w:t>虎门分公司</w:t>
            </w:r>
          </w:p>
        </w:tc>
        <w:tc>
          <w:tcPr>
            <w:tcW w:w="5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3A9F4">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Cs w:val="21"/>
              </w:rPr>
            </w:pPr>
            <w:r>
              <w:rPr>
                <w:rFonts w:hint="eastAsia" w:ascii="宋体" w:hAnsi="宋体" w:eastAsia="宋体" w:cs="宋体"/>
                <w:color w:val="auto"/>
                <w:kern w:val="0"/>
                <w:szCs w:val="21"/>
                <w:lang w:bidi="ar"/>
              </w:rPr>
              <w:t>东莞市虎门镇解放路水厂新村49号</w:t>
            </w:r>
          </w:p>
        </w:tc>
      </w:tr>
      <w:tr w14:paraId="38D1FD4A">
        <w:tblPrEx>
          <w:tblCellMar>
            <w:top w:w="0" w:type="dxa"/>
            <w:left w:w="108" w:type="dxa"/>
            <w:bottom w:w="0" w:type="dxa"/>
            <w:right w:w="108" w:type="dxa"/>
          </w:tblCellMar>
        </w:tblPrEx>
        <w:trPr>
          <w:trHeight w:val="23"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3003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kern w:val="0"/>
                <w:szCs w:val="21"/>
                <w:lang w:bidi="ar"/>
              </w:rPr>
              <w:t>13</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9586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szCs w:val="21"/>
                <w:lang w:bidi="ar"/>
              </w:rPr>
              <w:t>长安分公司</w:t>
            </w:r>
          </w:p>
        </w:tc>
        <w:tc>
          <w:tcPr>
            <w:tcW w:w="5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8C75C">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Cs w:val="21"/>
              </w:rPr>
            </w:pPr>
            <w:r>
              <w:rPr>
                <w:rFonts w:hint="eastAsia" w:ascii="宋体" w:hAnsi="宋体" w:eastAsia="宋体" w:cs="宋体"/>
                <w:color w:val="auto"/>
                <w:kern w:val="0"/>
                <w:szCs w:val="21"/>
                <w:lang w:bidi="ar"/>
              </w:rPr>
              <w:t>东莞市长安镇长安莲湖路108号</w:t>
            </w:r>
          </w:p>
        </w:tc>
      </w:tr>
      <w:tr w14:paraId="671A7BB1">
        <w:tblPrEx>
          <w:tblCellMar>
            <w:top w:w="0" w:type="dxa"/>
            <w:left w:w="108" w:type="dxa"/>
            <w:bottom w:w="0" w:type="dxa"/>
            <w:right w:w="108" w:type="dxa"/>
          </w:tblCellMar>
        </w:tblPrEx>
        <w:trPr>
          <w:trHeight w:val="23"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FAD3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kern w:val="0"/>
                <w:szCs w:val="21"/>
                <w:lang w:bidi="ar"/>
              </w:rPr>
              <w:t>14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82F9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szCs w:val="21"/>
                <w:lang w:bidi="ar"/>
              </w:rPr>
              <w:t>沙田分公司</w:t>
            </w:r>
          </w:p>
        </w:tc>
        <w:tc>
          <w:tcPr>
            <w:tcW w:w="5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BF310">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Cs w:val="21"/>
              </w:rPr>
            </w:pPr>
            <w:r>
              <w:rPr>
                <w:rFonts w:hint="eastAsia" w:ascii="宋体" w:hAnsi="宋体" w:eastAsia="宋体" w:cs="宋体"/>
                <w:color w:val="auto"/>
                <w:kern w:val="0"/>
                <w:szCs w:val="21"/>
                <w:lang w:bidi="ar"/>
              </w:rPr>
              <w:t>东莞市沙田镇环山路3号</w:t>
            </w:r>
          </w:p>
        </w:tc>
      </w:tr>
      <w:tr w14:paraId="7B67A11C">
        <w:tblPrEx>
          <w:tblCellMar>
            <w:top w:w="0" w:type="dxa"/>
            <w:left w:w="108" w:type="dxa"/>
            <w:bottom w:w="0" w:type="dxa"/>
            <w:right w:w="108" w:type="dxa"/>
          </w:tblCellMar>
        </w:tblPrEx>
        <w:trPr>
          <w:trHeight w:val="23"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FD2E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kern w:val="0"/>
                <w:szCs w:val="21"/>
                <w:lang w:bidi="ar"/>
              </w:rPr>
              <w:t>15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ABE4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szCs w:val="21"/>
                <w:lang w:bidi="ar"/>
              </w:rPr>
              <w:t>厚街分公司</w:t>
            </w:r>
          </w:p>
        </w:tc>
        <w:tc>
          <w:tcPr>
            <w:tcW w:w="5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129AF">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Cs w:val="21"/>
              </w:rPr>
            </w:pPr>
            <w:r>
              <w:rPr>
                <w:rFonts w:hint="eastAsia" w:ascii="宋体" w:hAnsi="宋体" w:eastAsia="宋体" w:cs="宋体"/>
                <w:color w:val="auto"/>
                <w:kern w:val="0"/>
                <w:szCs w:val="21"/>
                <w:lang w:bidi="ar"/>
              </w:rPr>
              <w:t>东莞市环莞快速路55号</w:t>
            </w:r>
          </w:p>
        </w:tc>
      </w:tr>
      <w:tr w14:paraId="54326C78">
        <w:tblPrEx>
          <w:tblCellMar>
            <w:top w:w="0" w:type="dxa"/>
            <w:left w:w="108" w:type="dxa"/>
            <w:bottom w:w="0" w:type="dxa"/>
            <w:right w:w="108" w:type="dxa"/>
          </w:tblCellMar>
        </w:tblPrEx>
        <w:trPr>
          <w:trHeight w:val="23"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21D0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kern w:val="0"/>
                <w:szCs w:val="21"/>
                <w:lang w:bidi="ar"/>
              </w:rPr>
              <w:t>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9277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szCs w:val="21"/>
                <w:lang w:bidi="ar"/>
              </w:rPr>
              <w:t>桥头分公司</w:t>
            </w:r>
          </w:p>
        </w:tc>
        <w:tc>
          <w:tcPr>
            <w:tcW w:w="5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B71C5">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Cs w:val="21"/>
              </w:rPr>
            </w:pPr>
            <w:r>
              <w:rPr>
                <w:rFonts w:hint="eastAsia" w:ascii="宋体" w:hAnsi="宋体" w:eastAsia="宋体" w:cs="宋体"/>
                <w:color w:val="auto"/>
                <w:kern w:val="0"/>
                <w:szCs w:val="21"/>
                <w:lang w:bidi="ar"/>
              </w:rPr>
              <w:t>东莞市桥头镇桥光大道405号</w:t>
            </w:r>
          </w:p>
        </w:tc>
      </w:tr>
      <w:tr w14:paraId="73426B2B">
        <w:tblPrEx>
          <w:tblCellMar>
            <w:top w:w="0" w:type="dxa"/>
            <w:left w:w="108" w:type="dxa"/>
            <w:bottom w:w="0" w:type="dxa"/>
            <w:right w:w="108" w:type="dxa"/>
          </w:tblCellMar>
        </w:tblPrEx>
        <w:trPr>
          <w:trHeight w:val="23"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9C5C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kern w:val="0"/>
                <w:szCs w:val="21"/>
                <w:lang w:bidi="ar"/>
              </w:rPr>
              <w:t>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1E59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szCs w:val="21"/>
                <w:lang w:bidi="ar"/>
              </w:rPr>
              <w:t>谢岗分公司</w:t>
            </w:r>
          </w:p>
        </w:tc>
        <w:tc>
          <w:tcPr>
            <w:tcW w:w="5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E2FF6">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Cs w:val="21"/>
              </w:rPr>
            </w:pPr>
            <w:r>
              <w:rPr>
                <w:rFonts w:hint="eastAsia" w:ascii="宋体" w:hAnsi="宋体" w:eastAsia="宋体" w:cs="宋体"/>
                <w:color w:val="auto"/>
                <w:kern w:val="0"/>
                <w:szCs w:val="21"/>
                <w:lang w:bidi="ar"/>
              </w:rPr>
              <w:t>东莞市谢岗镇曹乐工业一路15号</w:t>
            </w:r>
          </w:p>
        </w:tc>
      </w:tr>
      <w:tr w14:paraId="08DBF9DB">
        <w:tblPrEx>
          <w:tblCellMar>
            <w:top w:w="0" w:type="dxa"/>
            <w:left w:w="108" w:type="dxa"/>
            <w:bottom w:w="0" w:type="dxa"/>
            <w:right w:w="108" w:type="dxa"/>
          </w:tblCellMar>
        </w:tblPrEx>
        <w:trPr>
          <w:trHeight w:val="23"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D3C5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kern w:val="0"/>
                <w:szCs w:val="21"/>
                <w:lang w:bidi="ar"/>
              </w:rPr>
              <w:t>18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A7C5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szCs w:val="21"/>
                <w:lang w:bidi="ar"/>
              </w:rPr>
              <w:t>黄江分公司</w:t>
            </w:r>
          </w:p>
        </w:tc>
        <w:tc>
          <w:tcPr>
            <w:tcW w:w="5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CD620">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Cs w:val="21"/>
              </w:rPr>
            </w:pPr>
            <w:r>
              <w:rPr>
                <w:rFonts w:hint="eastAsia" w:ascii="宋体" w:hAnsi="宋体" w:eastAsia="宋体" w:cs="宋体"/>
                <w:color w:val="auto"/>
                <w:kern w:val="0"/>
                <w:szCs w:val="21"/>
                <w:lang w:bidi="ar"/>
              </w:rPr>
              <w:t>东莞市黄江镇黄牛埔村强健街2号</w:t>
            </w:r>
          </w:p>
        </w:tc>
      </w:tr>
      <w:tr w14:paraId="56A66565">
        <w:tblPrEx>
          <w:tblCellMar>
            <w:top w:w="0" w:type="dxa"/>
            <w:left w:w="108" w:type="dxa"/>
            <w:bottom w:w="0" w:type="dxa"/>
            <w:right w:w="108" w:type="dxa"/>
          </w:tblCellMar>
        </w:tblPrEx>
        <w:trPr>
          <w:trHeight w:val="23"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CAC0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kern w:val="0"/>
                <w:szCs w:val="21"/>
                <w:lang w:bidi="ar"/>
              </w:rPr>
              <w:t>19</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EB0B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szCs w:val="21"/>
                <w:lang w:bidi="ar"/>
              </w:rPr>
              <w:t>樟木头分公司</w:t>
            </w:r>
          </w:p>
        </w:tc>
        <w:tc>
          <w:tcPr>
            <w:tcW w:w="5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CDF34">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Cs w:val="21"/>
              </w:rPr>
            </w:pPr>
            <w:r>
              <w:rPr>
                <w:rFonts w:hint="eastAsia" w:ascii="宋体" w:hAnsi="宋体" w:eastAsia="宋体" w:cs="宋体"/>
                <w:color w:val="auto"/>
                <w:kern w:val="0"/>
                <w:szCs w:val="21"/>
                <w:lang w:bidi="ar"/>
              </w:rPr>
              <w:t>东莞市樟木头镇莞樟路樟木头段116号供水大楼</w:t>
            </w:r>
          </w:p>
        </w:tc>
      </w:tr>
      <w:tr w14:paraId="3044B973">
        <w:tblPrEx>
          <w:tblCellMar>
            <w:top w:w="0" w:type="dxa"/>
            <w:left w:w="108" w:type="dxa"/>
            <w:bottom w:w="0" w:type="dxa"/>
            <w:right w:w="108" w:type="dxa"/>
          </w:tblCellMar>
        </w:tblPrEx>
        <w:trPr>
          <w:trHeight w:val="23"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E4A4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kern w:val="0"/>
                <w:szCs w:val="21"/>
                <w:lang w:bidi="ar"/>
              </w:rPr>
              <w:t>20</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1FCD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szCs w:val="21"/>
                <w:lang w:bidi="ar"/>
              </w:rPr>
              <w:t>凤岗分公司</w:t>
            </w:r>
          </w:p>
        </w:tc>
        <w:tc>
          <w:tcPr>
            <w:tcW w:w="5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F0838">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Cs w:val="21"/>
              </w:rPr>
            </w:pPr>
            <w:r>
              <w:rPr>
                <w:rFonts w:hint="eastAsia" w:ascii="宋体" w:hAnsi="宋体" w:eastAsia="宋体" w:cs="宋体"/>
                <w:color w:val="auto"/>
                <w:kern w:val="0"/>
                <w:szCs w:val="21"/>
                <w:lang w:bidi="ar"/>
              </w:rPr>
              <w:t>东莞市凤岗镇金凤路花果二巷13号</w:t>
            </w:r>
          </w:p>
        </w:tc>
      </w:tr>
      <w:tr w14:paraId="41D2F3C8">
        <w:tblPrEx>
          <w:tblCellMar>
            <w:top w:w="0" w:type="dxa"/>
            <w:left w:w="108" w:type="dxa"/>
            <w:bottom w:w="0" w:type="dxa"/>
            <w:right w:w="108" w:type="dxa"/>
          </w:tblCellMar>
        </w:tblPrEx>
        <w:trPr>
          <w:trHeight w:val="23"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53A8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kern w:val="0"/>
                <w:szCs w:val="21"/>
                <w:lang w:bidi="ar"/>
              </w:rPr>
              <w:t>21</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A90D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szCs w:val="21"/>
                <w:lang w:bidi="ar"/>
              </w:rPr>
              <w:t>塘厦分公司</w:t>
            </w:r>
          </w:p>
        </w:tc>
        <w:tc>
          <w:tcPr>
            <w:tcW w:w="5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F23AB">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Cs w:val="21"/>
              </w:rPr>
            </w:pPr>
            <w:r>
              <w:rPr>
                <w:rFonts w:hint="eastAsia" w:ascii="宋体" w:hAnsi="宋体" w:eastAsia="宋体" w:cs="宋体"/>
                <w:color w:val="auto"/>
                <w:kern w:val="0"/>
                <w:szCs w:val="21"/>
                <w:lang w:bidi="ar"/>
              </w:rPr>
              <w:t>东莞市塘厦镇东深一路8号</w:t>
            </w:r>
          </w:p>
        </w:tc>
      </w:tr>
      <w:tr w14:paraId="76A8EC9F">
        <w:tblPrEx>
          <w:tblCellMar>
            <w:top w:w="0" w:type="dxa"/>
            <w:left w:w="108" w:type="dxa"/>
            <w:bottom w:w="0" w:type="dxa"/>
            <w:right w:w="108" w:type="dxa"/>
          </w:tblCellMar>
        </w:tblPrEx>
        <w:trPr>
          <w:trHeight w:val="23"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1AFD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kern w:val="0"/>
                <w:szCs w:val="21"/>
                <w:lang w:bidi="ar"/>
              </w:rPr>
              <w:t>22</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10FE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szCs w:val="21"/>
                <w:lang w:bidi="ar"/>
              </w:rPr>
              <w:t>石碣分公司</w:t>
            </w:r>
          </w:p>
        </w:tc>
        <w:tc>
          <w:tcPr>
            <w:tcW w:w="5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EA50F">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Cs w:val="21"/>
              </w:rPr>
            </w:pPr>
            <w:r>
              <w:rPr>
                <w:rFonts w:hint="eastAsia" w:ascii="宋体" w:hAnsi="宋体" w:eastAsia="宋体" w:cs="宋体"/>
                <w:color w:val="auto"/>
                <w:kern w:val="0"/>
                <w:szCs w:val="21"/>
                <w:lang w:bidi="ar"/>
              </w:rPr>
              <w:t>东莞市石碣镇石碣同德路2号101室</w:t>
            </w:r>
          </w:p>
        </w:tc>
      </w:tr>
      <w:tr w14:paraId="35FE38C4">
        <w:tblPrEx>
          <w:tblCellMar>
            <w:top w:w="0" w:type="dxa"/>
            <w:left w:w="108" w:type="dxa"/>
            <w:bottom w:w="0" w:type="dxa"/>
            <w:right w:w="108" w:type="dxa"/>
          </w:tblCellMar>
        </w:tblPrEx>
        <w:trPr>
          <w:trHeight w:val="23"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335B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kern w:val="0"/>
                <w:szCs w:val="21"/>
                <w:lang w:bidi="ar"/>
              </w:rPr>
              <w:t>23</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1477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szCs w:val="21"/>
                <w:lang w:bidi="ar"/>
              </w:rPr>
              <w:t>石龙分公司</w:t>
            </w:r>
          </w:p>
        </w:tc>
        <w:tc>
          <w:tcPr>
            <w:tcW w:w="5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B4923">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Cs w:val="21"/>
              </w:rPr>
            </w:pPr>
            <w:r>
              <w:rPr>
                <w:rFonts w:hint="eastAsia" w:ascii="宋体" w:hAnsi="宋体" w:eastAsia="宋体" w:cs="宋体"/>
                <w:color w:val="auto"/>
                <w:kern w:val="0"/>
                <w:szCs w:val="21"/>
                <w:lang w:bidi="ar"/>
              </w:rPr>
              <w:t>东莞市石龙镇清醇街2号201室</w:t>
            </w:r>
          </w:p>
        </w:tc>
      </w:tr>
      <w:tr w14:paraId="1F729002">
        <w:tblPrEx>
          <w:tblCellMar>
            <w:top w:w="0" w:type="dxa"/>
            <w:left w:w="108" w:type="dxa"/>
            <w:bottom w:w="0" w:type="dxa"/>
            <w:right w:w="108" w:type="dxa"/>
          </w:tblCellMar>
        </w:tblPrEx>
        <w:trPr>
          <w:trHeight w:val="23"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4E53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kern w:val="0"/>
                <w:szCs w:val="21"/>
                <w:lang w:bidi="ar"/>
              </w:rPr>
              <w:t>24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486C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szCs w:val="21"/>
                <w:lang w:bidi="ar"/>
              </w:rPr>
              <w:t>茶山分公司</w:t>
            </w:r>
          </w:p>
        </w:tc>
        <w:tc>
          <w:tcPr>
            <w:tcW w:w="5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00F08">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Cs w:val="21"/>
              </w:rPr>
            </w:pPr>
            <w:r>
              <w:rPr>
                <w:rFonts w:hint="eastAsia" w:ascii="宋体" w:hAnsi="宋体" w:eastAsia="宋体" w:cs="宋体"/>
                <w:color w:val="auto"/>
                <w:kern w:val="0"/>
                <w:szCs w:val="21"/>
                <w:lang w:bidi="ar"/>
              </w:rPr>
              <w:t>东莞市茶山镇东岳路108号</w:t>
            </w:r>
          </w:p>
        </w:tc>
      </w:tr>
      <w:tr w14:paraId="3449D107">
        <w:tblPrEx>
          <w:tblCellMar>
            <w:top w:w="0" w:type="dxa"/>
            <w:left w:w="108" w:type="dxa"/>
            <w:bottom w:w="0" w:type="dxa"/>
            <w:right w:w="108" w:type="dxa"/>
          </w:tblCellMar>
        </w:tblPrEx>
        <w:trPr>
          <w:trHeight w:val="23"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DF68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kern w:val="0"/>
                <w:szCs w:val="21"/>
                <w:lang w:bidi="ar"/>
              </w:rPr>
              <w:t>25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8F9E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szCs w:val="21"/>
                <w:lang w:bidi="ar"/>
              </w:rPr>
              <w:t>企石分公司</w:t>
            </w:r>
          </w:p>
        </w:tc>
        <w:tc>
          <w:tcPr>
            <w:tcW w:w="5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EDF21">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Cs w:val="21"/>
              </w:rPr>
            </w:pPr>
            <w:r>
              <w:rPr>
                <w:rFonts w:hint="eastAsia" w:ascii="宋体" w:hAnsi="宋体" w:eastAsia="宋体" w:cs="宋体"/>
                <w:color w:val="auto"/>
                <w:kern w:val="0"/>
                <w:szCs w:val="21"/>
                <w:lang w:bidi="ar"/>
              </w:rPr>
              <w:t>东莞市企石镇黄大仙路56号</w:t>
            </w:r>
          </w:p>
        </w:tc>
      </w:tr>
      <w:tr w14:paraId="2A006536">
        <w:tblPrEx>
          <w:tblCellMar>
            <w:top w:w="0" w:type="dxa"/>
            <w:left w:w="108" w:type="dxa"/>
            <w:bottom w:w="0" w:type="dxa"/>
            <w:right w:w="108" w:type="dxa"/>
          </w:tblCellMar>
        </w:tblPrEx>
        <w:trPr>
          <w:trHeight w:val="23"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8DAB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kern w:val="0"/>
                <w:szCs w:val="21"/>
                <w:lang w:bidi="ar"/>
              </w:rPr>
              <w:t>26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93B0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szCs w:val="21"/>
                <w:lang w:bidi="ar"/>
              </w:rPr>
              <w:t>石排分公司</w:t>
            </w:r>
          </w:p>
        </w:tc>
        <w:tc>
          <w:tcPr>
            <w:tcW w:w="5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60C89">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Cs w:val="21"/>
              </w:rPr>
            </w:pPr>
            <w:r>
              <w:rPr>
                <w:rFonts w:hint="eastAsia" w:ascii="宋体" w:hAnsi="宋体" w:eastAsia="宋体" w:cs="宋体"/>
                <w:color w:val="auto"/>
                <w:kern w:val="0"/>
                <w:szCs w:val="21"/>
                <w:lang w:bidi="ar"/>
              </w:rPr>
              <w:t>东莞市石排镇东江大道石排段52号</w:t>
            </w:r>
          </w:p>
        </w:tc>
      </w:tr>
      <w:tr w14:paraId="62E579F6">
        <w:tblPrEx>
          <w:tblCellMar>
            <w:top w:w="0" w:type="dxa"/>
            <w:left w:w="108" w:type="dxa"/>
            <w:bottom w:w="0" w:type="dxa"/>
            <w:right w:w="108" w:type="dxa"/>
          </w:tblCellMar>
        </w:tblPrEx>
        <w:trPr>
          <w:trHeight w:val="23"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569D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kern w:val="0"/>
                <w:szCs w:val="21"/>
                <w:lang w:bidi="ar"/>
              </w:rPr>
              <w:t>27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08E5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szCs w:val="21"/>
                <w:lang w:bidi="ar"/>
              </w:rPr>
              <w:t>大岭山分公司</w:t>
            </w:r>
          </w:p>
        </w:tc>
        <w:tc>
          <w:tcPr>
            <w:tcW w:w="5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F1FEF">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Cs w:val="21"/>
              </w:rPr>
            </w:pPr>
            <w:r>
              <w:rPr>
                <w:rFonts w:hint="eastAsia" w:ascii="宋体" w:hAnsi="宋体" w:eastAsia="宋体" w:cs="宋体"/>
                <w:color w:val="auto"/>
                <w:kern w:val="0"/>
                <w:szCs w:val="21"/>
                <w:lang w:bidi="ar"/>
              </w:rPr>
              <w:t>东莞市大岭山镇西正路77号102号室</w:t>
            </w:r>
          </w:p>
        </w:tc>
      </w:tr>
      <w:tr w14:paraId="6395ECBB">
        <w:tblPrEx>
          <w:tblCellMar>
            <w:top w:w="0" w:type="dxa"/>
            <w:left w:w="108" w:type="dxa"/>
            <w:bottom w:w="0" w:type="dxa"/>
            <w:right w:w="108" w:type="dxa"/>
          </w:tblCellMar>
        </w:tblPrEx>
        <w:trPr>
          <w:trHeight w:val="23"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D5D4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kern w:val="0"/>
                <w:szCs w:val="21"/>
                <w:lang w:bidi="ar"/>
              </w:rPr>
              <w:t>28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C568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szCs w:val="21"/>
                <w:lang w:bidi="ar"/>
              </w:rPr>
              <w:t>大朗分公司</w:t>
            </w:r>
          </w:p>
        </w:tc>
        <w:tc>
          <w:tcPr>
            <w:tcW w:w="5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32852">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Cs w:val="21"/>
              </w:rPr>
            </w:pPr>
            <w:r>
              <w:rPr>
                <w:rFonts w:hint="eastAsia" w:ascii="宋体" w:hAnsi="宋体" w:eastAsia="宋体" w:cs="宋体"/>
                <w:color w:val="auto"/>
                <w:kern w:val="0"/>
                <w:szCs w:val="21"/>
                <w:lang w:bidi="ar"/>
              </w:rPr>
              <w:t>东莞市大朗镇升平北路 15 号</w:t>
            </w:r>
          </w:p>
        </w:tc>
      </w:tr>
      <w:tr w14:paraId="5791F4FB">
        <w:tblPrEx>
          <w:tblCellMar>
            <w:top w:w="0" w:type="dxa"/>
            <w:left w:w="108" w:type="dxa"/>
            <w:bottom w:w="0" w:type="dxa"/>
            <w:right w:w="108" w:type="dxa"/>
          </w:tblCellMar>
        </w:tblPrEx>
        <w:trPr>
          <w:trHeight w:val="23"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1294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kern w:val="0"/>
                <w:szCs w:val="21"/>
                <w:lang w:bidi="ar"/>
              </w:rPr>
              <w:t>29</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13BB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szCs w:val="21"/>
                <w:lang w:bidi="ar"/>
              </w:rPr>
              <w:t>寮步分公司</w:t>
            </w:r>
          </w:p>
        </w:tc>
        <w:tc>
          <w:tcPr>
            <w:tcW w:w="5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85EF7">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Cs w:val="21"/>
              </w:rPr>
            </w:pPr>
            <w:r>
              <w:rPr>
                <w:rFonts w:hint="eastAsia" w:ascii="宋体" w:hAnsi="宋体" w:eastAsia="宋体" w:cs="宋体"/>
                <w:color w:val="auto"/>
                <w:kern w:val="0"/>
                <w:szCs w:val="21"/>
                <w:lang w:bidi="ar"/>
              </w:rPr>
              <w:t>东莞市寮步镇河滨西路 1 号</w:t>
            </w:r>
          </w:p>
        </w:tc>
      </w:tr>
      <w:tr w14:paraId="6AF09D01">
        <w:tblPrEx>
          <w:tblCellMar>
            <w:top w:w="0" w:type="dxa"/>
            <w:left w:w="108" w:type="dxa"/>
            <w:bottom w:w="0" w:type="dxa"/>
            <w:right w:w="108" w:type="dxa"/>
          </w:tblCellMar>
        </w:tblPrEx>
        <w:trPr>
          <w:trHeight w:val="23"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41BA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kern w:val="0"/>
                <w:szCs w:val="21"/>
                <w:lang w:bidi="ar"/>
              </w:rPr>
              <w:t>30</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A924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szCs w:val="21"/>
                <w:lang w:bidi="ar"/>
              </w:rPr>
              <w:t>横沥分公司</w:t>
            </w:r>
          </w:p>
        </w:tc>
        <w:tc>
          <w:tcPr>
            <w:tcW w:w="5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FE64C">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Cs w:val="21"/>
              </w:rPr>
            </w:pPr>
            <w:r>
              <w:rPr>
                <w:rFonts w:hint="eastAsia" w:ascii="宋体" w:hAnsi="宋体" w:eastAsia="宋体" w:cs="宋体"/>
                <w:color w:val="auto"/>
                <w:kern w:val="0"/>
                <w:szCs w:val="21"/>
                <w:lang w:bidi="ar"/>
              </w:rPr>
              <w:t>东莞市横沥镇东环路260号</w:t>
            </w:r>
          </w:p>
        </w:tc>
      </w:tr>
      <w:tr w14:paraId="1DEA8AC2">
        <w:tblPrEx>
          <w:tblCellMar>
            <w:top w:w="0" w:type="dxa"/>
            <w:left w:w="108" w:type="dxa"/>
            <w:bottom w:w="0" w:type="dxa"/>
            <w:right w:w="108" w:type="dxa"/>
          </w:tblCellMar>
        </w:tblPrEx>
        <w:trPr>
          <w:trHeight w:val="23"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09B1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kern w:val="0"/>
                <w:szCs w:val="21"/>
                <w:lang w:bidi="ar"/>
              </w:rPr>
              <w:t>31</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F79C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szCs w:val="21"/>
                <w:lang w:bidi="ar"/>
              </w:rPr>
              <w:t>东坑分公司</w:t>
            </w:r>
          </w:p>
        </w:tc>
        <w:tc>
          <w:tcPr>
            <w:tcW w:w="5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7C250">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Cs w:val="21"/>
              </w:rPr>
            </w:pPr>
            <w:r>
              <w:rPr>
                <w:rFonts w:hint="eastAsia" w:ascii="宋体" w:hAnsi="宋体" w:eastAsia="宋体" w:cs="宋体"/>
                <w:color w:val="auto"/>
                <w:kern w:val="0"/>
                <w:szCs w:val="21"/>
                <w:lang w:bidi="ar"/>
              </w:rPr>
              <w:t>东莞市东坑镇东安路570号</w:t>
            </w:r>
          </w:p>
        </w:tc>
      </w:tr>
      <w:tr w14:paraId="5A5FD432">
        <w:tblPrEx>
          <w:tblCellMar>
            <w:top w:w="0" w:type="dxa"/>
            <w:left w:w="108" w:type="dxa"/>
            <w:bottom w:w="0" w:type="dxa"/>
            <w:right w:w="108" w:type="dxa"/>
          </w:tblCellMar>
        </w:tblPrEx>
        <w:trPr>
          <w:trHeight w:val="23"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7F9C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kern w:val="0"/>
                <w:szCs w:val="21"/>
                <w:lang w:bidi="ar"/>
              </w:rPr>
              <w:t>32</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05B7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szCs w:val="21"/>
                <w:lang w:bidi="ar"/>
              </w:rPr>
              <w:t>制水分公司</w:t>
            </w:r>
          </w:p>
        </w:tc>
        <w:tc>
          <w:tcPr>
            <w:tcW w:w="5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D9896">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Cs w:val="21"/>
              </w:rPr>
            </w:pPr>
            <w:r>
              <w:rPr>
                <w:rFonts w:hint="eastAsia" w:ascii="宋体" w:hAnsi="宋体" w:eastAsia="宋体" w:cs="宋体"/>
                <w:color w:val="auto"/>
                <w:kern w:val="0"/>
                <w:szCs w:val="21"/>
                <w:lang w:bidi="ar"/>
              </w:rPr>
              <w:t>东莞市东城街道莞龙路东城段21号</w:t>
            </w:r>
          </w:p>
        </w:tc>
      </w:tr>
      <w:tr w14:paraId="556F94EF">
        <w:tblPrEx>
          <w:tblCellMar>
            <w:top w:w="0" w:type="dxa"/>
            <w:left w:w="108" w:type="dxa"/>
            <w:bottom w:w="0" w:type="dxa"/>
            <w:right w:w="108" w:type="dxa"/>
          </w:tblCellMar>
        </w:tblPrEx>
        <w:trPr>
          <w:trHeight w:val="23"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2702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kern w:val="0"/>
                <w:szCs w:val="21"/>
                <w:lang w:bidi="ar"/>
              </w:rPr>
              <w:t>33</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70B0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szCs w:val="21"/>
                <w:lang w:bidi="ar"/>
              </w:rPr>
              <w:t>市第二水厂</w:t>
            </w:r>
          </w:p>
        </w:tc>
        <w:tc>
          <w:tcPr>
            <w:tcW w:w="5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AD341">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Cs w:val="21"/>
              </w:rPr>
            </w:pPr>
            <w:r>
              <w:rPr>
                <w:rFonts w:hint="eastAsia" w:ascii="宋体" w:hAnsi="宋体" w:eastAsia="宋体" w:cs="宋体"/>
                <w:color w:val="auto"/>
                <w:kern w:val="0"/>
                <w:szCs w:val="21"/>
                <w:lang w:bidi="ar"/>
              </w:rPr>
              <w:t>东莞市东城街道周屋围街26号</w:t>
            </w:r>
          </w:p>
        </w:tc>
      </w:tr>
      <w:tr w14:paraId="38B3E8F9">
        <w:tblPrEx>
          <w:tblCellMar>
            <w:top w:w="0" w:type="dxa"/>
            <w:left w:w="108" w:type="dxa"/>
            <w:bottom w:w="0" w:type="dxa"/>
            <w:right w:w="108" w:type="dxa"/>
          </w:tblCellMar>
        </w:tblPrEx>
        <w:trPr>
          <w:trHeight w:val="23"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F83E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kern w:val="0"/>
                <w:szCs w:val="21"/>
                <w:lang w:bidi="ar"/>
              </w:rPr>
              <w:t>34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7BFC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szCs w:val="21"/>
                <w:lang w:bidi="ar"/>
              </w:rPr>
              <w:t>市第三水厂</w:t>
            </w:r>
          </w:p>
        </w:tc>
        <w:tc>
          <w:tcPr>
            <w:tcW w:w="5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6B329">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Cs w:val="21"/>
              </w:rPr>
            </w:pPr>
            <w:r>
              <w:rPr>
                <w:rFonts w:hint="eastAsia" w:ascii="宋体" w:hAnsi="宋体" w:eastAsia="宋体" w:cs="宋体"/>
                <w:color w:val="auto"/>
                <w:kern w:val="0"/>
                <w:szCs w:val="21"/>
                <w:lang w:bidi="ar"/>
              </w:rPr>
              <w:t>东莞市东城街道东城中路东城段421号</w:t>
            </w:r>
          </w:p>
        </w:tc>
      </w:tr>
      <w:tr w14:paraId="2ECBD65E">
        <w:tblPrEx>
          <w:tblCellMar>
            <w:top w:w="0" w:type="dxa"/>
            <w:left w:w="108" w:type="dxa"/>
            <w:bottom w:w="0" w:type="dxa"/>
            <w:right w:w="108" w:type="dxa"/>
          </w:tblCellMar>
        </w:tblPrEx>
        <w:trPr>
          <w:trHeight w:val="23"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DF26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kern w:val="0"/>
                <w:szCs w:val="21"/>
                <w:lang w:bidi="ar"/>
              </w:rPr>
              <w:t>35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D541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szCs w:val="21"/>
                <w:lang w:bidi="ar"/>
              </w:rPr>
              <w:t>市第四水厂</w:t>
            </w:r>
          </w:p>
        </w:tc>
        <w:tc>
          <w:tcPr>
            <w:tcW w:w="5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43EEE">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Cs w:val="21"/>
              </w:rPr>
            </w:pPr>
            <w:r>
              <w:rPr>
                <w:rFonts w:hint="eastAsia" w:ascii="宋体" w:hAnsi="宋体" w:eastAsia="宋体" w:cs="宋体"/>
                <w:color w:val="auto"/>
                <w:kern w:val="0"/>
                <w:szCs w:val="21"/>
                <w:lang w:bidi="ar"/>
              </w:rPr>
              <w:t>东莞市石碣镇鹤田厦富田路第四水厂</w:t>
            </w:r>
          </w:p>
        </w:tc>
      </w:tr>
      <w:tr w14:paraId="0661A01C">
        <w:tblPrEx>
          <w:tblCellMar>
            <w:top w:w="0" w:type="dxa"/>
            <w:left w:w="108" w:type="dxa"/>
            <w:bottom w:w="0" w:type="dxa"/>
            <w:right w:w="108" w:type="dxa"/>
          </w:tblCellMar>
        </w:tblPrEx>
        <w:trPr>
          <w:trHeight w:val="23"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9B90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kern w:val="0"/>
                <w:szCs w:val="21"/>
                <w:lang w:bidi="ar"/>
              </w:rPr>
              <w:t>36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147A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szCs w:val="21"/>
                <w:lang w:bidi="ar"/>
              </w:rPr>
              <w:t>市第五水厂</w:t>
            </w:r>
          </w:p>
        </w:tc>
        <w:tc>
          <w:tcPr>
            <w:tcW w:w="5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F06FA">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Cs w:val="21"/>
              </w:rPr>
            </w:pPr>
            <w:r>
              <w:rPr>
                <w:rFonts w:hint="eastAsia" w:ascii="宋体" w:hAnsi="宋体" w:eastAsia="宋体" w:cs="宋体"/>
                <w:color w:val="auto"/>
                <w:kern w:val="0"/>
                <w:szCs w:val="21"/>
                <w:lang w:bidi="ar"/>
              </w:rPr>
              <w:t>东莞市企石镇杨屋新兴路33号</w:t>
            </w:r>
          </w:p>
        </w:tc>
      </w:tr>
      <w:tr w14:paraId="1FDB9C89">
        <w:tblPrEx>
          <w:tblCellMar>
            <w:top w:w="0" w:type="dxa"/>
            <w:left w:w="108" w:type="dxa"/>
            <w:bottom w:w="0" w:type="dxa"/>
            <w:right w:w="108" w:type="dxa"/>
          </w:tblCellMar>
        </w:tblPrEx>
        <w:trPr>
          <w:trHeight w:val="23"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F2BB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kern w:val="0"/>
                <w:szCs w:val="21"/>
                <w:lang w:bidi="ar"/>
              </w:rPr>
              <w:t>37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CFC5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szCs w:val="21"/>
                <w:lang w:bidi="ar"/>
              </w:rPr>
              <w:t>市第六水厂</w:t>
            </w:r>
          </w:p>
        </w:tc>
        <w:tc>
          <w:tcPr>
            <w:tcW w:w="5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049BB">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Cs w:val="21"/>
              </w:rPr>
            </w:pPr>
            <w:r>
              <w:rPr>
                <w:rFonts w:hint="eastAsia" w:ascii="宋体" w:hAnsi="宋体" w:eastAsia="宋体" w:cs="宋体"/>
                <w:color w:val="auto"/>
                <w:kern w:val="0"/>
                <w:szCs w:val="21"/>
                <w:lang w:bidi="ar"/>
              </w:rPr>
              <w:t>东莞市东城街道莞龙路东城段21号</w:t>
            </w:r>
          </w:p>
        </w:tc>
      </w:tr>
      <w:tr w14:paraId="11C683E7">
        <w:tblPrEx>
          <w:tblCellMar>
            <w:top w:w="0" w:type="dxa"/>
            <w:left w:w="108" w:type="dxa"/>
            <w:bottom w:w="0" w:type="dxa"/>
            <w:right w:w="108" w:type="dxa"/>
          </w:tblCellMar>
        </w:tblPrEx>
        <w:trPr>
          <w:trHeight w:val="23"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3B8F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kern w:val="0"/>
                <w:szCs w:val="21"/>
                <w:lang w:bidi="ar"/>
              </w:rPr>
              <w:t>38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4010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szCs w:val="21"/>
                <w:lang w:bidi="ar"/>
              </w:rPr>
              <w:t>东城水厂</w:t>
            </w:r>
          </w:p>
        </w:tc>
        <w:tc>
          <w:tcPr>
            <w:tcW w:w="5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69664">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Cs w:val="21"/>
              </w:rPr>
            </w:pPr>
            <w:r>
              <w:rPr>
                <w:rFonts w:hint="eastAsia" w:ascii="宋体" w:hAnsi="宋体" w:eastAsia="宋体" w:cs="宋体"/>
                <w:color w:val="auto"/>
                <w:kern w:val="0"/>
                <w:szCs w:val="21"/>
                <w:lang w:bidi="ar"/>
              </w:rPr>
              <w:t>东莞市东城街道下桥银岭街9号</w:t>
            </w:r>
          </w:p>
        </w:tc>
      </w:tr>
      <w:tr w14:paraId="4E4F580F">
        <w:tblPrEx>
          <w:tblCellMar>
            <w:top w:w="0" w:type="dxa"/>
            <w:left w:w="108" w:type="dxa"/>
            <w:bottom w:w="0" w:type="dxa"/>
            <w:right w:w="108" w:type="dxa"/>
          </w:tblCellMar>
        </w:tblPrEx>
        <w:trPr>
          <w:trHeight w:val="23"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BADF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kern w:val="0"/>
                <w:szCs w:val="21"/>
                <w:lang w:bidi="ar"/>
              </w:rPr>
              <w:t>39</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B02D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szCs w:val="21"/>
                <w:lang w:bidi="ar"/>
              </w:rPr>
              <w:t>万江水厂</w:t>
            </w:r>
          </w:p>
        </w:tc>
        <w:tc>
          <w:tcPr>
            <w:tcW w:w="5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BDCD1">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Cs w:val="21"/>
              </w:rPr>
            </w:pPr>
            <w:r>
              <w:rPr>
                <w:rFonts w:hint="eastAsia" w:ascii="宋体" w:hAnsi="宋体" w:eastAsia="宋体" w:cs="宋体"/>
                <w:color w:val="auto"/>
                <w:kern w:val="0"/>
                <w:szCs w:val="21"/>
                <w:lang w:bidi="ar"/>
              </w:rPr>
              <w:t>东莞市万江街道万龙路191号</w:t>
            </w:r>
          </w:p>
        </w:tc>
      </w:tr>
      <w:tr w14:paraId="39CA9D7E">
        <w:tblPrEx>
          <w:tblCellMar>
            <w:top w:w="0" w:type="dxa"/>
            <w:left w:w="108" w:type="dxa"/>
            <w:bottom w:w="0" w:type="dxa"/>
            <w:right w:w="108" w:type="dxa"/>
          </w:tblCellMar>
        </w:tblPrEx>
        <w:trPr>
          <w:trHeight w:val="23"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4B7E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kern w:val="0"/>
                <w:szCs w:val="21"/>
                <w:lang w:bidi="ar"/>
              </w:rPr>
              <w:t>40</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A7EB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szCs w:val="21"/>
                <w:lang w:bidi="ar"/>
              </w:rPr>
              <w:t>高埗水厂</w:t>
            </w:r>
          </w:p>
        </w:tc>
        <w:tc>
          <w:tcPr>
            <w:tcW w:w="5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1F6C4">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Cs w:val="21"/>
              </w:rPr>
            </w:pPr>
            <w:r>
              <w:rPr>
                <w:rFonts w:hint="eastAsia" w:ascii="宋体" w:hAnsi="宋体" w:eastAsia="宋体" w:cs="宋体"/>
                <w:color w:val="auto"/>
                <w:kern w:val="0"/>
                <w:szCs w:val="21"/>
                <w:lang w:bidi="ar"/>
              </w:rPr>
              <w:t>东莞市高埗镇沿江南路48号</w:t>
            </w:r>
          </w:p>
        </w:tc>
      </w:tr>
      <w:tr w14:paraId="0FBBF8E7">
        <w:tblPrEx>
          <w:tblCellMar>
            <w:top w:w="0" w:type="dxa"/>
            <w:left w:w="108" w:type="dxa"/>
            <w:bottom w:w="0" w:type="dxa"/>
            <w:right w:w="108" w:type="dxa"/>
          </w:tblCellMar>
        </w:tblPrEx>
        <w:trPr>
          <w:trHeight w:val="23"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83F6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kern w:val="0"/>
                <w:szCs w:val="21"/>
                <w:lang w:bidi="ar"/>
              </w:rPr>
              <w:t>41</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4321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szCs w:val="21"/>
                <w:lang w:bidi="ar"/>
              </w:rPr>
              <w:t>中堂水厂</w:t>
            </w:r>
          </w:p>
        </w:tc>
        <w:tc>
          <w:tcPr>
            <w:tcW w:w="5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9EBDA">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Cs w:val="21"/>
              </w:rPr>
            </w:pPr>
            <w:r>
              <w:rPr>
                <w:rFonts w:hint="eastAsia" w:ascii="宋体" w:hAnsi="宋体" w:eastAsia="宋体" w:cs="宋体"/>
                <w:color w:val="auto"/>
                <w:kern w:val="0"/>
                <w:szCs w:val="21"/>
                <w:lang w:bidi="ar"/>
              </w:rPr>
              <w:t>东莞市中堂镇中堂滨江大道3号</w:t>
            </w:r>
          </w:p>
        </w:tc>
      </w:tr>
      <w:tr w14:paraId="0AA70C27">
        <w:tblPrEx>
          <w:tblCellMar>
            <w:top w:w="0" w:type="dxa"/>
            <w:left w:w="108" w:type="dxa"/>
            <w:bottom w:w="0" w:type="dxa"/>
            <w:right w:w="108" w:type="dxa"/>
          </w:tblCellMar>
        </w:tblPrEx>
        <w:trPr>
          <w:trHeight w:val="23"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FE77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kern w:val="0"/>
                <w:szCs w:val="21"/>
                <w:lang w:bidi="ar"/>
              </w:rPr>
              <w:t>42</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74AD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szCs w:val="21"/>
                <w:lang w:bidi="ar"/>
              </w:rPr>
              <w:t>桥头第二水厂</w:t>
            </w:r>
          </w:p>
        </w:tc>
        <w:tc>
          <w:tcPr>
            <w:tcW w:w="5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E8023">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Cs w:val="21"/>
              </w:rPr>
            </w:pPr>
            <w:r>
              <w:rPr>
                <w:rFonts w:hint="eastAsia" w:ascii="宋体" w:hAnsi="宋体" w:eastAsia="宋体" w:cs="宋体"/>
                <w:color w:val="auto"/>
                <w:kern w:val="0"/>
                <w:szCs w:val="21"/>
                <w:lang w:bidi="ar"/>
              </w:rPr>
              <w:t>东莞市桥头镇迳联社区中兴路403号</w:t>
            </w:r>
          </w:p>
        </w:tc>
      </w:tr>
      <w:tr w14:paraId="67093A98">
        <w:tblPrEx>
          <w:tblCellMar>
            <w:top w:w="0" w:type="dxa"/>
            <w:left w:w="108" w:type="dxa"/>
            <w:bottom w:w="0" w:type="dxa"/>
            <w:right w:w="108" w:type="dxa"/>
          </w:tblCellMar>
        </w:tblPrEx>
        <w:trPr>
          <w:trHeight w:val="23"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1D7A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kern w:val="0"/>
                <w:szCs w:val="21"/>
                <w:lang w:bidi="ar"/>
              </w:rPr>
              <w:t>43</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B670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szCs w:val="21"/>
                <w:lang w:bidi="ar"/>
              </w:rPr>
              <w:t>桥头第三水厂</w:t>
            </w:r>
          </w:p>
        </w:tc>
        <w:tc>
          <w:tcPr>
            <w:tcW w:w="5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CCA88">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Cs w:val="21"/>
              </w:rPr>
            </w:pPr>
            <w:r>
              <w:rPr>
                <w:rFonts w:hint="eastAsia" w:ascii="宋体" w:hAnsi="宋体" w:eastAsia="宋体" w:cs="宋体"/>
                <w:color w:val="auto"/>
                <w:kern w:val="0"/>
                <w:szCs w:val="21"/>
                <w:lang w:bidi="ar"/>
              </w:rPr>
              <w:t>东莞市桥头镇东江村岭仔巷41号</w:t>
            </w:r>
          </w:p>
        </w:tc>
      </w:tr>
      <w:tr w14:paraId="411A8A7D">
        <w:tblPrEx>
          <w:tblCellMar>
            <w:top w:w="0" w:type="dxa"/>
            <w:left w:w="108" w:type="dxa"/>
            <w:bottom w:w="0" w:type="dxa"/>
            <w:right w:w="108" w:type="dxa"/>
          </w:tblCellMar>
        </w:tblPrEx>
        <w:trPr>
          <w:trHeight w:val="23"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4A9D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kern w:val="0"/>
                <w:szCs w:val="21"/>
                <w:lang w:bidi="ar"/>
              </w:rPr>
              <w:t>44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8670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szCs w:val="21"/>
                <w:lang w:bidi="ar"/>
              </w:rPr>
              <w:t>谢岗第三水厂</w:t>
            </w:r>
          </w:p>
        </w:tc>
        <w:tc>
          <w:tcPr>
            <w:tcW w:w="5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37A78">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Cs w:val="21"/>
              </w:rPr>
            </w:pPr>
            <w:r>
              <w:rPr>
                <w:rFonts w:hint="eastAsia" w:ascii="宋体" w:hAnsi="宋体" w:eastAsia="宋体" w:cs="宋体"/>
                <w:color w:val="auto"/>
                <w:kern w:val="0"/>
                <w:szCs w:val="21"/>
                <w:lang w:bidi="ar"/>
              </w:rPr>
              <w:t>东莞市谢岗镇曹乐工业一路15号</w:t>
            </w:r>
          </w:p>
        </w:tc>
      </w:tr>
      <w:tr w14:paraId="03B93A7D">
        <w:tblPrEx>
          <w:tblCellMar>
            <w:top w:w="0" w:type="dxa"/>
            <w:left w:w="108" w:type="dxa"/>
            <w:bottom w:w="0" w:type="dxa"/>
            <w:right w:w="108" w:type="dxa"/>
          </w:tblCellMar>
        </w:tblPrEx>
        <w:trPr>
          <w:trHeight w:val="23"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1FB7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kern w:val="0"/>
                <w:szCs w:val="21"/>
                <w:lang w:bidi="ar"/>
              </w:rPr>
              <w:t>45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0750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szCs w:val="21"/>
                <w:lang w:bidi="ar"/>
              </w:rPr>
              <w:t>谢岗第二水厂</w:t>
            </w:r>
          </w:p>
        </w:tc>
        <w:tc>
          <w:tcPr>
            <w:tcW w:w="5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D6805">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Cs w:val="21"/>
              </w:rPr>
            </w:pPr>
            <w:r>
              <w:rPr>
                <w:rFonts w:hint="eastAsia" w:ascii="宋体" w:hAnsi="宋体" w:eastAsia="宋体" w:cs="宋体"/>
                <w:color w:val="auto"/>
                <w:kern w:val="0"/>
                <w:szCs w:val="21"/>
                <w:lang w:bidi="ar"/>
              </w:rPr>
              <w:t>东莞市谢岗镇南面石鼓水库路22号</w:t>
            </w:r>
          </w:p>
        </w:tc>
      </w:tr>
      <w:tr w14:paraId="69B7B03B">
        <w:tblPrEx>
          <w:tblCellMar>
            <w:top w:w="0" w:type="dxa"/>
            <w:left w:w="108" w:type="dxa"/>
            <w:bottom w:w="0" w:type="dxa"/>
            <w:right w:w="108" w:type="dxa"/>
          </w:tblCellMar>
        </w:tblPrEx>
        <w:trPr>
          <w:trHeight w:val="23"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34C4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kern w:val="0"/>
                <w:szCs w:val="21"/>
                <w:lang w:bidi="ar"/>
              </w:rPr>
              <w:t>46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7A6F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szCs w:val="21"/>
                <w:lang w:bidi="ar"/>
              </w:rPr>
              <w:t>黄江水厂</w:t>
            </w:r>
          </w:p>
        </w:tc>
        <w:tc>
          <w:tcPr>
            <w:tcW w:w="5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246DF">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Cs w:val="21"/>
              </w:rPr>
            </w:pPr>
            <w:r>
              <w:rPr>
                <w:rFonts w:hint="eastAsia" w:ascii="宋体" w:hAnsi="宋体" w:eastAsia="宋体" w:cs="宋体"/>
                <w:color w:val="auto"/>
                <w:kern w:val="0"/>
                <w:szCs w:val="21"/>
                <w:lang w:bidi="ar"/>
              </w:rPr>
              <w:t>东莞市黄江镇黄牛埔村强健街2号</w:t>
            </w:r>
          </w:p>
        </w:tc>
      </w:tr>
      <w:tr w14:paraId="673CE8B9">
        <w:tblPrEx>
          <w:tblCellMar>
            <w:top w:w="0" w:type="dxa"/>
            <w:left w:w="108" w:type="dxa"/>
            <w:bottom w:w="0" w:type="dxa"/>
            <w:right w:w="108" w:type="dxa"/>
          </w:tblCellMar>
        </w:tblPrEx>
        <w:trPr>
          <w:trHeight w:val="23"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066F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kern w:val="0"/>
                <w:szCs w:val="21"/>
                <w:lang w:bidi="ar"/>
              </w:rPr>
              <w:t>47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6ACC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szCs w:val="21"/>
                <w:lang w:bidi="ar"/>
              </w:rPr>
              <w:t>簕竹排水厂</w:t>
            </w:r>
          </w:p>
        </w:tc>
        <w:tc>
          <w:tcPr>
            <w:tcW w:w="5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0E302">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Cs w:val="21"/>
              </w:rPr>
            </w:pPr>
            <w:r>
              <w:rPr>
                <w:rFonts w:hint="eastAsia" w:ascii="宋体" w:hAnsi="宋体" w:eastAsia="宋体" w:cs="宋体"/>
                <w:color w:val="auto"/>
                <w:kern w:val="0"/>
                <w:szCs w:val="21"/>
                <w:lang w:bidi="ar"/>
              </w:rPr>
              <w:t>东莞市樟木头滨河路45号</w:t>
            </w:r>
          </w:p>
        </w:tc>
      </w:tr>
      <w:tr w14:paraId="1B5DBF9C">
        <w:tblPrEx>
          <w:tblCellMar>
            <w:top w:w="0" w:type="dxa"/>
            <w:left w:w="108" w:type="dxa"/>
            <w:bottom w:w="0" w:type="dxa"/>
            <w:right w:w="108" w:type="dxa"/>
          </w:tblCellMar>
        </w:tblPrEx>
        <w:trPr>
          <w:trHeight w:val="23"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C5C2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kern w:val="0"/>
                <w:szCs w:val="21"/>
                <w:lang w:bidi="ar"/>
              </w:rPr>
              <w:t>48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8271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szCs w:val="21"/>
                <w:lang w:bidi="ar"/>
              </w:rPr>
              <w:t>凤岗第一水厂</w:t>
            </w:r>
          </w:p>
        </w:tc>
        <w:tc>
          <w:tcPr>
            <w:tcW w:w="5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C0C96">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Cs w:val="21"/>
              </w:rPr>
            </w:pPr>
            <w:r>
              <w:rPr>
                <w:rFonts w:hint="eastAsia" w:ascii="宋体" w:hAnsi="宋体" w:eastAsia="宋体" w:cs="宋体"/>
                <w:color w:val="auto"/>
                <w:kern w:val="0"/>
                <w:szCs w:val="21"/>
                <w:lang w:bidi="ar"/>
              </w:rPr>
              <w:t>东莞市凤岗镇金凤路花果二巷13号</w:t>
            </w:r>
          </w:p>
        </w:tc>
      </w:tr>
      <w:tr w14:paraId="18739185">
        <w:tblPrEx>
          <w:tblCellMar>
            <w:top w:w="0" w:type="dxa"/>
            <w:left w:w="108" w:type="dxa"/>
            <w:bottom w:w="0" w:type="dxa"/>
            <w:right w:w="108" w:type="dxa"/>
          </w:tblCellMar>
        </w:tblPrEx>
        <w:trPr>
          <w:trHeight w:val="23"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9C2E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kern w:val="0"/>
                <w:szCs w:val="21"/>
                <w:lang w:bidi="ar"/>
              </w:rPr>
              <w:t>49</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582D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szCs w:val="21"/>
                <w:lang w:bidi="ar"/>
              </w:rPr>
              <w:t>凤岗第二水厂</w:t>
            </w:r>
          </w:p>
        </w:tc>
        <w:tc>
          <w:tcPr>
            <w:tcW w:w="5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1F92E">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Cs w:val="21"/>
              </w:rPr>
            </w:pPr>
            <w:r>
              <w:rPr>
                <w:rFonts w:hint="eastAsia" w:ascii="宋体" w:hAnsi="宋体" w:eastAsia="宋体" w:cs="宋体"/>
                <w:color w:val="auto"/>
                <w:kern w:val="0"/>
                <w:szCs w:val="21"/>
                <w:lang w:bidi="ar"/>
              </w:rPr>
              <w:t>东莞市凤岗镇沙岭抽水站路8号凤岗第二水厂</w:t>
            </w:r>
          </w:p>
        </w:tc>
      </w:tr>
      <w:tr w14:paraId="7FF25B25">
        <w:tblPrEx>
          <w:tblCellMar>
            <w:top w:w="0" w:type="dxa"/>
            <w:left w:w="108" w:type="dxa"/>
            <w:bottom w:w="0" w:type="dxa"/>
            <w:right w:w="108" w:type="dxa"/>
          </w:tblCellMar>
        </w:tblPrEx>
        <w:trPr>
          <w:trHeight w:val="23"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8D25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kern w:val="0"/>
                <w:szCs w:val="21"/>
                <w:lang w:bidi="ar"/>
              </w:rPr>
              <w:t>50</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C59E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szCs w:val="21"/>
                <w:lang w:bidi="ar"/>
              </w:rPr>
              <w:t>塘厦凤凰水厂</w:t>
            </w:r>
          </w:p>
        </w:tc>
        <w:tc>
          <w:tcPr>
            <w:tcW w:w="5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03D4D">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Cs w:val="21"/>
              </w:rPr>
            </w:pPr>
            <w:r>
              <w:rPr>
                <w:rFonts w:hint="eastAsia" w:ascii="宋体" w:hAnsi="宋体" w:eastAsia="宋体" w:cs="宋体"/>
                <w:color w:val="auto"/>
                <w:kern w:val="0"/>
                <w:szCs w:val="21"/>
                <w:lang w:bidi="ar"/>
              </w:rPr>
              <w:t>东莞市塘厦镇凤凰岗凤清路65号</w:t>
            </w:r>
          </w:p>
        </w:tc>
      </w:tr>
      <w:tr w14:paraId="7AC09FD0">
        <w:tblPrEx>
          <w:tblCellMar>
            <w:top w:w="0" w:type="dxa"/>
            <w:left w:w="108" w:type="dxa"/>
            <w:bottom w:w="0" w:type="dxa"/>
            <w:right w:w="108" w:type="dxa"/>
          </w:tblCellMar>
        </w:tblPrEx>
        <w:trPr>
          <w:trHeight w:val="23"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26D6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kern w:val="0"/>
                <w:szCs w:val="21"/>
                <w:lang w:bidi="ar"/>
              </w:rPr>
              <w:t>51</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5CD4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szCs w:val="21"/>
                <w:lang w:bidi="ar"/>
              </w:rPr>
              <w:t>塘厦中心水厂</w:t>
            </w:r>
          </w:p>
        </w:tc>
        <w:tc>
          <w:tcPr>
            <w:tcW w:w="5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F6F97">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Cs w:val="21"/>
              </w:rPr>
            </w:pPr>
            <w:r>
              <w:rPr>
                <w:rFonts w:hint="eastAsia" w:ascii="宋体" w:hAnsi="宋体" w:eastAsia="宋体" w:cs="宋体"/>
                <w:color w:val="auto"/>
                <w:kern w:val="0"/>
                <w:szCs w:val="21"/>
                <w:lang w:bidi="ar"/>
              </w:rPr>
              <w:t>东莞市塘厦镇东深一路8号</w:t>
            </w:r>
          </w:p>
        </w:tc>
      </w:tr>
      <w:tr w14:paraId="623D478B">
        <w:tblPrEx>
          <w:tblCellMar>
            <w:top w:w="0" w:type="dxa"/>
            <w:left w:w="108" w:type="dxa"/>
            <w:bottom w:w="0" w:type="dxa"/>
            <w:right w:w="108" w:type="dxa"/>
          </w:tblCellMar>
        </w:tblPrEx>
        <w:trPr>
          <w:trHeight w:val="23"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9988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kern w:val="0"/>
                <w:szCs w:val="21"/>
                <w:lang w:bidi="ar"/>
              </w:rPr>
              <w:t>52</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6638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szCs w:val="21"/>
                <w:lang w:bidi="ar"/>
              </w:rPr>
              <w:t>塘厦虾公岩水厂</w:t>
            </w:r>
          </w:p>
        </w:tc>
        <w:tc>
          <w:tcPr>
            <w:tcW w:w="5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3DA76">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Cs w:val="21"/>
              </w:rPr>
            </w:pPr>
            <w:r>
              <w:rPr>
                <w:rFonts w:hint="eastAsia" w:ascii="宋体" w:hAnsi="宋体" w:eastAsia="宋体" w:cs="宋体"/>
                <w:color w:val="auto"/>
                <w:kern w:val="0"/>
                <w:szCs w:val="21"/>
                <w:lang w:bidi="ar"/>
              </w:rPr>
              <w:t>东莞市塘厦镇大坪四黎南路170号-1</w:t>
            </w:r>
          </w:p>
        </w:tc>
      </w:tr>
      <w:tr w14:paraId="6D10199E">
        <w:tblPrEx>
          <w:tblCellMar>
            <w:top w:w="0" w:type="dxa"/>
            <w:left w:w="108" w:type="dxa"/>
            <w:bottom w:w="0" w:type="dxa"/>
            <w:right w:w="108" w:type="dxa"/>
          </w:tblCellMar>
        </w:tblPrEx>
        <w:trPr>
          <w:trHeight w:val="23"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622B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kern w:val="0"/>
                <w:szCs w:val="21"/>
                <w:lang w:bidi="ar"/>
              </w:rPr>
              <w:t>53</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8804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szCs w:val="21"/>
                <w:lang w:bidi="ar"/>
              </w:rPr>
              <w:t>塘厦牛眠埔水厂</w:t>
            </w:r>
          </w:p>
        </w:tc>
        <w:tc>
          <w:tcPr>
            <w:tcW w:w="5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4E856">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Cs w:val="21"/>
              </w:rPr>
            </w:pPr>
            <w:r>
              <w:rPr>
                <w:rFonts w:hint="eastAsia" w:ascii="宋体" w:hAnsi="宋体" w:eastAsia="宋体" w:cs="宋体"/>
                <w:color w:val="auto"/>
                <w:kern w:val="0"/>
                <w:szCs w:val="21"/>
                <w:lang w:bidi="ar"/>
              </w:rPr>
              <w:t>东莞市塘厦镇龙背岭牛眠埔新围路28号</w:t>
            </w:r>
          </w:p>
        </w:tc>
      </w:tr>
      <w:tr w14:paraId="301E3C3E">
        <w:tblPrEx>
          <w:tblCellMar>
            <w:top w:w="0" w:type="dxa"/>
            <w:left w:w="108" w:type="dxa"/>
            <w:bottom w:w="0" w:type="dxa"/>
            <w:right w:w="108" w:type="dxa"/>
          </w:tblCellMar>
        </w:tblPrEx>
        <w:trPr>
          <w:trHeight w:val="23"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1E65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kern w:val="0"/>
                <w:szCs w:val="21"/>
                <w:lang w:bidi="ar"/>
              </w:rPr>
              <w:t>54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21C7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szCs w:val="21"/>
                <w:lang w:bidi="ar"/>
              </w:rPr>
              <w:t>石碣水厂</w:t>
            </w:r>
          </w:p>
        </w:tc>
        <w:tc>
          <w:tcPr>
            <w:tcW w:w="5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B8D7C">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Cs w:val="21"/>
              </w:rPr>
            </w:pPr>
            <w:r>
              <w:rPr>
                <w:rFonts w:hint="eastAsia" w:ascii="宋体" w:hAnsi="宋体" w:eastAsia="宋体" w:cs="宋体"/>
                <w:color w:val="auto"/>
                <w:kern w:val="0"/>
                <w:szCs w:val="21"/>
                <w:lang w:bidi="ar"/>
              </w:rPr>
              <w:t>东莞市石碣镇石碣同德路2号</w:t>
            </w:r>
          </w:p>
        </w:tc>
      </w:tr>
      <w:tr w14:paraId="7D4DA4BB">
        <w:tblPrEx>
          <w:tblCellMar>
            <w:top w:w="0" w:type="dxa"/>
            <w:left w:w="108" w:type="dxa"/>
            <w:bottom w:w="0" w:type="dxa"/>
            <w:right w:w="108" w:type="dxa"/>
          </w:tblCellMar>
        </w:tblPrEx>
        <w:trPr>
          <w:trHeight w:val="23"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251A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kern w:val="0"/>
                <w:szCs w:val="21"/>
                <w:lang w:bidi="ar"/>
              </w:rPr>
              <w:t>55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0925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szCs w:val="21"/>
                <w:lang w:bidi="ar"/>
              </w:rPr>
              <w:t>黄洲水厂</w:t>
            </w:r>
          </w:p>
        </w:tc>
        <w:tc>
          <w:tcPr>
            <w:tcW w:w="5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CD7D1">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Cs w:val="21"/>
              </w:rPr>
            </w:pPr>
            <w:r>
              <w:rPr>
                <w:rFonts w:hint="eastAsia" w:ascii="宋体" w:hAnsi="宋体" w:eastAsia="宋体" w:cs="宋体"/>
                <w:color w:val="auto"/>
                <w:kern w:val="0"/>
                <w:szCs w:val="21"/>
                <w:lang w:bidi="ar"/>
              </w:rPr>
              <w:t>东莞市石龙镇黄洲水源路6号</w:t>
            </w:r>
          </w:p>
        </w:tc>
      </w:tr>
      <w:tr w14:paraId="007883E5">
        <w:tblPrEx>
          <w:tblCellMar>
            <w:top w:w="0" w:type="dxa"/>
            <w:left w:w="108" w:type="dxa"/>
            <w:bottom w:w="0" w:type="dxa"/>
            <w:right w:w="108" w:type="dxa"/>
          </w:tblCellMar>
        </w:tblPrEx>
        <w:trPr>
          <w:trHeight w:val="23"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DE71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kern w:val="0"/>
                <w:szCs w:val="21"/>
                <w:lang w:bidi="ar"/>
              </w:rPr>
              <w:t>56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A871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szCs w:val="21"/>
                <w:lang w:bidi="ar"/>
              </w:rPr>
              <w:t>西湖水厂</w:t>
            </w:r>
          </w:p>
        </w:tc>
        <w:tc>
          <w:tcPr>
            <w:tcW w:w="5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1B48F">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Cs w:val="21"/>
              </w:rPr>
            </w:pPr>
            <w:r>
              <w:rPr>
                <w:rFonts w:hint="eastAsia" w:ascii="宋体" w:hAnsi="宋体" w:eastAsia="宋体" w:cs="宋体"/>
                <w:color w:val="auto"/>
                <w:kern w:val="0"/>
                <w:szCs w:val="21"/>
                <w:lang w:bidi="ar"/>
              </w:rPr>
              <w:t>东莞市石龙镇西湖东路111号</w:t>
            </w:r>
          </w:p>
        </w:tc>
      </w:tr>
      <w:tr w14:paraId="50444C36">
        <w:tblPrEx>
          <w:tblCellMar>
            <w:top w:w="0" w:type="dxa"/>
            <w:left w:w="108" w:type="dxa"/>
            <w:bottom w:w="0" w:type="dxa"/>
            <w:right w:w="108" w:type="dxa"/>
          </w:tblCellMar>
        </w:tblPrEx>
        <w:trPr>
          <w:trHeight w:val="23"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BA06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kern w:val="0"/>
                <w:szCs w:val="21"/>
                <w:lang w:bidi="ar"/>
              </w:rPr>
              <w:t>57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694F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szCs w:val="21"/>
                <w:lang w:bidi="ar"/>
              </w:rPr>
              <w:t>茶山供水二厂</w:t>
            </w:r>
          </w:p>
        </w:tc>
        <w:tc>
          <w:tcPr>
            <w:tcW w:w="5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81312">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Cs w:val="21"/>
              </w:rPr>
            </w:pPr>
            <w:r>
              <w:rPr>
                <w:rFonts w:hint="eastAsia" w:ascii="宋体" w:hAnsi="宋体" w:eastAsia="宋体" w:cs="宋体"/>
                <w:color w:val="auto"/>
                <w:kern w:val="0"/>
                <w:szCs w:val="21"/>
                <w:lang w:bidi="ar"/>
              </w:rPr>
              <w:t>东莞市东江大道茶山段1号</w:t>
            </w:r>
          </w:p>
        </w:tc>
      </w:tr>
      <w:tr w14:paraId="775AF5E8">
        <w:tblPrEx>
          <w:tblCellMar>
            <w:top w:w="0" w:type="dxa"/>
            <w:left w:w="108" w:type="dxa"/>
            <w:bottom w:w="0" w:type="dxa"/>
            <w:right w:w="108" w:type="dxa"/>
          </w:tblCellMar>
        </w:tblPrEx>
        <w:trPr>
          <w:trHeight w:val="23"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7DC5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kern w:val="0"/>
                <w:szCs w:val="21"/>
                <w:lang w:bidi="ar"/>
              </w:rPr>
              <w:t>58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B90B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szCs w:val="21"/>
                <w:lang w:bidi="ar"/>
              </w:rPr>
              <w:t>企石水厂</w:t>
            </w:r>
          </w:p>
        </w:tc>
        <w:tc>
          <w:tcPr>
            <w:tcW w:w="5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4EA97">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Cs w:val="21"/>
              </w:rPr>
            </w:pPr>
            <w:r>
              <w:rPr>
                <w:rFonts w:hint="eastAsia" w:ascii="宋体" w:hAnsi="宋体" w:eastAsia="宋体" w:cs="宋体"/>
                <w:color w:val="auto"/>
                <w:kern w:val="0"/>
                <w:szCs w:val="21"/>
                <w:lang w:bidi="ar"/>
              </w:rPr>
              <w:t>东莞市企石镇黄大仙路56号</w:t>
            </w:r>
          </w:p>
        </w:tc>
      </w:tr>
      <w:tr w14:paraId="71A95A21">
        <w:tblPrEx>
          <w:tblCellMar>
            <w:top w:w="0" w:type="dxa"/>
            <w:left w:w="108" w:type="dxa"/>
            <w:bottom w:w="0" w:type="dxa"/>
            <w:right w:w="108" w:type="dxa"/>
          </w:tblCellMar>
        </w:tblPrEx>
        <w:trPr>
          <w:trHeight w:val="23"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131B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kern w:val="0"/>
                <w:szCs w:val="21"/>
                <w:lang w:bidi="ar"/>
              </w:rPr>
              <w:t>59</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C62C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szCs w:val="21"/>
                <w:lang w:bidi="ar"/>
              </w:rPr>
              <w:t>石排水厂</w:t>
            </w:r>
          </w:p>
        </w:tc>
        <w:tc>
          <w:tcPr>
            <w:tcW w:w="5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A5A87">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Cs w:val="21"/>
              </w:rPr>
            </w:pPr>
            <w:r>
              <w:rPr>
                <w:rFonts w:hint="eastAsia" w:ascii="宋体" w:hAnsi="宋体" w:eastAsia="宋体" w:cs="宋体"/>
                <w:color w:val="auto"/>
                <w:kern w:val="0"/>
                <w:szCs w:val="21"/>
                <w:lang w:bidi="ar"/>
              </w:rPr>
              <w:t>东莞市石排镇东江大道石排段52号</w:t>
            </w:r>
          </w:p>
        </w:tc>
      </w:tr>
      <w:tr w14:paraId="38BBA4B5">
        <w:tblPrEx>
          <w:tblCellMar>
            <w:top w:w="0" w:type="dxa"/>
            <w:left w:w="108" w:type="dxa"/>
            <w:bottom w:w="0" w:type="dxa"/>
            <w:right w:w="108" w:type="dxa"/>
          </w:tblCellMar>
        </w:tblPrEx>
        <w:trPr>
          <w:trHeight w:val="23"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E901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kern w:val="0"/>
                <w:szCs w:val="21"/>
                <w:lang w:bidi="ar"/>
              </w:rPr>
              <w:t>60</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FCB5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szCs w:val="21"/>
                <w:lang w:bidi="ar"/>
              </w:rPr>
              <w:t>大岭山长湖水厂</w:t>
            </w:r>
          </w:p>
        </w:tc>
        <w:tc>
          <w:tcPr>
            <w:tcW w:w="535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32DE0">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Cs w:val="21"/>
              </w:rPr>
            </w:pPr>
            <w:r>
              <w:rPr>
                <w:rFonts w:hint="eastAsia" w:ascii="宋体" w:hAnsi="宋体" w:eastAsia="宋体" w:cs="宋体"/>
                <w:color w:val="auto"/>
                <w:kern w:val="0"/>
                <w:szCs w:val="21"/>
                <w:lang w:bidi="ar"/>
              </w:rPr>
              <w:t>东莞市大岭山镇大岭山大道592号</w:t>
            </w:r>
          </w:p>
        </w:tc>
      </w:tr>
      <w:tr w14:paraId="22CC3503">
        <w:tblPrEx>
          <w:tblCellMar>
            <w:top w:w="0" w:type="dxa"/>
            <w:left w:w="108" w:type="dxa"/>
            <w:bottom w:w="0" w:type="dxa"/>
            <w:right w:w="108" w:type="dxa"/>
          </w:tblCellMar>
        </w:tblPrEx>
        <w:trPr>
          <w:trHeight w:val="23"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F22B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kern w:val="0"/>
                <w:szCs w:val="21"/>
                <w:lang w:bidi="ar"/>
              </w:rPr>
              <w:t>61</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C8A2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szCs w:val="21"/>
                <w:lang w:bidi="ar"/>
              </w:rPr>
              <w:t>大岭山金鸡咀水厂</w:t>
            </w:r>
          </w:p>
        </w:tc>
        <w:tc>
          <w:tcPr>
            <w:tcW w:w="53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011D0">
            <w:pPr>
              <w:keepNext w:val="0"/>
              <w:keepLines w:val="0"/>
              <w:suppressLineNumbers w:val="0"/>
              <w:spacing w:before="0" w:beforeAutospacing="0" w:after="0" w:afterAutospacing="0"/>
              <w:ind w:left="0" w:right="0"/>
              <w:jc w:val="both"/>
              <w:rPr>
                <w:rFonts w:hint="default" w:ascii="宋体" w:hAnsi="宋体" w:eastAsia="宋体" w:cs="宋体"/>
                <w:color w:val="auto"/>
                <w:szCs w:val="21"/>
              </w:rPr>
            </w:pPr>
          </w:p>
        </w:tc>
      </w:tr>
      <w:tr w14:paraId="19C94E4C">
        <w:tblPrEx>
          <w:tblCellMar>
            <w:top w:w="0" w:type="dxa"/>
            <w:left w:w="108" w:type="dxa"/>
            <w:bottom w:w="0" w:type="dxa"/>
            <w:right w:w="108" w:type="dxa"/>
          </w:tblCellMar>
        </w:tblPrEx>
        <w:trPr>
          <w:trHeight w:val="23"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98CF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kern w:val="0"/>
                <w:szCs w:val="21"/>
                <w:lang w:bidi="ar"/>
              </w:rPr>
              <w:t>62</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5E9B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kern w:val="0"/>
                <w:szCs w:val="21"/>
                <w:lang w:bidi="ar"/>
              </w:rPr>
              <w:t>松山湖水厂</w:t>
            </w:r>
          </w:p>
        </w:tc>
        <w:tc>
          <w:tcPr>
            <w:tcW w:w="5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4DCB6">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Cs w:val="21"/>
              </w:rPr>
            </w:pPr>
            <w:r>
              <w:rPr>
                <w:rFonts w:hint="eastAsia" w:ascii="宋体" w:hAnsi="宋体" w:eastAsia="宋体" w:cs="宋体"/>
                <w:color w:val="auto"/>
                <w:kern w:val="0"/>
                <w:szCs w:val="21"/>
                <w:lang w:bidi="ar"/>
              </w:rPr>
              <w:t>中铁四局集团东莞松山湖水厂第一期工程</w:t>
            </w:r>
          </w:p>
        </w:tc>
      </w:tr>
      <w:tr w14:paraId="40FDD26E">
        <w:tblPrEx>
          <w:tblCellMar>
            <w:top w:w="0" w:type="dxa"/>
            <w:left w:w="108" w:type="dxa"/>
            <w:bottom w:w="0" w:type="dxa"/>
            <w:right w:w="108" w:type="dxa"/>
          </w:tblCellMar>
        </w:tblPrEx>
        <w:trPr>
          <w:trHeight w:val="23"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D728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kern w:val="0"/>
                <w:szCs w:val="21"/>
                <w:lang w:bidi="ar"/>
              </w:rPr>
              <w:t>63</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E0C6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szCs w:val="21"/>
                <w:lang w:bidi="ar"/>
              </w:rPr>
              <w:t>横沥水厂</w:t>
            </w:r>
          </w:p>
        </w:tc>
        <w:tc>
          <w:tcPr>
            <w:tcW w:w="5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6A778">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Cs w:val="21"/>
              </w:rPr>
            </w:pPr>
            <w:r>
              <w:rPr>
                <w:rFonts w:hint="eastAsia" w:ascii="宋体" w:hAnsi="宋体" w:eastAsia="宋体" w:cs="宋体"/>
                <w:color w:val="auto"/>
                <w:kern w:val="0"/>
                <w:szCs w:val="21"/>
                <w:lang w:bidi="ar"/>
              </w:rPr>
              <w:t>东莞市横沥镇东环路260号</w:t>
            </w:r>
          </w:p>
        </w:tc>
      </w:tr>
    </w:tbl>
    <w:p w14:paraId="42423721">
      <w:pPr>
        <w:widowControl/>
        <w:spacing w:line="360" w:lineRule="auto"/>
        <w:rPr>
          <w:rFonts w:ascii="宋体" w:hAnsi="宋体" w:eastAsia="宋体" w:cs="宋体"/>
          <w:color w:val="auto"/>
          <w:szCs w:val="21"/>
        </w:rPr>
      </w:pPr>
    </w:p>
    <w:p w14:paraId="59BD0191">
      <w:pPr>
        <w:widowControl/>
        <w:spacing w:line="360" w:lineRule="auto"/>
        <w:ind w:firstLine="210" w:firstLineChars="100"/>
        <w:rPr>
          <w:rFonts w:ascii="宋体" w:hAnsi="宋体" w:eastAsia="宋体" w:cs="宋体"/>
          <w:color w:val="auto"/>
          <w:szCs w:val="21"/>
        </w:rPr>
      </w:pPr>
      <w:r>
        <w:rPr>
          <w:rFonts w:hint="eastAsia" w:ascii="宋体" w:hAnsi="宋体" w:eastAsia="宋体" w:cs="宋体"/>
          <w:color w:val="auto"/>
          <w:szCs w:val="21"/>
        </w:rPr>
        <w:t>2、净水公司供货点：</w:t>
      </w:r>
    </w:p>
    <w:tbl>
      <w:tblPr>
        <w:tblStyle w:val="45"/>
        <w:tblW w:w="8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8"/>
        <w:gridCol w:w="2323"/>
        <w:gridCol w:w="5419"/>
      </w:tblGrid>
      <w:tr w14:paraId="74BBB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8" w:type="dxa"/>
            <w:noWrap/>
            <w:vAlign w:val="center"/>
          </w:tcPr>
          <w:p w14:paraId="39DB79D6">
            <w:pPr>
              <w:keepNext w:val="0"/>
              <w:keepLines w:val="0"/>
              <w:widowControl/>
              <w:suppressLineNumbers w:val="0"/>
              <w:spacing w:before="0" w:beforeAutospacing="0" w:after="0" w:afterAutospacing="0"/>
              <w:ind w:left="0" w:right="0"/>
              <w:jc w:val="center"/>
              <w:rPr>
                <w:rFonts w:hint="default" w:ascii="宋体" w:hAnsi="宋体" w:eastAsia="宋体" w:cs="宋体"/>
                <w:b/>
                <w:bCs/>
                <w:color w:val="auto"/>
                <w:szCs w:val="21"/>
              </w:rPr>
            </w:pPr>
            <w:r>
              <w:rPr>
                <w:rFonts w:hint="eastAsia" w:ascii="宋体" w:hAnsi="宋体" w:eastAsia="宋体" w:cs="宋体"/>
                <w:b/>
                <w:bCs/>
                <w:color w:val="auto"/>
                <w:szCs w:val="21"/>
              </w:rPr>
              <w:t>序号</w:t>
            </w:r>
          </w:p>
        </w:tc>
        <w:tc>
          <w:tcPr>
            <w:tcW w:w="2323" w:type="dxa"/>
            <w:vAlign w:val="center"/>
          </w:tcPr>
          <w:p w14:paraId="0F913E0C">
            <w:pPr>
              <w:keepNext w:val="0"/>
              <w:keepLines w:val="0"/>
              <w:widowControl/>
              <w:suppressLineNumbers w:val="0"/>
              <w:spacing w:before="0" w:beforeAutospacing="0" w:after="0" w:afterAutospacing="0"/>
              <w:ind w:left="0" w:right="0"/>
              <w:jc w:val="center"/>
              <w:rPr>
                <w:rFonts w:hint="default" w:ascii="宋体" w:hAnsi="宋体" w:eastAsia="宋体" w:cs="宋体"/>
                <w:b/>
                <w:bCs/>
                <w:color w:val="auto"/>
                <w:szCs w:val="21"/>
              </w:rPr>
            </w:pPr>
            <w:r>
              <w:rPr>
                <w:rFonts w:hint="eastAsia" w:ascii="宋体" w:hAnsi="宋体" w:eastAsia="宋体" w:cs="宋体"/>
                <w:b/>
                <w:bCs/>
                <w:color w:val="auto"/>
                <w:szCs w:val="21"/>
              </w:rPr>
              <w:t>项目名称</w:t>
            </w:r>
          </w:p>
        </w:tc>
        <w:tc>
          <w:tcPr>
            <w:tcW w:w="5419" w:type="dxa"/>
            <w:vAlign w:val="center"/>
          </w:tcPr>
          <w:p w14:paraId="4062C597">
            <w:pPr>
              <w:keepNext w:val="0"/>
              <w:keepLines w:val="0"/>
              <w:widowControl/>
              <w:suppressLineNumbers w:val="0"/>
              <w:spacing w:before="0" w:beforeAutospacing="0" w:after="0" w:afterAutospacing="0"/>
              <w:ind w:left="0" w:right="0"/>
              <w:jc w:val="center"/>
              <w:rPr>
                <w:rFonts w:hint="default" w:ascii="宋体" w:hAnsi="宋体" w:eastAsia="宋体" w:cs="宋体"/>
                <w:b/>
                <w:bCs/>
                <w:color w:val="auto"/>
                <w:szCs w:val="21"/>
              </w:rPr>
            </w:pPr>
            <w:r>
              <w:rPr>
                <w:rFonts w:hint="eastAsia" w:ascii="宋体" w:hAnsi="宋体" w:eastAsia="宋体" w:cs="宋体"/>
                <w:b/>
                <w:color w:val="auto"/>
                <w:szCs w:val="21"/>
              </w:rPr>
              <w:t>交货地址</w:t>
            </w:r>
          </w:p>
        </w:tc>
      </w:tr>
      <w:tr w14:paraId="40DCD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8" w:type="dxa"/>
            <w:noWrap/>
            <w:vAlign w:val="center"/>
          </w:tcPr>
          <w:p w14:paraId="6D544554">
            <w:pPr>
              <w:keepNext w:val="0"/>
              <w:keepLines w:val="0"/>
              <w:widowControl/>
              <w:suppressLineNumbers w:val="0"/>
              <w:spacing w:before="0" w:beforeAutospacing="0" w:after="0" w:afterAutospacing="0"/>
              <w:ind w:left="0" w:right="0"/>
              <w:jc w:val="center"/>
              <w:rPr>
                <w:rFonts w:hint="default" w:ascii="宋体" w:hAnsi="宋体" w:eastAsia="宋体" w:cs="宋体"/>
                <w:color w:val="auto"/>
                <w:szCs w:val="21"/>
              </w:rPr>
            </w:pPr>
            <w:r>
              <w:rPr>
                <w:rFonts w:hint="eastAsia" w:ascii="宋体" w:hAnsi="宋体" w:eastAsia="宋体" w:cs="宋体"/>
                <w:color w:val="auto"/>
                <w:szCs w:val="21"/>
              </w:rPr>
              <w:t>1</w:t>
            </w:r>
          </w:p>
        </w:tc>
        <w:tc>
          <w:tcPr>
            <w:tcW w:w="2323" w:type="dxa"/>
            <w:tcBorders>
              <w:right w:val="single" w:color="auto" w:sz="4" w:space="0"/>
            </w:tcBorders>
            <w:vAlign w:val="center"/>
          </w:tcPr>
          <w:p w14:paraId="46FFEDB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lang w:bidi="ar"/>
              </w:rPr>
            </w:pPr>
            <w:r>
              <w:rPr>
                <w:rFonts w:hint="eastAsia" w:ascii="宋体" w:hAnsi="宋体" w:eastAsia="宋体" w:cs="宋体"/>
                <w:color w:val="auto"/>
                <w:szCs w:val="21"/>
                <w:lang w:bidi="ar"/>
              </w:rPr>
              <w:t>净水公司</w:t>
            </w:r>
          </w:p>
        </w:tc>
        <w:tc>
          <w:tcPr>
            <w:tcW w:w="5419" w:type="dxa"/>
            <w:vAlign w:val="center"/>
          </w:tcPr>
          <w:p w14:paraId="4347D60B">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Cs w:val="21"/>
                <w:lang w:bidi="ar"/>
              </w:rPr>
            </w:pPr>
            <w:r>
              <w:rPr>
                <w:rFonts w:hint="eastAsia" w:ascii="宋体" w:hAnsi="宋体" w:eastAsia="宋体" w:cs="宋体"/>
                <w:color w:val="auto"/>
                <w:szCs w:val="21"/>
                <w:lang w:bidi="ar"/>
              </w:rPr>
              <w:t>东莞市滨河路100号</w:t>
            </w:r>
          </w:p>
        </w:tc>
      </w:tr>
      <w:tr w14:paraId="39B0E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8" w:type="dxa"/>
            <w:noWrap/>
            <w:vAlign w:val="center"/>
          </w:tcPr>
          <w:p w14:paraId="0037F38E">
            <w:pPr>
              <w:keepNext w:val="0"/>
              <w:keepLines w:val="0"/>
              <w:widowControl/>
              <w:suppressLineNumbers w:val="0"/>
              <w:spacing w:before="0" w:beforeAutospacing="0" w:after="0" w:afterAutospacing="0"/>
              <w:ind w:left="0" w:right="0"/>
              <w:jc w:val="center"/>
              <w:rPr>
                <w:rFonts w:hint="default" w:ascii="宋体" w:hAnsi="宋体" w:eastAsia="宋体" w:cs="宋体"/>
                <w:color w:val="auto"/>
                <w:szCs w:val="21"/>
              </w:rPr>
            </w:pPr>
            <w:r>
              <w:rPr>
                <w:rFonts w:hint="eastAsia" w:ascii="宋体" w:hAnsi="宋体" w:eastAsia="宋体" w:cs="宋体"/>
                <w:color w:val="auto"/>
                <w:szCs w:val="21"/>
              </w:rPr>
              <w:t>2</w:t>
            </w:r>
          </w:p>
        </w:tc>
        <w:tc>
          <w:tcPr>
            <w:tcW w:w="2323" w:type="dxa"/>
            <w:tcBorders>
              <w:right w:val="single" w:color="auto" w:sz="4" w:space="0"/>
            </w:tcBorders>
            <w:vAlign w:val="center"/>
          </w:tcPr>
          <w:p w14:paraId="4C8D114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szCs w:val="21"/>
                <w:lang w:bidi="ar"/>
              </w:rPr>
              <w:t>东江下游片区分公司</w:t>
            </w:r>
          </w:p>
        </w:tc>
        <w:tc>
          <w:tcPr>
            <w:tcW w:w="5419" w:type="dxa"/>
            <w:vAlign w:val="center"/>
          </w:tcPr>
          <w:p w14:paraId="25435B96">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Cs w:val="21"/>
              </w:rPr>
            </w:pPr>
            <w:r>
              <w:rPr>
                <w:rFonts w:hint="eastAsia" w:ascii="宋体" w:hAnsi="宋体" w:eastAsia="宋体" w:cs="宋体"/>
                <w:color w:val="auto"/>
                <w:szCs w:val="21"/>
                <w:lang w:bidi="ar"/>
              </w:rPr>
              <w:t>东莞市滨河路100号</w:t>
            </w:r>
          </w:p>
        </w:tc>
      </w:tr>
      <w:tr w14:paraId="1FF1A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8" w:type="dxa"/>
            <w:noWrap/>
            <w:vAlign w:val="center"/>
          </w:tcPr>
          <w:p w14:paraId="32D9D52D">
            <w:pPr>
              <w:keepNext w:val="0"/>
              <w:keepLines w:val="0"/>
              <w:widowControl/>
              <w:suppressLineNumbers w:val="0"/>
              <w:spacing w:before="0" w:beforeAutospacing="0" w:after="0" w:afterAutospacing="0"/>
              <w:ind w:left="0" w:right="0"/>
              <w:jc w:val="center"/>
              <w:rPr>
                <w:rFonts w:hint="default" w:ascii="宋体" w:hAnsi="宋体" w:eastAsia="宋体" w:cs="宋体"/>
                <w:color w:val="auto"/>
                <w:szCs w:val="21"/>
              </w:rPr>
            </w:pPr>
            <w:r>
              <w:rPr>
                <w:rFonts w:hint="eastAsia" w:ascii="宋体" w:hAnsi="宋体" w:eastAsia="宋体" w:cs="宋体"/>
                <w:color w:val="auto"/>
                <w:szCs w:val="21"/>
              </w:rPr>
              <w:t>3</w:t>
            </w:r>
          </w:p>
        </w:tc>
        <w:tc>
          <w:tcPr>
            <w:tcW w:w="2323" w:type="dxa"/>
            <w:tcBorders>
              <w:right w:val="single" w:color="auto" w:sz="4" w:space="0"/>
            </w:tcBorders>
            <w:vAlign w:val="center"/>
          </w:tcPr>
          <w:p w14:paraId="23BC18C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lang w:bidi="ar"/>
              </w:rPr>
            </w:pPr>
            <w:r>
              <w:rPr>
                <w:rFonts w:hint="eastAsia" w:ascii="宋体" w:hAnsi="宋体" w:eastAsia="宋体" w:cs="宋体"/>
                <w:color w:val="auto"/>
                <w:szCs w:val="21"/>
                <w:lang w:bidi="ar"/>
              </w:rPr>
              <w:t>东引运河片区分公司</w:t>
            </w:r>
          </w:p>
        </w:tc>
        <w:tc>
          <w:tcPr>
            <w:tcW w:w="5419" w:type="dxa"/>
            <w:vAlign w:val="center"/>
          </w:tcPr>
          <w:p w14:paraId="7545F2F2">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Cs w:val="21"/>
                <w:lang w:bidi="ar"/>
              </w:rPr>
            </w:pPr>
            <w:r>
              <w:rPr>
                <w:rFonts w:hint="eastAsia" w:ascii="宋体" w:hAnsi="宋体" w:eastAsia="宋体" w:cs="宋体"/>
                <w:color w:val="auto"/>
                <w:szCs w:val="21"/>
                <w:lang w:bidi="ar"/>
              </w:rPr>
              <w:t>东莞市寮步镇竹园村虚舟路</w:t>
            </w:r>
          </w:p>
        </w:tc>
      </w:tr>
      <w:tr w14:paraId="6E973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8" w:type="dxa"/>
            <w:noWrap/>
            <w:vAlign w:val="center"/>
          </w:tcPr>
          <w:p w14:paraId="2FD7EEA9">
            <w:pPr>
              <w:keepNext w:val="0"/>
              <w:keepLines w:val="0"/>
              <w:widowControl/>
              <w:suppressLineNumbers w:val="0"/>
              <w:spacing w:before="0" w:beforeAutospacing="0" w:after="0" w:afterAutospacing="0"/>
              <w:ind w:left="0" w:right="0"/>
              <w:jc w:val="center"/>
              <w:rPr>
                <w:rFonts w:hint="default" w:ascii="宋体" w:hAnsi="宋体" w:eastAsia="宋体" w:cs="宋体"/>
                <w:color w:val="auto"/>
                <w:szCs w:val="21"/>
              </w:rPr>
            </w:pPr>
            <w:r>
              <w:rPr>
                <w:rFonts w:hint="eastAsia" w:ascii="宋体" w:hAnsi="宋体" w:eastAsia="宋体" w:cs="宋体"/>
                <w:color w:val="auto"/>
                <w:szCs w:val="21"/>
              </w:rPr>
              <w:t>4</w:t>
            </w:r>
          </w:p>
        </w:tc>
        <w:tc>
          <w:tcPr>
            <w:tcW w:w="2323" w:type="dxa"/>
            <w:tcBorders>
              <w:right w:val="single" w:color="auto" w:sz="4" w:space="0"/>
            </w:tcBorders>
            <w:vAlign w:val="center"/>
          </w:tcPr>
          <w:p w14:paraId="38EE014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lang w:bidi="ar"/>
              </w:rPr>
            </w:pPr>
            <w:r>
              <w:rPr>
                <w:rFonts w:hint="eastAsia" w:ascii="宋体" w:hAnsi="宋体" w:eastAsia="宋体" w:cs="宋体"/>
                <w:color w:val="auto"/>
                <w:szCs w:val="21"/>
                <w:lang w:bidi="ar"/>
              </w:rPr>
              <w:t>滨海湾片区分公司</w:t>
            </w:r>
          </w:p>
        </w:tc>
        <w:tc>
          <w:tcPr>
            <w:tcW w:w="5419" w:type="dxa"/>
            <w:vAlign w:val="center"/>
          </w:tcPr>
          <w:p w14:paraId="0908E3AD">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Cs w:val="21"/>
                <w:lang w:bidi="ar"/>
              </w:rPr>
            </w:pPr>
            <w:r>
              <w:rPr>
                <w:rFonts w:hint="eastAsia" w:ascii="宋体" w:hAnsi="宋体" w:eastAsia="宋体" w:cs="宋体"/>
                <w:color w:val="auto"/>
                <w:szCs w:val="21"/>
                <w:lang w:bidi="ar"/>
              </w:rPr>
              <w:t>东莞市长安镇兴发路长安新区污水处理厂</w:t>
            </w:r>
          </w:p>
        </w:tc>
      </w:tr>
      <w:tr w14:paraId="156B0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8" w:type="dxa"/>
            <w:noWrap/>
            <w:vAlign w:val="center"/>
          </w:tcPr>
          <w:p w14:paraId="3A25005F">
            <w:pPr>
              <w:keepNext w:val="0"/>
              <w:keepLines w:val="0"/>
              <w:widowControl/>
              <w:suppressLineNumbers w:val="0"/>
              <w:spacing w:before="0" w:beforeAutospacing="0" w:after="0" w:afterAutospacing="0"/>
              <w:ind w:left="0" w:right="0"/>
              <w:jc w:val="center"/>
              <w:rPr>
                <w:rFonts w:hint="default" w:ascii="宋体" w:hAnsi="宋体" w:eastAsia="宋体" w:cs="宋体"/>
                <w:color w:val="auto"/>
                <w:szCs w:val="21"/>
              </w:rPr>
            </w:pPr>
            <w:r>
              <w:rPr>
                <w:rFonts w:hint="eastAsia" w:ascii="宋体" w:hAnsi="宋体" w:eastAsia="宋体" w:cs="宋体"/>
                <w:color w:val="auto"/>
                <w:szCs w:val="21"/>
              </w:rPr>
              <w:t>5</w:t>
            </w:r>
          </w:p>
        </w:tc>
        <w:tc>
          <w:tcPr>
            <w:tcW w:w="2323" w:type="dxa"/>
            <w:tcBorders>
              <w:right w:val="single" w:color="auto" w:sz="4" w:space="0"/>
            </w:tcBorders>
            <w:vAlign w:val="center"/>
          </w:tcPr>
          <w:p w14:paraId="32D79BA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lang w:bidi="ar"/>
              </w:rPr>
            </w:pPr>
            <w:r>
              <w:rPr>
                <w:rFonts w:hint="eastAsia" w:ascii="宋体" w:hAnsi="宋体" w:eastAsia="宋体" w:cs="宋体"/>
                <w:color w:val="auto"/>
                <w:szCs w:val="21"/>
                <w:lang w:bidi="ar"/>
              </w:rPr>
              <w:t>谢岗二期</w:t>
            </w:r>
          </w:p>
        </w:tc>
        <w:tc>
          <w:tcPr>
            <w:tcW w:w="5419" w:type="dxa"/>
            <w:vAlign w:val="center"/>
          </w:tcPr>
          <w:p w14:paraId="688E6D75">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Cs w:val="21"/>
                <w:lang w:bidi="ar"/>
              </w:rPr>
            </w:pPr>
            <w:r>
              <w:rPr>
                <w:rFonts w:hint="eastAsia" w:ascii="宋体" w:hAnsi="宋体" w:eastAsia="宋体" w:cs="宋体"/>
                <w:color w:val="auto"/>
                <w:szCs w:val="21"/>
                <w:lang w:bidi="ar"/>
              </w:rPr>
              <w:t>东莞市谢岗镇谢岗村乌舅湖（谢岗污水处理厂-谢岗建工水务）</w:t>
            </w:r>
          </w:p>
        </w:tc>
      </w:tr>
      <w:tr w14:paraId="65FD9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8" w:type="dxa"/>
            <w:noWrap/>
            <w:vAlign w:val="center"/>
          </w:tcPr>
          <w:p w14:paraId="508B0594">
            <w:pPr>
              <w:keepNext w:val="0"/>
              <w:keepLines w:val="0"/>
              <w:widowControl/>
              <w:suppressLineNumbers w:val="0"/>
              <w:spacing w:before="0" w:beforeAutospacing="0" w:after="0" w:afterAutospacing="0"/>
              <w:ind w:left="0" w:right="0"/>
              <w:jc w:val="center"/>
              <w:rPr>
                <w:rFonts w:hint="default" w:ascii="宋体" w:hAnsi="宋体" w:eastAsia="宋体" w:cs="宋体"/>
                <w:color w:val="auto"/>
                <w:szCs w:val="21"/>
              </w:rPr>
            </w:pPr>
            <w:r>
              <w:rPr>
                <w:rFonts w:hint="eastAsia" w:ascii="宋体" w:hAnsi="宋体" w:eastAsia="宋体" w:cs="宋体"/>
                <w:color w:val="auto"/>
                <w:szCs w:val="21"/>
              </w:rPr>
              <w:t>6</w:t>
            </w:r>
          </w:p>
        </w:tc>
        <w:tc>
          <w:tcPr>
            <w:tcW w:w="2323" w:type="dxa"/>
            <w:tcBorders>
              <w:right w:val="single" w:color="auto" w:sz="4" w:space="0"/>
            </w:tcBorders>
            <w:vAlign w:val="center"/>
          </w:tcPr>
          <w:p w14:paraId="2D6FD70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szCs w:val="21"/>
                <w:lang w:bidi="ar"/>
              </w:rPr>
              <w:t>谢岗一期提标</w:t>
            </w:r>
          </w:p>
        </w:tc>
        <w:tc>
          <w:tcPr>
            <w:tcW w:w="5419" w:type="dxa"/>
            <w:vAlign w:val="center"/>
          </w:tcPr>
          <w:p w14:paraId="40D650AE">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Cs w:val="21"/>
              </w:rPr>
            </w:pPr>
            <w:r>
              <w:rPr>
                <w:rFonts w:hint="eastAsia" w:ascii="宋体" w:hAnsi="宋体" w:eastAsia="宋体" w:cs="宋体"/>
                <w:color w:val="auto"/>
                <w:szCs w:val="21"/>
                <w:lang w:bidi="ar"/>
              </w:rPr>
              <w:t>东莞市谢岗镇谢岗村乌舅湖（谢岗污水处理厂-谢岗建工水务）</w:t>
            </w:r>
          </w:p>
        </w:tc>
      </w:tr>
      <w:tr w14:paraId="2D894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8" w:type="dxa"/>
            <w:noWrap/>
            <w:vAlign w:val="center"/>
          </w:tcPr>
          <w:p w14:paraId="07DDE102">
            <w:pPr>
              <w:keepNext w:val="0"/>
              <w:keepLines w:val="0"/>
              <w:widowControl/>
              <w:suppressLineNumbers w:val="0"/>
              <w:spacing w:before="0" w:beforeAutospacing="0" w:after="0" w:afterAutospacing="0"/>
              <w:ind w:left="0" w:right="0"/>
              <w:jc w:val="center"/>
              <w:rPr>
                <w:rFonts w:hint="default" w:ascii="宋体" w:hAnsi="宋体" w:eastAsia="宋体" w:cs="宋体"/>
                <w:color w:val="auto"/>
                <w:szCs w:val="21"/>
              </w:rPr>
            </w:pPr>
            <w:r>
              <w:rPr>
                <w:rFonts w:hint="eastAsia" w:ascii="宋体" w:hAnsi="宋体" w:eastAsia="宋体" w:cs="宋体"/>
                <w:color w:val="auto"/>
                <w:szCs w:val="21"/>
              </w:rPr>
              <w:t>7</w:t>
            </w:r>
          </w:p>
        </w:tc>
        <w:tc>
          <w:tcPr>
            <w:tcW w:w="2323" w:type="dxa"/>
            <w:tcBorders>
              <w:right w:val="single" w:color="auto" w:sz="4" w:space="0"/>
            </w:tcBorders>
            <w:vAlign w:val="center"/>
          </w:tcPr>
          <w:p w14:paraId="3D49AA9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szCs w:val="21"/>
                <w:lang w:bidi="ar"/>
              </w:rPr>
              <w:t>桥头二期</w:t>
            </w:r>
          </w:p>
        </w:tc>
        <w:tc>
          <w:tcPr>
            <w:tcW w:w="5419" w:type="dxa"/>
            <w:vAlign w:val="center"/>
          </w:tcPr>
          <w:p w14:paraId="62026A04">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Cs w:val="21"/>
              </w:rPr>
            </w:pPr>
            <w:r>
              <w:rPr>
                <w:rFonts w:hint="eastAsia" w:ascii="宋体" w:hAnsi="宋体" w:eastAsia="宋体" w:cs="宋体"/>
                <w:color w:val="auto"/>
                <w:szCs w:val="21"/>
                <w:lang w:bidi="ar"/>
              </w:rPr>
              <w:t>东莞市桥头镇东深路桥头段6号（桥头污水处理厂-东莞市三正水务）</w:t>
            </w:r>
          </w:p>
        </w:tc>
      </w:tr>
      <w:tr w14:paraId="27787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8" w:type="dxa"/>
            <w:noWrap/>
            <w:vAlign w:val="center"/>
          </w:tcPr>
          <w:p w14:paraId="424BF212">
            <w:pPr>
              <w:keepNext w:val="0"/>
              <w:keepLines w:val="0"/>
              <w:widowControl/>
              <w:suppressLineNumbers w:val="0"/>
              <w:spacing w:before="0" w:beforeAutospacing="0" w:after="0" w:afterAutospacing="0"/>
              <w:ind w:left="0" w:right="0"/>
              <w:jc w:val="center"/>
              <w:rPr>
                <w:rFonts w:hint="default" w:ascii="宋体" w:hAnsi="宋体" w:eastAsia="宋体" w:cs="宋体"/>
                <w:color w:val="auto"/>
                <w:szCs w:val="21"/>
              </w:rPr>
            </w:pPr>
            <w:r>
              <w:rPr>
                <w:rFonts w:hint="eastAsia" w:ascii="宋体" w:hAnsi="宋体" w:eastAsia="宋体" w:cs="宋体"/>
                <w:color w:val="auto"/>
                <w:szCs w:val="21"/>
              </w:rPr>
              <w:t>8</w:t>
            </w:r>
          </w:p>
        </w:tc>
        <w:tc>
          <w:tcPr>
            <w:tcW w:w="2323" w:type="dxa"/>
            <w:tcBorders>
              <w:right w:val="single" w:color="auto" w:sz="4" w:space="0"/>
            </w:tcBorders>
            <w:vAlign w:val="center"/>
          </w:tcPr>
          <w:p w14:paraId="3F8B72C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szCs w:val="21"/>
                <w:lang w:bidi="ar"/>
              </w:rPr>
              <w:t>桥头一期提标</w:t>
            </w:r>
          </w:p>
        </w:tc>
        <w:tc>
          <w:tcPr>
            <w:tcW w:w="5419" w:type="dxa"/>
            <w:vAlign w:val="center"/>
          </w:tcPr>
          <w:p w14:paraId="35E50A26">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Cs w:val="21"/>
              </w:rPr>
            </w:pPr>
            <w:r>
              <w:rPr>
                <w:rFonts w:hint="eastAsia" w:ascii="宋体" w:hAnsi="宋体" w:eastAsia="宋体" w:cs="宋体"/>
                <w:color w:val="auto"/>
                <w:szCs w:val="21"/>
                <w:lang w:bidi="ar"/>
              </w:rPr>
              <w:t>东莞市桥头镇东深路桥头段6号（桥头污水处理厂-东莞市三正水务）</w:t>
            </w:r>
          </w:p>
        </w:tc>
      </w:tr>
      <w:tr w14:paraId="264DE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8" w:type="dxa"/>
            <w:noWrap/>
            <w:vAlign w:val="center"/>
          </w:tcPr>
          <w:p w14:paraId="7FC087FC">
            <w:pPr>
              <w:keepNext w:val="0"/>
              <w:keepLines w:val="0"/>
              <w:widowControl/>
              <w:suppressLineNumbers w:val="0"/>
              <w:spacing w:before="0" w:beforeAutospacing="0" w:after="0" w:afterAutospacing="0"/>
              <w:ind w:left="0" w:right="0"/>
              <w:jc w:val="center"/>
              <w:rPr>
                <w:rFonts w:hint="default" w:ascii="宋体" w:hAnsi="宋体" w:eastAsia="宋体" w:cs="宋体"/>
                <w:color w:val="auto"/>
                <w:szCs w:val="21"/>
              </w:rPr>
            </w:pPr>
            <w:r>
              <w:rPr>
                <w:rFonts w:hint="eastAsia" w:ascii="宋体" w:hAnsi="宋体" w:eastAsia="宋体" w:cs="宋体"/>
                <w:color w:val="auto"/>
                <w:szCs w:val="21"/>
              </w:rPr>
              <w:t>9</w:t>
            </w:r>
          </w:p>
        </w:tc>
        <w:tc>
          <w:tcPr>
            <w:tcW w:w="2323" w:type="dxa"/>
            <w:tcBorders>
              <w:right w:val="single" w:color="auto" w:sz="4" w:space="0"/>
            </w:tcBorders>
            <w:vAlign w:val="center"/>
          </w:tcPr>
          <w:p w14:paraId="6DA166C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szCs w:val="21"/>
                <w:lang w:bidi="ar"/>
              </w:rPr>
              <w:t>石马河片区分公司/塘厦林村二期</w:t>
            </w:r>
          </w:p>
        </w:tc>
        <w:tc>
          <w:tcPr>
            <w:tcW w:w="5419" w:type="dxa"/>
            <w:vAlign w:val="center"/>
          </w:tcPr>
          <w:p w14:paraId="1E32C0E1">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Cs w:val="21"/>
              </w:rPr>
            </w:pPr>
            <w:r>
              <w:rPr>
                <w:rFonts w:hint="eastAsia" w:ascii="宋体" w:hAnsi="宋体" w:eastAsia="宋体" w:cs="宋体"/>
                <w:color w:val="auto"/>
                <w:szCs w:val="21"/>
                <w:lang w:bidi="ar"/>
              </w:rPr>
              <w:t>东莞市塘厦镇林村林东路64号污水处理厂二期（同舟水务公司斜对面）</w:t>
            </w:r>
          </w:p>
        </w:tc>
      </w:tr>
      <w:tr w14:paraId="5230F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8" w:type="dxa"/>
            <w:noWrap/>
            <w:vAlign w:val="center"/>
          </w:tcPr>
          <w:p w14:paraId="5BFB5415">
            <w:pPr>
              <w:keepNext w:val="0"/>
              <w:keepLines w:val="0"/>
              <w:widowControl/>
              <w:suppressLineNumbers w:val="0"/>
              <w:spacing w:before="0" w:beforeAutospacing="0" w:after="0" w:afterAutospacing="0"/>
              <w:ind w:left="0" w:right="0"/>
              <w:jc w:val="center"/>
              <w:rPr>
                <w:rFonts w:hint="default" w:ascii="宋体" w:hAnsi="宋体" w:eastAsia="宋体" w:cs="宋体"/>
                <w:color w:val="auto"/>
                <w:szCs w:val="21"/>
              </w:rPr>
            </w:pPr>
            <w:r>
              <w:rPr>
                <w:rFonts w:hint="eastAsia" w:ascii="宋体" w:hAnsi="宋体" w:eastAsia="宋体" w:cs="宋体"/>
                <w:color w:val="auto"/>
                <w:szCs w:val="21"/>
              </w:rPr>
              <w:t>10</w:t>
            </w:r>
          </w:p>
        </w:tc>
        <w:tc>
          <w:tcPr>
            <w:tcW w:w="2323" w:type="dxa"/>
            <w:tcBorders>
              <w:right w:val="single" w:color="auto" w:sz="4" w:space="0"/>
            </w:tcBorders>
            <w:vAlign w:val="center"/>
          </w:tcPr>
          <w:p w14:paraId="64E59AC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szCs w:val="21"/>
                <w:lang w:bidi="ar"/>
              </w:rPr>
              <w:t>塘厦林村一期提标</w:t>
            </w:r>
          </w:p>
        </w:tc>
        <w:tc>
          <w:tcPr>
            <w:tcW w:w="5419" w:type="dxa"/>
            <w:vAlign w:val="center"/>
          </w:tcPr>
          <w:p w14:paraId="661BFBE5">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Cs w:val="21"/>
              </w:rPr>
            </w:pPr>
            <w:r>
              <w:rPr>
                <w:rFonts w:hint="eastAsia" w:ascii="宋体" w:hAnsi="宋体" w:eastAsia="宋体" w:cs="宋体"/>
                <w:color w:val="auto"/>
                <w:szCs w:val="21"/>
                <w:lang w:bidi="ar"/>
              </w:rPr>
              <w:t>东莞市塘厦镇林村林东路64号污水处理厂二期（同舟水务公司斜对面）</w:t>
            </w:r>
          </w:p>
        </w:tc>
      </w:tr>
      <w:tr w14:paraId="2968A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8" w:type="dxa"/>
            <w:noWrap/>
            <w:vAlign w:val="center"/>
          </w:tcPr>
          <w:p w14:paraId="45D0102C">
            <w:pPr>
              <w:keepNext w:val="0"/>
              <w:keepLines w:val="0"/>
              <w:widowControl/>
              <w:suppressLineNumbers w:val="0"/>
              <w:spacing w:before="0" w:beforeAutospacing="0" w:after="0" w:afterAutospacing="0"/>
              <w:ind w:left="0" w:right="0"/>
              <w:jc w:val="center"/>
              <w:rPr>
                <w:rFonts w:hint="default" w:ascii="宋体" w:hAnsi="宋体" w:eastAsia="宋体" w:cs="宋体"/>
                <w:color w:val="auto"/>
                <w:szCs w:val="21"/>
              </w:rPr>
            </w:pPr>
            <w:r>
              <w:rPr>
                <w:rFonts w:hint="eastAsia" w:ascii="宋体" w:hAnsi="宋体" w:eastAsia="宋体" w:cs="宋体"/>
                <w:color w:val="auto"/>
                <w:szCs w:val="21"/>
              </w:rPr>
              <w:t>11</w:t>
            </w:r>
          </w:p>
        </w:tc>
        <w:tc>
          <w:tcPr>
            <w:tcW w:w="2323" w:type="dxa"/>
            <w:tcBorders>
              <w:right w:val="single" w:color="auto" w:sz="4" w:space="0"/>
            </w:tcBorders>
            <w:vAlign w:val="center"/>
          </w:tcPr>
          <w:p w14:paraId="37E0ACA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lang w:bidi="ar"/>
              </w:rPr>
            </w:pPr>
            <w:r>
              <w:rPr>
                <w:rFonts w:hint="eastAsia" w:ascii="宋体" w:hAnsi="宋体" w:eastAsia="宋体" w:cs="宋体"/>
                <w:color w:val="auto"/>
                <w:szCs w:val="21"/>
                <w:lang w:bidi="ar"/>
              </w:rPr>
              <w:t>塘厦白泥湖</w:t>
            </w:r>
          </w:p>
        </w:tc>
        <w:tc>
          <w:tcPr>
            <w:tcW w:w="5419" w:type="dxa"/>
            <w:vAlign w:val="center"/>
          </w:tcPr>
          <w:p w14:paraId="6DA66595">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Cs w:val="21"/>
              </w:rPr>
            </w:pPr>
            <w:r>
              <w:rPr>
                <w:rFonts w:hint="eastAsia" w:ascii="宋体" w:hAnsi="宋体" w:eastAsia="宋体" w:cs="宋体"/>
                <w:color w:val="auto"/>
                <w:szCs w:val="21"/>
                <w:lang w:bidi="ar"/>
              </w:rPr>
              <w:t>东莞市塘厦镇南一横路19号</w:t>
            </w:r>
          </w:p>
        </w:tc>
      </w:tr>
      <w:tr w14:paraId="15E38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8" w:type="dxa"/>
            <w:noWrap/>
            <w:vAlign w:val="center"/>
          </w:tcPr>
          <w:p w14:paraId="71AD342C">
            <w:pPr>
              <w:keepNext w:val="0"/>
              <w:keepLines w:val="0"/>
              <w:widowControl/>
              <w:suppressLineNumbers w:val="0"/>
              <w:spacing w:before="0" w:beforeAutospacing="0" w:after="0" w:afterAutospacing="0"/>
              <w:ind w:left="0" w:right="0"/>
              <w:jc w:val="center"/>
              <w:rPr>
                <w:rFonts w:hint="default" w:ascii="宋体" w:hAnsi="宋体" w:eastAsia="宋体" w:cs="宋体"/>
                <w:color w:val="auto"/>
                <w:szCs w:val="21"/>
              </w:rPr>
            </w:pPr>
            <w:r>
              <w:rPr>
                <w:rFonts w:hint="eastAsia" w:ascii="宋体" w:hAnsi="宋体" w:eastAsia="宋体" w:cs="宋体"/>
                <w:color w:val="auto"/>
                <w:szCs w:val="21"/>
              </w:rPr>
              <w:t>12</w:t>
            </w:r>
          </w:p>
        </w:tc>
        <w:tc>
          <w:tcPr>
            <w:tcW w:w="2323" w:type="dxa"/>
            <w:tcBorders>
              <w:right w:val="single" w:color="auto" w:sz="4" w:space="0"/>
            </w:tcBorders>
            <w:vAlign w:val="center"/>
          </w:tcPr>
          <w:p w14:paraId="4582875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szCs w:val="21"/>
                <w:lang w:bidi="ar"/>
              </w:rPr>
              <w:t>长山头二期提标</w:t>
            </w:r>
          </w:p>
        </w:tc>
        <w:tc>
          <w:tcPr>
            <w:tcW w:w="5419" w:type="dxa"/>
            <w:vAlign w:val="center"/>
          </w:tcPr>
          <w:p w14:paraId="31C22B91">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Cs w:val="21"/>
              </w:rPr>
            </w:pPr>
            <w:r>
              <w:rPr>
                <w:rFonts w:hint="eastAsia" w:ascii="宋体" w:hAnsi="宋体" w:eastAsia="宋体" w:cs="宋体"/>
                <w:color w:val="auto"/>
                <w:szCs w:val="21"/>
              </w:rPr>
              <w:t>东莞市清溪镇清溪汽车客运站</w:t>
            </w:r>
          </w:p>
        </w:tc>
      </w:tr>
      <w:tr w14:paraId="4AE21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8" w:type="dxa"/>
            <w:noWrap/>
            <w:vAlign w:val="center"/>
          </w:tcPr>
          <w:p w14:paraId="145F3038">
            <w:pPr>
              <w:keepNext w:val="0"/>
              <w:keepLines w:val="0"/>
              <w:widowControl/>
              <w:suppressLineNumbers w:val="0"/>
              <w:spacing w:before="0" w:beforeAutospacing="0" w:after="0" w:afterAutospacing="0"/>
              <w:ind w:left="0" w:right="0"/>
              <w:jc w:val="center"/>
              <w:rPr>
                <w:rFonts w:hint="default" w:ascii="宋体" w:hAnsi="宋体" w:eastAsia="宋体" w:cs="宋体"/>
                <w:color w:val="auto"/>
                <w:szCs w:val="21"/>
              </w:rPr>
            </w:pPr>
            <w:r>
              <w:rPr>
                <w:rFonts w:hint="eastAsia" w:ascii="宋体" w:hAnsi="宋体" w:eastAsia="宋体" w:cs="宋体"/>
                <w:color w:val="auto"/>
                <w:szCs w:val="21"/>
              </w:rPr>
              <w:t>13</w:t>
            </w:r>
          </w:p>
        </w:tc>
        <w:tc>
          <w:tcPr>
            <w:tcW w:w="2323" w:type="dxa"/>
            <w:tcBorders>
              <w:right w:val="single" w:color="auto" w:sz="4" w:space="0"/>
            </w:tcBorders>
            <w:vAlign w:val="center"/>
          </w:tcPr>
          <w:p w14:paraId="177B531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szCs w:val="21"/>
                <w:lang w:bidi="ar"/>
              </w:rPr>
              <w:t>虾公潭</w:t>
            </w:r>
          </w:p>
        </w:tc>
        <w:tc>
          <w:tcPr>
            <w:tcW w:w="5419" w:type="dxa"/>
            <w:vAlign w:val="center"/>
          </w:tcPr>
          <w:p w14:paraId="02B124B2">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Cs w:val="21"/>
              </w:rPr>
            </w:pPr>
            <w:r>
              <w:rPr>
                <w:rFonts w:hint="eastAsia" w:ascii="宋体" w:hAnsi="宋体" w:eastAsia="宋体" w:cs="宋体"/>
                <w:color w:val="auto"/>
                <w:szCs w:val="21"/>
                <w:lang w:bidi="ar"/>
              </w:rPr>
              <w:t>东莞市凤岗镇油甘埔文化体育中心旁</w:t>
            </w:r>
          </w:p>
        </w:tc>
      </w:tr>
      <w:tr w14:paraId="6EC2A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8" w:type="dxa"/>
            <w:noWrap/>
            <w:vAlign w:val="center"/>
          </w:tcPr>
          <w:p w14:paraId="6B14F747">
            <w:pPr>
              <w:keepNext w:val="0"/>
              <w:keepLines w:val="0"/>
              <w:widowControl/>
              <w:suppressLineNumbers w:val="0"/>
              <w:spacing w:before="0" w:beforeAutospacing="0" w:after="0" w:afterAutospacing="0"/>
              <w:ind w:left="0" w:right="0"/>
              <w:jc w:val="center"/>
              <w:rPr>
                <w:rFonts w:hint="default" w:ascii="宋体" w:hAnsi="宋体" w:eastAsia="宋体" w:cs="宋体"/>
                <w:color w:val="auto"/>
                <w:szCs w:val="21"/>
              </w:rPr>
            </w:pPr>
            <w:r>
              <w:rPr>
                <w:rFonts w:hint="eastAsia" w:ascii="宋体" w:hAnsi="宋体" w:eastAsia="宋体" w:cs="宋体"/>
                <w:color w:val="auto"/>
                <w:szCs w:val="21"/>
              </w:rPr>
              <w:t>14</w:t>
            </w:r>
          </w:p>
        </w:tc>
        <w:tc>
          <w:tcPr>
            <w:tcW w:w="2323" w:type="dxa"/>
            <w:tcBorders>
              <w:right w:val="single" w:color="auto" w:sz="4" w:space="0"/>
            </w:tcBorders>
            <w:vAlign w:val="center"/>
          </w:tcPr>
          <w:p w14:paraId="0FBF3EA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szCs w:val="21"/>
                <w:lang w:bidi="ar"/>
              </w:rPr>
              <w:t>虾公潭提标</w:t>
            </w:r>
          </w:p>
        </w:tc>
        <w:tc>
          <w:tcPr>
            <w:tcW w:w="5419" w:type="dxa"/>
            <w:vAlign w:val="center"/>
          </w:tcPr>
          <w:p w14:paraId="5B1F3DEC">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Cs w:val="21"/>
              </w:rPr>
            </w:pPr>
            <w:r>
              <w:rPr>
                <w:rFonts w:hint="eastAsia" w:ascii="宋体" w:hAnsi="宋体" w:eastAsia="宋体" w:cs="宋体"/>
                <w:color w:val="auto"/>
                <w:szCs w:val="21"/>
                <w:lang w:bidi="ar"/>
              </w:rPr>
              <w:t>东莞市凤岗镇油甘埔文化体育中心旁</w:t>
            </w:r>
          </w:p>
        </w:tc>
      </w:tr>
      <w:tr w14:paraId="438BC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8" w:type="dxa"/>
            <w:noWrap/>
            <w:vAlign w:val="center"/>
          </w:tcPr>
          <w:p w14:paraId="1D5B105C">
            <w:pPr>
              <w:keepNext w:val="0"/>
              <w:keepLines w:val="0"/>
              <w:widowControl/>
              <w:suppressLineNumbers w:val="0"/>
              <w:spacing w:before="0" w:beforeAutospacing="0" w:after="0" w:afterAutospacing="0"/>
              <w:ind w:left="0" w:right="0"/>
              <w:jc w:val="center"/>
              <w:rPr>
                <w:rFonts w:hint="default" w:ascii="宋体" w:hAnsi="宋体" w:eastAsia="宋体" w:cs="宋体"/>
                <w:color w:val="auto"/>
                <w:szCs w:val="21"/>
              </w:rPr>
            </w:pPr>
            <w:r>
              <w:rPr>
                <w:rFonts w:hint="eastAsia" w:ascii="宋体" w:hAnsi="宋体" w:eastAsia="宋体" w:cs="宋体"/>
                <w:color w:val="auto"/>
                <w:szCs w:val="21"/>
              </w:rPr>
              <w:t>15</w:t>
            </w:r>
          </w:p>
        </w:tc>
        <w:tc>
          <w:tcPr>
            <w:tcW w:w="2323" w:type="dxa"/>
            <w:tcBorders>
              <w:right w:val="single" w:color="auto" w:sz="4" w:space="0"/>
            </w:tcBorders>
            <w:vAlign w:val="center"/>
          </w:tcPr>
          <w:p w14:paraId="76CD637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lang w:bidi="ar"/>
              </w:rPr>
            </w:pPr>
            <w:r>
              <w:rPr>
                <w:rFonts w:hint="eastAsia" w:ascii="宋体" w:hAnsi="宋体" w:eastAsia="宋体" w:cs="宋体"/>
                <w:color w:val="auto"/>
                <w:szCs w:val="21"/>
                <w:lang w:bidi="ar"/>
              </w:rPr>
              <w:t>雁田提标</w:t>
            </w:r>
          </w:p>
        </w:tc>
        <w:tc>
          <w:tcPr>
            <w:tcW w:w="5419" w:type="dxa"/>
            <w:vAlign w:val="center"/>
          </w:tcPr>
          <w:p w14:paraId="497F8B75">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Cs w:val="21"/>
                <w:lang w:bidi="ar"/>
              </w:rPr>
            </w:pPr>
            <w:r>
              <w:rPr>
                <w:rFonts w:hint="eastAsia" w:ascii="宋体" w:hAnsi="宋体" w:eastAsia="宋体" w:cs="宋体"/>
                <w:color w:val="auto"/>
                <w:szCs w:val="21"/>
                <w:lang w:bidi="ar"/>
              </w:rPr>
              <w:t>东莞市凤岗镇雁田村雁田污水处理厂</w:t>
            </w:r>
          </w:p>
        </w:tc>
      </w:tr>
      <w:tr w14:paraId="525A3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8" w:type="dxa"/>
            <w:noWrap/>
            <w:vAlign w:val="center"/>
          </w:tcPr>
          <w:p w14:paraId="7E345046">
            <w:pPr>
              <w:keepNext w:val="0"/>
              <w:keepLines w:val="0"/>
              <w:widowControl/>
              <w:suppressLineNumbers w:val="0"/>
              <w:spacing w:before="0" w:beforeAutospacing="0" w:after="0" w:afterAutospacing="0"/>
              <w:ind w:left="0" w:right="0"/>
              <w:jc w:val="center"/>
              <w:rPr>
                <w:rFonts w:hint="default" w:ascii="宋体" w:hAnsi="宋体" w:eastAsia="宋体" w:cs="宋体"/>
                <w:color w:val="auto"/>
                <w:szCs w:val="21"/>
              </w:rPr>
            </w:pPr>
            <w:r>
              <w:rPr>
                <w:rFonts w:hint="eastAsia" w:ascii="宋体" w:hAnsi="宋体" w:eastAsia="宋体" w:cs="宋体"/>
                <w:color w:val="auto"/>
                <w:szCs w:val="21"/>
              </w:rPr>
              <w:t>16</w:t>
            </w:r>
          </w:p>
        </w:tc>
        <w:tc>
          <w:tcPr>
            <w:tcW w:w="2323" w:type="dxa"/>
            <w:tcBorders>
              <w:right w:val="single" w:color="auto" w:sz="4" w:space="0"/>
            </w:tcBorders>
            <w:vAlign w:val="center"/>
          </w:tcPr>
          <w:p w14:paraId="74FA2AC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szCs w:val="21"/>
                <w:lang w:bidi="ar"/>
              </w:rPr>
              <w:t>樟木头三期</w:t>
            </w:r>
          </w:p>
        </w:tc>
        <w:tc>
          <w:tcPr>
            <w:tcW w:w="5419" w:type="dxa"/>
            <w:vAlign w:val="center"/>
          </w:tcPr>
          <w:p w14:paraId="3B13DD4C">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Cs w:val="21"/>
              </w:rPr>
            </w:pPr>
            <w:r>
              <w:rPr>
                <w:rFonts w:hint="eastAsia" w:ascii="宋体" w:hAnsi="宋体" w:eastAsia="宋体" w:cs="宋体"/>
                <w:color w:val="auto"/>
                <w:szCs w:val="21"/>
                <w:lang w:bidi="ar"/>
              </w:rPr>
              <w:t>东莞市樟木头镇柏地社区旗岭村柏峰路169号（樟木头污水处理厂-樟木头建工水务）</w:t>
            </w:r>
          </w:p>
        </w:tc>
      </w:tr>
      <w:tr w14:paraId="75DBF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8" w:type="dxa"/>
            <w:noWrap/>
            <w:vAlign w:val="center"/>
          </w:tcPr>
          <w:p w14:paraId="39D7B05F">
            <w:pPr>
              <w:keepNext w:val="0"/>
              <w:keepLines w:val="0"/>
              <w:widowControl/>
              <w:suppressLineNumbers w:val="0"/>
              <w:spacing w:before="0" w:beforeAutospacing="0" w:after="0" w:afterAutospacing="0"/>
              <w:ind w:left="0" w:right="0"/>
              <w:jc w:val="center"/>
              <w:rPr>
                <w:rFonts w:hint="default" w:ascii="宋体" w:hAnsi="宋体" w:eastAsia="宋体" w:cs="宋体"/>
                <w:color w:val="auto"/>
                <w:szCs w:val="21"/>
              </w:rPr>
            </w:pPr>
            <w:r>
              <w:rPr>
                <w:rFonts w:hint="eastAsia" w:ascii="宋体" w:hAnsi="宋体" w:eastAsia="宋体" w:cs="宋体"/>
                <w:color w:val="auto"/>
                <w:szCs w:val="21"/>
              </w:rPr>
              <w:t>17</w:t>
            </w:r>
          </w:p>
        </w:tc>
        <w:tc>
          <w:tcPr>
            <w:tcW w:w="2323" w:type="dxa"/>
            <w:tcBorders>
              <w:right w:val="single" w:color="auto" w:sz="4" w:space="0"/>
            </w:tcBorders>
            <w:vAlign w:val="center"/>
          </w:tcPr>
          <w:p w14:paraId="32F078B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szCs w:val="21"/>
                <w:lang w:bidi="ar"/>
              </w:rPr>
              <w:t>樟木头一、二期提标</w:t>
            </w:r>
          </w:p>
        </w:tc>
        <w:tc>
          <w:tcPr>
            <w:tcW w:w="5419" w:type="dxa"/>
            <w:vAlign w:val="center"/>
          </w:tcPr>
          <w:p w14:paraId="15DF199A">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Cs w:val="21"/>
              </w:rPr>
            </w:pPr>
            <w:r>
              <w:rPr>
                <w:rFonts w:hint="eastAsia" w:ascii="宋体" w:hAnsi="宋体" w:eastAsia="宋体" w:cs="宋体"/>
                <w:color w:val="auto"/>
                <w:szCs w:val="21"/>
                <w:lang w:bidi="ar"/>
              </w:rPr>
              <w:t>东莞市樟木头镇柏地社区旗岭村柏峰路169号（樟木头污水处理厂-樟木头建工水务）</w:t>
            </w:r>
          </w:p>
        </w:tc>
      </w:tr>
      <w:tr w14:paraId="10B32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8" w:type="dxa"/>
            <w:noWrap/>
            <w:vAlign w:val="center"/>
          </w:tcPr>
          <w:p w14:paraId="2B2AEA66">
            <w:pPr>
              <w:keepNext w:val="0"/>
              <w:keepLines w:val="0"/>
              <w:widowControl/>
              <w:suppressLineNumbers w:val="0"/>
              <w:spacing w:before="0" w:beforeAutospacing="0" w:after="0" w:afterAutospacing="0"/>
              <w:ind w:left="0" w:right="0"/>
              <w:jc w:val="center"/>
              <w:rPr>
                <w:rFonts w:hint="default" w:ascii="宋体" w:hAnsi="宋体" w:eastAsia="宋体" w:cs="宋体"/>
                <w:color w:val="auto"/>
                <w:szCs w:val="21"/>
              </w:rPr>
            </w:pPr>
            <w:r>
              <w:rPr>
                <w:rFonts w:hint="eastAsia" w:ascii="宋体" w:hAnsi="宋体" w:eastAsia="宋体" w:cs="宋体"/>
                <w:color w:val="auto"/>
                <w:szCs w:val="21"/>
              </w:rPr>
              <w:t>18</w:t>
            </w:r>
          </w:p>
        </w:tc>
        <w:tc>
          <w:tcPr>
            <w:tcW w:w="2323" w:type="dxa"/>
            <w:tcBorders>
              <w:right w:val="single" w:color="auto" w:sz="4" w:space="0"/>
            </w:tcBorders>
            <w:vAlign w:val="center"/>
          </w:tcPr>
          <w:p w14:paraId="553B874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szCs w:val="21"/>
                <w:lang w:bidi="ar"/>
              </w:rPr>
              <w:t>樟木头裕丰厂</w:t>
            </w:r>
          </w:p>
        </w:tc>
        <w:tc>
          <w:tcPr>
            <w:tcW w:w="5419" w:type="dxa"/>
            <w:vAlign w:val="center"/>
          </w:tcPr>
          <w:p w14:paraId="34CA0288">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Cs w:val="21"/>
              </w:rPr>
            </w:pPr>
            <w:r>
              <w:rPr>
                <w:rFonts w:hint="eastAsia" w:ascii="宋体" w:hAnsi="宋体" w:eastAsia="宋体" w:cs="宋体"/>
                <w:color w:val="auto"/>
                <w:szCs w:val="21"/>
                <w:lang w:bidi="ar"/>
              </w:rPr>
              <w:t>东莞市樟木头镇裕丰</w:t>
            </w:r>
          </w:p>
        </w:tc>
      </w:tr>
      <w:tr w14:paraId="41781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8" w:type="dxa"/>
            <w:noWrap/>
            <w:vAlign w:val="center"/>
          </w:tcPr>
          <w:p w14:paraId="7B5DE56F">
            <w:pPr>
              <w:keepNext w:val="0"/>
              <w:keepLines w:val="0"/>
              <w:widowControl/>
              <w:suppressLineNumbers w:val="0"/>
              <w:spacing w:before="0" w:beforeAutospacing="0" w:after="0" w:afterAutospacing="0"/>
              <w:ind w:left="0" w:right="0"/>
              <w:jc w:val="center"/>
              <w:rPr>
                <w:rFonts w:hint="default" w:ascii="宋体" w:hAnsi="宋体" w:eastAsia="宋体" w:cs="宋体"/>
                <w:color w:val="auto"/>
                <w:szCs w:val="21"/>
              </w:rPr>
            </w:pPr>
            <w:r>
              <w:rPr>
                <w:rFonts w:hint="eastAsia" w:ascii="宋体" w:hAnsi="宋体" w:eastAsia="宋体" w:cs="宋体"/>
                <w:color w:val="auto"/>
                <w:szCs w:val="21"/>
              </w:rPr>
              <w:t>19</w:t>
            </w:r>
          </w:p>
        </w:tc>
        <w:tc>
          <w:tcPr>
            <w:tcW w:w="2323" w:type="dxa"/>
            <w:tcBorders>
              <w:right w:val="single" w:color="auto" w:sz="4" w:space="0"/>
            </w:tcBorders>
            <w:vAlign w:val="center"/>
          </w:tcPr>
          <w:p w14:paraId="246A696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szCs w:val="21"/>
                <w:lang w:bidi="ar"/>
              </w:rPr>
              <w:t>竹塘二期</w:t>
            </w:r>
          </w:p>
        </w:tc>
        <w:tc>
          <w:tcPr>
            <w:tcW w:w="5419" w:type="dxa"/>
            <w:vAlign w:val="center"/>
          </w:tcPr>
          <w:p w14:paraId="7AE54725">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Cs w:val="21"/>
              </w:rPr>
            </w:pPr>
            <w:r>
              <w:rPr>
                <w:rFonts w:hint="eastAsia" w:ascii="宋体" w:hAnsi="宋体" w:eastAsia="宋体" w:cs="宋体"/>
                <w:color w:val="auto"/>
                <w:szCs w:val="21"/>
                <w:lang w:bidi="ar"/>
              </w:rPr>
              <w:t>东莞市凤岗镇竹塘污水处理厂二期</w:t>
            </w:r>
          </w:p>
        </w:tc>
      </w:tr>
      <w:tr w14:paraId="1387F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8" w:type="dxa"/>
            <w:noWrap/>
            <w:vAlign w:val="center"/>
          </w:tcPr>
          <w:p w14:paraId="7D3A34EB">
            <w:pPr>
              <w:keepNext w:val="0"/>
              <w:keepLines w:val="0"/>
              <w:widowControl/>
              <w:suppressLineNumbers w:val="0"/>
              <w:spacing w:before="0" w:beforeAutospacing="0" w:after="0" w:afterAutospacing="0"/>
              <w:ind w:left="0" w:right="0"/>
              <w:jc w:val="center"/>
              <w:rPr>
                <w:rFonts w:hint="default" w:ascii="宋体" w:hAnsi="宋体" w:eastAsia="宋体" w:cs="宋体"/>
                <w:color w:val="auto"/>
                <w:szCs w:val="21"/>
              </w:rPr>
            </w:pPr>
            <w:r>
              <w:rPr>
                <w:rFonts w:hint="eastAsia" w:ascii="宋体" w:hAnsi="宋体" w:eastAsia="宋体" w:cs="宋体"/>
                <w:color w:val="auto"/>
                <w:szCs w:val="21"/>
              </w:rPr>
              <w:t>20</w:t>
            </w:r>
          </w:p>
        </w:tc>
        <w:tc>
          <w:tcPr>
            <w:tcW w:w="2323" w:type="dxa"/>
            <w:tcBorders>
              <w:right w:val="single" w:color="auto" w:sz="4" w:space="0"/>
            </w:tcBorders>
            <w:vAlign w:val="center"/>
          </w:tcPr>
          <w:p w14:paraId="2C68F5F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szCs w:val="21"/>
                <w:lang w:bidi="ar"/>
              </w:rPr>
              <w:t>竹塘一期</w:t>
            </w:r>
          </w:p>
        </w:tc>
        <w:tc>
          <w:tcPr>
            <w:tcW w:w="5419" w:type="dxa"/>
            <w:vAlign w:val="center"/>
          </w:tcPr>
          <w:p w14:paraId="337AC0E6">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Cs w:val="21"/>
              </w:rPr>
            </w:pPr>
            <w:r>
              <w:rPr>
                <w:rFonts w:hint="eastAsia" w:ascii="宋体" w:hAnsi="宋体" w:eastAsia="宋体" w:cs="宋体"/>
                <w:color w:val="auto"/>
                <w:szCs w:val="21"/>
                <w:lang w:bidi="ar"/>
              </w:rPr>
              <w:t>东莞市凤岗镇竹塘污水处理厂一期</w:t>
            </w:r>
          </w:p>
        </w:tc>
      </w:tr>
      <w:tr w14:paraId="71005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8" w:type="dxa"/>
            <w:noWrap/>
            <w:vAlign w:val="center"/>
          </w:tcPr>
          <w:p w14:paraId="2763D205">
            <w:pPr>
              <w:keepNext w:val="0"/>
              <w:keepLines w:val="0"/>
              <w:widowControl/>
              <w:suppressLineNumbers w:val="0"/>
              <w:spacing w:before="0" w:beforeAutospacing="0" w:after="0" w:afterAutospacing="0"/>
              <w:ind w:left="0" w:right="0"/>
              <w:jc w:val="center"/>
              <w:rPr>
                <w:rFonts w:hint="default" w:ascii="宋体" w:hAnsi="宋体" w:eastAsia="宋体" w:cs="宋体"/>
                <w:color w:val="auto"/>
                <w:szCs w:val="21"/>
              </w:rPr>
            </w:pPr>
            <w:r>
              <w:rPr>
                <w:rFonts w:hint="eastAsia" w:ascii="宋体" w:hAnsi="宋体" w:eastAsia="宋体" w:cs="宋体"/>
                <w:color w:val="auto"/>
                <w:szCs w:val="21"/>
              </w:rPr>
              <w:t>21</w:t>
            </w:r>
          </w:p>
        </w:tc>
        <w:tc>
          <w:tcPr>
            <w:tcW w:w="2323" w:type="dxa"/>
            <w:tcBorders>
              <w:right w:val="single" w:color="auto" w:sz="4" w:space="0"/>
            </w:tcBorders>
            <w:vAlign w:val="center"/>
          </w:tcPr>
          <w:p w14:paraId="7F704A2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lang w:bidi="ar"/>
              </w:rPr>
            </w:pPr>
            <w:r>
              <w:rPr>
                <w:rFonts w:hint="eastAsia" w:ascii="宋体" w:hAnsi="宋体" w:eastAsia="宋体" w:cs="宋体"/>
                <w:color w:val="auto"/>
                <w:szCs w:val="21"/>
                <w:lang w:bidi="ar"/>
              </w:rPr>
              <w:t>竹塘提标</w:t>
            </w:r>
          </w:p>
        </w:tc>
        <w:tc>
          <w:tcPr>
            <w:tcW w:w="5419" w:type="dxa"/>
            <w:vAlign w:val="center"/>
          </w:tcPr>
          <w:p w14:paraId="4D36E6AB">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Cs w:val="21"/>
                <w:lang w:bidi="ar"/>
              </w:rPr>
            </w:pPr>
            <w:r>
              <w:rPr>
                <w:rFonts w:hint="eastAsia" w:ascii="宋体" w:hAnsi="宋体" w:eastAsia="宋体" w:cs="宋体"/>
                <w:color w:val="auto"/>
                <w:szCs w:val="21"/>
                <w:lang w:bidi="ar"/>
              </w:rPr>
              <w:t>东莞市凤岗镇竹塘污水处理厂二期</w:t>
            </w:r>
          </w:p>
        </w:tc>
      </w:tr>
      <w:tr w14:paraId="3905D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8" w:type="dxa"/>
            <w:noWrap/>
            <w:vAlign w:val="center"/>
          </w:tcPr>
          <w:p w14:paraId="6FAEB3AB">
            <w:pPr>
              <w:keepNext w:val="0"/>
              <w:keepLines w:val="0"/>
              <w:widowControl/>
              <w:suppressLineNumbers w:val="0"/>
              <w:spacing w:before="0" w:beforeAutospacing="0" w:after="0" w:afterAutospacing="0"/>
              <w:ind w:left="0" w:right="0"/>
              <w:jc w:val="center"/>
              <w:rPr>
                <w:rFonts w:hint="default" w:ascii="宋体" w:hAnsi="宋体" w:eastAsia="宋体" w:cs="宋体"/>
                <w:color w:val="auto"/>
                <w:szCs w:val="21"/>
              </w:rPr>
            </w:pPr>
            <w:r>
              <w:rPr>
                <w:rFonts w:hint="eastAsia" w:ascii="宋体" w:hAnsi="宋体" w:eastAsia="宋体" w:cs="宋体"/>
                <w:color w:val="auto"/>
                <w:szCs w:val="21"/>
              </w:rPr>
              <w:t>22</w:t>
            </w:r>
          </w:p>
        </w:tc>
        <w:tc>
          <w:tcPr>
            <w:tcW w:w="2323" w:type="dxa"/>
            <w:tcBorders>
              <w:right w:val="single" w:color="auto" w:sz="4" w:space="0"/>
            </w:tcBorders>
            <w:vAlign w:val="center"/>
          </w:tcPr>
          <w:p w14:paraId="078736C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szCs w:val="21"/>
                <w:lang w:bidi="ar"/>
              </w:rPr>
              <w:t>黄江二期</w:t>
            </w:r>
          </w:p>
        </w:tc>
        <w:tc>
          <w:tcPr>
            <w:tcW w:w="5419" w:type="dxa"/>
            <w:vAlign w:val="center"/>
          </w:tcPr>
          <w:p w14:paraId="46A497A7">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Cs w:val="21"/>
              </w:rPr>
            </w:pPr>
            <w:r>
              <w:rPr>
                <w:rFonts w:hint="eastAsia" w:ascii="宋体" w:hAnsi="宋体" w:eastAsia="宋体" w:cs="宋体"/>
                <w:color w:val="auto"/>
                <w:szCs w:val="21"/>
                <w:lang w:bidi="ar"/>
              </w:rPr>
              <w:t>黄江镇合路创业一路1号污水处理厂二期</w:t>
            </w:r>
          </w:p>
        </w:tc>
      </w:tr>
      <w:tr w14:paraId="0A5FE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8" w:type="dxa"/>
            <w:noWrap/>
            <w:vAlign w:val="center"/>
          </w:tcPr>
          <w:p w14:paraId="1C866E8A">
            <w:pPr>
              <w:keepNext w:val="0"/>
              <w:keepLines w:val="0"/>
              <w:widowControl/>
              <w:suppressLineNumbers w:val="0"/>
              <w:spacing w:before="0" w:beforeAutospacing="0" w:after="0" w:afterAutospacing="0"/>
              <w:ind w:left="0" w:right="0"/>
              <w:jc w:val="center"/>
              <w:rPr>
                <w:rFonts w:hint="default" w:ascii="宋体" w:hAnsi="宋体" w:eastAsia="宋体" w:cs="宋体"/>
                <w:color w:val="auto"/>
                <w:szCs w:val="21"/>
              </w:rPr>
            </w:pPr>
            <w:r>
              <w:rPr>
                <w:rFonts w:hint="eastAsia" w:ascii="宋体" w:hAnsi="宋体" w:eastAsia="宋体" w:cs="宋体"/>
                <w:color w:val="auto"/>
                <w:szCs w:val="21"/>
              </w:rPr>
              <w:t>23</w:t>
            </w:r>
          </w:p>
        </w:tc>
        <w:tc>
          <w:tcPr>
            <w:tcW w:w="2323" w:type="dxa"/>
            <w:tcBorders>
              <w:right w:val="single" w:color="auto" w:sz="4" w:space="0"/>
            </w:tcBorders>
            <w:vAlign w:val="center"/>
          </w:tcPr>
          <w:p w14:paraId="4D8F1DD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szCs w:val="21"/>
                <w:lang w:bidi="ar"/>
              </w:rPr>
              <w:t>黄江一期提标</w:t>
            </w:r>
          </w:p>
        </w:tc>
        <w:tc>
          <w:tcPr>
            <w:tcW w:w="5419" w:type="dxa"/>
            <w:vAlign w:val="center"/>
          </w:tcPr>
          <w:p w14:paraId="55E8877E">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Cs w:val="21"/>
              </w:rPr>
            </w:pPr>
            <w:r>
              <w:rPr>
                <w:rFonts w:hint="eastAsia" w:ascii="宋体" w:hAnsi="宋体" w:eastAsia="宋体" w:cs="宋体"/>
                <w:color w:val="auto"/>
                <w:szCs w:val="21"/>
                <w:lang w:bidi="ar"/>
              </w:rPr>
              <w:t>黄江镇合路创业一路1号污水处理厂二期</w:t>
            </w:r>
          </w:p>
        </w:tc>
      </w:tr>
      <w:tr w14:paraId="61644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8" w:type="dxa"/>
            <w:noWrap/>
            <w:vAlign w:val="center"/>
          </w:tcPr>
          <w:p w14:paraId="245EBEE7">
            <w:pPr>
              <w:keepNext w:val="0"/>
              <w:keepLines w:val="0"/>
              <w:widowControl/>
              <w:suppressLineNumbers w:val="0"/>
              <w:spacing w:before="0" w:beforeAutospacing="0" w:after="0" w:afterAutospacing="0"/>
              <w:ind w:left="0" w:right="0"/>
              <w:jc w:val="center"/>
              <w:rPr>
                <w:rFonts w:hint="default" w:ascii="宋体" w:hAnsi="宋体" w:eastAsia="宋体" w:cs="宋体"/>
                <w:color w:val="auto"/>
                <w:szCs w:val="21"/>
              </w:rPr>
            </w:pPr>
            <w:r>
              <w:rPr>
                <w:rFonts w:hint="eastAsia" w:ascii="宋体" w:hAnsi="宋体" w:eastAsia="宋体" w:cs="宋体"/>
                <w:color w:val="auto"/>
                <w:szCs w:val="21"/>
              </w:rPr>
              <w:t>24</w:t>
            </w:r>
          </w:p>
        </w:tc>
        <w:tc>
          <w:tcPr>
            <w:tcW w:w="2323" w:type="dxa"/>
            <w:tcBorders>
              <w:right w:val="single" w:color="auto" w:sz="4" w:space="0"/>
            </w:tcBorders>
            <w:vAlign w:val="center"/>
          </w:tcPr>
          <w:p w14:paraId="6B869C2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szCs w:val="21"/>
                <w:lang w:bidi="ar"/>
              </w:rPr>
              <w:t>常平东</w:t>
            </w:r>
          </w:p>
        </w:tc>
        <w:tc>
          <w:tcPr>
            <w:tcW w:w="5419" w:type="dxa"/>
            <w:vAlign w:val="center"/>
          </w:tcPr>
          <w:p w14:paraId="1BCA3686">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Cs w:val="21"/>
              </w:rPr>
            </w:pPr>
            <w:r>
              <w:rPr>
                <w:rFonts w:hint="eastAsia" w:ascii="宋体" w:hAnsi="宋体" w:eastAsia="宋体" w:cs="宋体"/>
                <w:color w:val="auto"/>
                <w:szCs w:val="21"/>
                <w:lang w:bidi="ar"/>
              </w:rPr>
              <w:t>常平镇沙湖口旧围路</w:t>
            </w:r>
          </w:p>
        </w:tc>
      </w:tr>
      <w:tr w14:paraId="0E16C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8" w:type="dxa"/>
            <w:noWrap/>
            <w:vAlign w:val="center"/>
          </w:tcPr>
          <w:p w14:paraId="5783DA30">
            <w:pPr>
              <w:keepNext w:val="0"/>
              <w:keepLines w:val="0"/>
              <w:widowControl/>
              <w:suppressLineNumbers w:val="0"/>
              <w:spacing w:before="0" w:beforeAutospacing="0" w:after="0" w:afterAutospacing="0"/>
              <w:ind w:left="0" w:right="0"/>
              <w:jc w:val="center"/>
              <w:rPr>
                <w:rFonts w:hint="default" w:ascii="宋体" w:hAnsi="宋体" w:eastAsia="宋体" w:cs="宋体"/>
                <w:color w:val="auto"/>
                <w:szCs w:val="21"/>
              </w:rPr>
            </w:pPr>
            <w:r>
              <w:rPr>
                <w:rFonts w:hint="eastAsia" w:ascii="宋体" w:hAnsi="宋体" w:eastAsia="宋体" w:cs="宋体"/>
                <w:color w:val="auto"/>
                <w:szCs w:val="21"/>
              </w:rPr>
              <w:t>25</w:t>
            </w:r>
          </w:p>
        </w:tc>
        <w:tc>
          <w:tcPr>
            <w:tcW w:w="2323" w:type="dxa"/>
            <w:tcBorders>
              <w:right w:val="single" w:color="auto" w:sz="4" w:space="0"/>
            </w:tcBorders>
            <w:vAlign w:val="center"/>
          </w:tcPr>
          <w:p w14:paraId="4E032AF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szCs w:val="21"/>
                <w:lang w:bidi="ar"/>
              </w:rPr>
              <w:t>寮步二期</w:t>
            </w:r>
          </w:p>
        </w:tc>
        <w:tc>
          <w:tcPr>
            <w:tcW w:w="5419" w:type="dxa"/>
            <w:vAlign w:val="center"/>
          </w:tcPr>
          <w:p w14:paraId="68137C6A">
            <w:pPr>
              <w:keepNext w:val="0"/>
              <w:keepLines w:val="0"/>
              <w:widowControl/>
              <w:suppressLineNumbers w:val="0"/>
              <w:spacing w:before="0" w:beforeAutospacing="0" w:after="0" w:afterAutospacing="0"/>
              <w:ind w:left="0" w:right="0"/>
              <w:textAlignment w:val="center"/>
              <w:rPr>
                <w:rFonts w:hint="default" w:ascii="宋体" w:hAnsi="宋体" w:eastAsia="宋体" w:cs="宋体"/>
                <w:color w:val="auto"/>
                <w:szCs w:val="21"/>
              </w:rPr>
            </w:pPr>
            <w:r>
              <w:rPr>
                <w:rFonts w:hint="eastAsia" w:ascii="宋体" w:hAnsi="宋体" w:eastAsia="宋体" w:cs="宋体"/>
                <w:color w:val="auto"/>
                <w:szCs w:val="21"/>
                <w:lang w:bidi="ar"/>
              </w:rPr>
              <w:t>东莞市寮步镇竹园村岭安街121号（东城温塘污水处理厂大门口前行1000米）</w:t>
            </w:r>
          </w:p>
        </w:tc>
      </w:tr>
      <w:tr w14:paraId="345D9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8" w:type="dxa"/>
            <w:noWrap/>
            <w:vAlign w:val="center"/>
          </w:tcPr>
          <w:p w14:paraId="74C5164B">
            <w:pPr>
              <w:keepNext w:val="0"/>
              <w:keepLines w:val="0"/>
              <w:widowControl/>
              <w:suppressLineNumbers w:val="0"/>
              <w:spacing w:before="0" w:beforeAutospacing="0" w:after="0" w:afterAutospacing="0"/>
              <w:ind w:left="0" w:right="0"/>
              <w:jc w:val="center"/>
              <w:rPr>
                <w:rFonts w:hint="default" w:ascii="宋体" w:hAnsi="宋体" w:eastAsia="宋体" w:cs="宋体"/>
                <w:color w:val="auto"/>
                <w:szCs w:val="21"/>
              </w:rPr>
            </w:pPr>
            <w:r>
              <w:rPr>
                <w:rFonts w:hint="eastAsia" w:ascii="宋体" w:hAnsi="宋体" w:eastAsia="宋体" w:cs="宋体"/>
                <w:color w:val="auto"/>
                <w:szCs w:val="21"/>
              </w:rPr>
              <w:t>26</w:t>
            </w:r>
          </w:p>
        </w:tc>
        <w:tc>
          <w:tcPr>
            <w:tcW w:w="2323" w:type="dxa"/>
            <w:tcBorders>
              <w:right w:val="single" w:color="auto" w:sz="4" w:space="0"/>
            </w:tcBorders>
            <w:vAlign w:val="center"/>
          </w:tcPr>
          <w:p w14:paraId="03D649D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szCs w:val="21"/>
                <w:lang w:bidi="ar"/>
              </w:rPr>
              <w:t>寮步一期提标</w:t>
            </w:r>
          </w:p>
        </w:tc>
        <w:tc>
          <w:tcPr>
            <w:tcW w:w="5419" w:type="dxa"/>
            <w:vAlign w:val="center"/>
          </w:tcPr>
          <w:p w14:paraId="6421B408">
            <w:pPr>
              <w:keepNext w:val="0"/>
              <w:keepLines w:val="0"/>
              <w:widowControl/>
              <w:suppressLineNumbers w:val="0"/>
              <w:spacing w:before="0" w:beforeAutospacing="0" w:after="0" w:afterAutospacing="0"/>
              <w:ind w:left="0" w:right="0"/>
              <w:textAlignment w:val="center"/>
              <w:rPr>
                <w:rFonts w:hint="default" w:ascii="宋体" w:hAnsi="宋体" w:eastAsia="宋体" w:cs="宋体"/>
                <w:color w:val="auto"/>
                <w:szCs w:val="21"/>
              </w:rPr>
            </w:pPr>
            <w:r>
              <w:rPr>
                <w:rFonts w:hint="eastAsia" w:ascii="宋体" w:hAnsi="宋体" w:eastAsia="宋体" w:cs="宋体"/>
                <w:color w:val="auto"/>
                <w:szCs w:val="21"/>
                <w:lang w:bidi="ar"/>
              </w:rPr>
              <w:t>东莞市寮步镇竹园村岭安街121号（东城温塘污水处理厂大门口前行1000米）</w:t>
            </w:r>
          </w:p>
        </w:tc>
      </w:tr>
      <w:tr w14:paraId="5C6B1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8" w:type="dxa"/>
            <w:noWrap/>
            <w:vAlign w:val="center"/>
          </w:tcPr>
          <w:p w14:paraId="0E96DD57">
            <w:pPr>
              <w:keepNext w:val="0"/>
              <w:keepLines w:val="0"/>
              <w:widowControl/>
              <w:suppressLineNumbers w:val="0"/>
              <w:spacing w:before="0" w:beforeAutospacing="0" w:after="0" w:afterAutospacing="0"/>
              <w:ind w:left="0" w:right="0"/>
              <w:jc w:val="center"/>
              <w:rPr>
                <w:rFonts w:hint="default" w:ascii="宋体" w:hAnsi="宋体" w:eastAsia="宋体" w:cs="宋体"/>
                <w:color w:val="auto"/>
                <w:szCs w:val="21"/>
              </w:rPr>
            </w:pPr>
            <w:r>
              <w:rPr>
                <w:rFonts w:hint="eastAsia" w:ascii="宋体" w:hAnsi="宋体" w:eastAsia="宋体" w:cs="宋体"/>
                <w:color w:val="auto"/>
                <w:szCs w:val="21"/>
              </w:rPr>
              <w:t>27</w:t>
            </w:r>
          </w:p>
        </w:tc>
        <w:tc>
          <w:tcPr>
            <w:tcW w:w="2323" w:type="dxa"/>
            <w:tcBorders>
              <w:right w:val="single" w:color="auto" w:sz="4" w:space="0"/>
            </w:tcBorders>
            <w:vAlign w:val="center"/>
          </w:tcPr>
          <w:p w14:paraId="182593A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szCs w:val="21"/>
                <w:lang w:bidi="ar"/>
              </w:rPr>
              <w:t>茶山提标</w:t>
            </w:r>
          </w:p>
        </w:tc>
        <w:tc>
          <w:tcPr>
            <w:tcW w:w="5419" w:type="dxa"/>
            <w:vAlign w:val="center"/>
          </w:tcPr>
          <w:p w14:paraId="4F464D58">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Cs w:val="21"/>
              </w:rPr>
            </w:pPr>
            <w:r>
              <w:rPr>
                <w:rFonts w:hint="eastAsia" w:ascii="宋体" w:hAnsi="宋体" w:eastAsia="宋体" w:cs="宋体"/>
                <w:color w:val="auto"/>
                <w:szCs w:val="21"/>
                <w:lang w:bidi="ar"/>
              </w:rPr>
              <w:t>东莞市茶山北路东城余屋考场往前300米右转华骏污水处理厂</w:t>
            </w:r>
          </w:p>
        </w:tc>
      </w:tr>
      <w:tr w14:paraId="269B2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8" w:type="dxa"/>
            <w:noWrap/>
            <w:vAlign w:val="center"/>
          </w:tcPr>
          <w:p w14:paraId="1138F3E7">
            <w:pPr>
              <w:keepNext w:val="0"/>
              <w:keepLines w:val="0"/>
              <w:widowControl/>
              <w:suppressLineNumbers w:val="0"/>
              <w:spacing w:before="0" w:beforeAutospacing="0" w:after="0" w:afterAutospacing="0"/>
              <w:ind w:left="0" w:right="0"/>
              <w:jc w:val="center"/>
              <w:rPr>
                <w:rFonts w:hint="default" w:ascii="宋体" w:hAnsi="宋体" w:eastAsia="宋体" w:cs="宋体"/>
                <w:color w:val="auto"/>
                <w:szCs w:val="21"/>
              </w:rPr>
            </w:pPr>
            <w:r>
              <w:rPr>
                <w:rFonts w:hint="eastAsia" w:ascii="宋体" w:hAnsi="宋体" w:eastAsia="宋体" w:cs="宋体"/>
                <w:color w:val="auto"/>
                <w:szCs w:val="21"/>
              </w:rPr>
              <w:t>27</w:t>
            </w:r>
          </w:p>
        </w:tc>
        <w:tc>
          <w:tcPr>
            <w:tcW w:w="2323" w:type="dxa"/>
            <w:tcBorders>
              <w:right w:val="single" w:color="auto" w:sz="4" w:space="0"/>
            </w:tcBorders>
            <w:vAlign w:val="center"/>
          </w:tcPr>
          <w:p w14:paraId="2EBC450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szCs w:val="21"/>
                <w:lang w:bidi="ar"/>
              </w:rPr>
              <w:t>松北厂</w:t>
            </w:r>
          </w:p>
        </w:tc>
        <w:tc>
          <w:tcPr>
            <w:tcW w:w="5419" w:type="dxa"/>
            <w:vAlign w:val="center"/>
          </w:tcPr>
          <w:p w14:paraId="08D5ACFD">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Cs w:val="21"/>
              </w:rPr>
            </w:pPr>
            <w:r>
              <w:rPr>
                <w:rFonts w:hint="eastAsia" w:ascii="宋体" w:hAnsi="宋体" w:eastAsia="宋体" w:cs="宋体"/>
                <w:color w:val="auto"/>
                <w:szCs w:val="21"/>
                <w:lang w:bidi="ar"/>
              </w:rPr>
              <w:t>东莞市松山湖高新技术产业开发区工业西三路3号（松山湖北部污水处理厂二期）</w:t>
            </w:r>
          </w:p>
        </w:tc>
      </w:tr>
      <w:tr w14:paraId="36A0F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8" w:type="dxa"/>
            <w:noWrap/>
            <w:vAlign w:val="center"/>
          </w:tcPr>
          <w:p w14:paraId="16A746C3">
            <w:pPr>
              <w:keepNext w:val="0"/>
              <w:keepLines w:val="0"/>
              <w:widowControl/>
              <w:suppressLineNumbers w:val="0"/>
              <w:spacing w:before="0" w:beforeAutospacing="0" w:after="0" w:afterAutospacing="0"/>
              <w:ind w:left="0" w:right="0"/>
              <w:jc w:val="center"/>
              <w:rPr>
                <w:rFonts w:hint="default" w:ascii="宋体" w:hAnsi="宋体" w:eastAsia="宋体" w:cs="宋体"/>
                <w:color w:val="auto"/>
                <w:szCs w:val="21"/>
              </w:rPr>
            </w:pPr>
            <w:r>
              <w:rPr>
                <w:rFonts w:hint="eastAsia" w:ascii="宋体" w:hAnsi="宋体" w:eastAsia="宋体" w:cs="宋体"/>
                <w:color w:val="auto"/>
                <w:szCs w:val="21"/>
              </w:rPr>
              <w:t>28</w:t>
            </w:r>
          </w:p>
        </w:tc>
        <w:tc>
          <w:tcPr>
            <w:tcW w:w="2323" w:type="dxa"/>
            <w:tcBorders>
              <w:right w:val="single" w:color="auto" w:sz="4" w:space="0"/>
            </w:tcBorders>
            <w:vAlign w:val="center"/>
          </w:tcPr>
          <w:p w14:paraId="3A60470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szCs w:val="21"/>
                <w:lang w:bidi="ar"/>
              </w:rPr>
              <w:t>松北一期提标</w:t>
            </w:r>
          </w:p>
        </w:tc>
        <w:tc>
          <w:tcPr>
            <w:tcW w:w="5419" w:type="dxa"/>
            <w:vAlign w:val="center"/>
          </w:tcPr>
          <w:p w14:paraId="08684A97">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Cs w:val="21"/>
              </w:rPr>
            </w:pPr>
            <w:r>
              <w:rPr>
                <w:rFonts w:hint="eastAsia" w:ascii="宋体" w:hAnsi="宋体" w:eastAsia="宋体" w:cs="宋体"/>
                <w:color w:val="auto"/>
                <w:szCs w:val="21"/>
                <w:lang w:bidi="ar"/>
              </w:rPr>
              <w:t>东莞市松山湖高新技术产业开发区工业西三路3号（松山湖北部污水处理厂二期）</w:t>
            </w:r>
          </w:p>
        </w:tc>
      </w:tr>
      <w:tr w14:paraId="22A3D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8" w:type="dxa"/>
            <w:noWrap/>
            <w:vAlign w:val="center"/>
          </w:tcPr>
          <w:p w14:paraId="2CB8C85F">
            <w:pPr>
              <w:keepNext w:val="0"/>
              <w:keepLines w:val="0"/>
              <w:widowControl/>
              <w:suppressLineNumbers w:val="0"/>
              <w:spacing w:before="0" w:beforeAutospacing="0" w:after="0" w:afterAutospacing="0"/>
              <w:ind w:left="0" w:right="0"/>
              <w:jc w:val="center"/>
              <w:rPr>
                <w:rFonts w:hint="default" w:ascii="宋体" w:hAnsi="宋体" w:eastAsia="宋体" w:cs="宋体"/>
                <w:color w:val="auto"/>
                <w:szCs w:val="21"/>
              </w:rPr>
            </w:pPr>
            <w:r>
              <w:rPr>
                <w:rFonts w:hint="eastAsia" w:ascii="宋体" w:hAnsi="宋体" w:eastAsia="宋体" w:cs="宋体"/>
                <w:color w:val="auto"/>
                <w:szCs w:val="21"/>
              </w:rPr>
              <w:t>29</w:t>
            </w:r>
          </w:p>
        </w:tc>
        <w:tc>
          <w:tcPr>
            <w:tcW w:w="2323" w:type="dxa"/>
            <w:tcBorders>
              <w:right w:val="single" w:color="auto" w:sz="4" w:space="0"/>
            </w:tcBorders>
            <w:vAlign w:val="center"/>
          </w:tcPr>
          <w:p w14:paraId="3EB2ACF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szCs w:val="21"/>
                <w:lang w:bidi="ar"/>
              </w:rPr>
              <w:t>常平西</w:t>
            </w:r>
          </w:p>
        </w:tc>
        <w:tc>
          <w:tcPr>
            <w:tcW w:w="5419" w:type="dxa"/>
            <w:vAlign w:val="center"/>
          </w:tcPr>
          <w:p w14:paraId="6BE55110">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Cs w:val="21"/>
              </w:rPr>
            </w:pPr>
            <w:r>
              <w:rPr>
                <w:rFonts w:hint="eastAsia" w:ascii="宋体" w:hAnsi="宋体" w:eastAsia="宋体" w:cs="宋体"/>
                <w:color w:val="auto"/>
                <w:szCs w:val="21"/>
              </w:rPr>
              <w:t>东莞市常平镇贝冲南一街</w:t>
            </w:r>
          </w:p>
        </w:tc>
      </w:tr>
      <w:tr w14:paraId="2F63D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8" w:type="dxa"/>
            <w:noWrap/>
            <w:vAlign w:val="center"/>
          </w:tcPr>
          <w:p w14:paraId="14379ED4">
            <w:pPr>
              <w:keepNext w:val="0"/>
              <w:keepLines w:val="0"/>
              <w:widowControl/>
              <w:suppressLineNumbers w:val="0"/>
              <w:spacing w:before="0" w:beforeAutospacing="0" w:after="0" w:afterAutospacing="0"/>
              <w:ind w:left="0" w:right="0"/>
              <w:jc w:val="center"/>
              <w:rPr>
                <w:rFonts w:hint="default" w:ascii="宋体" w:hAnsi="宋体" w:eastAsia="宋体" w:cs="宋体"/>
                <w:color w:val="auto"/>
                <w:szCs w:val="21"/>
              </w:rPr>
            </w:pPr>
            <w:r>
              <w:rPr>
                <w:rFonts w:hint="eastAsia" w:ascii="宋体" w:hAnsi="宋体" w:eastAsia="宋体" w:cs="宋体"/>
                <w:color w:val="auto"/>
                <w:szCs w:val="21"/>
              </w:rPr>
              <w:t>30</w:t>
            </w:r>
          </w:p>
        </w:tc>
        <w:tc>
          <w:tcPr>
            <w:tcW w:w="2323" w:type="dxa"/>
            <w:tcBorders>
              <w:right w:val="single" w:color="auto" w:sz="4" w:space="0"/>
            </w:tcBorders>
            <w:vAlign w:val="center"/>
          </w:tcPr>
          <w:p w14:paraId="5945E08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lang w:bidi="ar"/>
              </w:rPr>
            </w:pPr>
            <w:r>
              <w:rPr>
                <w:rFonts w:hint="eastAsia" w:ascii="宋体" w:hAnsi="宋体" w:eastAsia="宋体" w:cs="宋体"/>
                <w:color w:val="auto"/>
                <w:szCs w:val="21"/>
                <w:lang w:bidi="ar"/>
              </w:rPr>
              <w:t>横沥东坑</w:t>
            </w:r>
          </w:p>
        </w:tc>
        <w:tc>
          <w:tcPr>
            <w:tcW w:w="5419" w:type="dxa"/>
            <w:vAlign w:val="center"/>
          </w:tcPr>
          <w:p w14:paraId="7B1D5D43">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Cs w:val="21"/>
                <w:lang w:bidi="ar"/>
              </w:rPr>
            </w:pPr>
            <w:r>
              <w:rPr>
                <w:rFonts w:hint="eastAsia" w:ascii="宋体" w:hAnsi="宋体" w:eastAsia="宋体" w:cs="宋体"/>
                <w:color w:val="auto"/>
                <w:szCs w:val="21"/>
              </w:rPr>
              <w:t>东莞市</w:t>
            </w:r>
            <w:r>
              <w:rPr>
                <w:rFonts w:hint="eastAsia" w:ascii="宋体" w:hAnsi="宋体" w:eastAsia="宋体" w:cs="宋体"/>
                <w:color w:val="auto"/>
                <w:szCs w:val="21"/>
                <w:lang w:bidi="ar"/>
              </w:rPr>
              <w:t>横沥镇角社角详路</w:t>
            </w:r>
          </w:p>
        </w:tc>
      </w:tr>
      <w:tr w14:paraId="0045B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8" w:type="dxa"/>
            <w:noWrap/>
            <w:vAlign w:val="center"/>
          </w:tcPr>
          <w:p w14:paraId="0EDD7B31">
            <w:pPr>
              <w:keepNext w:val="0"/>
              <w:keepLines w:val="0"/>
              <w:widowControl/>
              <w:suppressLineNumbers w:val="0"/>
              <w:spacing w:before="0" w:beforeAutospacing="0" w:after="0" w:afterAutospacing="0"/>
              <w:ind w:left="0" w:right="0"/>
              <w:jc w:val="center"/>
              <w:rPr>
                <w:rFonts w:hint="default" w:ascii="宋体" w:hAnsi="宋体" w:eastAsia="宋体" w:cs="宋体"/>
                <w:color w:val="auto"/>
                <w:szCs w:val="21"/>
              </w:rPr>
            </w:pPr>
            <w:r>
              <w:rPr>
                <w:rFonts w:hint="eastAsia" w:ascii="宋体" w:hAnsi="宋体" w:eastAsia="宋体" w:cs="宋体"/>
                <w:color w:val="auto"/>
                <w:szCs w:val="21"/>
              </w:rPr>
              <w:t>31</w:t>
            </w:r>
          </w:p>
        </w:tc>
        <w:tc>
          <w:tcPr>
            <w:tcW w:w="2323" w:type="dxa"/>
            <w:tcBorders>
              <w:right w:val="single" w:color="auto" w:sz="4" w:space="0"/>
            </w:tcBorders>
            <w:vAlign w:val="center"/>
          </w:tcPr>
          <w:p w14:paraId="402AD38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szCs w:val="21"/>
                <w:lang w:bidi="ar"/>
              </w:rPr>
              <w:t>松南二期</w:t>
            </w:r>
          </w:p>
        </w:tc>
        <w:tc>
          <w:tcPr>
            <w:tcW w:w="5419" w:type="dxa"/>
            <w:vAlign w:val="center"/>
          </w:tcPr>
          <w:p w14:paraId="37C8C6A5">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Cs w:val="21"/>
              </w:rPr>
            </w:pPr>
            <w:r>
              <w:rPr>
                <w:rFonts w:hint="eastAsia" w:ascii="宋体" w:hAnsi="宋体" w:eastAsia="宋体" w:cs="宋体"/>
                <w:color w:val="auto"/>
                <w:szCs w:val="21"/>
                <w:lang w:bidi="ar"/>
              </w:rPr>
              <w:t>东莞市大朗镇沙步村杨沙路与沙通路交叉口东北侧（大朗松山湖南部污水处理厂二期）</w:t>
            </w:r>
          </w:p>
        </w:tc>
      </w:tr>
      <w:tr w14:paraId="7DE9C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8" w:type="dxa"/>
            <w:noWrap/>
            <w:vAlign w:val="center"/>
          </w:tcPr>
          <w:p w14:paraId="28C160A7">
            <w:pPr>
              <w:keepNext w:val="0"/>
              <w:keepLines w:val="0"/>
              <w:widowControl/>
              <w:suppressLineNumbers w:val="0"/>
              <w:spacing w:before="0" w:beforeAutospacing="0" w:after="0" w:afterAutospacing="0"/>
              <w:ind w:left="0" w:right="0"/>
              <w:jc w:val="center"/>
              <w:rPr>
                <w:rFonts w:hint="default" w:ascii="宋体" w:hAnsi="宋体" w:eastAsia="宋体" w:cs="宋体"/>
                <w:color w:val="auto"/>
                <w:szCs w:val="21"/>
              </w:rPr>
            </w:pPr>
            <w:r>
              <w:rPr>
                <w:rFonts w:hint="eastAsia" w:ascii="宋体" w:hAnsi="宋体" w:eastAsia="宋体" w:cs="宋体"/>
                <w:color w:val="auto"/>
                <w:szCs w:val="21"/>
              </w:rPr>
              <w:t>32</w:t>
            </w:r>
          </w:p>
        </w:tc>
        <w:tc>
          <w:tcPr>
            <w:tcW w:w="2323" w:type="dxa"/>
            <w:tcBorders>
              <w:right w:val="single" w:color="auto" w:sz="4" w:space="0"/>
            </w:tcBorders>
            <w:vAlign w:val="center"/>
          </w:tcPr>
          <w:p w14:paraId="7E2306F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szCs w:val="21"/>
                <w:lang w:bidi="ar"/>
              </w:rPr>
              <w:t>松南一期提标</w:t>
            </w:r>
          </w:p>
        </w:tc>
        <w:tc>
          <w:tcPr>
            <w:tcW w:w="5419" w:type="dxa"/>
            <w:vAlign w:val="center"/>
          </w:tcPr>
          <w:p w14:paraId="4B2A3737">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Cs w:val="21"/>
              </w:rPr>
            </w:pPr>
            <w:r>
              <w:rPr>
                <w:rFonts w:hint="eastAsia" w:ascii="宋体" w:hAnsi="宋体" w:eastAsia="宋体" w:cs="宋体"/>
                <w:color w:val="auto"/>
                <w:szCs w:val="21"/>
                <w:lang w:bidi="ar"/>
              </w:rPr>
              <w:t>东莞市大朗镇沙步村杨沙路与沙通路交叉口东北侧（大朗松山湖南部污水处理厂二期）</w:t>
            </w:r>
          </w:p>
        </w:tc>
      </w:tr>
      <w:tr w14:paraId="245B1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8" w:type="dxa"/>
            <w:noWrap/>
            <w:vAlign w:val="center"/>
          </w:tcPr>
          <w:p w14:paraId="7C5848BC">
            <w:pPr>
              <w:keepNext w:val="0"/>
              <w:keepLines w:val="0"/>
              <w:widowControl/>
              <w:suppressLineNumbers w:val="0"/>
              <w:spacing w:before="0" w:beforeAutospacing="0" w:after="0" w:afterAutospacing="0"/>
              <w:ind w:left="0" w:right="0"/>
              <w:jc w:val="center"/>
              <w:rPr>
                <w:rFonts w:hint="default" w:ascii="宋体" w:hAnsi="宋体" w:eastAsia="宋体" w:cs="宋体"/>
                <w:color w:val="auto"/>
                <w:szCs w:val="21"/>
              </w:rPr>
            </w:pPr>
            <w:r>
              <w:rPr>
                <w:rFonts w:hint="eastAsia" w:ascii="宋体" w:hAnsi="宋体" w:eastAsia="宋体" w:cs="宋体"/>
                <w:color w:val="auto"/>
                <w:szCs w:val="21"/>
              </w:rPr>
              <w:t>33</w:t>
            </w:r>
          </w:p>
        </w:tc>
        <w:tc>
          <w:tcPr>
            <w:tcW w:w="2323" w:type="dxa"/>
            <w:tcBorders>
              <w:right w:val="single" w:color="auto" w:sz="4" w:space="0"/>
            </w:tcBorders>
            <w:vAlign w:val="center"/>
          </w:tcPr>
          <w:p w14:paraId="07E2154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szCs w:val="21"/>
                <w:lang w:bidi="ar"/>
              </w:rPr>
              <w:t>东城温塘厂及二期提标</w:t>
            </w:r>
          </w:p>
        </w:tc>
        <w:tc>
          <w:tcPr>
            <w:tcW w:w="5419" w:type="dxa"/>
            <w:vAlign w:val="center"/>
          </w:tcPr>
          <w:p w14:paraId="51F15605">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Cs w:val="21"/>
              </w:rPr>
            </w:pPr>
            <w:r>
              <w:rPr>
                <w:rFonts w:hint="eastAsia" w:ascii="宋体" w:hAnsi="宋体" w:eastAsia="宋体" w:cs="宋体"/>
                <w:color w:val="auto"/>
                <w:szCs w:val="21"/>
                <w:lang w:bidi="ar"/>
              </w:rPr>
              <w:t>东莞市寮步镇竹园村虚舟路</w:t>
            </w:r>
          </w:p>
        </w:tc>
      </w:tr>
      <w:tr w14:paraId="01C17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8" w:type="dxa"/>
            <w:noWrap/>
            <w:vAlign w:val="center"/>
          </w:tcPr>
          <w:p w14:paraId="0754A266">
            <w:pPr>
              <w:keepNext w:val="0"/>
              <w:keepLines w:val="0"/>
              <w:widowControl/>
              <w:suppressLineNumbers w:val="0"/>
              <w:spacing w:before="0" w:beforeAutospacing="0" w:after="0" w:afterAutospacing="0"/>
              <w:ind w:left="0" w:right="0"/>
              <w:jc w:val="center"/>
              <w:rPr>
                <w:rFonts w:hint="default" w:ascii="宋体" w:hAnsi="宋体" w:eastAsia="宋体" w:cs="宋体"/>
                <w:color w:val="auto"/>
                <w:szCs w:val="21"/>
              </w:rPr>
            </w:pPr>
            <w:r>
              <w:rPr>
                <w:rFonts w:hint="eastAsia" w:ascii="宋体" w:hAnsi="宋体" w:eastAsia="宋体" w:cs="宋体"/>
                <w:color w:val="auto"/>
                <w:szCs w:val="21"/>
              </w:rPr>
              <w:t>34</w:t>
            </w:r>
          </w:p>
        </w:tc>
        <w:tc>
          <w:tcPr>
            <w:tcW w:w="2323" w:type="dxa"/>
            <w:tcBorders>
              <w:right w:val="single" w:color="auto" w:sz="4" w:space="0"/>
            </w:tcBorders>
            <w:vAlign w:val="center"/>
          </w:tcPr>
          <w:p w14:paraId="1AFECC4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szCs w:val="21"/>
                <w:lang w:bidi="ar"/>
              </w:rPr>
              <w:t>麻涌二期</w:t>
            </w:r>
          </w:p>
        </w:tc>
        <w:tc>
          <w:tcPr>
            <w:tcW w:w="5419" w:type="dxa"/>
            <w:vAlign w:val="center"/>
          </w:tcPr>
          <w:p w14:paraId="3EB584A8">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Cs w:val="21"/>
              </w:rPr>
            </w:pPr>
            <w:r>
              <w:rPr>
                <w:rFonts w:hint="eastAsia" w:ascii="宋体" w:hAnsi="宋体" w:eastAsia="宋体" w:cs="宋体"/>
                <w:color w:val="auto"/>
                <w:szCs w:val="21"/>
                <w:lang w:bidi="ar"/>
              </w:rPr>
              <w:t>广东省东莞市麻涌镇新沙公园南一路9号2号楼202 室</w:t>
            </w:r>
          </w:p>
        </w:tc>
      </w:tr>
      <w:tr w14:paraId="770B1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8" w:type="dxa"/>
            <w:noWrap/>
            <w:vAlign w:val="center"/>
          </w:tcPr>
          <w:p w14:paraId="6DAD11D6">
            <w:pPr>
              <w:keepNext w:val="0"/>
              <w:keepLines w:val="0"/>
              <w:widowControl/>
              <w:suppressLineNumbers w:val="0"/>
              <w:spacing w:before="0" w:beforeAutospacing="0" w:after="0" w:afterAutospacing="0"/>
              <w:ind w:left="0" w:right="0"/>
              <w:jc w:val="center"/>
              <w:rPr>
                <w:rFonts w:hint="default" w:ascii="宋体" w:hAnsi="宋体" w:eastAsia="宋体" w:cs="宋体"/>
                <w:color w:val="auto"/>
                <w:szCs w:val="21"/>
              </w:rPr>
            </w:pPr>
            <w:r>
              <w:rPr>
                <w:rFonts w:hint="eastAsia" w:ascii="宋体" w:hAnsi="宋体" w:eastAsia="宋体" w:cs="宋体"/>
                <w:color w:val="auto"/>
                <w:szCs w:val="21"/>
              </w:rPr>
              <w:t>35</w:t>
            </w:r>
          </w:p>
        </w:tc>
        <w:tc>
          <w:tcPr>
            <w:tcW w:w="2323" w:type="dxa"/>
            <w:tcBorders>
              <w:right w:val="single" w:color="auto" w:sz="4" w:space="0"/>
            </w:tcBorders>
            <w:vAlign w:val="center"/>
          </w:tcPr>
          <w:p w14:paraId="5FF3811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szCs w:val="21"/>
                <w:lang w:bidi="ar"/>
              </w:rPr>
              <w:t>麻涌提标</w:t>
            </w:r>
          </w:p>
        </w:tc>
        <w:tc>
          <w:tcPr>
            <w:tcW w:w="5419" w:type="dxa"/>
            <w:vAlign w:val="center"/>
          </w:tcPr>
          <w:p w14:paraId="741DCB5B">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Cs w:val="21"/>
              </w:rPr>
            </w:pPr>
            <w:r>
              <w:rPr>
                <w:rFonts w:hint="eastAsia" w:ascii="宋体" w:hAnsi="宋体" w:eastAsia="宋体" w:cs="宋体"/>
                <w:color w:val="auto"/>
                <w:szCs w:val="21"/>
                <w:lang w:bidi="ar"/>
              </w:rPr>
              <w:t>广东省东莞市麻涌镇新沙公园南一路</w:t>
            </w:r>
          </w:p>
        </w:tc>
      </w:tr>
      <w:tr w14:paraId="32EBB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8" w:type="dxa"/>
            <w:noWrap/>
            <w:vAlign w:val="center"/>
          </w:tcPr>
          <w:p w14:paraId="4FB5F3F0">
            <w:pPr>
              <w:keepNext w:val="0"/>
              <w:keepLines w:val="0"/>
              <w:widowControl/>
              <w:suppressLineNumbers w:val="0"/>
              <w:spacing w:before="0" w:beforeAutospacing="0" w:after="0" w:afterAutospacing="0"/>
              <w:ind w:left="0" w:right="0"/>
              <w:jc w:val="center"/>
              <w:rPr>
                <w:rFonts w:hint="default" w:ascii="宋体" w:hAnsi="宋体" w:eastAsia="宋体" w:cs="宋体"/>
                <w:color w:val="auto"/>
                <w:szCs w:val="21"/>
              </w:rPr>
            </w:pPr>
            <w:r>
              <w:rPr>
                <w:rFonts w:hint="eastAsia" w:ascii="宋体" w:hAnsi="宋体" w:eastAsia="宋体" w:cs="宋体"/>
                <w:color w:val="auto"/>
                <w:szCs w:val="21"/>
              </w:rPr>
              <w:t>36</w:t>
            </w:r>
          </w:p>
        </w:tc>
        <w:tc>
          <w:tcPr>
            <w:tcW w:w="2323" w:type="dxa"/>
            <w:tcBorders>
              <w:right w:val="single" w:color="auto" w:sz="4" w:space="0"/>
            </w:tcBorders>
            <w:vAlign w:val="center"/>
          </w:tcPr>
          <w:p w14:paraId="562393D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szCs w:val="21"/>
                <w:lang w:bidi="ar"/>
              </w:rPr>
              <w:t>石碣厂</w:t>
            </w:r>
          </w:p>
        </w:tc>
        <w:tc>
          <w:tcPr>
            <w:tcW w:w="5419" w:type="dxa"/>
            <w:vAlign w:val="center"/>
          </w:tcPr>
          <w:p w14:paraId="1042D4D2">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Cs w:val="21"/>
              </w:rPr>
            </w:pPr>
            <w:r>
              <w:rPr>
                <w:rFonts w:hint="eastAsia" w:ascii="宋体" w:hAnsi="宋体" w:eastAsia="宋体" w:cs="宋体"/>
                <w:color w:val="auto"/>
                <w:szCs w:val="21"/>
                <w:lang w:bidi="ar"/>
              </w:rPr>
              <w:t>东莞市石碣镇沙腰村沿江西路2号石碣污水处理厂</w:t>
            </w:r>
          </w:p>
        </w:tc>
      </w:tr>
      <w:tr w14:paraId="63828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8" w:type="dxa"/>
            <w:noWrap/>
            <w:vAlign w:val="center"/>
          </w:tcPr>
          <w:p w14:paraId="1F289114">
            <w:pPr>
              <w:keepNext w:val="0"/>
              <w:keepLines w:val="0"/>
              <w:widowControl/>
              <w:suppressLineNumbers w:val="0"/>
              <w:spacing w:before="0" w:beforeAutospacing="0" w:after="0" w:afterAutospacing="0"/>
              <w:ind w:left="0" w:right="0"/>
              <w:jc w:val="center"/>
              <w:rPr>
                <w:rFonts w:hint="default" w:ascii="宋体" w:hAnsi="宋体" w:eastAsia="宋体" w:cs="宋体"/>
                <w:color w:val="auto"/>
                <w:szCs w:val="21"/>
              </w:rPr>
            </w:pPr>
            <w:r>
              <w:rPr>
                <w:rFonts w:hint="eastAsia" w:ascii="宋体" w:hAnsi="宋体" w:eastAsia="宋体" w:cs="宋体"/>
                <w:color w:val="auto"/>
                <w:szCs w:val="21"/>
              </w:rPr>
              <w:t>37</w:t>
            </w:r>
          </w:p>
        </w:tc>
        <w:tc>
          <w:tcPr>
            <w:tcW w:w="2323" w:type="dxa"/>
            <w:tcBorders>
              <w:right w:val="single" w:color="auto" w:sz="4" w:space="0"/>
            </w:tcBorders>
            <w:vAlign w:val="center"/>
          </w:tcPr>
          <w:p w14:paraId="7265FD2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szCs w:val="21"/>
                <w:lang w:bidi="ar"/>
              </w:rPr>
              <w:t>石碣一期提标</w:t>
            </w:r>
          </w:p>
        </w:tc>
        <w:tc>
          <w:tcPr>
            <w:tcW w:w="5419" w:type="dxa"/>
            <w:vAlign w:val="center"/>
          </w:tcPr>
          <w:p w14:paraId="4C738CCE">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Cs w:val="21"/>
              </w:rPr>
            </w:pPr>
            <w:r>
              <w:rPr>
                <w:rFonts w:hint="eastAsia" w:ascii="宋体" w:hAnsi="宋体" w:eastAsia="宋体" w:cs="宋体"/>
                <w:color w:val="auto"/>
                <w:szCs w:val="21"/>
                <w:lang w:bidi="ar"/>
              </w:rPr>
              <w:t>东莞市石碣镇沙腰村沿江西路2号石碣污水处理厂</w:t>
            </w:r>
          </w:p>
        </w:tc>
      </w:tr>
      <w:tr w14:paraId="0E0AC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8" w:type="dxa"/>
            <w:noWrap/>
            <w:vAlign w:val="center"/>
          </w:tcPr>
          <w:p w14:paraId="7737A64B">
            <w:pPr>
              <w:keepNext w:val="0"/>
              <w:keepLines w:val="0"/>
              <w:widowControl/>
              <w:suppressLineNumbers w:val="0"/>
              <w:spacing w:before="0" w:beforeAutospacing="0" w:after="0" w:afterAutospacing="0"/>
              <w:ind w:left="0" w:right="0"/>
              <w:jc w:val="center"/>
              <w:rPr>
                <w:rFonts w:hint="default" w:ascii="宋体" w:hAnsi="宋体" w:eastAsia="宋体" w:cs="宋体"/>
                <w:color w:val="auto"/>
                <w:szCs w:val="21"/>
              </w:rPr>
            </w:pPr>
            <w:r>
              <w:rPr>
                <w:rFonts w:hint="eastAsia" w:ascii="宋体" w:hAnsi="宋体" w:eastAsia="宋体" w:cs="宋体"/>
                <w:color w:val="auto"/>
                <w:szCs w:val="21"/>
              </w:rPr>
              <w:t>38</w:t>
            </w:r>
          </w:p>
        </w:tc>
        <w:tc>
          <w:tcPr>
            <w:tcW w:w="2323" w:type="dxa"/>
            <w:tcBorders>
              <w:right w:val="single" w:color="auto" w:sz="4" w:space="0"/>
            </w:tcBorders>
            <w:vAlign w:val="center"/>
          </w:tcPr>
          <w:p w14:paraId="19F8E97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szCs w:val="21"/>
                <w:lang w:bidi="ar"/>
              </w:rPr>
              <w:t>石碣二期提标</w:t>
            </w:r>
          </w:p>
        </w:tc>
        <w:tc>
          <w:tcPr>
            <w:tcW w:w="5419" w:type="dxa"/>
            <w:vAlign w:val="center"/>
          </w:tcPr>
          <w:p w14:paraId="23C75AED">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Cs w:val="21"/>
              </w:rPr>
            </w:pPr>
            <w:r>
              <w:rPr>
                <w:rFonts w:hint="eastAsia" w:ascii="宋体" w:hAnsi="宋体" w:eastAsia="宋体" w:cs="宋体"/>
                <w:color w:val="auto"/>
                <w:szCs w:val="21"/>
                <w:lang w:bidi="ar"/>
              </w:rPr>
              <w:t>东莞市石碣镇沙腰村沿江西路2号石碣污水处理厂</w:t>
            </w:r>
          </w:p>
        </w:tc>
      </w:tr>
      <w:tr w14:paraId="144D2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8" w:type="dxa"/>
            <w:noWrap/>
            <w:vAlign w:val="center"/>
          </w:tcPr>
          <w:p w14:paraId="036AE0C3">
            <w:pPr>
              <w:keepNext w:val="0"/>
              <w:keepLines w:val="0"/>
              <w:widowControl/>
              <w:suppressLineNumbers w:val="0"/>
              <w:spacing w:before="0" w:beforeAutospacing="0" w:after="0" w:afterAutospacing="0"/>
              <w:ind w:left="0" w:right="0"/>
              <w:jc w:val="center"/>
              <w:rPr>
                <w:rFonts w:hint="default" w:ascii="宋体" w:hAnsi="宋体" w:eastAsia="宋体" w:cs="宋体"/>
                <w:color w:val="auto"/>
                <w:szCs w:val="21"/>
              </w:rPr>
            </w:pPr>
            <w:r>
              <w:rPr>
                <w:rFonts w:hint="eastAsia" w:ascii="宋体" w:hAnsi="宋体" w:eastAsia="宋体" w:cs="宋体"/>
                <w:color w:val="auto"/>
                <w:szCs w:val="21"/>
              </w:rPr>
              <w:t>39</w:t>
            </w:r>
          </w:p>
        </w:tc>
        <w:tc>
          <w:tcPr>
            <w:tcW w:w="2323" w:type="dxa"/>
            <w:tcBorders>
              <w:right w:val="single" w:color="auto" w:sz="4" w:space="0"/>
            </w:tcBorders>
            <w:vAlign w:val="center"/>
          </w:tcPr>
          <w:p w14:paraId="51CE293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szCs w:val="21"/>
                <w:lang w:bidi="ar"/>
              </w:rPr>
              <w:t>市区厂</w:t>
            </w:r>
          </w:p>
        </w:tc>
        <w:tc>
          <w:tcPr>
            <w:tcW w:w="5419" w:type="dxa"/>
            <w:vAlign w:val="center"/>
          </w:tcPr>
          <w:p w14:paraId="4792434C">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Cs w:val="21"/>
              </w:rPr>
            </w:pPr>
            <w:r>
              <w:rPr>
                <w:rFonts w:hint="eastAsia" w:ascii="宋体" w:hAnsi="宋体" w:eastAsia="宋体" w:cs="宋体"/>
                <w:color w:val="auto"/>
                <w:szCs w:val="21"/>
                <w:lang w:bidi="ar"/>
              </w:rPr>
              <w:t>东莞市滨河路100号</w:t>
            </w:r>
          </w:p>
        </w:tc>
      </w:tr>
      <w:tr w14:paraId="168FB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8" w:type="dxa"/>
            <w:noWrap/>
            <w:vAlign w:val="center"/>
          </w:tcPr>
          <w:p w14:paraId="5DB8855D">
            <w:pPr>
              <w:keepNext w:val="0"/>
              <w:keepLines w:val="0"/>
              <w:widowControl/>
              <w:suppressLineNumbers w:val="0"/>
              <w:spacing w:before="0" w:beforeAutospacing="0" w:after="0" w:afterAutospacing="0"/>
              <w:ind w:left="0" w:right="0"/>
              <w:jc w:val="center"/>
              <w:rPr>
                <w:rFonts w:hint="default" w:ascii="宋体" w:hAnsi="宋体" w:eastAsia="宋体" w:cs="宋体"/>
                <w:color w:val="auto"/>
                <w:szCs w:val="21"/>
              </w:rPr>
            </w:pPr>
            <w:r>
              <w:rPr>
                <w:rFonts w:hint="eastAsia" w:ascii="宋体" w:hAnsi="宋体" w:eastAsia="宋体" w:cs="宋体"/>
                <w:color w:val="auto"/>
                <w:szCs w:val="21"/>
              </w:rPr>
              <w:t>40</w:t>
            </w:r>
          </w:p>
        </w:tc>
        <w:tc>
          <w:tcPr>
            <w:tcW w:w="2323" w:type="dxa"/>
            <w:tcBorders>
              <w:right w:val="single" w:color="auto" w:sz="4" w:space="0"/>
            </w:tcBorders>
            <w:vAlign w:val="center"/>
          </w:tcPr>
          <w:p w14:paraId="148ECEA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szCs w:val="21"/>
                <w:lang w:bidi="ar"/>
              </w:rPr>
              <w:t>市区厂提标</w:t>
            </w:r>
          </w:p>
        </w:tc>
        <w:tc>
          <w:tcPr>
            <w:tcW w:w="5419" w:type="dxa"/>
            <w:vAlign w:val="center"/>
          </w:tcPr>
          <w:p w14:paraId="78C80C43">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Cs w:val="21"/>
              </w:rPr>
            </w:pPr>
            <w:r>
              <w:rPr>
                <w:rFonts w:hint="eastAsia" w:ascii="宋体" w:hAnsi="宋体" w:eastAsia="宋体" w:cs="宋体"/>
                <w:color w:val="auto"/>
                <w:szCs w:val="21"/>
                <w:lang w:bidi="ar"/>
              </w:rPr>
              <w:t>东莞市滨河路100号</w:t>
            </w:r>
          </w:p>
        </w:tc>
      </w:tr>
      <w:tr w14:paraId="220E3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8" w:type="dxa"/>
            <w:noWrap/>
            <w:vAlign w:val="center"/>
          </w:tcPr>
          <w:p w14:paraId="30DDACE4">
            <w:pPr>
              <w:keepNext w:val="0"/>
              <w:keepLines w:val="0"/>
              <w:widowControl/>
              <w:suppressLineNumbers w:val="0"/>
              <w:spacing w:before="0" w:beforeAutospacing="0" w:after="0" w:afterAutospacing="0"/>
              <w:ind w:left="0" w:right="0"/>
              <w:jc w:val="center"/>
              <w:rPr>
                <w:rFonts w:hint="default" w:ascii="宋体" w:hAnsi="宋体" w:eastAsia="宋体" w:cs="宋体"/>
                <w:color w:val="auto"/>
                <w:szCs w:val="21"/>
              </w:rPr>
            </w:pPr>
            <w:r>
              <w:rPr>
                <w:rFonts w:hint="eastAsia" w:ascii="宋体" w:hAnsi="宋体" w:eastAsia="宋体" w:cs="宋体"/>
                <w:color w:val="auto"/>
                <w:szCs w:val="21"/>
              </w:rPr>
              <w:t>41</w:t>
            </w:r>
          </w:p>
        </w:tc>
        <w:tc>
          <w:tcPr>
            <w:tcW w:w="2323" w:type="dxa"/>
            <w:tcBorders>
              <w:right w:val="single" w:color="auto" w:sz="4" w:space="0"/>
            </w:tcBorders>
            <w:vAlign w:val="center"/>
          </w:tcPr>
          <w:p w14:paraId="089347D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szCs w:val="21"/>
                <w:lang w:bidi="ar"/>
              </w:rPr>
              <w:t>望洪提标</w:t>
            </w:r>
          </w:p>
        </w:tc>
        <w:tc>
          <w:tcPr>
            <w:tcW w:w="5419" w:type="dxa"/>
            <w:vAlign w:val="center"/>
          </w:tcPr>
          <w:p w14:paraId="78FC4648">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Cs w:val="21"/>
              </w:rPr>
            </w:pPr>
            <w:r>
              <w:rPr>
                <w:rFonts w:hint="eastAsia" w:ascii="宋体" w:hAnsi="宋体" w:eastAsia="宋体" w:cs="宋体"/>
                <w:color w:val="auto"/>
                <w:szCs w:val="21"/>
                <w:lang w:bidi="ar"/>
              </w:rPr>
              <w:t>东莞市望牛墩镇朱平沙村</w:t>
            </w:r>
          </w:p>
        </w:tc>
      </w:tr>
      <w:tr w14:paraId="39C9F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8" w:type="dxa"/>
            <w:noWrap/>
            <w:vAlign w:val="center"/>
          </w:tcPr>
          <w:p w14:paraId="2ED8E86A">
            <w:pPr>
              <w:keepNext w:val="0"/>
              <w:keepLines w:val="0"/>
              <w:widowControl/>
              <w:suppressLineNumbers w:val="0"/>
              <w:spacing w:before="0" w:beforeAutospacing="0" w:after="0" w:afterAutospacing="0"/>
              <w:ind w:left="0" w:right="0"/>
              <w:jc w:val="center"/>
              <w:rPr>
                <w:rFonts w:hint="default" w:ascii="宋体" w:hAnsi="宋体" w:eastAsia="宋体" w:cs="宋体"/>
                <w:color w:val="auto"/>
                <w:szCs w:val="21"/>
              </w:rPr>
            </w:pPr>
            <w:r>
              <w:rPr>
                <w:rFonts w:hint="eastAsia" w:ascii="宋体" w:hAnsi="宋体" w:eastAsia="宋体" w:cs="宋体"/>
                <w:color w:val="auto"/>
                <w:szCs w:val="21"/>
              </w:rPr>
              <w:t>42</w:t>
            </w:r>
          </w:p>
        </w:tc>
        <w:tc>
          <w:tcPr>
            <w:tcW w:w="2323" w:type="dxa"/>
            <w:tcBorders>
              <w:right w:val="single" w:color="auto" w:sz="4" w:space="0"/>
            </w:tcBorders>
            <w:vAlign w:val="center"/>
          </w:tcPr>
          <w:p w14:paraId="714EA66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szCs w:val="21"/>
                <w:lang w:bidi="ar"/>
              </w:rPr>
              <w:t>万江污水处理厂</w:t>
            </w:r>
          </w:p>
        </w:tc>
        <w:tc>
          <w:tcPr>
            <w:tcW w:w="5419" w:type="dxa"/>
            <w:vAlign w:val="center"/>
          </w:tcPr>
          <w:p w14:paraId="56D8FA6A">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Cs w:val="21"/>
              </w:rPr>
            </w:pPr>
            <w:r>
              <w:rPr>
                <w:rFonts w:hint="eastAsia" w:ascii="宋体" w:hAnsi="宋体" w:eastAsia="宋体" w:cs="宋体"/>
                <w:color w:val="auto"/>
                <w:szCs w:val="21"/>
                <w:lang w:bidi="ar"/>
              </w:rPr>
              <w:t>东莞市万江区流涌尾社区白水涡桥万江污水厂二期</w:t>
            </w:r>
          </w:p>
        </w:tc>
      </w:tr>
      <w:tr w14:paraId="0CD24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8" w:type="dxa"/>
            <w:noWrap/>
            <w:vAlign w:val="center"/>
          </w:tcPr>
          <w:p w14:paraId="641EE857">
            <w:pPr>
              <w:keepNext w:val="0"/>
              <w:keepLines w:val="0"/>
              <w:widowControl/>
              <w:suppressLineNumbers w:val="0"/>
              <w:spacing w:before="0" w:beforeAutospacing="0" w:after="0" w:afterAutospacing="0"/>
              <w:ind w:left="0" w:right="0"/>
              <w:jc w:val="center"/>
              <w:rPr>
                <w:rFonts w:hint="default" w:ascii="宋体" w:hAnsi="宋体" w:eastAsia="宋体" w:cs="宋体"/>
                <w:color w:val="auto"/>
                <w:szCs w:val="21"/>
              </w:rPr>
            </w:pPr>
            <w:r>
              <w:rPr>
                <w:rFonts w:hint="eastAsia" w:ascii="宋体" w:hAnsi="宋体" w:eastAsia="宋体" w:cs="宋体"/>
                <w:color w:val="auto"/>
                <w:szCs w:val="21"/>
              </w:rPr>
              <w:t>43</w:t>
            </w:r>
          </w:p>
        </w:tc>
        <w:tc>
          <w:tcPr>
            <w:tcW w:w="2323" w:type="dxa"/>
            <w:tcBorders>
              <w:right w:val="single" w:color="auto" w:sz="4" w:space="0"/>
            </w:tcBorders>
            <w:vAlign w:val="center"/>
          </w:tcPr>
          <w:p w14:paraId="1471F91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szCs w:val="21"/>
                <w:lang w:bidi="ar"/>
              </w:rPr>
              <w:t>中堂厂</w:t>
            </w:r>
          </w:p>
        </w:tc>
        <w:tc>
          <w:tcPr>
            <w:tcW w:w="5419" w:type="dxa"/>
            <w:vAlign w:val="center"/>
          </w:tcPr>
          <w:p w14:paraId="517ED613">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Cs w:val="21"/>
              </w:rPr>
            </w:pPr>
            <w:r>
              <w:rPr>
                <w:rFonts w:hint="eastAsia" w:ascii="宋体" w:hAnsi="宋体" w:eastAsia="宋体" w:cs="宋体"/>
                <w:color w:val="auto"/>
                <w:szCs w:val="21"/>
                <w:lang w:bidi="ar"/>
              </w:rPr>
              <w:t>广东省东莞市中堂镇东向村滨河东路68号101室（广东莞乡粮油实业有限公司附近）</w:t>
            </w:r>
          </w:p>
        </w:tc>
      </w:tr>
      <w:tr w14:paraId="0CADA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8" w:type="dxa"/>
            <w:noWrap/>
            <w:vAlign w:val="center"/>
          </w:tcPr>
          <w:p w14:paraId="14F4BAA6">
            <w:pPr>
              <w:keepNext w:val="0"/>
              <w:keepLines w:val="0"/>
              <w:widowControl/>
              <w:suppressLineNumbers w:val="0"/>
              <w:spacing w:before="0" w:beforeAutospacing="0" w:after="0" w:afterAutospacing="0"/>
              <w:ind w:left="0" w:right="0"/>
              <w:jc w:val="center"/>
              <w:rPr>
                <w:rFonts w:hint="default" w:ascii="宋体" w:hAnsi="宋体" w:eastAsia="宋体" w:cs="宋体"/>
                <w:color w:val="auto"/>
                <w:szCs w:val="21"/>
              </w:rPr>
            </w:pPr>
            <w:r>
              <w:rPr>
                <w:rFonts w:hint="eastAsia" w:ascii="宋体" w:hAnsi="宋体" w:eastAsia="宋体" w:cs="宋体"/>
                <w:color w:val="auto"/>
                <w:szCs w:val="21"/>
              </w:rPr>
              <w:t>44</w:t>
            </w:r>
          </w:p>
        </w:tc>
        <w:tc>
          <w:tcPr>
            <w:tcW w:w="2323" w:type="dxa"/>
            <w:tcBorders>
              <w:right w:val="single" w:color="auto" w:sz="4" w:space="0"/>
            </w:tcBorders>
            <w:vAlign w:val="center"/>
          </w:tcPr>
          <w:p w14:paraId="3D925F3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szCs w:val="21"/>
              </w:rPr>
              <w:t>高埗二期</w:t>
            </w:r>
          </w:p>
        </w:tc>
        <w:tc>
          <w:tcPr>
            <w:tcW w:w="5419" w:type="dxa"/>
            <w:vAlign w:val="center"/>
          </w:tcPr>
          <w:p w14:paraId="2423470E">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Cs w:val="21"/>
              </w:rPr>
            </w:pPr>
            <w:r>
              <w:rPr>
                <w:rFonts w:hint="eastAsia" w:ascii="宋体" w:hAnsi="宋体" w:eastAsia="宋体" w:cs="宋体"/>
                <w:color w:val="auto"/>
                <w:szCs w:val="21"/>
              </w:rPr>
              <w:t>高埗镇新洲工业西南78米</w:t>
            </w:r>
          </w:p>
        </w:tc>
      </w:tr>
      <w:tr w14:paraId="5E084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8" w:type="dxa"/>
            <w:noWrap/>
            <w:vAlign w:val="center"/>
          </w:tcPr>
          <w:p w14:paraId="1975D4B1">
            <w:pPr>
              <w:keepNext w:val="0"/>
              <w:keepLines w:val="0"/>
              <w:widowControl/>
              <w:suppressLineNumbers w:val="0"/>
              <w:spacing w:before="0" w:beforeAutospacing="0" w:after="0" w:afterAutospacing="0"/>
              <w:ind w:left="0" w:right="0"/>
              <w:jc w:val="center"/>
              <w:rPr>
                <w:rFonts w:hint="default" w:ascii="宋体" w:hAnsi="宋体" w:eastAsia="宋体" w:cs="宋体"/>
                <w:color w:val="auto"/>
                <w:szCs w:val="21"/>
              </w:rPr>
            </w:pPr>
            <w:r>
              <w:rPr>
                <w:rFonts w:hint="eastAsia" w:ascii="宋体" w:hAnsi="宋体" w:eastAsia="宋体" w:cs="宋体"/>
                <w:color w:val="auto"/>
                <w:szCs w:val="21"/>
              </w:rPr>
              <w:t>45</w:t>
            </w:r>
          </w:p>
        </w:tc>
        <w:tc>
          <w:tcPr>
            <w:tcW w:w="2323" w:type="dxa"/>
            <w:tcBorders>
              <w:right w:val="single" w:color="auto" w:sz="4" w:space="0"/>
            </w:tcBorders>
            <w:vAlign w:val="center"/>
          </w:tcPr>
          <w:p w14:paraId="077CAC5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szCs w:val="21"/>
                <w:lang w:bidi="ar"/>
              </w:rPr>
              <w:t>东莞市樟村水质净化有限公司</w:t>
            </w:r>
          </w:p>
        </w:tc>
        <w:tc>
          <w:tcPr>
            <w:tcW w:w="5419" w:type="dxa"/>
            <w:vAlign w:val="center"/>
          </w:tcPr>
          <w:p w14:paraId="7747B090">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Cs w:val="21"/>
              </w:rPr>
            </w:pPr>
            <w:r>
              <w:rPr>
                <w:rFonts w:hint="eastAsia" w:ascii="宋体" w:hAnsi="宋体" w:eastAsia="宋体" w:cs="宋体"/>
                <w:color w:val="auto"/>
                <w:szCs w:val="21"/>
                <w:lang w:bidi="ar"/>
              </w:rPr>
              <w:t>广东省东莞市东城街道樟村社区运河东路5号樟村水质净化有限公司</w:t>
            </w:r>
          </w:p>
        </w:tc>
      </w:tr>
      <w:tr w14:paraId="482CB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8" w:type="dxa"/>
            <w:noWrap/>
            <w:vAlign w:val="center"/>
          </w:tcPr>
          <w:p w14:paraId="2AC56720">
            <w:pPr>
              <w:keepNext w:val="0"/>
              <w:keepLines w:val="0"/>
              <w:widowControl/>
              <w:suppressLineNumbers w:val="0"/>
              <w:spacing w:before="0" w:beforeAutospacing="0" w:after="0" w:afterAutospacing="0"/>
              <w:ind w:left="0" w:right="0"/>
              <w:jc w:val="center"/>
              <w:rPr>
                <w:rFonts w:hint="default" w:ascii="宋体" w:hAnsi="宋体" w:eastAsia="宋体" w:cs="宋体"/>
                <w:color w:val="auto"/>
                <w:szCs w:val="21"/>
              </w:rPr>
            </w:pPr>
            <w:r>
              <w:rPr>
                <w:rFonts w:hint="eastAsia" w:ascii="宋体" w:hAnsi="宋体" w:eastAsia="宋体" w:cs="宋体"/>
                <w:color w:val="auto"/>
                <w:szCs w:val="21"/>
              </w:rPr>
              <w:t>46</w:t>
            </w:r>
          </w:p>
        </w:tc>
        <w:tc>
          <w:tcPr>
            <w:tcW w:w="2323" w:type="dxa"/>
            <w:tcBorders>
              <w:right w:val="single" w:color="auto" w:sz="4" w:space="0"/>
            </w:tcBorders>
            <w:vAlign w:val="center"/>
          </w:tcPr>
          <w:p w14:paraId="03D137B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szCs w:val="21"/>
                <w:lang w:bidi="ar"/>
              </w:rPr>
              <w:t>厚街厂</w:t>
            </w:r>
          </w:p>
        </w:tc>
        <w:tc>
          <w:tcPr>
            <w:tcW w:w="5419" w:type="dxa"/>
            <w:vAlign w:val="center"/>
          </w:tcPr>
          <w:p w14:paraId="6D40A7C7">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Cs w:val="21"/>
              </w:rPr>
            </w:pPr>
            <w:r>
              <w:rPr>
                <w:rFonts w:hint="eastAsia" w:ascii="宋体" w:hAnsi="宋体" w:eastAsia="宋体" w:cs="宋体"/>
                <w:color w:val="auto"/>
                <w:szCs w:val="21"/>
                <w:lang w:bidi="ar"/>
              </w:rPr>
              <w:t>东莞市厚街镇沙塘村厚街污水处理厂二期</w:t>
            </w:r>
          </w:p>
        </w:tc>
      </w:tr>
      <w:tr w14:paraId="4F085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8" w:type="dxa"/>
            <w:noWrap/>
            <w:vAlign w:val="center"/>
          </w:tcPr>
          <w:p w14:paraId="1D751B22">
            <w:pPr>
              <w:keepNext w:val="0"/>
              <w:keepLines w:val="0"/>
              <w:widowControl/>
              <w:suppressLineNumbers w:val="0"/>
              <w:spacing w:before="0" w:beforeAutospacing="0" w:after="0" w:afterAutospacing="0"/>
              <w:ind w:left="0" w:right="0"/>
              <w:jc w:val="center"/>
              <w:rPr>
                <w:rFonts w:hint="default" w:ascii="宋体" w:hAnsi="宋体" w:eastAsia="宋体" w:cs="宋体"/>
                <w:color w:val="auto"/>
                <w:szCs w:val="21"/>
              </w:rPr>
            </w:pPr>
            <w:r>
              <w:rPr>
                <w:rFonts w:hint="eastAsia" w:ascii="宋体" w:hAnsi="宋体" w:eastAsia="宋体" w:cs="宋体"/>
                <w:color w:val="auto"/>
                <w:szCs w:val="21"/>
              </w:rPr>
              <w:t>47</w:t>
            </w:r>
          </w:p>
        </w:tc>
        <w:tc>
          <w:tcPr>
            <w:tcW w:w="2323" w:type="dxa"/>
            <w:tcBorders>
              <w:right w:val="single" w:color="auto" w:sz="4" w:space="0"/>
            </w:tcBorders>
            <w:vAlign w:val="center"/>
          </w:tcPr>
          <w:p w14:paraId="4EEFCAD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szCs w:val="21"/>
                <w:lang w:bidi="ar"/>
              </w:rPr>
              <w:t>虎门宁洲一期提标</w:t>
            </w:r>
          </w:p>
        </w:tc>
        <w:tc>
          <w:tcPr>
            <w:tcW w:w="5419" w:type="dxa"/>
            <w:vAlign w:val="center"/>
          </w:tcPr>
          <w:p w14:paraId="09CC5FB2">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Cs w:val="21"/>
              </w:rPr>
            </w:pPr>
            <w:r>
              <w:rPr>
                <w:rFonts w:hint="eastAsia" w:ascii="宋体" w:hAnsi="宋体" w:eastAsia="宋体" w:cs="宋体"/>
                <w:color w:val="auto"/>
                <w:szCs w:val="21"/>
                <w:lang w:bidi="ar"/>
              </w:rPr>
              <w:t>东莞市虎门镇南栅第六工业区九巷五号</w:t>
            </w:r>
          </w:p>
        </w:tc>
      </w:tr>
      <w:tr w14:paraId="7F2CC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8" w:type="dxa"/>
            <w:noWrap/>
            <w:vAlign w:val="center"/>
          </w:tcPr>
          <w:p w14:paraId="472FF0BD">
            <w:pPr>
              <w:keepNext w:val="0"/>
              <w:keepLines w:val="0"/>
              <w:widowControl/>
              <w:suppressLineNumbers w:val="0"/>
              <w:spacing w:before="0" w:beforeAutospacing="0" w:after="0" w:afterAutospacing="0"/>
              <w:ind w:left="0" w:right="0"/>
              <w:jc w:val="center"/>
              <w:rPr>
                <w:rFonts w:hint="default" w:ascii="宋体" w:hAnsi="宋体" w:eastAsia="宋体" w:cs="宋体"/>
                <w:color w:val="auto"/>
                <w:szCs w:val="21"/>
              </w:rPr>
            </w:pPr>
            <w:r>
              <w:rPr>
                <w:rFonts w:hint="eastAsia" w:ascii="宋体" w:hAnsi="宋体" w:eastAsia="宋体" w:cs="宋体"/>
                <w:color w:val="auto"/>
                <w:szCs w:val="21"/>
              </w:rPr>
              <w:t>48</w:t>
            </w:r>
          </w:p>
        </w:tc>
        <w:tc>
          <w:tcPr>
            <w:tcW w:w="2323" w:type="dxa"/>
            <w:tcBorders>
              <w:right w:val="single" w:color="auto" w:sz="4" w:space="0"/>
            </w:tcBorders>
            <w:vAlign w:val="center"/>
          </w:tcPr>
          <w:p w14:paraId="058CAA4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szCs w:val="21"/>
                <w:lang w:bidi="ar"/>
              </w:rPr>
              <w:t>虎门宁洲二期</w:t>
            </w:r>
          </w:p>
        </w:tc>
        <w:tc>
          <w:tcPr>
            <w:tcW w:w="5419" w:type="dxa"/>
            <w:vAlign w:val="center"/>
          </w:tcPr>
          <w:p w14:paraId="5BABDA5C">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Cs w:val="21"/>
              </w:rPr>
            </w:pPr>
            <w:r>
              <w:rPr>
                <w:rFonts w:hint="eastAsia" w:ascii="宋体" w:hAnsi="宋体" w:eastAsia="宋体" w:cs="宋体"/>
                <w:color w:val="auto"/>
                <w:szCs w:val="21"/>
                <w:lang w:bidi="ar"/>
              </w:rPr>
              <w:t>东莞市虎门镇南栅第六工业区九巷五号</w:t>
            </w:r>
          </w:p>
        </w:tc>
      </w:tr>
      <w:tr w14:paraId="17ECD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8" w:type="dxa"/>
            <w:noWrap/>
            <w:vAlign w:val="center"/>
          </w:tcPr>
          <w:p w14:paraId="160EDE72">
            <w:pPr>
              <w:keepNext w:val="0"/>
              <w:keepLines w:val="0"/>
              <w:widowControl/>
              <w:suppressLineNumbers w:val="0"/>
              <w:spacing w:before="0" w:beforeAutospacing="0" w:after="0" w:afterAutospacing="0"/>
              <w:ind w:left="0" w:right="0"/>
              <w:jc w:val="center"/>
              <w:rPr>
                <w:rFonts w:hint="default" w:ascii="宋体" w:hAnsi="宋体" w:eastAsia="宋体" w:cs="宋体"/>
                <w:color w:val="auto"/>
                <w:szCs w:val="21"/>
              </w:rPr>
            </w:pPr>
            <w:r>
              <w:rPr>
                <w:rFonts w:hint="eastAsia" w:ascii="宋体" w:hAnsi="宋体" w:eastAsia="宋体" w:cs="宋体"/>
                <w:color w:val="auto"/>
                <w:szCs w:val="21"/>
              </w:rPr>
              <w:t>49</w:t>
            </w:r>
          </w:p>
        </w:tc>
        <w:tc>
          <w:tcPr>
            <w:tcW w:w="2323" w:type="dxa"/>
            <w:tcBorders>
              <w:right w:val="single" w:color="auto" w:sz="4" w:space="0"/>
            </w:tcBorders>
            <w:vAlign w:val="center"/>
          </w:tcPr>
          <w:p w14:paraId="42D1C49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szCs w:val="21"/>
                <w:lang w:bidi="ar"/>
              </w:rPr>
              <w:t>虎门宁洲二期</w:t>
            </w:r>
          </w:p>
        </w:tc>
        <w:tc>
          <w:tcPr>
            <w:tcW w:w="5419" w:type="dxa"/>
            <w:vAlign w:val="center"/>
          </w:tcPr>
          <w:p w14:paraId="51EE6C3E">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Cs w:val="21"/>
              </w:rPr>
            </w:pPr>
            <w:r>
              <w:rPr>
                <w:rFonts w:hint="eastAsia" w:ascii="宋体" w:hAnsi="宋体" w:eastAsia="宋体" w:cs="宋体"/>
                <w:color w:val="auto"/>
                <w:szCs w:val="21"/>
                <w:lang w:bidi="ar"/>
              </w:rPr>
              <w:t>东莞市虎门镇南栅第六工业区九巷五号</w:t>
            </w:r>
          </w:p>
        </w:tc>
      </w:tr>
      <w:tr w14:paraId="2124D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8" w:type="dxa"/>
            <w:noWrap/>
            <w:vAlign w:val="center"/>
          </w:tcPr>
          <w:p w14:paraId="7C6FB5C4">
            <w:pPr>
              <w:keepNext w:val="0"/>
              <w:keepLines w:val="0"/>
              <w:widowControl/>
              <w:suppressLineNumbers w:val="0"/>
              <w:spacing w:before="0" w:beforeAutospacing="0" w:after="0" w:afterAutospacing="0"/>
              <w:ind w:left="0" w:right="0"/>
              <w:jc w:val="center"/>
              <w:rPr>
                <w:rFonts w:hint="default" w:ascii="宋体" w:hAnsi="宋体" w:eastAsia="宋体" w:cs="宋体"/>
                <w:color w:val="auto"/>
                <w:szCs w:val="21"/>
              </w:rPr>
            </w:pPr>
            <w:r>
              <w:rPr>
                <w:rFonts w:hint="eastAsia" w:ascii="宋体" w:hAnsi="宋体" w:eastAsia="宋体" w:cs="宋体"/>
                <w:color w:val="auto"/>
                <w:szCs w:val="21"/>
              </w:rPr>
              <w:t>50</w:t>
            </w:r>
          </w:p>
        </w:tc>
        <w:tc>
          <w:tcPr>
            <w:tcW w:w="2323" w:type="dxa"/>
            <w:tcBorders>
              <w:right w:val="single" w:color="auto" w:sz="4" w:space="0"/>
            </w:tcBorders>
            <w:vAlign w:val="center"/>
          </w:tcPr>
          <w:p w14:paraId="7ACFCFF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szCs w:val="21"/>
                <w:lang w:bidi="ar"/>
              </w:rPr>
              <w:t>立沙岛</w:t>
            </w:r>
          </w:p>
        </w:tc>
        <w:tc>
          <w:tcPr>
            <w:tcW w:w="5419" w:type="dxa"/>
            <w:vAlign w:val="center"/>
          </w:tcPr>
          <w:p w14:paraId="6B3E06F3">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Cs w:val="21"/>
              </w:rPr>
            </w:pPr>
            <w:r>
              <w:rPr>
                <w:rFonts w:hint="eastAsia" w:ascii="宋体" w:hAnsi="宋体" w:eastAsia="宋体" w:cs="宋体"/>
                <w:color w:val="auto"/>
                <w:szCs w:val="21"/>
                <w:lang w:bidi="ar"/>
              </w:rPr>
              <w:t>东莞市沙田镇大流村下涌立沙岛污水厂</w:t>
            </w:r>
          </w:p>
        </w:tc>
      </w:tr>
      <w:tr w14:paraId="12ADB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8" w:type="dxa"/>
            <w:noWrap/>
            <w:vAlign w:val="center"/>
          </w:tcPr>
          <w:p w14:paraId="51E5910D">
            <w:pPr>
              <w:keepNext w:val="0"/>
              <w:keepLines w:val="0"/>
              <w:widowControl/>
              <w:suppressLineNumbers w:val="0"/>
              <w:spacing w:before="0" w:beforeAutospacing="0" w:after="0" w:afterAutospacing="0"/>
              <w:ind w:left="0" w:right="0"/>
              <w:jc w:val="center"/>
              <w:rPr>
                <w:rFonts w:hint="default" w:ascii="宋体" w:hAnsi="宋体" w:eastAsia="宋体" w:cs="宋体"/>
                <w:color w:val="auto"/>
                <w:szCs w:val="21"/>
              </w:rPr>
            </w:pPr>
            <w:r>
              <w:rPr>
                <w:rFonts w:hint="eastAsia" w:ascii="宋体" w:hAnsi="宋体" w:eastAsia="宋体" w:cs="宋体"/>
                <w:color w:val="auto"/>
                <w:szCs w:val="21"/>
              </w:rPr>
              <w:t>51</w:t>
            </w:r>
          </w:p>
        </w:tc>
        <w:tc>
          <w:tcPr>
            <w:tcW w:w="2323" w:type="dxa"/>
            <w:tcBorders>
              <w:right w:val="single" w:color="auto" w:sz="4" w:space="0"/>
            </w:tcBorders>
            <w:vAlign w:val="center"/>
          </w:tcPr>
          <w:p w14:paraId="5F7941F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szCs w:val="21"/>
                <w:lang w:bidi="ar"/>
              </w:rPr>
              <w:t>牛山二期</w:t>
            </w:r>
          </w:p>
        </w:tc>
        <w:tc>
          <w:tcPr>
            <w:tcW w:w="5419" w:type="dxa"/>
            <w:vAlign w:val="center"/>
          </w:tcPr>
          <w:p w14:paraId="5E52EE26">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Cs w:val="21"/>
              </w:rPr>
            </w:pPr>
            <w:r>
              <w:rPr>
                <w:rFonts w:hint="eastAsia" w:ascii="宋体" w:hAnsi="宋体" w:eastAsia="宋体" w:cs="宋体"/>
                <w:color w:val="auto"/>
                <w:szCs w:val="21"/>
                <w:lang w:bidi="ar"/>
              </w:rPr>
              <w:t>东莞市东城街道象山路7号</w:t>
            </w:r>
          </w:p>
        </w:tc>
      </w:tr>
      <w:tr w14:paraId="449A3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8" w:type="dxa"/>
            <w:noWrap/>
            <w:vAlign w:val="center"/>
          </w:tcPr>
          <w:p w14:paraId="1E712F4C">
            <w:pPr>
              <w:keepNext w:val="0"/>
              <w:keepLines w:val="0"/>
              <w:widowControl/>
              <w:suppressLineNumbers w:val="0"/>
              <w:spacing w:before="0" w:beforeAutospacing="0" w:after="0" w:afterAutospacing="0"/>
              <w:ind w:left="0" w:right="0"/>
              <w:jc w:val="center"/>
              <w:rPr>
                <w:rFonts w:hint="default" w:ascii="宋体" w:hAnsi="宋体" w:eastAsia="宋体" w:cs="宋体"/>
                <w:color w:val="auto"/>
                <w:szCs w:val="21"/>
              </w:rPr>
            </w:pPr>
            <w:r>
              <w:rPr>
                <w:rFonts w:hint="eastAsia" w:ascii="宋体" w:hAnsi="宋体" w:eastAsia="宋体" w:cs="宋体"/>
                <w:color w:val="auto"/>
                <w:szCs w:val="21"/>
              </w:rPr>
              <w:t>52</w:t>
            </w:r>
          </w:p>
        </w:tc>
        <w:tc>
          <w:tcPr>
            <w:tcW w:w="2323" w:type="dxa"/>
            <w:tcBorders>
              <w:right w:val="single" w:color="auto" w:sz="4" w:space="0"/>
            </w:tcBorders>
            <w:vAlign w:val="center"/>
          </w:tcPr>
          <w:p w14:paraId="09DFA1E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szCs w:val="21"/>
                <w:lang w:bidi="ar"/>
              </w:rPr>
              <w:t>牛山一期提标</w:t>
            </w:r>
          </w:p>
        </w:tc>
        <w:tc>
          <w:tcPr>
            <w:tcW w:w="5419" w:type="dxa"/>
            <w:vAlign w:val="center"/>
          </w:tcPr>
          <w:p w14:paraId="48D0BEDA">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Cs w:val="21"/>
              </w:rPr>
            </w:pPr>
            <w:r>
              <w:rPr>
                <w:rFonts w:hint="eastAsia" w:ascii="宋体" w:hAnsi="宋体" w:eastAsia="宋体" w:cs="宋体"/>
                <w:color w:val="auto"/>
                <w:szCs w:val="21"/>
                <w:lang w:bidi="ar"/>
              </w:rPr>
              <w:t>东莞市东城街道象山路7号</w:t>
            </w:r>
          </w:p>
        </w:tc>
      </w:tr>
      <w:tr w14:paraId="2A1B9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8" w:type="dxa"/>
            <w:noWrap/>
            <w:vAlign w:val="center"/>
          </w:tcPr>
          <w:p w14:paraId="0600D43B">
            <w:pPr>
              <w:keepNext w:val="0"/>
              <w:keepLines w:val="0"/>
              <w:widowControl/>
              <w:suppressLineNumbers w:val="0"/>
              <w:spacing w:before="0" w:beforeAutospacing="0" w:after="0" w:afterAutospacing="0"/>
              <w:ind w:left="0" w:right="0"/>
              <w:jc w:val="center"/>
              <w:rPr>
                <w:rFonts w:hint="default" w:ascii="宋体" w:hAnsi="宋体" w:eastAsia="宋体" w:cs="宋体"/>
                <w:color w:val="auto"/>
                <w:szCs w:val="21"/>
              </w:rPr>
            </w:pPr>
            <w:r>
              <w:rPr>
                <w:rFonts w:hint="eastAsia" w:ascii="宋体" w:hAnsi="宋体" w:eastAsia="宋体" w:cs="宋体"/>
                <w:color w:val="auto"/>
                <w:szCs w:val="21"/>
              </w:rPr>
              <w:t>53</w:t>
            </w:r>
          </w:p>
        </w:tc>
        <w:tc>
          <w:tcPr>
            <w:tcW w:w="2323" w:type="dxa"/>
            <w:tcBorders>
              <w:right w:val="single" w:color="auto" w:sz="4" w:space="0"/>
            </w:tcBorders>
            <w:vAlign w:val="center"/>
          </w:tcPr>
          <w:p w14:paraId="2BF788A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szCs w:val="21"/>
                <w:lang w:bidi="ar"/>
              </w:rPr>
              <w:t>长安三洲提标</w:t>
            </w:r>
          </w:p>
        </w:tc>
        <w:tc>
          <w:tcPr>
            <w:tcW w:w="5419" w:type="dxa"/>
            <w:vAlign w:val="center"/>
          </w:tcPr>
          <w:p w14:paraId="5B48DB1F">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Cs w:val="21"/>
              </w:rPr>
            </w:pPr>
            <w:r>
              <w:rPr>
                <w:rFonts w:hint="eastAsia" w:ascii="宋体" w:hAnsi="宋体" w:eastAsia="宋体" w:cs="宋体"/>
                <w:color w:val="auto"/>
                <w:szCs w:val="21"/>
                <w:lang w:bidi="ar"/>
              </w:rPr>
              <w:t>东莞市长安镇锦厦社区锦隆路1-1号长安锦厦三洲水质净化厂</w:t>
            </w:r>
          </w:p>
        </w:tc>
      </w:tr>
      <w:tr w14:paraId="09EDD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8" w:type="dxa"/>
            <w:noWrap/>
            <w:vAlign w:val="center"/>
          </w:tcPr>
          <w:p w14:paraId="01CE8269">
            <w:pPr>
              <w:keepNext w:val="0"/>
              <w:keepLines w:val="0"/>
              <w:widowControl/>
              <w:suppressLineNumbers w:val="0"/>
              <w:spacing w:before="0" w:beforeAutospacing="0" w:after="0" w:afterAutospacing="0"/>
              <w:ind w:left="0" w:right="0"/>
              <w:jc w:val="center"/>
              <w:rPr>
                <w:rFonts w:hint="default" w:ascii="宋体" w:hAnsi="宋体" w:eastAsia="宋体" w:cs="宋体"/>
                <w:color w:val="auto"/>
                <w:szCs w:val="21"/>
              </w:rPr>
            </w:pPr>
            <w:r>
              <w:rPr>
                <w:rFonts w:hint="eastAsia" w:ascii="宋体" w:hAnsi="宋体" w:eastAsia="宋体" w:cs="宋体"/>
                <w:color w:val="auto"/>
                <w:szCs w:val="21"/>
              </w:rPr>
              <w:t>54</w:t>
            </w:r>
          </w:p>
        </w:tc>
        <w:tc>
          <w:tcPr>
            <w:tcW w:w="2323" w:type="dxa"/>
            <w:tcBorders>
              <w:right w:val="single" w:color="auto" w:sz="4" w:space="0"/>
            </w:tcBorders>
            <w:vAlign w:val="center"/>
          </w:tcPr>
          <w:p w14:paraId="029EDBA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szCs w:val="21"/>
                <w:lang w:bidi="ar"/>
              </w:rPr>
              <w:t>长安新区厂</w:t>
            </w:r>
          </w:p>
        </w:tc>
        <w:tc>
          <w:tcPr>
            <w:tcW w:w="5419" w:type="dxa"/>
            <w:vAlign w:val="center"/>
          </w:tcPr>
          <w:p w14:paraId="0DB1F062">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Cs w:val="21"/>
              </w:rPr>
            </w:pPr>
            <w:r>
              <w:rPr>
                <w:rFonts w:hint="eastAsia" w:ascii="宋体" w:hAnsi="宋体" w:eastAsia="宋体" w:cs="宋体"/>
                <w:color w:val="auto"/>
                <w:szCs w:val="21"/>
                <w:lang w:bidi="ar"/>
              </w:rPr>
              <w:t>东莞市长安镇兴发路长安新区污水处理厂</w:t>
            </w:r>
          </w:p>
        </w:tc>
      </w:tr>
      <w:tr w14:paraId="53D02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8" w:type="dxa"/>
            <w:noWrap/>
            <w:vAlign w:val="center"/>
          </w:tcPr>
          <w:p w14:paraId="49D8C3CF">
            <w:pPr>
              <w:keepNext w:val="0"/>
              <w:keepLines w:val="0"/>
              <w:widowControl/>
              <w:suppressLineNumbers w:val="0"/>
              <w:spacing w:before="0" w:beforeAutospacing="0" w:after="0" w:afterAutospacing="0"/>
              <w:ind w:left="0" w:right="0"/>
              <w:jc w:val="center"/>
              <w:rPr>
                <w:rFonts w:hint="default" w:ascii="宋体" w:hAnsi="宋体" w:eastAsia="宋体" w:cs="宋体"/>
                <w:color w:val="auto"/>
                <w:szCs w:val="21"/>
              </w:rPr>
            </w:pPr>
            <w:r>
              <w:rPr>
                <w:rFonts w:hint="eastAsia" w:ascii="宋体" w:hAnsi="宋体" w:eastAsia="宋体" w:cs="宋体"/>
                <w:color w:val="auto"/>
                <w:szCs w:val="21"/>
              </w:rPr>
              <w:t>55</w:t>
            </w:r>
          </w:p>
        </w:tc>
        <w:tc>
          <w:tcPr>
            <w:tcW w:w="2323" w:type="dxa"/>
            <w:tcBorders>
              <w:right w:val="single" w:color="auto" w:sz="4" w:space="0"/>
            </w:tcBorders>
            <w:vAlign w:val="center"/>
          </w:tcPr>
          <w:p w14:paraId="38C67BB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szCs w:val="21"/>
                <w:lang w:bidi="ar"/>
              </w:rPr>
              <w:t>海岛提标</w:t>
            </w:r>
          </w:p>
        </w:tc>
        <w:tc>
          <w:tcPr>
            <w:tcW w:w="5419" w:type="dxa"/>
            <w:vAlign w:val="center"/>
          </w:tcPr>
          <w:p w14:paraId="454174A1">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Cs w:val="21"/>
              </w:rPr>
            </w:pPr>
            <w:r>
              <w:rPr>
                <w:rFonts w:hint="eastAsia" w:ascii="宋体" w:hAnsi="宋体" w:eastAsia="宋体" w:cs="宋体"/>
                <w:color w:val="auto"/>
                <w:szCs w:val="21"/>
                <w:lang w:bidi="ar"/>
              </w:rPr>
              <w:t>虎门镇威远五围村美的驾校旁海岛污水处理厂</w:t>
            </w:r>
          </w:p>
        </w:tc>
      </w:tr>
      <w:tr w14:paraId="2442F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8" w:type="dxa"/>
            <w:noWrap/>
            <w:vAlign w:val="center"/>
          </w:tcPr>
          <w:p w14:paraId="0A3F8D69">
            <w:pPr>
              <w:keepNext w:val="0"/>
              <w:keepLines w:val="0"/>
              <w:widowControl/>
              <w:suppressLineNumbers w:val="0"/>
              <w:spacing w:before="0" w:beforeAutospacing="0" w:after="0" w:afterAutospacing="0"/>
              <w:ind w:left="0" w:right="0"/>
              <w:jc w:val="center"/>
              <w:rPr>
                <w:rFonts w:hint="default" w:ascii="宋体" w:hAnsi="宋体" w:eastAsia="宋体" w:cs="宋体"/>
                <w:color w:val="auto"/>
                <w:szCs w:val="21"/>
              </w:rPr>
            </w:pPr>
            <w:r>
              <w:rPr>
                <w:rFonts w:hint="eastAsia" w:ascii="宋体" w:hAnsi="宋体" w:eastAsia="宋体" w:cs="宋体"/>
                <w:color w:val="auto"/>
                <w:szCs w:val="21"/>
              </w:rPr>
              <w:t>56</w:t>
            </w:r>
          </w:p>
        </w:tc>
        <w:tc>
          <w:tcPr>
            <w:tcW w:w="2323" w:type="dxa"/>
            <w:tcBorders>
              <w:right w:val="single" w:color="auto" w:sz="4" w:space="0"/>
            </w:tcBorders>
            <w:vAlign w:val="center"/>
          </w:tcPr>
          <w:p w14:paraId="19305ED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rPr>
            </w:pPr>
            <w:r>
              <w:rPr>
                <w:rFonts w:hint="eastAsia" w:ascii="宋体" w:hAnsi="宋体" w:eastAsia="宋体" w:cs="宋体"/>
                <w:color w:val="auto"/>
                <w:szCs w:val="21"/>
              </w:rPr>
              <w:t>沙田福禄沙二期</w:t>
            </w:r>
          </w:p>
        </w:tc>
        <w:tc>
          <w:tcPr>
            <w:tcW w:w="5419" w:type="dxa"/>
            <w:vAlign w:val="center"/>
          </w:tcPr>
          <w:p w14:paraId="798EF70D">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Cs w:val="21"/>
              </w:rPr>
            </w:pPr>
            <w:r>
              <w:rPr>
                <w:rFonts w:hint="eastAsia" w:ascii="宋体" w:hAnsi="宋体" w:eastAsia="宋体" w:cs="宋体"/>
                <w:color w:val="auto"/>
                <w:szCs w:val="21"/>
              </w:rPr>
              <w:t>沙田镇福禄沙村围垦路与远航路交叉路口</w:t>
            </w:r>
          </w:p>
        </w:tc>
      </w:tr>
    </w:tbl>
    <w:p w14:paraId="13725232">
      <w:pPr>
        <w:widowControl/>
        <w:spacing w:line="360" w:lineRule="auto"/>
        <w:rPr>
          <w:rFonts w:ascii="宋体" w:hAnsi="宋体" w:eastAsia="宋体" w:cs="宋体"/>
          <w:color w:val="auto"/>
          <w:szCs w:val="21"/>
        </w:rPr>
      </w:pPr>
    </w:p>
    <w:p w14:paraId="5C9CDD41">
      <w:pPr>
        <w:widowControl/>
        <w:spacing w:line="360" w:lineRule="auto"/>
        <w:ind w:firstLine="210" w:firstLineChars="100"/>
        <w:rPr>
          <w:rFonts w:ascii="宋体" w:hAnsi="宋体" w:eastAsia="宋体" w:cs="宋体"/>
          <w:color w:val="auto"/>
          <w:szCs w:val="21"/>
        </w:rPr>
      </w:pPr>
      <w:r>
        <w:rPr>
          <w:rFonts w:hint="eastAsia" w:ascii="宋体" w:hAnsi="宋体" w:eastAsia="宋体" w:cs="宋体"/>
          <w:color w:val="auto"/>
          <w:szCs w:val="21"/>
        </w:rPr>
        <w:t>3、管网公司：</w:t>
      </w:r>
    </w:p>
    <w:tbl>
      <w:tblPr>
        <w:tblStyle w:val="45"/>
        <w:tblW w:w="8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2"/>
        <w:gridCol w:w="3159"/>
        <w:gridCol w:w="4672"/>
      </w:tblGrid>
      <w:tr w14:paraId="5301C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2" w:type="dxa"/>
            <w:vAlign w:val="center"/>
          </w:tcPr>
          <w:p w14:paraId="0E6CF36B">
            <w:pPr>
              <w:keepNext w:val="0"/>
              <w:keepLines w:val="0"/>
              <w:suppressLineNumbers w:val="0"/>
              <w:spacing w:before="0" w:beforeAutospacing="0" w:after="0" w:afterAutospacing="0" w:line="360" w:lineRule="auto"/>
              <w:ind w:left="0" w:right="0"/>
              <w:contextualSpacing/>
              <w:jc w:val="center"/>
              <w:rPr>
                <w:rFonts w:hint="default" w:ascii="宋体" w:hAnsi="宋体" w:eastAsia="宋体" w:cs="宋体"/>
                <w:b/>
                <w:color w:val="auto"/>
                <w:szCs w:val="21"/>
              </w:rPr>
            </w:pPr>
            <w:r>
              <w:rPr>
                <w:rFonts w:hint="eastAsia" w:ascii="宋体" w:hAnsi="宋体" w:eastAsia="宋体" w:cs="宋体"/>
                <w:b/>
                <w:color w:val="auto"/>
                <w:szCs w:val="21"/>
              </w:rPr>
              <w:t>序号</w:t>
            </w:r>
          </w:p>
        </w:tc>
        <w:tc>
          <w:tcPr>
            <w:tcW w:w="3159" w:type="dxa"/>
            <w:vAlign w:val="center"/>
          </w:tcPr>
          <w:p w14:paraId="69D27678">
            <w:pPr>
              <w:keepNext w:val="0"/>
              <w:keepLines w:val="0"/>
              <w:suppressLineNumbers w:val="0"/>
              <w:spacing w:before="0" w:beforeAutospacing="0" w:after="0" w:afterAutospacing="0" w:line="360" w:lineRule="auto"/>
              <w:ind w:left="0" w:right="0"/>
              <w:contextualSpacing/>
              <w:jc w:val="center"/>
              <w:rPr>
                <w:rFonts w:hint="default" w:ascii="宋体" w:hAnsi="宋体" w:eastAsia="宋体" w:cs="宋体"/>
                <w:b/>
                <w:color w:val="auto"/>
                <w:szCs w:val="21"/>
              </w:rPr>
            </w:pPr>
            <w:r>
              <w:rPr>
                <w:rFonts w:hint="eastAsia" w:ascii="宋体" w:hAnsi="宋体" w:eastAsia="宋体" w:cs="宋体"/>
                <w:b/>
                <w:color w:val="auto"/>
                <w:szCs w:val="21"/>
              </w:rPr>
              <w:t>名称</w:t>
            </w:r>
          </w:p>
        </w:tc>
        <w:tc>
          <w:tcPr>
            <w:tcW w:w="4672" w:type="dxa"/>
            <w:vAlign w:val="center"/>
          </w:tcPr>
          <w:p w14:paraId="2039D146">
            <w:pPr>
              <w:keepNext w:val="0"/>
              <w:keepLines w:val="0"/>
              <w:suppressLineNumbers w:val="0"/>
              <w:spacing w:before="0" w:beforeAutospacing="0" w:after="0" w:afterAutospacing="0" w:line="360" w:lineRule="auto"/>
              <w:ind w:left="0" w:right="0"/>
              <w:contextualSpacing/>
              <w:jc w:val="center"/>
              <w:rPr>
                <w:rFonts w:hint="default" w:ascii="宋体" w:hAnsi="宋体" w:eastAsia="宋体" w:cs="宋体"/>
                <w:b/>
                <w:color w:val="auto"/>
                <w:szCs w:val="21"/>
              </w:rPr>
            </w:pPr>
            <w:r>
              <w:rPr>
                <w:rFonts w:hint="eastAsia" w:ascii="宋体" w:hAnsi="宋体" w:eastAsia="宋体" w:cs="宋体"/>
                <w:b/>
                <w:color w:val="auto"/>
                <w:szCs w:val="21"/>
              </w:rPr>
              <w:t>送货地址</w:t>
            </w:r>
          </w:p>
        </w:tc>
      </w:tr>
      <w:tr w14:paraId="48635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2" w:type="dxa"/>
            <w:vAlign w:val="center"/>
          </w:tcPr>
          <w:p w14:paraId="7E40498A">
            <w:pPr>
              <w:keepNext w:val="0"/>
              <w:keepLines w:val="0"/>
              <w:suppressLineNumbers w:val="0"/>
              <w:spacing w:before="0" w:beforeAutospacing="0" w:after="0" w:afterAutospacing="0" w:line="360" w:lineRule="auto"/>
              <w:ind w:left="0" w:right="0"/>
              <w:contextualSpacing/>
              <w:jc w:val="center"/>
              <w:rPr>
                <w:rFonts w:hint="default" w:ascii="宋体" w:hAnsi="宋体" w:eastAsia="宋体" w:cs="宋体"/>
                <w:color w:val="auto"/>
                <w:szCs w:val="21"/>
              </w:rPr>
            </w:pPr>
            <w:r>
              <w:rPr>
                <w:rFonts w:hint="eastAsia" w:ascii="宋体" w:hAnsi="宋体" w:eastAsia="宋体" w:cs="宋体"/>
                <w:color w:val="auto"/>
                <w:szCs w:val="21"/>
              </w:rPr>
              <w:t>1</w:t>
            </w:r>
          </w:p>
        </w:tc>
        <w:tc>
          <w:tcPr>
            <w:tcW w:w="3159" w:type="dxa"/>
            <w:vAlign w:val="center"/>
          </w:tcPr>
          <w:p w14:paraId="70FBB7A2">
            <w:pPr>
              <w:keepNext w:val="0"/>
              <w:keepLines w:val="0"/>
              <w:suppressLineNumbers w:val="0"/>
              <w:spacing w:before="0" w:beforeAutospacing="0" w:after="0" w:afterAutospacing="0" w:line="360" w:lineRule="auto"/>
              <w:ind w:left="0" w:right="0"/>
              <w:contextualSpacing/>
              <w:rPr>
                <w:rFonts w:hint="default" w:ascii="宋体" w:hAnsi="宋体" w:eastAsia="宋体" w:cs="宋体"/>
                <w:color w:val="auto"/>
                <w:szCs w:val="21"/>
              </w:rPr>
            </w:pPr>
            <w:r>
              <w:rPr>
                <w:rFonts w:hint="eastAsia" w:ascii="宋体" w:hAnsi="宋体" w:eastAsia="宋体" w:cs="宋体"/>
                <w:color w:val="auto"/>
                <w:szCs w:val="21"/>
              </w:rPr>
              <w:t>东莞市水务集团管网有限公司</w:t>
            </w:r>
          </w:p>
        </w:tc>
        <w:tc>
          <w:tcPr>
            <w:tcW w:w="4672" w:type="dxa"/>
            <w:vAlign w:val="center"/>
          </w:tcPr>
          <w:p w14:paraId="1F13E51E">
            <w:pPr>
              <w:keepNext w:val="0"/>
              <w:keepLines w:val="0"/>
              <w:suppressLineNumbers w:val="0"/>
              <w:spacing w:before="0" w:beforeAutospacing="0" w:after="0" w:afterAutospacing="0" w:line="360" w:lineRule="auto"/>
              <w:ind w:left="0" w:right="0"/>
              <w:contextualSpacing/>
              <w:rPr>
                <w:rFonts w:hint="default" w:ascii="宋体" w:hAnsi="宋体" w:eastAsia="宋体" w:cs="宋体"/>
                <w:color w:val="auto"/>
                <w:szCs w:val="21"/>
              </w:rPr>
            </w:pPr>
            <w:r>
              <w:rPr>
                <w:rFonts w:hint="eastAsia" w:ascii="宋体" w:hAnsi="宋体" w:eastAsia="宋体" w:cs="宋体"/>
                <w:color w:val="auto"/>
                <w:szCs w:val="21"/>
              </w:rPr>
              <w:t>东莞市东城街道运河路5号</w:t>
            </w:r>
          </w:p>
        </w:tc>
      </w:tr>
      <w:tr w14:paraId="0607A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2" w:type="dxa"/>
            <w:vAlign w:val="center"/>
          </w:tcPr>
          <w:p w14:paraId="121C8DD9">
            <w:pPr>
              <w:keepNext w:val="0"/>
              <w:keepLines w:val="0"/>
              <w:suppressLineNumbers w:val="0"/>
              <w:spacing w:before="0" w:beforeAutospacing="0" w:after="0" w:afterAutospacing="0" w:line="360" w:lineRule="auto"/>
              <w:ind w:left="0" w:right="0"/>
              <w:contextualSpacing/>
              <w:jc w:val="center"/>
              <w:rPr>
                <w:rFonts w:hint="default" w:ascii="宋体" w:hAnsi="宋体" w:eastAsia="宋体" w:cs="宋体"/>
                <w:color w:val="auto"/>
                <w:szCs w:val="21"/>
              </w:rPr>
            </w:pPr>
            <w:r>
              <w:rPr>
                <w:rFonts w:hint="eastAsia" w:ascii="宋体" w:hAnsi="宋体" w:eastAsia="宋体" w:cs="宋体"/>
                <w:color w:val="auto"/>
                <w:szCs w:val="21"/>
              </w:rPr>
              <w:t>2</w:t>
            </w:r>
          </w:p>
        </w:tc>
        <w:tc>
          <w:tcPr>
            <w:tcW w:w="3159" w:type="dxa"/>
            <w:vAlign w:val="center"/>
          </w:tcPr>
          <w:p w14:paraId="24C5AED5">
            <w:pPr>
              <w:keepNext w:val="0"/>
              <w:keepLines w:val="0"/>
              <w:suppressLineNumbers w:val="0"/>
              <w:spacing w:before="0" w:beforeAutospacing="0" w:after="0" w:afterAutospacing="0" w:line="360" w:lineRule="auto"/>
              <w:ind w:left="0" w:right="0"/>
              <w:contextualSpacing/>
              <w:rPr>
                <w:rFonts w:hint="default" w:ascii="宋体" w:hAnsi="宋体" w:eastAsia="宋体" w:cs="宋体"/>
                <w:color w:val="auto"/>
                <w:szCs w:val="21"/>
              </w:rPr>
            </w:pPr>
            <w:r>
              <w:rPr>
                <w:rFonts w:hint="eastAsia" w:ascii="宋体" w:hAnsi="宋体" w:eastAsia="宋体" w:cs="宋体"/>
                <w:color w:val="auto"/>
                <w:szCs w:val="21"/>
              </w:rPr>
              <w:t>管网有限公司第一分公司</w:t>
            </w:r>
          </w:p>
        </w:tc>
        <w:tc>
          <w:tcPr>
            <w:tcW w:w="4672" w:type="dxa"/>
            <w:vAlign w:val="center"/>
          </w:tcPr>
          <w:p w14:paraId="28D7413F">
            <w:pPr>
              <w:keepNext w:val="0"/>
              <w:keepLines w:val="0"/>
              <w:suppressLineNumbers w:val="0"/>
              <w:spacing w:before="0" w:beforeAutospacing="0" w:after="0" w:afterAutospacing="0" w:line="360" w:lineRule="auto"/>
              <w:ind w:left="0" w:right="0"/>
              <w:contextualSpacing/>
              <w:rPr>
                <w:rFonts w:hint="default" w:ascii="宋体" w:hAnsi="宋体" w:eastAsia="宋体" w:cs="宋体"/>
                <w:color w:val="auto"/>
                <w:szCs w:val="21"/>
              </w:rPr>
            </w:pPr>
            <w:r>
              <w:rPr>
                <w:rFonts w:hint="eastAsia" w:ascii="宋体" w:hAnsi="宋体" w:eastAsia="宋体" w:cs="宋体"/>
                <w:color w:val="auto"/>
                <w:szCs w:val="21"/>
              </w:rPr>
              <w:t>东莞市东城街道榴花西街19号</w:t>
            </w:r>
          </w:p>
        </w:tc>
      </w:tr>
      <w:tr w14:paraId="0A4ED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2" w:type="dxa"/>
            <w:vAlign w:val="center"/>
          </w:tcPr>
          <w:p w14:paraId="51A8576D">
            <w:pPr>
              <w:keepNext w:val="0"/>
              <w:keepLines w:val="0"/>
              <w:suppressLineNumbers w:val="0"/>
              <w:spacing w:before="0" w:beforeAutospacing="0" w:after="0" w:afterAutospacing="0" w:line="360" w:lineRule="auto"/>
              <w:ind w:left="0" w:right="0"/>
              <w:contextualSpacing/>
              <w:jc w:val="center"/>
              <w:rPr>
                <w:rFonts w:hint="default" w:ascii="宋体" w:hAnsi="宋体" w:eastAsia="宋体" w:cs="宋体"/>
                <w:color w:val="auto"/>
                <w:szCs w:val="21"/>
              </w:rPr>
            </w:pPr>
            <w:r>
              <w:rPr>
                <w:rFonts w:hint="eastAsia" w:ascii="宋体" w:hAnsi="宋体" w:eastAsia="宋体" w:cs="宋体"/>
                <w:color w:val="auto"/>
                <w:szCs w:val="21"/>
              </w:rPr>
              <w:t>3</w:t>
            </w:r>
          </w:p>
        </w:tc>
        <w:tc>
          <w:tcPr>
            <w:tcW w:w="3159" w:type="dxa"/>
            <w:vAlign w:val="center"/>
          </w:tcPr>
          <w:p w14:paraId="2D247337">
            <w:pPr>
              <w:keepNext w:val="0"/>
              <w:keepLines w:val="0"/>
              <w:suppressLineNumbers w:val="0"/>
              <w:spacing w:before="0" w:beforeAutospacing="0" w:after="0" w:afterAutospacing="0" w:line="360" w:lineRule="auto"/>
              <w:ind w:left="0" w:right="0"/>
              <w:contextualSpacing/>
              <w:rPr>
                <w:rFonts w:hint="default" w:ascii="宋体" w:hAnsi="宋体" w:eastAsia="宋体" w:cs="宋体"/>
                <w:color w:val="auto"/>
                <w:szCs w:val="21"/>
              </w:rPr>
            </w:pPr>
            <w:r>
              <w:rPr>
                <w:rFonts w:hint="eastAsia" w:ascii="宋体" w:hAnsi="宋体" w:eastAsia="宋体" w:cs="宋体"/>
                <w:color w:val="auto"/>
                <w:szCs w:val="21"/>
              </w:rPr>
              <w:t>管网有限公司第二分公司</w:t>
            </w:r>
          </w:p>
        </w:tc>
        <w:tc>
          <w:tcPr>
            <w:tcW w:w="4672" w:type="dxa"/>
            <w:vAlign w:val="center"/>
          </w:tcPr>
          <w:p w14:paraId="220EF532">
            <w:pPr>
              <w:keepNext w:val="0"/>
              <w:keepLines w:val="0"/>
              <w:suppressLineNumbers w:val="0"/>
              <w:spacing w:before="0" w:beforeAutospacing="0" w:after="0" w:afterAutospacing="0" w:line="360" w:lineRule="auto"/>
              <w:ind w:left="0" w:right="0"/>
              <w:contextualSpacing/>
              <w:rPr>
                <w:rFonts w:hint="default" w:ascii="宋体" w:hAnsi="宋体" w:eastAsia="宋体" w:cs="宋体"/>
                <w:color w:val="auto"/>
                <w:szCs w:val="21"/>
              </w:rPr>
            </w:pPr>
            <w:r>
              <w:rPr>
                <w:rFonts w:hint="eastAsia" w:ascii="宋体" w:hAnsi="宋体" w:eastAsia="宋体" w:cs="宋体"/>
                <w:color w:val="auto"/>
                <w:szCs w:val="21"/>
              </w:rPr>
              <w:t>东莞市寮步镇向西村旭升路五号</w:t>
            </w:r>
          </w:p>
        </w:tc>
      </w:tr>
      <w:tr w14:paraId="2F194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2" w:type="dxa"/>
            <w:vAlign w:val="center"/>
          </w:tcPr>
          <w:p w14:paraId="27A81AD0">
            <w:pPr>
              <w:keepNext w:val="0"/>
              <w:keepLines w:val="0"/>
              <w:suppressLineNumbers w:val="0"/>
              <w:spacing w:before="0" w:beforeAutospacing="0" w:after="0" w:afterAutospacing="0" w:line="360" w:lineRule="auto"/>
              <w:ind w:left="0" w:right="0"/>
              <w:contextualSpacing/>
              <w:jc w:val="center"/>
              <w:rPr>
                <w:rFonts w:hint="default" w:ascii="宋体" w:hAnsi="宋体" w:eastAsia="宋体" w:cs="宋体"/>
                <w:color w:val="auto"/>
                <w:szCs w:val="21"/>
              </w:rPr>
            </w:pPr>
            <w:r>
              <w:rPr>
                <w:rFonts w:hint="eastAsia" w:ascii="宋体" w:hAnsi="宋体" w:eastAsia="宋体" w:cs="宋体"/>
                <w:color w:val="auto"/>
                <w:szCs w:val="21"/>
              </w:rPr>
              <w:t>4</w:t>
            </w:r>
          </w:p>
        </w:tc>
        <w:tc>
          <w:tcPr>
            <w:tcW w:w="3159" w:type="dxa"/>
            <w:vAlign w:val="center"/>
          </w:tcPr>
          <w:p w14:paraId="1D3B0169">
            <w:pPr>
              <w:keepNext w:val="0"/>
              <w:keepLines w:val="0"/>
              <w:suppressLineNumbers w:val="0"/>
              <w:spacing w:before="0" w:beforeAutospacing="0" w:after="0" w:afterAutospacing="0" w:line="360" w:lineRule="auto"/>
              <w:ind w:left="0" w:right="0"/>
              <w:contextualSpacing/>
              <w:rPr>
                <w:rFonts w:hint="default" w:ascii="宋体" w:hAnsi="宋体" w:eastAsia="宋体" w:cs="宋体"/>
                <w:color w:val="auto"/>
                <w:szCs w:val="21"/>
              </w:rPr>
            </w:pPr>
            <w:r>
              <w:rPr>
                <w:rFonts w:hint="eastAsia" w:ascii="宋体" w:hAnsi="宋体" w:eastAsia="宋体" w:cs="宋体"/>
                <w:color w:val="auto"/>
                <w:szCs w:val="21"/>
              </w:rPr>
              <w:t>管网有限公司第三分公司</w:t>
            </w:r>
          </w:p>
        </w:tc>
        <w:tc>
          <w:tcPr>
            <w:tcW w:w="4672" w:type="dxa"/>
            <w:vAlign w:val="center"/>
          </w:tcPr>
          <w:p w14:paraId="7CCBCD74">
            <w:pPr>
              <w:keepNext w:val="0"/>
              <w:keepLines w:val="0"/>
              <w:suppressLineNumbers w:val="0"/>
              <w:spacing w:before="0" w:beforeAutospacing="0" w:after="0" w:afterAutospacing="0" w:line="360" w:lineRule="auto"/>
              <w:ind w:left="0" w:right="0"/>
              <w:contextualSpacing/>
              <w:rPr>
                <w:rFonts w:hint="default" w:ascii="宋体" w:hAnsi="宋体" w:eastAsia="宋体" w:cs="宋体"/>
                <w:color w:val="auto"/>
                <w:szCs w:val="21"/>
              </w:rPr>
            </w:pPr>
            <w:r>
              <w:rPr>
                <w:rFonts w:hint="eastAsia" w:ascii="宋体" w:hAnsi="宋体" w:eastAsia="宋体" w:cs="宋体"/>
                <w:color w:val="auto"/>
                <w:szCs w:val="21"/>
              </w:rPr>
              <w:t>东莞市沙田镇稔洲山边路103号</w:t>
            </w:r>
          </w:p>
        </w:tc>
      </w:tr>
      <w:tr w14:paraId="38E4B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2" w:type="dxa"/>
            <w:vAlign w:val="center"/>
          </w:tcPr>
          <w:p w14:paraId="17B4315C">
            <w:pPr>
              <w:keepNext w:val="0"/>
              <w:keepLines w:val="0"/>
              <w:suppressLineNumbers w:val="0"/>
              <w:spacing w:before="0" w:beforeAutospacing="0" w:after="0" w:afterAutospacing="0" w:line="360" w:lineRule="auto"/>
              <w:ind w:left="0" w:right="0"/>
              <w:contextualSpacing/>
              <w:jc w:val="center"/>
              <w:rPr>
                <w:rFonts w:hint="default" w:ascii="宋体" w:hAnsi="宋体" w:eastAsia="宋体" w:cs="宋体"/>
                <w:color w:val="auto"/>
                <w:szCs w:val="21"/>
              </w:rPr>
            </w:pPr>
            <w:r>
              <w:rPr>
                <w:rFonts w:hint="eastAsia" w:ascii="宋体" w:hAnsi="宋体" w:eastAsia="宋体" w:cs="宋体"/>
                <w:color w:val="auto"/>
                <w:szCs w:val="21"/>
              </w:rPr>
              <w:t>5</w:t>
            </w:r>
          </w:p>
        </w:tc>
        <w:tc>
          <w:tcPr>
            <w:tcW w:w="3159" w:type="dxa"/>
            <w:vAlign w:val="center"/>
          </w:tcPr>
          <w:p w14:paraId="3EE05699">
            <w:pPr>
              <w:keepNext w:val="0"/>
              <w:keepLines w:val="0"/>
              <w:suppressLineNumbers w:val="0"/>
              <w:spacing w:before="0" w:beforeAutospacing="0" w:after="0" w:afterAutospacing="0" w:line="360" w:lineRule="auto"/>
              <w:ind w:left="0" w:right="0"/>
              <w:contextualSpacing/>
              <w:rPr>
                <w:rFonts w:hint="default" w:ascii="宋体" w:hAnsi="宋体" w:eastAsia="宋体" w:cs="宋体"/>
                <w:color w:val="auto"/>
                <w:szCs w:val="21"/>
              </w:rPr>
            </w:pPr>
            <w:r>
              <w:rPr>
                <w:rFonts w:hint="eastAsia" w:ascii="宋体" w:hAnsi="宋体" w:eastAsia="宋体" w:cs="宋体"/>
                <w:color w:val="auto"/>
                <w:szCs w:val="21"/>
              </w:rPr>
              <w:t>管网有限公司第四分公司</w:t>
            </w:r>
          </w:p>
        </w:tc>
        <w:tc>
          <w:tcPr>
            <w:tcW w:w="4672" w:type="dxa"/>
            <w:vAlign w:val="center"/>
          </w:tcPr>
          <w:p w14:paraId="42738963">
            <w:pPr>
              <w:keepNext w:val="0"/>
              <w:keepLines w:val="0"/>
              <w:suppressLineNumbers w:val="0"/>
              <w:spacing w:before="0" w:beforeAutospacing="0" w:after="0" w:afterAutospacing="0" w:line="360" w:lineRule="auto"/>
              <w:ind w:left="0" w:right="0"/>
              <w:contextualSpacing/>
              <w:rPr>
                <w:rFonts w:hint="default" w:ascii="宋体" w:hAnsi="宋体" w:eastAsia="宋体" w:cs="宋体"/>
                <w:color w:val="auto"/>
                <w:szCs w:val="21"/>
              </w:rPr>
            </w:pPr>
            <w:r>
              <w:rPr>
                <w:rFonts w:hint="eastAsia" w:ascii="宋体" w:hAnsi="宋体" w:eastAsia="宋体" w:cs="宋体"/>
                <w:color w:val="auto"/>
                <w:szCs w:val="21"/>
              </w:rPr>
              <w:t>东莞市道滘镇华科城创业园5栋</w:t>
            </w:r>
          </w:p>
        </w:tc>
      </w:tr>
      <w:tr w14:paraId="5CE5D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2" w:type="dxa"/>
            <w:vAlign w:val="center"/>
          </w:tcPr>
          <w:p w14:paraId="017C5070">
            <w:pPr>
              <w:keepNext w:val="0"/>
              <w:keepLines w:val="0"/>
              <w:suppressLineNumbers w:val="0"/>
              <w:spacing w:before="0" w:beforeAutospacing="0" w:after="0" w:afterAutospacing="0" w:line="360" w:lineRule="auto"/>
              <w:ind w:left="0" w:right="0"/>
              <w:contextualSpacing/>
              <w:jc w:val="center"/>
              <w:rPr>
                <w:rFonts w:hint="default" w:ascii="宋体" w:hAnsi="宋体" w:eastAsia="宋体" w:cs="宋体"/>
                <w:color w:val="auto"/>
                <w:szCs w:val="21"/>
              </w:rPr>
            </w:pPr>
            <w:r>
              <w:rPr>
                <w:rFonts w:hint="eastAsia" w:ascii="宋体" w:hAnsi="宋体" w:eastAsia="宋体" w:cs="宋体"/>
                <w:color w:val="auto"/>
                <w:szCs w:val="21"/>
              </w:rPr>
              <w:t>6</w:t>
            </w:r>
          </w:p>
        </w:tc>
        <w:tc>
          <w:tcPr>
            <w:tcW w:w="3159" w:type="dxa"/>
            <w:vAlign w:val="center"/>
          </w:tcPr>
          <w:p w14:paraId="5DAE6116">
            <w:pPr>
              <w:keepNext w:val="0"/>
              <w:keepLines w:val="0"/>
              <w:suppressLineNumbers w:val="0"/>
              <w:spacing w:before="0" w:beforeAutospacing="0" w:after="0" w:afterAutospacing="0" w:line="360" w:lineRule="auto"/>
              <w:ind w:left="0" w:right="0"/>
              <w:contextualSpacing/>
              <w:rPr>
                <w:rFonts w:hint="default" w:ascii="宋体" w:hAnsi="宋体" w:eastAsia="宋体" w:cs="宋体"/>
                <w:color w:val="auto"/>
                <w:szCs w:val="21"/>
              </w:rPr>
            </w:pPr>
            <w:r>
              <w:rPr>
                <w:rFonts w:hint="eastAsia" w:ascii="宋体" w:hAnsi="宋体" w:eastAsia="宋体" w:cs="宋体"/>
                <w:color w:val="auto"/>
                <w:szCs w:val="21"/>
              </w:rPr>
              <w:t>管网有限公司第五分公司</w:t>
            </w:r>
          </w:p>
        </w:tc>
        <w:tc>
          <w:tcPr>
            <w:tcW w:w="4672" w:type="dxa"/>
            <w:vAlign w:val="center"/>
          </w:tcPr>
          <w:p w14:paraId="2B6101DC">
            <w:pPr>
              <w:keepNext w:val="0"/>
              <w:keepLines w:val="0"/>
              <w:suppressLineNumbers w:val="0"/>
              <w:spacing w:before="0" w:beforeAutospacing="0" w:after="0" w:afterAutospacing="0" w:line="360" w:lineRule="auto"/>
              <w:ind w:left="0" w:right="0"/>
              <w:contextualSpacing/>
              <w:rPr>
                <w:rFonts w:hint="default" w:ascii="宋体" w:hAnsi="宋体" w:eastAsia="宋体" w:cs="宋体"/>
                <w:color w:val="auto"/>
                <w:szCs w:val="21"/>
              </w:rPr>
            </w:pPr>
            <w:r>
              <w:rPr>
                <w:rFonts w:hint="eastAsia" w:ascii="宋体" w:hAnsi="宋体" w:eastAsia="宋体" w:cs="宋体"/>
                <w:color w:val="auto"/>
                <w:szCs w:val="21"/>
              </w:rPr>
              <w:t>东莞市横沥镇中山东路82号骏业大厦</w:t>
            </w:r>
          </w:p>
        </w:tc>
      </w:tr>
      <w:tr w14:paraId="160FF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2" w:type="dxa"/>
            <w:vAlign w:val="center"/>
          </w:tcPr>
          <w:p w14:paraId="67406295">
            <w:pPr>
              <w:keepNext w:val="0"/>
              <w:keepLines w:val="0"/>
              <w:suppressLineNumbers w:val="0"/>
              <w:spacing w:before="0" w:beforeAutospacing="0" w:after="0" w:afterAutospacing="0" w:line="360" w:lineRule="auto"/>
              <w:ind w:left="0" w:right="0"/>
              <w:contextualSpacing/>
              <w:jc w:val="center"/>
              <w:rPr>
                <w:rFonts w:hint="default" w:ascii="宋体" w:hAnsi="宋体" w:eastAsia="宋体" w:cs="宋体"/>
                <w:color w:val="auto"/>
                <w:szCs w:val="21"/>
              </w:rPr>
            </w:pPr>
            <w:r>
              <w:rPr>
                <w:rFonts w:hint="eastAsia" w:ascii="宋体" w:hAnsi="宋体" w:eastAsia="宋体" w:cs="宋体"/>
                <w:color w:val="auto"/>
                <w:szCs w:val="21"/>
              </w:rPr>
              <w:t>7</w:t>
            </w:r>
          </w:p>
        </w:tc>
        <w:tc>
          <w:tcPr>
            <w:tcW w:w="3159" w:type="dxa"/>
            <w:vAlign w:val="center"/>
          </w:tcPr>
          <w:p w14:paraId="0B2FCDB8">
            <w:pPr>
              <w:keepNext w:val="0"/>
              <w:keepLines w:val="0"/>
              <w:suppressLineNumbers w:val="0"/>
              <w:spacing w:before="0" w:beforeAutospacing="0" w:after="0" w:afterAutospacing="0" w:line="360" w:lineRule="auto"/>
              <w:ind w:left="0" w:right="0"/>
              <w:contextualSpacing/>
              <w:rPr>
                <w:rFonts w:hint="default" w:ascii="宋体" w:hAnsi="宋体" w:eastAsia="宋体" w:cs="宋体"/>
                <w:color w:val="auto"/>
                <w:szCs w:val="21"/>
              </w:rPr>
            </w:pPr>
            <w:r>
              <w:rPr>
                <w:rFonts w:hint="eastAsia" w:ascii="宋体" w:hAnsi="宋体" w:eastAsia="宋体" w:cs="宋体"/>
                <w:color w:val="auto"/>
                <w:szCs w:val="21"/>
              </w:rPr>
              <w:t>管网有限公司第六分公司</w:t>
            </w:r>
          </w:p>
        </w:tc>
        <w:tc>
          <w:tcPr>
            <w:tcW w:w="4672" w:type="dxa"/>
            <w:vAlign w:val="center"/>
          </w:tcPr>
          <w:p w14:paraId="34E8DA87">
            <w:pPr>
              <w:keepNext w:val="0"/>
              <w:keepLines w:val="0"/>
              <w:suppressLineNumbers w:val="0"/>
              <w:spacing w:before="0" w:beforeAutospacing="0" w:after="0" w:afterAutospacing="0" w:line="360" w:lineRule="auto"/>
              <w:ind w:left="0" w:right="0"/>
              <w:contextualSpacing/>
              <w:rPr>
                <w:rFonts w:hint="default" w:ascii="宋体" w:hAnsi="宋体" w:eastAsia="宋体" w:cs="宋体"/>
                <w:color w:val="auto"/>
                <w:szCs w:val="21"/>
              </w:rPr>
            </w:pPr>
            <w:r>
              <w:rPr>
                <w:rFonts w:hint="eastAsia" w:ascii="宋体" w:hAnsi="宋体" w:eastAsia="宋体" w:cs="宋体"/>
                <w:color w:val="auto"/>
                <w:szCs w:val="21"/>
              </w:rPr>
              <w:t>东莞市塘厦镇蛟坪大道星河科技园</w:t>
            </w:r>
          </w:p>
        </w:tc>
      </w:tr>
    </w:tbl>
    <w:p w14:paraId="3BDC76A7">
      <w:pPr>
        <w:rPr>
          <w:rFonts w:ascii="宋体" w:hAnsi="宋体" w:eastAsia="宋体" w:cs="宋体"/>
          <w:color w:val="auto"/>
          <w:szCs w:val="21"/>
        </w:rPr>
      </w:pPr>
    </w:p>
    <w:p w14:paraId="2FE38647">
      <w:pPr>
        <w:widowControl/>
        <w:spacing w:line="360" w:lineRule="auto"/>
        <w:ind w:firstLine="210" w:firstLineChars="100"/>
        <w:rPr>
          <w:rFonts w:ascii="宋体" w:hAnsi="宋体" w:eastAsia="宋体" w:cs="宋体"/>
          <w:color w:val="auto"/>
          <w:szCs w:val="21"/>
        </w:rPr>
      </w:pPr>
      <w:r>
        <w:rPr>
          <w:rFonts w:hint="eastAsia" w:ascii="宋体" w:hAnsi="宋体" w:eastAsia="宋体" w:cs="宋体"/>
          <w:color w:val="auto"/>
          <w:szCs w:val="21"/>
        </w:rPr>
        <w:t>4、实业公司：</w:t>
      </w:r>
    </w:p>
    <w:tbl>
      <w:tblPr>
        <w:tblStyle w:val="45"/>
        <w:tblW w:w="83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7"/>
        <w:gridCol w:w="3138"/>
        <w:gridCol w:w="4570"/>
      </w:tblGrid>
      <w:tr w14:paraId="79AF6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677" w:type="dxa"/>
            <w:vAlign w:val="center"/>
          </w:tcPr>
          <w:p w14:paraId="4DDBBB72">
            <w:pPr>
              <w:keepNext w:val="0"/>
              <w:keepLines w:val="0"/>
              <w:suppressLineNumbers w:val="0"/>
              <w:spacing w:before="0" w:beforeAutospacing="0" w:after="0" w:afterAutospacing="0" w:line="360" w:lineRule="auto"/>
              <w:ind w:left="0" w:right="0"/>
              <w:contextualSpacing/>
              <w:jc w:val="center"/>
              <w:rPr>
                <w:rFonts w:hint="default" w:ascii="宋体" w:hAnsi="宋体" w:eastAsia="宋体" w:cs="宋体"/>
                <w:b/>
                <w:color w:val="auto"/>
                <w:szCs w:val="21"/>
              </w:rPr>
            </w:pPr>
            <w:r>
              <w:rPr>
                <w:rFonts w:hint="eastAsia" w:ascii="宋体" w:hAnsi="宋体" w:eastAsia="宋体" w:cs="宋体"/>
                <w:b/>
                <w:color w:val="auto"/>
                <w:szCs w:val="21"/>
              </w:rPr>
              <w:t>序号</w:t>
            </w:r>
          </w:p>
        </w:tc>
        <w:tc>
          <w:tcPr>
            <w:tcW w:w="3138" w:type="dxa"/>
            <w:vAlign w:val="center"/>
          </w:tcPr>
          <w:p w14:paraId="3C9A8A86">
            <w:pPr>
              <w:keepNext w:val="0"/>
              <w:keepLines w:val="0"/>
              <w:suppressLineNumbers w:val="0"/>
              <w:spacing w:before="0" w:beforeAutospacing="0" w:after="0" w:afterAutospacing="0" w:line="360" w:lineRule="auto"/>
              <w:ind w:left="0" w:right="0"/>
              <w:contextualSpacing/>
              <w:jc w:val="center"/>
              <w:rPr>
                <w:rFonts w:hint="default" w:ascii="宋体" w:hAnsi="宋体" w:eastAsia="宋体" w:cs="宋体"/>
                <w:b/>
                <w:color w:val="auto"/>
                <w:szCs w:val="21"/>
              </w:rPr>
            </w:pPr>
            <w:r>
              <w:rPr>
                <w:rFonts w:hint="eastAsia" w:ascii="宋体" w:hAnsi="宋体" w:eastAsia="宋体" w:cs="宋体"/>
                <w:b/>
                <w:color w:val="auto"/>
                <w:szCs w:val="21"/>
              </w:rPr>
              <w:t>名称</w:t>
            </w:r>
          </w:p>
        </w:tc>
        <w:tc>
          <w:tcPr>
            <w:tcW w:w="4570" w:type="dxa"/>
            <w:vAlign w:val="center"/>
          </w:tcPr>
          <w:p w14:paraId="5FDCB377">
            <w:pPr>
              <w:keepNext w:val="0"/>
              <w:keepLines w:val="0"/>
              <w:suppressLineNumbers w:val="0"/>
              <w:spacing w:before="0" w:beforeAutospacing="0" w:after="0" w:afterAutospacing="0" w:line="360" w:lineRule="auto"/>
              <w:ind w:left="0" w:right="0"/>
              <w:contextualSpacing/>
              <w:jc w:val="center"/>
              <w:rPr>
                <w:rFonts w:hint="default" w:ascii="宋体" w:hAnsi="宋体" w:eastAsia="宋体" w:cs="宋体"/>
                <w:b/>
                <w:color w:val="auto"/>
                <w:szCs w:val="21"/>
              </w:rPr>
            </w:pPr>
            <w:r>
              <w:rPr>
                <w:rFonts w:hint="eastAsia" w:ascii="宋体" w:hAnsi="宋体" w:eastAsia="宋体" w:cs="宋体"/>
                <w:b/>
                <w:color w:val="auto"/>
                <w:szCs w:val="21"/>
              </w:rPr>
              <w:t>送货地址</w:t>
            </w:r>
          </w:p>
        </w:tc>
      </w:tr>
      <w:tr w14:paraId="1E240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7" w:type="dxa"/>
            <w:vAlign w:val="center"/>
          </w:tcPr>
          <w:p w14:paraId="55898C79">
            <w:pPr>
              <w:keepNext w:val="0"/>
              <w:keepLines w:val="0"/>
              <w:suppressLineNumbers w:val="0"/>
              <w:spacing w:before="0" w:beforeAutospacing="0" w:after="0" w:afterAutospacing="0" w:line="360" w:lineRule="auto"/>
              <w:ind w:left="0" w:right="0"/>
              <w:contextualSpacing/>
              <w:jc w:val="center"/>
              <w:rPr>
                <w:rFonts w:hint="default" w:ascii="宋体" w:hAnsi="宋体" w:eastAsia="宋体" w:cs="宋体"/>
                <w:color w:val="auto"/>
                <w:szCs w:val="21"/>
              </w:rPr>
            </w:pPr>
            <w:r>
              <w:rPr>
                <w:rFonts w:hint="eastAsia" w:ascii="宋体" w:hAnsi="宋体" w:eastAsia="宋体" w:cs="宋体"/>
                <w:color w:val="auto"/>
                <w:szCs w:val="21"/>
              </w:rPr>
              <w:t>1</w:t>
            </w:r>
          </w:p>
        </w:tc>
        <w:tc>
          <w:tcPr>
            <w:tcW w:w="3138" w:type="dxa"/>
            <w:vAlign w:val="center"/>
          </w:tcPr>
          <w:p w14:paraId="4DEFD14B">
            <w:pPr>
              <w:keepNext w:val="0"/>
              <w:keepLines w:val="0"/>
              <w:suppressLineNumbers w:val="0"/>
              <w:spacing w:before="0" w:beforeAutospacing="0" w:after="0" w:afterAutospacing="0" w:line="360" w:lineRule="auto"/>
              <w:ind w:left="0" w:right="0"/>
              <w:contextualSpacing/>
              <w:rPr>
                <w:rFonts w:hint="default" w:ascii="宋体" w:hAnsi="宋体" w:eastAsia="宋体" w:cs="宋体"/>
                <w:color w:val="auto"/>
                <w:szCs w:val="21"/>
              </w:rPr>
            </w:pPr>
            <w:r>
              <w:rPr>
                <w:rFonts w:hint="eastAsia" w:ascii="宋体" w:hAnsi="宋体" w:eastAsia="宋体" w:cs="宋体"/>
                <w:color w:val="auto"/>
                <w:szCs w:val="21"/>
              </w:rPr>
              <w:t>东莞市水务集团实业有限公司</w:t>
            </w:r>
          </w:p>
        </w:tc>
        <w:tc>
          <w:tcPr>
            <w:tcW w:w="4570" w:type="dxa"/>
            <w:vAlign w:val="center"/>
          </w:tcPr>
          <w:p w14:paraId="71185C95">
            <w:pPr>
              <w:keepNext w:val="0"/>
              <w:keepLines w:val="0"/>
              <w:suppressLineNumbers w:val="0"/>
              <w:spacing w:before="0" w:beforeAutospacing="0" w:after="0" w:afterAutospacing="0" w:line="360" w:lineRule="auto"/>
              <w:ind w:left="0" w:right="0"/>
              <w:contextualSpacing/>
              <w:rPr>
                <w:rFonts w:hint="default" w:ascii="宋体" w:hAnsi="宋体" w:eastAsia="宋体" w:cs="宋体"/>
                <w:color w:val="auto"/>
                <w:szCs w:val="21"/>
              </w:rPr>
            </w:pPr>
            <w:r>
              <w:rPr>
                <w:rFonts w:hint="eastAsia" w:ascii="宋体" w:hAnsi="宋体" w:eastAsia="宋体" w:cs="宋体"/>
                <w:color w:val="auto"/>
                <w:szCs w:val="21"/>
              </w:rPr>
              <w:t>东莞市南城街道滨河路市区有机资源再生利用项目</w:t>
            </w:r>
          </w:p>
        </w:tc>
      </w:tr>
    </w:tbl>
    <w:p w14:paraId="5155D03E">
      <w:pPr>
        <w:rPr>
          <w:rFonts w:ascii="宋体" w:hAnsi="宋体" w:eastAsia="宋体" w:cs="宋体"/>
          <w:color w:val="auto"/>
          <w:szCs w:val="21"/>
        </w:rPr>
      </w:pPr>
    </w:p>
    <w:p w14:paraId="55C2B5B8">
      <w:pPr>
        <w:widowControl/>
        <w:spacing w:line="360" w:lineRule="auto"/>
        <w:ind w:firstLine="210" w:firstLineChars="100"/>
        <w:rPr>
          <w:rFonts w:ascii="宋体" w:hAnsi="宋体" w:eastAsia="宋体" w:cs="宋体"/>
          <w:color w:val="auto"/>
          <w:szCs w:val="21"/>
        </w:rPr>
      </w:pPr>
      <w:r>
        <w:rPr>
          <w:rFonts w:hint="eastAsia" w:ascii="宋体" w:hAnsi="宋体" w:eastAsia="宋体" w:cs="宋体"/>
          <w:color w:val="auto"/>
          <w:szCs w:val="21"/>
        </w:rPr>
        <w:t>5、建设公司：</w:t>
      </w:r>
    </w:p>
    <w:tbl>
      <w:tblPr>
        <w:tblStyle w:val="45"/>
        <w:tblW w:w="8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4"/>
        <w:gridCol w:w="3163"/>
        <w:gridCol w:w="4583"/>
      </w:tblGrid>
      <w:tr w14:paraId="086E0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674" w:type="dxa"/>
            <w:vAlign w:val="center"/>
          </w:tcPr>
          <w:p w14:paraId="6B198C90">
            <w:pPr>
              <w:keepNext w:val="0"/>
              <w:keepLines w:val="0"/>
              <w:suppressLineNumbers w:val="0"/>
              <w:spacing w:before="0" w:beforeAutospacing="0" w:after="0" w:afterAutospacing="0" w:line="360" w:lineRule="auto"/>
              <w:ind w:left="0" w:right="0"/>
              <w:contextualSpacing/>
              <w:jc w:val="center"/>
              <w:rPr>
                <w:rFonts w:hint="default" w:ascii="宋体" w:hAnsi="宋体" w:eastAsia="宋体" w:cs="宋体"/>
                <w:b/>
                <w:color w:val="auto"/>
                <w:szCs w:val="21"/>
              </w:rPr>
            </w:pPr>
            <w:r>
              <w:rPr>
                <w:rFonts w:hint="eastAsia" w:ascii="宋体" w:hAnsi="宋体" w:eastAsia="宋体" w:cs="宋体"/>
                <w:b/>
                <w:color w:val="auto"/>
                <w:szCs w:val="21"/>
              </w:rPr>
              <w:t>序号</w:t>
            </w:r>
          </w:p>
        </w:tc>
        <w:tc>
          <w:tcPr>
            <w:tcW w:w="3163" w:type="dxa"/>
            <w:vAlign w:val="center"/>
          </w:tcPr>
          <w:p w14:paraId="52018F4C">
            <w:pPr>
              <w:keepNext w:val="0"/>
              <w:keepLines w:val="0"/>
              <w:suppressLineNumbers w:val="0"/>
              <w:spacing w:before="0" w:beforeAutospacing="0" w:after="0" w:afterAutospacing="0" w:line="360" w:lineRule="auto"/>
              <w:ind w:left="0" w:right="0"/>
              <w:contextualSpacing/>
              <w:jc w:val="center"/>
              <w:rPr>
                <w:rFonts w:hint="default" w:ascii="宋体" w:hAnsi="宋体" w:eastAsia="宋体" w:cs="宋体"/>
                <w:b/>
                <w:color w:val="auto"/>
                <w:szCs w:val="21"/>
              </w:rPr>
            </w:pPr>
            <w:r>
              <w:rPr>
                <w:rFonts w:hint="eastAsia" w:ascii="宋体" w:hAnsi="宋体" w:eastAsia="宋体" w:cs="宋体"/>
                <w:b/>
                <w:color w:val="auto"/>
                <w:szCs w:val="21"/>
              </w:rPr>
              <w:t>名称</w:t>
            </w:r>
          </w:p>
        </w:tc>
        <w:tc>
          <w:tcPr>
            <w:tcW w:w="4583" w:type="dxa"/>
            <w:vAlign w:val="center"/>
          </w:tcPr>
          <w:p w14:paraId="7B69FFD7">
            <w:pPr>
              <w:keepNext w:val="0"/>
              <w:keepLines w:val="0"/>
              <w:suppressLineNumbers w:val="0"/>
              <w:spacing w:before="0" w:beforeAutospacing="0" w:after="0" w:afterAutospacing="0" w:line="360" w:lineRule="auto"/>
              <w:ind w:left="0" w:right="0"/>
              <w:contextualSpacing/>
              <w:jc w:val="center"/>
              <w:rPr>
                <w:rFonts w:hint="default" w:ascii="宋体" w:hAnsi="宋体" w:eastAsia="宋体" w:cs="宋体"/>
                <w:b/>
                <w:color w:val="auto"/>
                <w:szCs w:val="21"/>
              </w:rPr>
            </w:pPr>
            <w:r>
              <w:rPr>
                <w:rFonts w:hint="eastAsia" w:ascii="宋体" w:hAnsi="宋体" w:eastAsia="宋体" w:cs="宋体"/>
                <w:b/>
                <w:color w:val="auto"/>
                <w:szCs w:val="21"/>
              </w:rPr>
              <w:t>送货地址</w:t>
            </w:r>
          </w:p>
        </w:tc>
      </w:tr>
      <w:tr w14:paraId="4B49A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4" w:type="dxa"/>
            <w:vAlign w:val="center"/>
          </w:tcPr>
          <w:p w14:paraId="65675DC5">
            <w:pPr>
              <w:keepNext w:val="0"/>
              <w:keepLines w:val="0"/>
              <w:suppressLineNumbers w:val="0"/>
              <w:spacing w:before="0" w:beforeAutospacing="0" w:after="0" w:afterAutospacing="0" w:line="360" w:lineRule="auto"/>
              <w:ind w:left="0" w:right="0"/>
              <w:contextualSpacing/>
              <w:jc w:val="center"/>
              <w:rPr>
                <w:rFonts w:hint="default" w:ascii="宋体" w:hAnsi="宋体" w:eastAsia="宋体" w:cs="宋体"/>
                <w:color w:val="auto"/>
                <w:szCs w:val="21"/>
              </w:rPr>
            </w:pPr>
            <w:r>
              <w:rPr>
                <w:rFonts w:hint="eastAsia" w:ascii="宋体" w:hAnsi="宋体" w:eastAsia="宋体" w:cs="宋体"/>
                <w:color w:val="auto"/>
                <w:szCs w:val="21"/>
              </w:rPr>
              <w:t>1</w:t>
            </w:r>
          </w:p>
        </w:tc>
        <w:tc>
          <w:tcPr>
            <w:tcW w:w="3163" w:type="dxa"/>
            <w:vAlign w:val="center"/>
          </w:tcPr>
          <w:p w14:paraId="49ADAD4B">
            <w:pPr>
              <w:keepNext w:val="0"/>
              <w:keepLines w:val="0"/>
              <w:suppressLineNumbers w:val="0"/>
              <w:spacing w:before="0" w:beforeAutospacing="0" w:after="0" w:afterAutospacing="0" w:line="360" w:lineRule="auto"/>
              <w:ind w:left="0" w:right="0"/>
              <w:contextualSpacing/>
              <w:rPr>
                <w:rFonts w:hint="default" w:ascii="宋体" w:hAnsi="宋体" w:eastAsia="宋体" w:cs="宋体"/>
                <w:color w:val="auto"/>
                <w:szCs w:val="21"/>
              </w:rPr>
            </w:pPr>
            <w:r>
              <w:rPr>
                <w:rFonts w:hint="eastAsia" w:ascii="宋体" w:hAnsi="宋体" w:eastAsia="宋体" w:cs="宋体"/>
                <w:color w:val="auto"/>
                <w:szCs w:val="21"/>
              </w:rPr>
              <w:t>东莞市水务集团建设管理有限公司</w:t>
            </w:r>
          </w:p>
        </w:tc>
        <w:tc>
          <w:tcPr>
            <w:tcW w:w="4583" w:type="dxa"/>
            <w:vAlign w:val="center"/>
          </w:tcPr>
          <w:p w14:paraId="6A4E1F17">
            <w:pPr>
              <w:keepNext w:val="0"/>
              <w:keepLines w:val="0"/>
              <w:suppressLineNumbers w:val="0"/>
              <w:spacing w:before="0" w:beforeAutospacing="0" w:after="0" w:afterAutospacing="0" w:line="360" w:lineRule="auto"/>
              <w:ind w:left="0" w:right="0"/>
              <w:contextualSpacing/>
              <w:rPr>
                <w:rFonts w:hint="default" w:ascii="宋体" w:hAnsi="宋体" w:eastAsia="宋体" w:cs="宋体"/>
                <w:color w:val="auto"/>
                <w:szCs w:val="21"/>
              </w:rPr>
            </w:pPr>
            <w:r>
              <w:rPr>
                <w:rFonts w:hint="eastAsia" w:ascii="宋体" w:hAnsi="宋体" w:eastAsia="宋体" w:cs="宋体"/>
                <w:color w:val="auto"/>
                <w:szCs w:val="21"/>
              </w:rPr>
              <w:t>东莞市南城街道滨河路100号一期1号楼102室</w:t>
            </w:r>
          </w:p>
        </w:tc>
      </w:tr>
    </w:tbl>
    <w:p w14:paraId="51F5AE32">
      <w:pPr>
        <w:widowControl/>
        <w:autoSpaceDE/>
        <w:autoSpaceDN/>
        <w:adjustRightInd/>
        <w:spacing w:line="240" w:lineRule="auto"/>
        <w:contextualSpacing w:val="0"/>
        <w:jc w:val="left"/>
        <w:outlineLvl w:val="9"/>
        <w:rPr>
          <w:rFonts w:hint="eastAsia" w:ascii="宋体" w:hAnsi="宋体" w:eastAsia="宋体" w:cs="仿宋_GB2312"/>
          <w:b/>
          <w:bCs w:val="0"/>
          <w:color w:val="auto"/>
          <w:kern w:val="0"/>
          <w:sz w:val="24"/>
          <w:szCs w:val="24"/>
          <w:lang w:bidi="ar"/>
        </w:rPr>
      </w:pPr>
      <w:r>
        <w:rPr>
          <w:rFonts w:hint="eastAsia" w:ascii="宋体" w:hAnsi="宋体" w:eastAsia="宋体" w:cs="仿宋_GB2312"/>
          <w:b/>
          <w:bCs w:val="0"/>
          <w:color w:val="auto"/>
          <w:kern w:val="0"/>
          <w:sz w:val="24"/>
          <w:szCs w:val="24"/>
          <w:lang w:bidi="ar"/>
        </w:rPr>
        <w:br w:type="page"/>
      </w:r>
    </w:p>
    <w:p w14:paraId="17E8E3BD">
      <w:pPr>
        <w:widowControl/>
        <w:autoSpaceDE w:val="0"/>
        <w:autoSpaceDN w:val="0"/>
        <w:adjustRightInd w:val="0"/>
        <w:spacing w:line="360" w:lineRule="auto"/>
        <w:contextualSpacing/>
        <w:jc w:val="left"/>
        <w:outlineLvl w:val="1"/>
        <w:rPr>
          <w:rFonts w:ascii="宋体" w:hAnsi="宋体" w:eastAsia="宋体" w:cs="仿宋_GB2312"/>
          <w:b/>
          <w:bCs w:val="0"/>
          <w:color w:val="auto"/>
          <w:kern w:val="0"/>
          <w:sz w:val="24"/>
          <w:szCs w:val="24"/>
          <w:lang w:bidi="ar"/>
        </w:rPr>
      </w:pPr>
      <w:bookmarkStart w:id="403" w:name="_Toc22386"/>
      <w:r>
        <w:rPr>
          <w:rFonts w:hint="eastAsia" w:ascii="宋体" w:hAnsi="宋体" w:eastAsia="宋体" w:cs="仿宋_GB2312"/>
          <w:b/>
          <w:bCs w:val="0"/>
          <w:color w:val="auto"/>
          <w:kern w:val="0"/>
          <w:sz w:val="24"/>
          <w:szCs w:val="24"/>
          <w:lang w:bidi="ar"/>
        </w:rPr>
        <w:t>附件</w:t>
      </w:r>
      <w:r>
        <w:rPr>
          <w:rFonts w:hint="eastAsia" w:ascii="宋体" w:hAnsi="宋体" w:eastAsia="宋体" w:cs="仿宋_GB2312"/>
          <w:b/>
          <w:bCs w:val="0"/>
          <w:color w:val="auto"/>
          <w:kern w:val="0"/>
          <w:sz w:val="24"/>
          <w:szCs w:val="24"/>
          <w:lang w:val="en-US" w:eastAsia="zh-CN" w:bidi="ar"/>
        </w:rPr>
        <w:t>5</w:t>
      </w:r>
      <w:r>
        <w:rPr>
          <w:rFonts w:hint="eastAsia" w:ascii="宋体" w:hAnsi="宋体" w:eastAsia="宋体" w:cs="仿宋_GB2312"/>
          <w:b/>
          <w:bCs w:val="0"/>
          <w:color w:val="auto"/>
          <w:kern w:val="0"/>
          <w:sz w:val="24"/>
          <w:szCs w:val="24"/>
          <w:lang w:bidi="ar"/>
        </w:rPr>
        <w:t>：到货验收单</w:t>
      </w:r>
      <w:bookmarkEnd w:id="403"/>
    </w:p>
    <w:tbl>
      <w:tblPr>
        <w:tblStyle w:val="45"/>
        <w:tblW w:w="0" w:type="auto"/>
        <w:tblInd w:w="91" w:type="dxa"/>
        <w:tblLayout w:type="autofit"/>
        <w:tblCellMar>
          <w:top w:w="0" w:type="dxa"/>
          <w:left w:w="108" w:type="dxa"/>
          <w:bottom w:w="0" w:type="dxa"/>
          <w:right w:w="108" w:type="dxa"/>
        </w:tblCellMar>
      </w:tblPr>
      <w:tblGrid>
        <w:gridCol w:w="10279"/>
      </w:tblGrid>
      <w:tr w14:paraId="2280D438">
        <w:tblPrEx>
          <w:tblCellMar>
            <w:top w:w="0" w:type="dxa"/>
            <w:left w:w="108" w:type="dxa"/>
            <w:bottom w:w="0" w:type="dxa"/>
            <w:right w:w="108" w:type="dxa"/>
          </w:tblCellMar>
        </w:tblPrEx>
        <w:trPr>
          <w:trHeight w:val="525" w:hRule="atLeast"/>
        </w:trPr>
        <w:tc>
          <w:tcPr>
            <w:tcW w:w="0" w:type="auto"/>
            <w:tcBorders>
              <w:top w:val="nil"/>
              <w:left w:val="nil"/>
              <w:bottom w:val="nil"/>
              <w:right w:val="nil"/>
            </w:tcBorders>
            <w:shd w:val="clear" w:color="auto" w:fill="auto"/>
            <w:noWrap/>
            <w:vAlign w:val="center"/>
          </w:tcPr>
          <w:tbl>
            <w:tblPr>
              <w:tblStyle w:val="4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47"/>
              <w:gridCol w:w="922"/>
              <w:gridCol w:w="1514"/>
              <w:gridCol w:w="807"/>
              <w:gridCol w:w="803"/>
              <w:gridCol w:w="1065"/>
              <w:gridCol w:w="1067"/>
              <w:gridCol w:w="1067"/>
              <w:gridCol w:w="1271"/>
            </w:tblGrid>
            <w:tr w14:paraId="4A540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2" w:hRule="atLeast"/>
              </w:trPr>
              <w:tc>
                <w:tcPr>
                  <w:tcW w:w="5000" w:type="pct"/>
                  <w:gridSpan w:val="9"/>
                  <w:tcBorders>
                    <w:top w:val="nil"/>
                    <w:left w:val="nil"/>
                    <w:bottom w:val="nil"/>
                    <w:right w:val="nil"/>
                  </w:tcBorders>
                  <w:shd w:val="clear" w:color="auto" w:fill="auto"/>
                  <w:noWrap/>
                  <w:vAlign w:val="center"/>
                </w:tcPr>
                <w:p w14:paraId="2634F0A9">
                  <w:pPr>
                    <w:keepNext w:val="0"/>
                    <w:keepLines w:val="0"/>
                    <w:widowControl/>
                    <w:suppressLineNumbers w:val="0"/>
                    <w:autoSpaceDE w:val="0"/>
                    <w:autoSpaceDN w:val="0"/>
                    <w:adjustRightInd w:val="0"/>
                    <w:spacing w:before="0" w:beforeAutospacing="0" w:after="0" w:afterAutospacing="0" w:line="480" w:lineRule="auto"/>
                    <w:ind w:left="0" w:right="0"/>
                    <w:jc w:val="center"/>
                    <w:textAlignment w:val="center"/>
                    <w:rPr>
                      <w:rFonts w:hint="eastAsia" w:ascii="宋体" w:hAnsi="宋体" w:eastAsia="宋体" w:cs="宋体"/>
                      <w:b/>
                      <w:bCs/>
                      <w:i w:val="0"/>
                      <w:iCs w:val="0"/>
                      <w:color w:val="auto"/>
                      <w:kern w:val="0"/>
                      <w:sz w:val="30"/>
                      <w:szCs w:val="30"/>
                      <w:u w:val="none"/>
                    </w:rPr>
                  </w:pPr>
                  <w:r>
                    <w:rPr>
                      <w:rFonts w:hint="eastAsia" w:ascii="宋体" w:hAnsi="宋体" w:eastAsia="宋体" w:cs="宋体"/>
                      <w:b/>
                      <w:bCs/>
                      <w:i w:val="0"/>
                      <w:iCs w:val="0"/>
                      <w:color w:val="auto"/>
                      <w:kern w:val="0"/>
                      <w:sz w:val="30"/>
                      <w:szCs w:val="30"/>
                      <w:u w:val="none"/>
                      <w:lang w:val="en-US" w:eastAsia="zh-CN" w:bidi="ar"/>
                    </w:rPr>
                    <w:t>东莞市水务集团有限公司劳保防护用品到货验收单</w:t>
                  </w:r>
                </w:p>
              </w:tc>
            </w:tr>
            <w:tr w14:paraId="60E80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778" w:type="pct"/>
                  <w:tcBorders>
                    <w:top w:val="nil"/>
                    <w:left w:val="nil"/>
                    <w:bottom w:val="nil"/>
                    <w:right w:val="nil"/>
                  </w:tcBorders>
                  <w:shd w:val="clear" w:color="auto" w:fill="auto"/>
                  <w:noWrap/>
                  <w:vAlign w:val="center"/>
                </w:tcPr>
                <w:p w14:paraId="6A13133F">
                  <w:pPr>
                    <w:keepNext w:val="0"/>
                    <w:keepLines w:val="0"/>
                    <w:widowControl/>
                    <w:suppressLineNumbers w:val="0"/>
                    <w:autoSpaceDE w:val="0"/>
                    <w:autoSpaceDN w:val="0"/>
                    <w:adjustRightInd w:val="0"/>
                    <w:spacing w:before="0" w:beforeAutospacing="0" w:after="0" w:afterAutospacing="0"/>
                    <w:ind w:left="0" w:right="0"/>
                    <w:jc w:val="both"/>
                    <w:textAlignment w:val="center"/>
                    <w:rPr>
                      <w:rFonts w:hint="default" w:ascii="Times New Roman" w:hAnsi="Times New Roman" w:eastAsia="仿宋_GB2312" w:cs="Times New Roman"/>
                      <w:i w:val="0"/>
                      <w:iCs w:val="0"/>
                      <w:color w:val="auto"/>
                      <w:kern w:val="0"/>
                      <w:sz w:val="22"/>
                      <w:szCs w:val="22"/>
                      <w:u w:val="none"/>
                    </w:rPr>
                  </w:pPr>
                  <w:r>
                    <w:rPr>
                      <w:rFonts w:hint="default" w:ascii="Times New Roman" w:hAnsi="Times New Roman" w:eastAsia="仿宋_GB2312" w:cs="Times New Roman"/>
                      <w:color w:val="auto"/>
                      <w:kern w:val="0"/>
                      <w:sz w:val="22"/>
                      <w:u w:val="none"/>
                      <w:lang w:val="en-US" w:eastAsia="zh-CN" w:bidi="ar"/>
                    </w:rPr>
                    <w:t xml:space="preserve">编号：                                      </w:t>
                  </w:r>
                </w:p>
              </w:tc>
              <w:tc>
                <w:tcPr>
                  <w:tcW w:w="1215" w:type="pct"/>
                  <w:gridSpan w:val="2"/>
                  <w:tcBorders>
                    <w:top w:val="nil"/>
                    <w:left w:val="nil"/>
                    <w:bottom w:val="nil"/>
                    <w:right w:val="nil"/>
                  </w:tcBorders>
                  <w:shd w:val="clear" w:color="auto" w:fill="auto"/>
                  <w:noWrap/>
                  <w:vAlign w:val="center"/>
                </w:tcPr>
                <w:p w14:paraId="7DAA9FF8">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i w:val="0"/>
                      <w:iCs w:val="0"/>
                      <w:color w:val="auto"/>
                      <w:kern w:val="0"/>
                      <w:sz w:val="22"/>
                      <w:szCs w:val="22"/>
                      <w:u w:val="none"/>
                    </w:rPr>
                  </w:pPr>
                </w:p>
              </w:tc>
              <w:tc>
                <w:tcPr>
                  <w:tcW w:w="393" w:type="pct"/>
                  <w:tcBorders>
                    <w:top w:val="nil"/>
                    <w:left w:val="nil"/>
                    <w:bottom w:val="nil"/>
                    <w:right w:val="nil"/>
                  </w:tcBorders>
                  <w:shd w:val="clear" w:color="auto" w:fill="auto"/>
                  <w:noWrap/>
                  <w:vAlign w:val="center"/>
                </w:tcPr>
                <w:p w14:paraId="49BDCE13">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i w:val="0"/>
                      <w:iCs w:val="0"/>
                      <w:color w:val="auto"/>
                      <w:kern w:val="0"/>
                      <w:sz w:val="22"/>
                      <w:szCs w:val="22"/>
                      <w:u w:val="none"/>
                    </w:rPr>
                  </w:pPr>
                </w:p>
              </w:tc>
              <w:tc>
                <w:tcPr>
                  <w:tcW w:w="392" w:type="pct"/>
                  <w:tcBorders>
                    <w:top w:val="nil"/>
                    <w:left w:val="nil"/>
                    <w:bottom w:val="nil"/>
                    <w:right w:val="nil"/>
                  </w:tcBorders>
                  <w:shd w:val="clear" w:color="auto" w:fill="auto"/>
                  <w:noWrap/>
                  <w:vAlign w:val="center"/>
                </w:tcPr>
                <w:p w14:paraId="7EC0DBBE">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i w:val="0"/>
                      <w:iCs w:val="0"/>
                      <w:color w:val="auto"/>
                      <w:kern w:val="0"/>
                      <w:sz w:val="22"/>
                      <w:szCs w:val="22"/>
                      <w:u w:val="none"/>
                    </w:rPr>
                  </w:pPr>
                </w:p>
              </w:tc>
              <w:tc>
                <w:tcPr>
                  <w:tcW w:w="528" w:type="pct"/>
                  <w:tcBorders>
                    <w:top w:val="nil"/>
                    <w:left w:val="nil"/>
                    <w:bottom w:val="nil"/>
                    <w:right w:val="nil"/>
                  </w:tcBorders>
                  <w:shd w:val="clear" w:color="auto" w:fill="auto"/>
                  <w:noWrap/>
                  <w:vAlign w:val="center"/>
                </w:tcPr>
                <w:p w14:paraId="6F59DEB4">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i w:val="0"/>
                      <w:iCs w:val="0"/>
                      <w:color w:val="auto"/>
                      <w:kern w:val="0"/>
                      <w:sz w:val="22"/>
                      <w:szCs w:val="22"/>
                      <w:u w:val="none"/>
                    </w:rPr>
                  </w:pPr>
                </w:p>
              </w:tc>
              <w:tc>
                <w:tcPr>
                  <w:tcW w:w="529" w:type="pct"/>
                  <w:tcBorders>
                    <w:top w:val="nil"/>
                    <w:left w:val="nil"/>
                    <w:bottom w:val="nil"/>
                    <w:right w:val="nil"/>
                  </w:tcBorders>
                  <w:shd w:val="clear" w:color="auto" w:fill="auto"/>
                  <w:noWrap/>
                  <w:vAlign w:val="center"/>
                </w:tcPr>
                <w:p w14:paraId="1953C7B2">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i w:val="0"/>
                      <w:iCs w:val="0"/>
                      <w:color w:val="auto"/>
                      <w:kern w:val="0"/>
                      <w:sz w:val="22"/>
                      <w:szCs w:val="22"/>
                      <w:u w:val="none"/>
                    </w:rPr>
                  </w:pPr>
                </w:p>
              </w:tc>
              <w:tc>
                <w:tcPr>
                  <w:tcW w:w="529" w:type="pct"/>
                  <w:tcBorders>
                    <w:top w:val="nil"/>
                    <w:left w:val="nil"/>
                    <w:bottom w:val="nil"/>
                    <w:right w:val="nil"/>
                  </w:tcBorders>
                  <w:shd w:val="clear" w:color="auto" w:fill="auto"/>
                  <w:noWrap/>
                  <w:vAlign w:val="center"/>
                </w:tcPr>
                <w:p w14:paraId="5EE5A655">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i w:val="0"/>
                      <w:iCs w:val="0"/>
                      <w:color w:val="auto"/>
                      <w:kern w:val="0"/>
                      <w:sz w:val="22"/>
                      <w:szCs w:val="22"/>
                      <w:u w:val="none"/>
                    </w:rPr>
                  </w:pPr>
                </w:p>
              </w:tc>
              <w:tc>
                <w:tcPr>
                  <w:tcW w:w="633" w:type="pct"/>
                  <w:tcBorders>
                    <w:top w:val="nil"/>
                    <w:left w:val="nil"/>
                    <w:bottom w:val="nil"/>
                    <w:right w:val="nil"/>
                  </w:tcBorders>
                  <w:shd w:val="clear" w:color="auto" w:fill="auto"/>
                  <w:noWrap/>
                  <w:vAlign w:val="center"/>
                </w:tcPr>
                <w:p w14:paraId="5325AE95">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i w:val="0"/>
                      <w:iCs w:val="0"/>
                      <w:color w:val="auto"/>
                      <w:kern w:val="0"/>
                      <w:sz w:val="22"/>
                      <w:szCs w:val="22"/>
                      <w:u w:val="none"/>
                    </w:rPr>
                  </w:pPr>
                </w:p>
              </w:tc>
            </w:tr>
            <w:tr w14:paraId="21751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77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04EB5712">
                  <w:pPr>
                    <w:keepNext w:val="0"/>
                    <w:keepLines w:val="0"/>
                    <w:widowControl/>
                    <w:suppressLineNumbers w:val="0"/>
                    <w:autoSpaceDE w:val="0"/>
                    <w:autoSpaceDN w:val="0"/>
                    <w:adjustRightInd w:val="0"/>
                    <w:spacing w:before="0" w:beforeAutospacing="0" w:after="0" w:afterAutospacing="0"/>
                    <w:ind w:left="0" w:right="0"/>
                    <w:jc w:val="left"/>
                    <w:textAlignment w:val="center"/>
                    <w:rPr>
                      <w:rFonts w:hint="default" w:ascii="Times New Roman" w:hAnsi="Times New Roman" w:eastAsia="仿宋_GB2312" w:cs="Times New Roman"/>
                      <w:i w:val="0"/>
                      <w:iCs w:val="0"/>
                      <w:color w:val="auto"/>
                      <w:kern w:val="0"/>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合同名称</w:t>
                  </w:r>
                </w:p>
              </w:tc>
              <w:tc>
                <w:tcPr>
                  <w:tcW w:w="4221" w:type="pct"/>
                  <w:gridSpan w:val="8"/>
                  <w:tcBorders>
                    <w:top w:val="single" w:color="000000" w:sz="8" w:space="0"/>
                    <w:left w:val="nil"/>
                    <w:bottom w:val="single" w:color="000000" w:sz="8" w:space="0"/>
                    <w:right w:val="single" w:color="000000" w:sz="8" w:space="0"/>
                  </w:tcBorders>
                  <w:shd w:val="clear" w:color="auto" w:fill="auto"/>
                  <w:noWrap/>
                  <w:vAlign w:val="center"/>
                </w:tcPr>
                <w:p w14:paraId="62676F42">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i w:val="0"/>
                      <w:iCs w:val="0"/>
                      <w:color w:val="auto"/>
                      <w:kern w:val="0"/>
                      <w:sz w:val="22"/>
                      <w:szCs w:val="22"/>
                      <w:u w:val="none"/>
                    </w:rPr>
                  </w:pPr>
                </w:p>
              </w:tc>
            </w:tr>
            <w:tr w14:paraId="29F91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778" w:type="pct"/>
                  <w:tcBorders>
                    <w:top w:val="nil"/>
                    <w:left w:val="single" w:color="000000" w:sz="8" w:space="0"/>
                    <w:bottom w:val="single" w:color="000000" w:sz="8" w:space="0"/>
                    <w:right w:val="single" w:color="000000" w:sz="8" w:space="0"/>
                  </w:tcBorders>
                  <w:shd w:val="clear" w:color="auto" w:fill="auto"/>
                  <w:noWrap/>
                  <w:vAlign w:val="center"/>
                </w:tcPr>
                <w:p w14:paraId="45BDAD6C">
                  <w:pPr>
                    <w:keepNext w:val="0"/>
                    <w:keepLines w:val="0"/>
                    <w:widowControl/>
                    <w:suppressLineNumbers w:val="0"/>
                    <w:autoSpaceDE w:val="0"/>
                    <w:autoSpaceDN w:val="0"/>
                    <w:adjustRightInd w:val="0"/>
                    <w:spacing w:before="0" w:beforeAutospacing="0" w:after="0" w:afterAutospacing="0"/>
                    <w:ind w:left="0" w:right="0"/>
                    <w:jc w:val="left"/>
                    <w:textAlignment w:val="center"/>
                    <w:rPr>
                      <w:rFonts w:hint="default" w:ascii="Times New Roman" w:hAnsi="Times New Roman" w:eastAsia="仿宋_GB2312" w:cs="Times New Roman"/>
                      <w:i w:val="0"/>
                      <w:iCs w:val="0"/>
                      <w:color w:val="auto"/>
                      <w:kern w:val="0"/>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供货单位</w:t>
                  </w:r>
                </w:p>
              </w:tc>
              <w:tc>
                <w:tcPr>
                  <w:tcW w:w="1215" w:type="pct"/>
                  <w:gridSpan w:val="2"/>
                  <w:tcBorders>
                    <w:top w:val="nil"/>
                    <w:left w:val="nil"/>
                    <w:bottom w:val="single" w:color="000000" w:sz="8" w:space="0"/>
                    <w:right w:val="single" w:color="000000" w:sz="8" w:space="0"/>
                  </w:tcBorders>
                  <w:shd w:val="clear" w:color="auto" w:fill="auto"/>
                  <w:noWrap/>
                  <w:vAlign w:val="center"/>
                </w:tcPr>
                <w:p w14:paraId="42B7EA29">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i w:val="0"/>
                      <w:iCs w:val="0"/>
                      <w:color w:val="auto"/>
                      <w:kern w:val="0"/>
                      <w:sz w:val="22"/>
                      <w:szCs w:val="22"/>
                      <w:u w:val="none"/>
                    </w:rPr>
                  </w:pPr>
                </w:p>
              </w:tc>
              <w:tc>
                <w:tcPr>
                  <w:tcW w:w="785" w:type="pct"/>
                  <w:gridSpan w:val="2"/>
                  <w:tcBorders>
                    <w:top w:val="single" w:color="000000" w:sz="8" w:space="0"/>
                    <w:left w:val="nil"/>
                    <w:bottom w:val="single" w:color="000000" w:sz="8" w:space="0"/>
                    <w:right w:val="single" w:color="000000" w:sz="8" w:space="0"/>
                  </w:tcBorders>
                  <w:shd w:val="clear" w:color="auto" w:fill="auto"/>
                  <w:noWrap/>
                  <w:vAlign w:val="center"/>
                </w:tcPr>
                <w:p w14:paraId="1C5079CA">
                  <w:pPr>
                    <w:keepNext w:val="0"/>
                    <w:keepLines w:val="0"/>
                    <w:widowControl/>
                    <w:suppressLineNumbers w:val="0"/>
                    <w:autoSpaceDE w:val="0"/>
                    <w:autoSpaceDN w:val="0"/>
                    <w:adjustRightInd w:val="0"/>
                    <w:spacing w:before="0" w:beforeAutospacing="0" w:after="0" w:afterAutospacing="0"/>
                    <w:ind w:left="0" w:right="0"/>
                    <w:jc w:val="center"/>
                    <w:textAlignment w:val="center"/>
                    <w:rPr>
                      <w:rFonts w:hint="default" w:ascii="Times New Roman" w:hAnsi="Times New Roman" w:eastAsia="仿宋_GB2312" w:cs="Times New Roman"/>
                      <w:i w:val="0"/>
                      <w:iCs w:val="0"/>
                      <w:color w:val="auto"/>
                      <w:kern w:val="0"/>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到货时间</w:t>
                  </w:r>
                </w:p>
              </w:tc>
              <w:tc>
                <w:tcPr>
                  <w:tcW w:w="2220" w:type="pct"/>
                  <w:gridSpan w:val="4"/>
                  <w:tcBorders>
                    <w:top w:val="single" w:color="000000" w:sz="8" w:space="0"/>
                    <w:left w:val="nil"/>
                    <w:bottom w:val="single" w:color="000000" w:sz="8" w:space="0"/>
                    <w:right w:val="single" w:color="000000" w:sz="8" w:space="0"/>
                  </w:tcBorders>
                  <w:shd w:val="clear" w:color="auto" w:fill="auto"/>
                  <w:noWrap/>
                  <w:vAlign w:val="center"/>
                </w:tcPr>
                <w:p w14:paraId="3CF2924B">
                  <w:pPr>
                    <w:keepNext w:val="0"/>
                    <w:keepLines w:val="0"/>
                    <w:widowControl/>
                    <w:suppressLineNumbers w:val="0"/>
                    <w:autoSpaceDE w:val="0"/>
                    <w:autoSpaceDN w:val="0"/>
                    <w:adjustRightInd w:val="0"/>
                    <w:spacing w:before="0" w:beforeAutospacing="0" w:after="0" w:afterAutospacing="0"/>
                    <w:ind w:left="0" w:right="0"/>
                    <w:jc w:val="left"/>
                    <w:textAlignment w:val="center"/>
                    <w:rPr>
                      <w:rFonts w:hint="default" w:ascii="Times New Roman" w:hAnsi="Times New Roman" w:eastAsia="宋体" w:cs="Times New Roman"/>
                      <w:i w:val="0"/>
                      <w:iCs w:val="0"/>
                      <w:color w:val="auto"/>
                      <w:kern w:val="0"/>
                      <w:sz w:val="22"/>
                      <w:szCs w:val="22"/>
                      <w:u w:val="none"/>
                    </w:rPr>
                  </w:pPr>
                  <w:r>
                    <w:rPr>
                      <w:rFonts w:hint="default" w:ascii="Times New Roman" w:hAnsi="Times New Roman" w:eastAsia="宋体" w:cs="Times New Roman"/>
                      <w:color w:val="auto"/>
                      <w:kern w:val="0"/>
                      <w:sz w:val="22"/>
                      <w:u w:val="none"/>
                      <w:lang w:val="en-US" w:eastAsia="zh-CN" w:bidi="ar"/>
                    </w:rPr>
                    <w:t xml:space="preserve">         </w:t>
                  </w:r>
                  <w:r>
                    <w:rPr>
                      <w:rFonts w:hint="default" w:ascii="Times New Roman" w:hAnsi="Times New Roman" w:eastAsia="仿宋_GB2312" w:cs="Times New Roman"/>
                      <w:color w:val="auto"/>
                      <w:kern w:val="0"/>
                      <w:sz w:val="22"/>
                      <w:u w:val="none"/>
                      <w:lang w:val="en-US" w:eastAsia="zh-CN" w:bidi="ar"/>
                    </w:rPr>
                    <w:t>年</w:t>
                  </w:r>
                  <w:r>
                    <w:rPr>
                      <w:rFonts w:hint="default" w:ascii="Times New Roman" w:hAnsi="Times New Roman" w:eastAsia="宋体" w:cs="Times New Roman"/>
                      <w:color w:val="auto"/>
                      <w:kern w:val="0"/>
                      <w:sz w:val="22"/>
                      <w:u w:val="none"/>
                      <w:lang w:val="en-US" w:eastAsia="zh-CN" w:bidi="ar"/>
                    </w:rPr>
                    <w:t xml:space="preserve">    </w:t>
                  </w:r>
                  <w:r>
                    <w:rPr>
                      <w:rFonts w:hint="default" w:ascii="Times New Roman" w:hAnsi="Times New Roman" w:eastAsia="仿宋_GB2312" w:cs="Times New Roman"/>
                      <w:color w:val="auto"/>
                      <w:kern w:val="0"/>
                      <w:sz w:val="22"/>
                      <w:u w:val="none"/>
                      <w:lang w:val="en-US" w:eastAsia="zh-CN" w:bidi="ar"/>
                    </w:rPr>
                    <w:t>月</w:t>
                  </w:r>
                  <w:r>
                    <w:rPr>
                      <w:rFonts w:hint="default" w:ascii="Times New Roman" w:hAnsi="Times New Roman" w:eastAsia="宋体" w:cs="Times New Roman"/>
                      <w:color w:val="auto"/>
                      <w:kern w:val="0"/>
                      <w:sz w:val="22"/>
                      <w:u w:val="none"/>
                      <w:lang w:val="en-US" w:eastAsia="zh-CN" w:bidi="ar"/>
                    </w:rPr>
                    <w:t xml:space="preserve">    </w:t>
                  </w:r>
                  <w:r>
                    <w:rPr>
                      <w:rFonts w:hint="default" w:ascii="Times New Roman" w:hAnsi="Times New Roman" w:eastAsia="仿宋_GB2312" w:cs="Times New Roman"/>
                      <w:color w:val="auto"/>
                      <w:kern w:val="0"/>
                      <w:sz w:val="22"/>
                      <w:u w:val="none"/>
                      <w:lang w:val="en-US" w:eastAsia="zh-CN" w:bidi="ar"/>
                    </w:rPr>
                    <w:t>日</w:t>
                  </w:r>
                </w:p>
              </w:tc>
            </w:tr>
            <w:tr w14:paraId="3EF3F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778" w:type="pct"/>
                  <w:tcBorders>
                    <w:top w:val="nil"/>
                    <w:left w:val="single" w:color="000000" w:sz="8" w:space="0"/>
                    <w:bottom w:val="single" w:color="000000" w:sz="8" w:space="0"/>
                    <w:right w:val="single" w:color="000000" w:sz="8" w:space="0"/>
                  </w:tcBorders>
                  <w:shd w:val="clear" w:color="auto" w:fill="auto"/>
                  <w:noWrap/>
                  <w:vAlign w:val="center"/>
                </w:tcPr>
                <w:p w14:paraId="6451BF12">
                  <w:pPr>
                    <w:keepNext w:val="0"/>
                    <w:keepLines w:val="0"/>
                    <w:widowControl/>
                    <w:suppressLineNumbers w:val="0"/>
                    <w:autoSpaceDE w:val="0"/>
                    <w:autoSpaceDN w:val="0"/>
                    <w:adjustRightInd w:val="0"/>
                    <w:spacing w:before="0" w:beforeAutospacing="0" w:after="0" w:afterAutospacing="0"/>
                    <w:ind w:left="0" w:right="0"/>
                    <w:jc w:val="left"/>
                    <w:textAlignment w:val="center"/>
                    <w:rPr>
                      <w:rFonts w:hint="default" w:ascii="Times New Roman" w:hAnsi="Times New Roman" w:eastAsia="仿宋_GB2312" w:cs="Times New Roman"/>
                      <w:i w:val="0"/>
                      <w:iCs w:val="0"/>
                      <w:color w:val="auto"/>
                      <w:kern w:val="0"/>
                      <w:sz w:val="22"/>
                      <w:szCs w:val="22"/>
                      <w:u w:val="none"/>
                    </w:rPr>
                  </w:pPr>
                  <w:r>
                    <w:rPr>
                      <w:rFonts w:hint="eastAsia" w:ascii="Times New Roman" w:hAnsi="Times New Roman" w:eastAsia="仿宋_GB2312" w:cs="Times New Roman"/>
                      <w:i w:val="0"/>
                      <w:iCs w:val="0"/>
                      <w:color w:val="auto"/>
                      <w:kern w:val="0"/>
                      <w:sz w:val="22"/>
                      <w:szCs w:val="22"/>
                      <w:u w:val="none"/>
                      <w:lang w:val="en-US" w:eastAsia="zh-CN" w:bidi="ar"/>
                    </w:rPr>
                    <w:t>收货</w:t>
                  </w:r>
                  <w:r>
                    <w:rPr>
                      <w:rFonts w:hint="default" w:ascii="Times New Roman" w:hAnsi="Times New Roman" w:eastAsia="仿宋_GB2312" w:cs="Times New Roman"/>
                      <w:i w:val="0"/>
                      <w:iCs w:val="0"/>
                      <w:color w:val="auto"/>
                      <w:kern w:val="0"/>
                      <w:sz w:val="22"/>
                      <w:szCs w:val="22"/>
                      <w:u w:val="none"/>
                      <w:lang w:val="en-US" w:eastAsia="zh-CN" w:bidi="ar"/>
                    </w:rPr>
                    <w:t>单位</w:t>
                  </w:r>
                </w:p>
              </w:tc>
              <w:tc>
                <w:tcPr>
                  <w:tcW w:w="1215" w:type="pct"/>
                  <w:gridSpan w:val="2"/>
                  <w:tcBorders>
                    <w:top w:val="nil"/>
                    <w:left w:val="nil"/>
                    <w:bottom w:val="single" w:color="000000" w:sz="8" w:space="0"/>
                    <w:right w:val="single" w:color="000000" w:sz="8" w:space="0"/>
                  </w:tcBorders>
                  <w:shd w:val="clear" w:color="auto" w:fill="auto"/>
                  <w:noWrap/>
                  <w:vAlign w:val="center"/>
                </w:tcPr>
                <w:p w14:paraId="74D3A04B">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i w:val="0"/>
                      <w:iCs w:val="0"/>
                      <w:color w:val="auto"/>
                      <w:kern w:val="0"/>
                      <w:sz w:val="22"/>
                      <w:szCs w:val="22"/>
                      <w:u w:val="none"/>
                    </w:rPr>
                  </w:pPr>
                </w:p>
              </w:tc>
              <w:tc>
                <w:tcPr>
                  <w:tcW w:w="785" w:type="pct"/>
                  <w:gridSpan w:val="2"/>
                  <w:tcBorders>
                    <w:top w:val="nil"/>
                    <w:left w:val="nil"/>
                    <w:bottom w:val="single" w:color="000000" w:sz="8" w:space="0"/>
                    <w:right w:val="single" w:color="000000" w:sz="8" w:space="0"/>
                  </w:tcBorders>
                  <w:shd w:val="clear" w:color="auto" w:fill="auto"/>
                  <w:noWrap/>
                  <w:vAlign w:val="center"/>
                </w:tcPr>
                <w:p w14:paraId="7E3B8F39">
                  <w:pPr>
                    <w:keepNext w:val="0"/>
                    <w:keepLines w:val="0"/>
                    <w:widowControl/>
                    <w:suppressLineNumbers w:val="0"/>
                    <w:autoSpaceDE w:val="0"/>
                    <w:autoSpaceDN w:val="0"/>
                    <w:adjustRightInd w:val="0"/>
                    <w:spacing w:before="0" w:beforeAutospacing="0" w:after="0" w:afterAutospacing="0"/>
                    <w:ind w:left="0" w:right="0"/>
                    <w:jc w:val="center"/>
                    <w:textAlignment w:val="center"/>
                    <w:rPr>
                      <w:rFonts w:hint="default" w:ascii="Times New Roman" w:hAnsi="Times New Roman" w:eastAsia="仿宋_GB2312" w:cs="Times New Roman"/>
                      <w:i w:val="0"/>
                      <w:iCs w:val="0"/>
                      <w:color w:val="auto"/>
                      <w:kern w:val="0"/>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验收时间</w:t>
                  </w:r>
                </w:p>
              </w:tc>
              <w:tc>
                <w:tcPr>
                  <w:tcW w:w="2220" w:type="pct"/>
                  <w:gridSpan w:val="4"/>
                  <w:tcBorders>
                    <w:top w:val="nil"/>
                    <w:left w:val="nil"/>
                    <w:bottom w:val="single" w:color="000000" w:sz="8" w:space="0"/>
                    <w:right w:val="single" w:color="000000" w:sz="8" w:space="0"/>
                  </w:tcBorders>
                  <w:shd w:val="clear" w:color="auto" w:fill="auto"/>
                  <w:noWrap/>
                  <w:vAlign w:val="center"/>
                </w:tcPr>
                <w:p w14:paraId="47D558FD">
                  <w:pPr>
                    <w:keepNext w:val="0"/>
                    <w:keepLines w:val="0"/>
                    <w:widowControl/>
                    <w:suppressLineNumbers w:val="0"/>
                    <w:autoSpaceDE w:val="0"/>
                    <w:autoSpaceDN w:val="0"/>
                    <w:adjustRightInd w:val="0"/>
                    <w:spacing w:before="0" w:beforeAutospacing="0" w:after="0" w:afterAutospacing="0"/>
                    <w:ind w:left="0" w:right="0"/>
                    <w:jc w:val="left"/>
                    <w:textAlignment w:val="center"/>
                    <w:rPr>
                      <w:rFonts w:hint="default" w:ascii="Times New Roman" w:hAnsi="Times New Roman" w:eastAsia="宋体" w:cs="Times New Roman"/>
                      <w:i w:val="0"/>
                      <w:iCs w:val="0"/>
                      <w:color w:val="auto"/>
                      <w:kern w:val="0"/>
                      <w:sz w:val="22"/>
                      <w:szCs w:val="22"/>
                      <w:u w:val="none"/>
                    </w:rPr>
                  </w:pPr>
                  <w:r>
                    <w:rPr>
                      <w:rFonts w:hint="default" w:ascii="Times New Roman" w:hAnsi="Times New Roman" w:eastAsia="宋体" w:cs="Times New Roman"/>
                      <w:color w:val="auto"/>
                      <w:kern w:val="0"/>
                      <w:sz w:val="22"/>
                      <w:u w:val="none"/>
                      <w:lang w:val="en-US" w:eastAsia="zh-CN" w:bidi="ar"/>
                    </w:rPr>
                    <w:t xml:space="preserve">         </w:t>
                  </w:r>
                  <w:r>
                    <w:rPr>
                      <w:rFonts w:hint="default" w:ascii="Times New Roman" w:hAnsi="Times New Roman" w:eastAsia="仿宋_GB2312" w:cs="Times New Roman"/>
                      <w:color w:val="auto"/>
                      <w:kern w:val="0"/>
                      <w:sz w:val="22"/>
                      <w:u w:val="none"/>
                      <w:lang w:val="en-US" w:eastAsia="zh-CN" w:bidi="ar"/>
                    </w:rPr>
                    <w:t>年</w:t>
                  </w:r>
                  <w:r>
                    <w:rPr>
                      <w:rFonts w:hint="default" w:ascii="Times New Roman" w:hAnsi="Times New Roman" w:eastAsia="宋体" w:cs="Times New Roman"/>
                      <w:color w:val="auto"/>
                      <w:kern w:val="0"/>
                      <w:sz w:val="22"/>
                      <w:u w:val="none"/>
                      <w:lang w:val="en-US" w:eastAsia="zh-CN" w:bidi="ar"/>
                    </w:rPr>
                    <w:t xml:space="preserve">    </w:t>
                  </w:r>
                  <w:r>
                    <w:rPr>
                      <w:rFonts w:hint="default" w:ascii="Times New Roman" w:hAnsi="Times New Roman" w:eastAsia="仿宋_GB2312" w:cs="Times New Roman"/>
                      <w:color w:val="auto"/>
                      <w:kern w:val="0"/>
                      <w:sz w:val="22"/>
                      <w:u w:val="none"/>
                      <w:lang w:val="en-US" w:eastAsia="zh-CN" w:bidi="ar"/>
                    </w:rPr>
                    <w:t>月</w:t>
                  </w:r>
                  <w:r>
                    <w:rPr>
                      <w:rFonts w:hint="default" w:ascii="Times New Roman" w:hAnsi="Times New Roman" w:eastAsia="宋体" w:cs="Times New Roman"/>
                      <w:color w:val="auto"/>
                      <w:kern w:val="0"/>
                      <w:sz w:val="22"/>
                      <w:u w:val="none"/>
                      <w:lang w:val="en-US" w:eastAsia="zh-CN" w:bidi="ar"/>
                    </w:rPr>
                    <w:t xml:space="preserve">    </w:t>
                  </w:r>
                  <w:r>
                    <w:rPr>
                      <w:rFonts w:hint="default" w:ascii="Times New Roman" w:hAnsi="Times New Roman" w:eastAsia="仿宋_GB2312" w:cs="Times New Roman"/>
                      <w:color w:val="auto"/>
                      <w:kern w:val="0"/>
                      <w:sz w:val="22"/>
                      <w:u w:val="none"/>
                      <w:lang w:val="en-US" w:eastAsia="zh-CN" w:bidi="ar"/>
                    </w:rPr>
                    <w:t>日</w:t>
                  </w:r>
                </w:p>
              </w:tc>
            </w:tr>
            <w:tr w14:paraId="44C71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778" w:type="pct"/>
                  <w:vMerge w:val="restart"/>
                  <w:tcBorders>
                    <w:top w:val="nil"/>
                    <w:left w:val="single" w:color="000000" w:sz="8" w:space="0"/>
                    <w:bottom w:val="nil"/>
                    <w:right w:val="single" w:color="000000" w:sz="8" w:space="0"/>
                  </w:tcBorders>
                  <w:shd w:val="clear" w:color="auto" w:fill="auto"/>
                  <w:noWrap/>
                  <w:vAlign w:val="center"/>
                </w:tcPr>
                <w:p w14:paraId="2240D6A4">
                  <w:pPr>
                    <w:keepNext w:val="0"/>
                    <w:keepLines w:val="0"/>
                    <w:widowControl/>
                    <w:suppressLineNumbers w:val="0"/>
                    <w:autoSpaceDE w:val="0"/>
                    <w:autoSpaceDN w:val="0"/>
                    <w:adjustRightInd w:val="0"/>
                    <w:spacing w:before="0" w:beforeAutospacing="0" w:after="0" w:afterAutospacing="0"/>
                    <w:ind w:left="0" w:right="0"/>
                    <w:jc w:val="center"/>
                    <w:textAlignment w:val="center"/>
                    <w:rPr>
                      <w:rFonts w:hint="default" w:ascii="Times New Roman" w:hAnsi="Times New Roman" w:eastAsia="仿宋_GB2312" w:cs="Times New Roman"/>
                      <w:i w:val="0"/>
                      <w:iCs w:val="0"/>
                      <w:color w:val="auto"/>
                      <w:kern w:val="0"/>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到货清单</w:t>
                  </w:r>
                </w:p>
              </w:tc>
              <w:tc>
                <w:tcPr>
                  <w:tcW w:w="454" w:type="pct"/>
                  <w:tcBorders>
                    <w:top w:val="nil"/>
                    <w:left w:val="nil"/>
                    <w:bottom w:val="single" w:color="000000" w:sz="8" w:space="0"/>
                    <w:right w:val="single" w:color="000000" w:sz="8" w:space="0"/>
                  </w:tcBorders>
                  <w:shd w:val="clear" w:color="auto" w:fill="auto"/>
                  <w:vAlign w:val="center"/>
                </w:tcPr>
                <w:p w14:paraId="581814F6">
                  <w:pPr>
                    <w:keepNext w:val="0"/>
                    <w:keepLines w:val="0"/>
                    <w:widowControl/>
                    <w:suppressLineNumbers w:val="0"/>
                    <w:autoSpaceDE w:val="0"/>
                    <w:autoSpaceDN w:val="0"/>
                    <w:adjustRightInd w:val="0"/>
                    <w:spacing w:before="0" w:beforeAutospacing="0" w:after="0" w:afterAutospacing="0"/>
                    <w:ind w:left="0" w:right="0"/>
                    <w:jc w:val="center"/>
                    <w:textAlignment w:val="center"/>
                    <w:rPr>
                      <w:rFonts w:hint="default" w:ascii="Times New Roman" w:hAnsi="Times New Roman" w:eastAsia="仿宋_GB2312" w:cs="Times New Roman"/>
                      <w:i w:val="0"/>
                      <w:iCs w:val="0"/>
                      <w:color w:val="auto"/>
                      <w:kern w:val="0"/>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序号</w:t>
                  </w:r>
                </w:p>
              </w:tc>
              <w:tc>
                <w:tcPr>
                  <w:tcW w:w="760" w:type="pct"/>
                  <w:tcBorders>
                    <w:top w:val="nil"/>
                    <w:left w:val="nil"/>
                    <w:bottom w:val="single" w:color="000000" w:sz="8" w:space="0"/>
                    <w:right w:val="single" w:color="000000" w:sz="8" w:space="0"/>
                  </w:tcBorders>
                  <w:shd w:val="clear" w:color="auto" w:fill="auto"/>
                  <w:vAlign w:val="center"/>
                </w:tcPr>
                <w:p w14:paraId="0C5A79AC">
                  <w:pPr>
                    <w:keepNext w:val="0"/>
                    <w:keepLines w:val="0"/>
                    <w:widowControl/>
                    <w:suppressLineNumbers w:val="0"/>
                    <w:autoSpaceDE w:val="0"/>
                    <w:autoSpaceDN w:val="0"/>
                    <w:adjustRightInd w:val="0"/>
                    <w:spacing w:before="0" w:beforeAutospacing="0" w:after="0" w:afterAutospacing="0"/>
                    <w:ind w:left="0" w:right="0"/>
                    <w:jc w:val="center"/>
                    <w:textAlignment w:val="center"/>
                    <w:rPr>
                      <w:rFonts w:hint="default" w:ascii="Times New Roman" w:hAnsi="Times New Roman" w:eastAsia="仿宋_GB2312" w:cs="Times New Roman"/>
                      <w:i w:val="0"/>
                      <w:iCs w:val="0"/>
                      <w:color w:val="auto"/>
                      <w:kern w:val="0"/>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货物名称</w:t>
                  </w:r>
                </w:p>
              </w:tc>
              <w:tc>
                <w:tcPr>
                  <w:tcW w:w="785" w:type="pct"/>
                  <w:gridSpan w:val="2"/>
                  <w:tcBorders>
                    <w:top w:val="nil"/>
                    <w:left w:val="nil"/>
                    <w:bottom w:val="single" w:color="000000" w:sz="8" w:space="0"/>
                    <w:right w:val="single" w:color="000000" w:sz="8" w:space="0"/>
                  </w:tcBorders>
                  <w:shd w:val="clear" w:color="auto" w:fill="auto"/>
                  <w:vAlign w:val="center"/>
                </w:tcPr>
                <w:p w14:paraId="45C6E840">
                  <w:pPr>
                    <w:keepNext w:val="0"/>
                    <w:keepLines w:val="0"/>
                    <w:widowControl/>
                    <w:suppressLineNumbers w:val="0"/>
                    <w:autoSpaceDE w:val="0"/>
                    <w:autoSpaceDN w:val="0"/>
                    <w:adjustRightInd w:val="0"/>
                    <w:spacing w:before="0" w:beforeAutospacing="0" w:after="0" w:afterAutospacing="0"/>
                    <w:ind w:left="0" w:right="0"/>
                    <w:jc w:val="center"/>
                    <w:textAlignment w:val="center"/>
                    <w:rPr>
                      <w:rFonts w:hint="default" w:ascii="Times New Roman" w:hAnsi="Times New Roman" w:eastAsia="仿宋_GB2312" w:cs="Times New Roman"/>
                      <w:i w:val="0"/>
                      <w:iCs w:val="0"/>
                      <w:color w:val="auto"/>
                      <w:kern w:val="0"/>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规格型号</w:t>
                  </w:r>
                </w:p>
              </w:tc>
              <w:tc>
                <w:tcPr>
                  <w:tcW w:w="528" w:type="pct"/>
                  <w:tcBorders>
                    <w:top w:val="single" w:color="000000" w:sz="8" w:space="0"/>
                    <w:left w:val="nil"/>
                    <w:bottom w:val="single" w:color="000000" w:sz="8" w:space="0"/>
                    <w:right w:val="single" w:color="000000" w:sz="8" w:space="0"/>
                  </w:tcBorders>
                  <w:shd w:val="clear" w:color="auto" w:fill="auto"/>
                  <w:vAlign w:val="center"/>
                </w:tcPr>
                <w:p w14:paraId="2A228958">
                  <w:pPr>
                    <w:keepNext w:val="0"/>
                    <w:keepLines w:val="0"/>
                    <w:widowControl/>
                    <w:suppressLineNumbers w:val="0"/>
                    <w:autoSpaceDE w:val="0"/>
                    <w:autoSpaceDN w:val="0"/>
                    <w:adjustRightInd w:val="0"/>
                    <w:spacing w:before="0" w:beforeAutospacing="0" w:after="0" w:afterAutospacing="0"/>
                    <w:ind w:left="0" w:right="0"/>
                    <w:jc w:val="center"/>
                    <w:textAlignment w:val="center"/>
                    <w:rPr>
                      <w:rFonts w:hint="default" w:ascii="Times New Roman" w:hAnsi="Times New Roman" w:eastAsia="仿宋_GB2312" w:cs="Times New Roman"/>
                      <w:i w:val="0"/>
                      <w:iCs w:val="0"/>
                      <w:color w:val="auto"/>
                      <w:kern w:val="0"/>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品牌</w:t>
                  </w:r>
                </w:p>
              </w:tc>
              <w:tc>
                <w:tcPr>
                  <w:tcW w:w="529" w:type="pct"/>
                  <w:tcBorders>
                    <w:top w:val="single" w:color="000000" w:sz="8" w:space="0"/>
                    <w:left w:val="nil"/>
                    <w:bottom w:val="single" w:color="000000" w:sz="8" w:space="0"/>
                    <w:right w:val="single" w:color="000000" w:sz="8" w:space="0"/>
                  </w:tcBorders>
                  <w:shd w:val="clear" w:color="auto" w:fill="auto"/>
                  <w:vAlign w:val="center"/>
                </w:tcPr>
                <w:p w14:paraId="6BAA3785">
                  <w:pPr>
                    <w:keepNext w:val="0"/>
                    <w:keepLines w:val="0"/>
                    <w:widowControl/>
                    <w:suppressLineNumbers w:val="0"/>
                    <w:autoSpaceDE w:val="0"/>
                    <w:autoSpaceDN w:val="0"/>
                    <w:adjustRightInd w:val="0"/>
                    <w:spacing w:before="0" w:beforeAutospacing="0" w:after="0" w:afterAutospacing="0"/>
                    <w:ind w:left="0" w:right="0"/>
                    <w:jc w:val="center"/>
                    <w:textAlignment w:val="center"/>
                    <w:rPr>
                      <w:rFonts w:hint="default" w:ascii="Times New Roman" w:hAnsi="Times New Roman" w:eastAsia="仿宋_GB2312" w:cs="Times New Roman"/>
                      <w:i w:val="0"/>
                      <w:iCs w:val="0"/>
                      <w:color w:val="auto"/>
                      <w:kern w:val="0"/>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单位</w:t>
                  </w:r>
                </w:p>
              </w:tc>
              <w:tc>
                <w:tcPr>
                  <w:tcW w:w="529" w:type="pct"/>
                  <w:tcBorders>
                    <w:top w:val="single" w:color="000000" w:sz="8" w:space="0"/>
                    <w:left w:val="nil"/>
                    <w:bottom w:val="single" w:color="000000" w:sz="8" w:space="0"/>
                    <w:right w:val="single" w:color="000000" w:sz="8" w:space="0"/>
                  </w:tcBorders>
                  <w:shd w:val="clear" w:color="auto" w:fill="auto"/>
                  <w:vAlign w:val="center"/>
                </w:tcPr>
                <w:p w14:paraId="540ABC03">
                  <w:pPr>
                    <w:keepNext w:val="0"/>
                    <w:keepLines w:val="0"/>
                    <w:widowControl/>
                    <w:suppressLineNumbers w:val="0"/>
                    <w:autoSpaceDE w:val="0"/>
                    <w:autoSpaceDN w:val="0"/>
                    <w:adjustRightInd w:val="0"/>
                    <w:spacing w:before="0" w:beforeAutospacing="0" w:after="0" w:afterAutospacing="0"/>
                    <w:ind w:left="0" w:right="0"/>
                    <w:jc w:val="center"/>
                    <w:textAlignment w:val="center"/>
                    <w:rPr>
                      <w:rFonts w:hint="default" w:ascii="Times New Roman" w:hAnsi="Times New Roman" w:eastAsia="仿宋_GB2312" w:cs="Times New Roman"/>
                      <w:i w:val="0"/>
                      <w:iCs w:val="0"/>
                      <w:color w:val="auto"/>
                      <w:kern w:val="0"/>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数量</w:t>
                  </w:r>
                </w:p>
              </w:tc>
              <w:tc>
                <w:tcPr>
                  <w:tcW w:w="633" w:type="pct"/>
                  <w:tcBorders>
                    <w:top w:val="single" w:color="000000" w:sz="8" w:space="0"/>
                    <w:left w:val="nil"/>
                    <w:bottom w:val="single" w:color="000000" w:sz="8" w:space="0"/>
                    <w:right w:val="single" w:color="000000" w:sz="8" w:space="0"/>
                  </w:tcBorders>
                  <w:shd w:val="clear" w:color="auto" w:fill="auto"/>
                  <w:vAlign w:val="center"/>
                </w:tcPr>
                <w:p w14:paraId="24CB4055">
                  <w:pPr>
                    <w:keepNext w:val="0"/>
                    <w:keepLines w:val="0"/>
                    <w:widowControl/>
                    <w:suppressLineNumbers w:val="0"/>
                    <w:autoSpaceDE w:val="0"/>
                    <w:autoSpaceDN w:val="0"/>
                    <w:adjustRightInd w:val="0"/>
                    <w:spacing w:before="0" w:beforeAutospacing="0" w:after="0" w:afterAutospacing="0"/>
                    <w:ind w:left="0" w:right="0"/>
                    <w:jc w:val="center"/>
                    <w:textAlignment w:val="center"/>
                    <w:rPr>
                      <w:rFonts w:hint="default" w:ascii="Times New Roman" w:hAnsi="Times New Roman" w:eastAsia="仿宋_GB2312" w:cs="Times New Roman"/>
                      <w:i w:val="0"/>
                      <w:iCs w:val="0"/>
                      <w:color w:val="auto"/>
                      <w:kern w:val="0"/>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备注</w:t>
                  </w:r>
                </w:p>
              </w:tc>
            </w:tr>
            <w:tr w14:paraId="049C7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778" w:type="pct"/>
                  <w:vMerge w:val="continue"/>
                  <w:tcBorders>
                    <w:top w:val="nil"/>
                    <w:left w:val="single" w:color="000000" w:sz="8" w:space="0"/>
                    <w:bottom w:val="nil"/>
                    <w:right w:val="single" w:color="000000" w:sz="8" w:space="0"/>
                  </w:tcBorders>
                  <w:shd w:val="clear" w:color="auto" w:fill="auto"/>
                  <w:noWrap/>
                  <w:vAlign w:val="center"/>
                </w:tcPr>
                <w:p w14:paraId="3624A3F5">
                  <w:pPr>
                    <w:keepNext w:val="0"/>
                    <w:keepLines w:val="0"/>
                    <w:suppressLineNumbers w:val="0"/>
                    <w:autoSpaceDE w:val="0"/>
                    <w:autoSpaceDN w:val="0"/>
                    <w:adjustRightInd w:val="0"/>
                    <w:spacing w:before="0" w:beforeAutospacing="0" w:after="0" w:afterAutospacing="0"/>
                    <w:ind w:left="0" w:right="0"/>
                    <w:jc w:val="center"/>
                    <w:rPr>
                      <w:rFonts w:hint="default" w:ascii="Times New Roman" w:hAnsi="Times New Roman" w:eastAsia="仿宋_GB2312" w:cs="Times New Roman"/>
                      <w:i w:val="0"/>
                      <w:iCs w:val="0"/>
                      <w:color w:val="auto"/>
                      <w:kern w:val="0"/>
                      <w:sz w:val="22"/>
                      <w:szCs w:val="22"/>
                      <w:u w:val="none"/>
                    </w:rPr>
                  </w:pPr>
                </w:p>
              </w:tc>
              <w:tc>
                <w:tcPr>
                  <w:tcW w:w="454" w:type="pct"/>
                  <w:tcBorders>
                    <w:top w:val="nil"/>
                    <w:left w:val="nil"/>
                    <w:bottom w:val="single" w:color="000000" w:sz="8" w:space="0"/>
                    <w:right w:val="single" w:color="000000" w:sz="8" w:space="0"/>
                  </w:tcBorders>
                  <w:shd w:val="clear" w:color="auto" w:fill="auto"/>
                  <w:vAlign w:val="center"/>
                </w:tcPr>
                <w:p w14:paraId="0CE52E0D">
                  <w:pPr>
                    <w:keepNext w:val="0"/>
                    <w:keepLines w:val="0"/>
                    <w:suppressLineNumbers w:val="0"/>
                    <w:autoSpaceDE w:val="0"/>
                    <w:autoSpaceDN w:val="0"/>
                    <w:adjustRightInd w:val="0"/>
                    <w:spacing w:before="0" w:beforeAutospacing="0" w:after="0" w:afterAutospacing="0"/>
                    <w:ind w:left="0" w:right="0"/>
                    <w:jc w:val="center"/>
                    <w:rPr>
                      <w:rFonts w:hint="default" w:ascii="Times New Roman" w:hAnsi="Times New Roman" w:eastAsia="宋体" w:cs="Times New Roman"/>
                      <w:i w:val="0"/>
                      <w:iCs w:val="0"/>
                      <w:color w:val="auto"/>
                      <w:kern w:val="0"/>
                      <w:sz w:val="22"/>
                      <w:szCs w:val="22"/>
                      <w:u w:val="none"/>
                    </w:rPr>
                  </w:pPr>
                </w:p>
              </w:tc>
              <w:tc>
                <w:tcPr>
                  <w:tcW w:w="760" w:type="pct"/>
                  <w:tcBorders>
                    <w:top w:val="nil"/>
                    <w:left w:val="nil"/>
                    <w:bottom w:val="single" w:color="000000" w:sz="8" w:space="0"/>
                    <w:right w:val="single" w:color="000000" w:sz="8" w:space="0"/>
                  </w:tcBorders>
                  <w:shd w:val="clear" w:color="auto" w:fill="auto"/>
                  <w:vAlign w:val="center"/>
                </w:tcPr>
                <w:p w14:paraId="437F0B3D">
                  <w:pPr>
                    <w:keepNext w:val="0"/>
                    <w:keepLines w:val="0"/>
                    <w:suppressLineNumbers w:val="0"/>
                    <w:autoSpaceDE w:val="0"/>
                    <w:autoSpaceDN w:val="0"/>
                    <w:adjustRightInd w:val="0"/>
                    <w:spacing w:before="0" w:beforeAutospacing="0" w:after="0" w:afterAutospacing="0"/>
                    <w:ind w:left="0" w:right="0"/>
                    <w:jc w:val="center"/>
                    <w:rPr>
                      <w:rFonts w:hint="default" w:ascii="Times New Roman" w:hAnsi="Times New Roman" w:eastAsia="宋体" w:cs="Times New Roman"/>
                      <w:i w:val="0"/>
                      <w:iCs w:val="0"/>
                      <w:color w:val="auto"/>
                      <w:kern w:val="0"/>
                      <w:sz w:val="22"/>
                      <w:szCs w:val="22"/>
                      <w:u w:val="none"/>
                    </w:rPr>
                  </w:pPr>
                </w:p>
              </w:tc>
              <w:tc>
                <w:tcPr>
                  <w:tcW w:w="785" w:type="pct"/>
                  <w:gridSpan w:val="2"/>
                  <w:tcBorders>
                    <w:top w:val="nil"/>
                    <w:left w:val="nil"/>
                    <w:bottom w:val="single" w:color="000000" w:sz="8" w:space="0"/>
                    <w:right w:val="single" w:color="000000" w:sz="8" w:space="0"/>
                  </w:tcBorders>
                  <w:shd w:val="clear" w:color="auto" w:fill="auto"/>
                  <w:vAlign w:val="center"/>
                </w:tcPr>
                <w:p w14:paraId="2DEBCD59">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i w:val="0"/>
                      <w:iCs w:val="0"/>
                      <w:color w:val="auto"/>
                      <w:kern w:val="0"/>
                      <w:sz w:val="22"/>
                      <w:szCs w:val="22"/>
                      <w:u w:val="none"/>
                    </w:rPr>
                  </w:pPr>
                </w:p>
              </w:tc>
              <w:tc>
                <w:tcPr>
                  <w:tcW w:w="528" w:type="pct"/>
                  <w:tcBorders>
                    <w:top w:val="nil"/>
                    <w:left w:val="nil"/>
                    <w:bottom w:val="single" w:color="000000" w:sz="8" w:space="0"/>
                    <w:right w:val="single" w:color="000000" w:sz="8" w:space="0"/>
                  </w:tcBorders>
                  <w:shd w:val="clear" w:color="auto" w:fill="auto"/>
                  <w:vAlign w:val="center"/>
                </w:tcPr>
                <w:p w14:paraId="5D4F01DE">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i w:val="0"/>
                      <w:iCs w:val="0"/>
                      <w:color w:val="auto"/>
                      <w:kern w:val="0"/>
                      <w:sz w:val="22"/>
                      <w:szCs w:val="22"/>
                      <w:u w:val="none"/>
                    </w:rPr>
                  </w:pPr>
                </w:p>
              </w:tc>
              <w:tc>
                <w:tcPr>
                  <w:tcW w:w="529" w:type="pct"/>
                  <w:tcBorders>
                    <w:top w:val="nil"/>
                    <w:left w:val="nil"/>
                    <w:bottom w:val="single" w:color="000000" w:sz="8" w:space="0"/>
                    <w:right w:val="single" w:color="000000" w:sz="8" w:space="0"/>
                  </w:tcBorders>
                  <w:shd w:val="clear" w:color="auto" w:fill="auto"/>
                  <w:vAlign w:val="center"/>
                </w:tcPr>
                <w:p w14:paraId="090C6D73">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i w:val="0"/>
                      <w:iCs w:val="0"/>
                      <w:color w:val="auto"/>
                      <w:kern w:val="0"/>
                      <w:sz w:val="22"/>
                      <w:szCs w:val="22"/>
                      <w:u w:val="none"/>
                    </w:rPr>
                  </w:pPr>
                </w:p>
              </w:tc>
              <w:tc>
                <w:tcPr>
                  <w:tcW w:w="529" w:type="pct"/>
                  <w:tcBorders>
                    <w:top w:val="nil"/>
                    <w:left w:val="nil"/>
                    <w:bottom w:val="single" w:color="000000" w:sz="8" w:space="0"/>
                    <w:right w:val="single" w:color="000000" w:sz="8" w:space="0"/>
                  </w:tcBorders>
                  <w:shd w:val="clear" w:color="auto" w:fill="auto"/>
                  <w:vAlign w:val="center"/>
                </w:tcPr>
                <w:p w14:paraId="75EA14B5">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i w:val="0"/>
                      <w:iCs w:val="0"/>
                      <w:color w:val="auto"/>
                      <w:kern w:val="0"/>
                      <w:sz w:val="22"/>
                      <w:szCs w:val="22"/>
                      <w:u w:val="none"/>
                    </w:rPr>
                  </w:pPr>
                </w:p>
              </w:tc>
              <w:tc>
                <w:tcPr>
                  <w:tcW w:w="633" w:type="pct"/>
                  <w:tcBorders>
                    <w:top w:val="nil"/>
                    <w:left w:val="nil"/>
                    <w:bottom w:val="single" w:color="000000" w:sz="8" w:space="0"/>
                    <w:right w:val="single" w:color="000000" w:sz="8" w:space="0"/>
                  </w:tcBorders>
                  <w:shd w:val="clear" w:color="auto" w:fill="auto"/>
                  <w:vAlign w:val="center"/>
                </w:tcPr>
                <w:p w14:paraId="7685A3EF">
                  <w:pPr>
                    <w:keepNext w:val="0"/>
                    <w:keepLines w:val="0"/>
                    <w:suppressLineNumbers w:val="0"/>
                    <w:autoSpaceDE w:val="0"/>
                    <w:autoSpaceDN w:val="0"/>
                    <w:adjustRightInd w:val="0"/>
                    <w:spacing w:before="0" w:beforeAutospacing="0" w:after="0" w:afterAutospacing="0"/>
                    <w:ind w:left="0" w:right="0"/>
                    <w:jc w:val="center"/>
                    <w:rPr>
                      <w:rFonts w:hint="default" w:ascii="Times New Roman" w:hAnsi="Times New Roman" w:eastAsia="宋体" w:cs="Times New Roman"/>
                      <w:i w:val="0"/>
                      <w:iCs w:val="0"/>
                      <w:color w:val="auto"/>
                      <w:kern w:val="0"/>
                      <w:sz w:val="22"/>
                      <w:szCs w:val="22"/>
                      <w:u w:val="none"/>
                    </w:rPr>
                  </w:pPr>
                </w:p>
              </w:tc>
            </w:tr>
            <w:tr w14:paraId="609FE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778" w:type="pct"/>
                  <w:vMerge w:val="continue"/>
                  <w:tcBorders>
                    <w:top w:val="nil"/>
                    <w:left w:val="single" w:color="000000" w:sz="8" w:space="0"/>
                    <w:bottom w:val="nil"/>
                    <w:right w:val="single" w:color="000000" w:sz="8" w:space="0"/>
                  </w:tcBorders>
                  <w:shd w:val="clear" w:color="auto" w:fill="auto"/>
                  <w:noWrap/>
                  <w:vAlign w:val="center"/>
                </w:tcPr>
                <w:p w14:paraId="1B3324E7">
                  <w:pPr>
                    <w:keepNext w:val="0"/>
                    <w:keepLines w:val="0"/>
                    <w:suppressLineNumbers w:val="0"/>
                    <w:autoSpaceDE w:val="0"/>
                    <w:autoSpaceDN w:val="0"/>
                    <w:adjustRightInd w:val="0"/>
                    <w:spacing w:before="0" w:beforeAutospacing="0" w:after="0" w:afterAutospacing="0"/>
                    <w:ind w:left="0" w:right="0"/>
                    <w:jc w:val="center"/>
                    <w:rPr>
                      <w:rFonts w:hint="default" w:ascii="Times New Roman" w:hAnsi="Times New Roman" w:eastAsia="仿宋_GB2312" w:cs="Times New Roman"/>
                      <w:i w:val="0"/>
                      <w:iCs w:val="0"/>
                      <w:color w:val="auto"/>
                      <w:kern w:val="0"/>
                      <w:sz w:val="22"/>
                      <w:szCs w:val="22"/>
                      <w:u w:val="none"/>
                    </w:rPr>
                  </w:pPr>
                </w:p>
              </w:tc>
              <w:tc>
                <w:tcPr>
                  <w:tcW w:w="454" w:type="pct"/>
                  <w:tcBorders>
                    <w:top w:val="nil"/>
                    <w:left w:val="nil"/>
                    <w:bottom w:val="single" w:color="000000" w:sz="8" w:space="0"/>
                    <w:right w:val="single" w:color="000000" w:sz="8" w:space="0"/>
                  </w:tcBorders>
                  <w:shd w:val="clear" w:color="auto" w:fill="auto"/>
                  <w:vAlign w:val="center"/>
                </w:tcPr>
                <w:p w14:paraId="6BB0327F">
                  <w:pPr>
                    <w:keepNext w:val="0"/>
                    <w:keepLines w:val="0"/>
                    <w:suppressLineNumbers w:val="0"/>
                    <w:autoSpaceDE w:val="0"/>
                    <w:autoSpaceDN w:val="0"/>
                    <w:adjustRightInd w:val="0"/>
                    <w:spacing w:before="0" w:beforeAutospacing="0" w:after="0" w:afterAutospacing="0"/>
                    <w:ind w:left="0" w:right="0"/>
                    <w:jc w:val="center"/>
                    <w:rPr>
                      <w:rFonts w:hint="default" w:ascii="Times New Roman" w:hAnsi="Times New Roman" w:eastAsia="宋体" w:cs="Times New Roman"/>
                      <w:i w:val="0"/>
                      <w:iCs w:val="0"/>
                      <w:color w:val="auto"/>
                      <w:kern w:val="0"/>
                      <w:sz w:val="22"/>
                      <w:szCs w:val="22"/>
                      <w:u w:val="none"/>
                    </w:rPr>
                  </w:pPr>
                </w:p>
              </w:tc>
              <w:tc>
                <w:tcPr>
                  <w:tcW w:w="760" w:type="pct"/>
                  <w:tcBorders>
                    <w:top w:val="nil"/>
                    <w:left w:val="nil"/>
                    <w:bottom w:val="single" w:color="000000" w:sz="8" w:space="0"/>
                    <w:right w:val="single" w:color="000000" w:sz="8" w:space="0"/>
                  </w:tcBorders>
                  <w:shd w:val="clear" w:color="auto" w:fill="auto"/>
                  <w:vAlign w:val="center"/>
                </w:tcPr>
                <w:p w14:paraId="2CAF6047">
                  <w:pPr>
                    <w:keepNext w:val="0"/>
                    <w:keepLines w:val="0"/>
                    <w:suppressLineNumbers w:val="0"/>
                    <w:autoSpaceDE w:val="0"/>
                    <w:autoSpaceDN w:val="0"/>
                    <w:adjustRightInd w:val="0"/>
                    <w:spacing w:before="0" w:beforeAutospacing="0" w:after="0" w:afterAutospacing="0"/>
                    <w:ind w:left="0" w:right="0"/>
                    <w:jc w:val="center"/>
                    <w:rPr>
                      <w:rFonts w:hint="default" w:ascii="Times New Roman" w:hAnsi="Times New Roman" w:eastAsia="宋体" w:cs="Times New Roman"/>
                      <w:i w:val="0"/>
                      <w:iCs w:val="0"/>
                      <w:color w:val="auto"/>
                      <w:kern w:val="0"/>
                      <w:sz w:val="22"/>
                      <w:szCs w:val="22"/>
                      <w:u w:val="none"/>
                    </w:rPr>
                  </w:pPr>
                </w:p>
              </w:tc>
              <w:tc>
                <w:tcPr>
                  <w:tcW w:w="785" w:type="pct"/>
                  <w:gridSpan w:val="2"/>
                  <w:tcBorders>
                    <w:top w:val="nil"/>
                    <w:left w:val="nil"/>
                    <w:bottom w:val="single" w:color="000000" w:sz="8" w:space="0"/>
                    <w:right w:val="single" w:color="000000" w:sz="8" w:space="0"/>
                  </w:tcBorders>
                  <w:shd w:val="clear" w:color="auto" w:fill="auto"/>
                  <w:vAlign w:val="center"/>
                </w:tcPr>
                <w:p w14:paraId="45DB0066">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i w:val="0"/>
                      <w:iCs w:val="0"/>
                      <w:color w:val="auto"/>
                      <w:kern w:val="0"/>
                      <w:sz w:val="22"/>
                      <w:szCs w:val="22"/>
                      <w:u w:val="none"/>
                    </w:rPr>
                  </w:pPr>
                </w:p>
              </w:tc>
              <w:tc>
                <w:tcPr>
                  <w:tcW w:w="528" w:type="pct"/>
                  <w:tcBorders>
                    <w:top w:val="nil"/>
                    <w:left w:val="nil"/>
                    <w:bottom w:val="single" w:color="000000" w:sz="8" w:space="0"/>
                    <w:right w:val="single" w:color="000000" w:sz="8" w:space="0"/>
                  </w:tcBorders>
                  <w:shd w:val="clear" w:color="auto" w:fill="auto"/>
                  <w:vAlign w:val="center"/>
                </w:tcPr>
                <w:p w14:paraId="55A44C55">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i w:val="0"/>
                      <w:iCs w:val="0"/>
                      <w:color w:val="auto"/>
                      <w:kern w:val="0"/>
                      <w:sz w:val="22"/>
                      <w:szCs w:val="22"/>
                      <w:u w:val="none"/>
                    </w:rPr>
                  </w:pPr>
                </w:p>
              </w:tc>
              <w:tc>
                <w:tcPr>
                  <w:tcW w:w="529" w:type="pct"/>
                  <w:tcBorders>
                    <w:top w:val="nil"/>
                    <w:left w:val="nil"/>
                    <w:bottom w:val="single" w:color="000000" w:sz="8" w:space="0"/>
                    <w:right w:val="single" w:color="000000" w:sz="8" w:space="0"/>
                  </w:tcBorders>
                  <w:shd w:val="clear" w:color="auto" w:fill="auto"/>
                  <w:vAlign w:val="center"/>
                </w:tcPr>
                <w:p w14:paraId="3D99F767">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i w:val="0"/>
                      <w:iCs w:val="0"/>
                      <w:color w:val="auto"/>
                      <w:kern w:val="0"/>
                      <w:sz w:val="22"/>
                      <w:szCs w:val="22"/>
                      <w:u w:val="none"/>
                    </w:rPr>
                  </w:pPr>
                </w:p>
              </w:tc>
              <w:tc>
                <w:tcPr>
                  <w:tcW w:w="529" w:type="pct"/>
                  <w:tcBorders>
                    <w:top w:val="nil"/>
                    <w:left w:val="nil"/>
                    <w:bottom w:val="single" w:color="000000" w:sz="8" w:space="0"/>
                    <w:right w:val="single" w:color="000000" w:sz="8" w:space="0"/>
                  </w:tcBorders>
                  <w:shd w:val="clear" w:color="auto" w:fill="auto"/>
                  <w:vAlign w:val="center"/>
                </w:tcPr>
                <w:p w14:paraId="388A1FAF">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i w:val="0"/>
                      <w:iCs w:val="0"/>
                      <w:color w:val="auto"/>
                      <w:kern w:val="0"/>
                      <w:sz w:val="22"/>
                      <w:szCs w:val="22"/>
                      <w:u w:val="none"/>
                    </w:rPr>
                  </w:pPr>
                </w:p>
              </w:tc>
              <w:tc>
                <w:tcPr>
                  <w:tcW w:w="633" w:type="pct"/>
                  <w:tcBorders>
                    <w:top w:val="nil"/>
                    <w:left w:val="nil"/>
                    <w:bottom w:val="single" w:color="000000" w:sz="8" w:space="0"/>
                    <w:right w:val="single" w:color="000000" w:sz="8" w:space="0"/>
                  </w:tcBorders>
                  <w:shd w:val="clear" w:color="auto" w:fill="auto"/>
                  <w:vAlign w:val="center"/>
                </w:tcPr>
                <w:p w14:paraId="6BFEAB45">
                  <w:pPr>
                    <w:keepNext w:val="0"/>
                    <w:keepLines w:val="0"/>
                    <w:suppressLineNumbers w:val="0"/>
                    <w:autoSpaceDE w:val="0"/>
                    <w:autoSpaceDN w:val="0"/>
                    <w:adjustRightInd w:val="0"/>
                    <w:spacing w:before="0" w:beforeAutospacing="0" w:after="0" w:afterAutospacing="0"/>
                    <w:ind w:left="0" w:right="0"/>
                    <w:jc w:val="center"/>
                    <w:rPr>
                      <w:rFonts w:hint="default" w:ascii="Times New Roman" w:hAnsi="Times New Roman" w:eastAsia="宋体" w:cs="Times New Roman"/>
                      <w:i w:val="0"/>
                      <w:iCs w:val="0"/>
                      <w:color w:val="auto"/>
                      <w:kern w:val="0"/>
                      <w:sz w:val="22"/>
                      <w:szCs w:val="22"/>
                      <w:u w:val="none"/>
                    </w:rPr>
                  </w:pPr>
                </w:p>
              </w:tc>
            </w:tr>
            <w:tr w14:paraId="0BD19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778" w:type="pct"/>
                  <w:vMerge w:val="continue"/>
                  <w:tcBorders>
                    <w:top w:val="nil"/>
                    <w:left w:val="single" w:color="000000" w:sz="8" w:space="0"/>
                    <w:bottom w:val="nil"/>
                    <w:right w:val="single" w:color="000000" w:sz="8" w:space="0"/>
                  </w:tcBorders>
                  <w:shd w:val="clear" w:color="auto" w:fill="auto"/>
                  <w:noWrap/>
                  <w:vAlign w:val="center"/>
                </w:tcPr>
                <w:p w14:paraId="6FC152AF">
                  <w:pPr>
                    <w:keepNext w:val="0"/>
                    <w:keepLines w:val="0"/>
                    <w:suppressLineNumbers w:val="0"/>
                    <w:autoSpaceDE w:val="0"/>
                    <w:autoSpaceDN w:val="0"/>
                    <w:adjustRightInd w:val="0"/>
                    <w:spacing w:before="0" w:beforeAutospacing="0" w:after="0" w:afterAutospacing="0"/>
                    <w:ind w:left="0" w:right="0"/>
                    <w:jc w:val="center"/>
                    <w:rPr>
                      <w:rFonts w:hint="default" w:ascii="Times New Roman" w:hAnsi="Times New Roman" w:eastAsia="仿宋_GB2312" w:cs="Times New Roman"/>
                      <w:i w:val="0"/>
                      <w:iCs w:val="0"/>
                      <w:color w:val="auto"/>
                      <w:kern w:val="0"/>
                      <w:sz w:val="22"/>
                      <w:szCs w:val="22"/>
                      <w:u w:val="none"/>
                    </w:rPr>
                  </w:pPr>
                </w:p>
              </w:tc>
              <w:tc>
                <w:tcPr>
                  <w:tcW w:w="454" w:type="pct"/>
                  <w:tcBorders>
                    <w:top w:val="nil"/>
                    <w:left w:val="nil"/>
                    <w:bottom w:val="single" w:color="000000" w:sz="8" w:space="0"/>
                    <w:right w:val="single" w:color="000000" w:sz="8" w:space="0"/>
                  </w:tcBorders>
                  <w:shd w:val="clear" w:color="auto" w:fill="auto"/>
                  <w:vAlign w:val="center"/>
                </w:tcPr>
                <w:p w14:paraId="6DCC0E4B">
                  <w:pPr>
                    <w:keepNext w:val="0"/>
                    <w:keepLines w:val="0"/>
                    <w:suppressLineNumbers w:val="0"/>
                    <w:autoSpaceDE w:val="0"/>
                    <w:autoSpaceDN w:val="0"/>
                    <w:adjustRightInd w:val="0"/>
                    <w:spacing w:before="0" w:beforeAutospacing="0" w:after="0" w:afterAutospacing="0"/>
                    <w:ind w:left="0" w:right="0"/>
                    <w:jc w:val="center"/>
                    <w:rPr>
                      <w:rFonts w:hint="default" w:ascii="Times New Roman" w:hAnsi="Times New Roman" w:eastAsia="宋体" w:cs="Times New Roman"/>
                      <w:i w:val="0"/>
                      <w:iCs w:val="0"/>
                      <w:color w:val="auto"/>
                      <w:kern w:val="0"/>
                      <w:sz w:val="22"/>
                      <w:szCs w:val="22"/>
                      <w:u w:val="none"/>
                    </w:rPr>
                  </w:pPr>
                </w:p>
              </w:tc>
              <w:tc>
                <w:tcPr>
                  <w:tcW w:w="760" w:type="pct"/>
                  <w:tcBorders>
                    <w:top w:val="nil"/>
                    <w:left w:val="nil"/>
                    <w:bottom w:val="single" w:color="000000" w:sz="8" w:space="0"/>
                    <w:right w:val="single" w:color="000000" w:sz="8" w:space="0"/>
                  </w:tcBorders>
                  <w:shd w:val="clear" w:color="auto" w:fill="auto"/>
                  <w:vAlign w:val="center"/>
                </w:tcPr>
                <w:p w14:paraId="333A9D81">
                  <w:pPr>
                    <w:keepNext w:val="0"/>
                    <w:keepLines w:val="0"/>
                    <w:suppressLineNumbers w:val="0"/>
                    <w:autoSpaceDE w:val="0"/>
                    <w:autoSpaceDN w:val="0"/>
                    <w:adjustRightInd w:val="0"/>
                    <w:spacing w:before="0" w:beforeAutospacing="0" w:after="0" w:afterAutospacing="0"/>
                    <w:ind w:left="0" w:right="0"/>
                    <w:jc w:val="center"/>
                    <w:rPr>
                      <w:rFonts w:hint="default" w:ascii="Times New Roman" w:hAnsi="Times New Roman" w:eastAsia="宋体" w:cs="Times New Roman"/>
                      <w:i w:val="0"/>
                      <w:iCs w:val="0"/>
                      <w:color w:val="auto"/>
                      <w:kern w:val="0"/>
                      <w:sz w:val="22"/>
                      <w:szCs w:val="22"/>
                      <w:u w:val="none"/>
                    </w:rPr>
                  </w:pPr>
                </w:p>
              </w:tc>
              <w:tc>
                <w:tcPr>
                  <w:tcW w:w="785" w:type="pct"/>
                  <w:gridSpan w:val="2"/>
                  <w:tcBorders>
                    <w:top w:val="nil"/>
                    <w:left w:val="nil"/>
                    <w:bottom w:val="single" w:color="000000" w:sz="8" w:space="0"/>
                    <w:right w:val="single" w:color="000000" w:sz="8" w:space="0"/>
                  </w:tcBorders>
                  <w:shd w:val="clear" w:color="auto" w:fill="auto"/>
                  <w:vAlign w:val="center"/>
                </w:tcPr>
                <w:p w14:paraId="1CEC7B94">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i w:val="0"/>
                      <w:iCs w:val="0"/>
                      <w:color w:val="auto"/>
                      <w:kern w:val="0"/>
                      <w:sz w:val="22"/>
                      <w:szCs w:val="22"/>
                      <w:u w:val="none"/>
                    </w:rPr>
                  </w:pPr>
                </w:p>
              </w:tc>
              <w:tc>
                <w:tcPr>
                  <w:tcW w:w="528" w:type="pct"/>
                  <w:tcBorders>
                    <w:top w:val="nil"/>
                    <w:left w:val="nil"/>
                    <w:bottom w:val="single" w:color="000000" w:sz="8" w:space="0"/>
                    <w:right w:val="single" w:color="000000" w:sz="8" w:space="0"/>
                  </w:tcBorders>
                  <w:shd w:val="clear" w:color="auto" w:fill="auto"/>
                  <w:vAlign w:val="center"/>
                </w:tcPr>
                <w:p w14:paraId="0BE8C24A">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i w:val="0"/>
                      <w:iCs w:val="0"/>
                      <w:color w:val="auto"/>
                      <w:kern w:val="0"/>
                      <w:sz w:val="22"/>
                      <w:szCs w:val="22"/>
                      <w:u w:val="none"/>
                    </w:rPr>
                  </w:pPr>
                </w:p>
              </w:tc>
              <w:tc>
                <w:tcPr>
                  <w:tcW w:w="529" w:type="pct"/>
                  <w:tcBorders>
                    <w:top w:val="nil"/>
                    <w:left w:val="nil"/>
                    <w:bottom w:val="single" w:color="000000" w:sz="8" w:space="0"/>
                    <w:right w:val="single" w:color="000000" w:sz="8" w:space="0"/>
                  </w:tcBorders>
                  <w:shd w:val="clear" w:color="auto" w:fill="auto"/>
                  <w:vAlign w:val="center"/>
                </w:tcPr>
                <w:p w14:paraId="180FA7F2">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i w:val="0"/>
                      <w:iCs w:val="0"/>
                      <w:color w:val="auto"/>
                      <w:kern w:val="0"/>
                      <w:sz w:val="22"/>
                      <w:szCs w:val="22"/>
                      <w:u w:val="none"/>
                    </w:rPr>
                  </w:pPr>
                </w:p>
              </w:tc>
              <w:tc>
                <w:tcPr>
                  <w:tcW w:w="529" w:type="pct"/>
                  <w:tcBorders>
                    <w:top w:val="nil"/>
                    <w:left w:val="nil"/>
                    <w:bottom w:val="single" w:color="000000" w:sz="8" w:space="0"/>
                    <w:right w:val="single" w:color="000000" w:sz="8" w:space="0"/>
                  </w:tcBorders>
                  <w:shd w:val="clear" w:color="auto" w:fill="auto"/>
                  <w:vAlign w:val="center"/>
                </w:tcPr>
                <w:p w14:paraId="00D84CFB">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i w:val="0"/>
                      <w:iCs w:val="0"/>
                      <w:color w:val="auto"/>
                      <w:kern w:val="0"/>
                      <w:sz w:val="22"/>
                      <w:szCs w:val="22"/>
                      <w:u w:val="none"/>
                    </w:rPr>
                  </w:pPr>
                </w:p>
              </w:tc>
              <w:tc>
                <w:tcPr>
                  <w:tcW w:w="633" w:type="pct"/>
                  <w:tcBorders>
                    <w:top w:val="nil"/>
                    <w:left w:val="nil"/>
                    <w:bottom w:val="single" w:color="000000" w:sz="8" w:space="0"/>
                    <w:right w:val="single" w:color="000000" w:sz="8" w:space="0"/>
                  </w:tcBorders>
                  <w:shd w:val="clear" w:color="auto" w:fill="auto"/>
                  <w:vAlign w:val="center"/>
                </w:tcPr>
                <w:p w14:paraId="51FF2A2C">
                  <w:pPr>
                    <w:keepNext w:val="0"/>
                    <w:keepLines w:val="0"/>
                    <w:suppressLineNumbers w:val="0"/>
                    <w:autoSpaceDE w:val="0"/>
                    <w:autoSpaceDN w:val="0"/>
                    <w:adjustRightInd w:val="0"/>
                    <w:spacing w:before="0" w:beforeAutospacing="0" w:after="0" w:afterAutospacing="0"/>
                    <w:ind w:left="0" w:right="0"/>
                    <w:jc w:val="center"/>
                    <w:rPr>
                      <w:rFonts w:hint="default" w:ascii="Times New Roman" w:hAnsi="Times New Roman" w:eastAsia="宋体" w:cs="Times New Roman"/>
                      <w:i w:val="0"/>
                      <w:iCs w:val="0"/>
                      <w:color w:val="auto"/>
                      <w:kern w:val="0"/>
                      <w:sz w:val="22"/>
                      <w:szCs w:val="22"/>
                      <w:u w:val="none"/>
                    </w:rPr>
                  </w:pPr>
                </w:p>
              </w:tc>
            </w:tr>
            <w:tr w14:paraId="1F6DD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778" w:type="pct"/>
                  <w:vMerge w:val="continue"/>
                  <w:tcBorders>
                    <w:top w:val="nil"/>
                    <w:left w:val="single" w:color="000000" w:sz="8" w:space="0"/>
                    <w:bottom w:val="nil"/>
                    <w:right w:val="single" w:color="000000" w:sz="8" w:space="0"/>
                  </w:tcBorders>
                  <w:shd w:val="clear" w:color="auto" w:fill="auto"/>
                  <w:noWrap/>
                  <w:vAlign w:val="center"/>
                </w:tcPr>
                <w:p w14:paraId="6CA219C9">
                  <w:pPr>
                    <w:keepNext w:val="0"/>
                    <w:keepLines w:val="0"/>
                    <w:suppressLineNumbers w:val="0"/>
                    <w:autoSpaceDE w:val="0"/>
                    <w:autoSpaceDN w:val="0"/>
                    <w:adjustRightInd w:val="0"/>
                    <w:spacing w:before="0" w:beforeAutospacing="0" w:after="0" w:afterAutospacing="0"/>
                    <w:ind w:left="0" w:right="0"/>
                    <w:jc w:val="center"/>
                    <w:rPr>
                      <w:rFonts w:hint="default" w:ascii="Times New Roman" w:hAnsi="Times New Roman" w:eastAsia="仿宋_GB2312" w:cs="Times New Roman"/>
                      <w:i w:val="0"/>
                      <w:iCs w:val="0"/>
                      <w:color w:val="auto"/>
                      <w:kern w:val="0"/>
                      <w:sz w:val="22"/>
                      <w:szCs w:val="22"/>
                      <w:u w:val="none"/>
                    </w:rPr>
                  </w:pPr>
                </w:p>
              </w:tc>
              <w:tc>
                <w:tcPr>
                  <w:tcW w:w="454" w:type="pct"/>
                  <w:tcBorders>
                    <w:top w:val="nil"/>
                    <w:left w:val="nil"/>
                    <w:bottom w:val="single" w:color="000000" w:sz="8" w:space="0"/>
                    <w:right w:val="single" w:color="000000" w:sz="8" w:space="0"/>
                  </w:tcBorders>
                  <w:shd w:val="clear" w:color="auto" w:fill="auto"/>
                  <w:vAlign w:val="center"/>
                </w:tcPr>
                <w:p w14:paraId="568415F8">
                  <w:pPr>
                    <w:keepNext w:val="0"/>
                    <w:keepLines w:val="0"/>
                    <w:suppressLineNumbers w:val="0"/>
                    <w:autoSpaceDE w:val="0"/>
                    <w:autoSpaceDN w:val="0"/>
                    <w:adjustRightInd w:val="0"/>
                    <w:spacing w:before="0" w:beforeAutospacing="0" w:after="0" w:afterAutospacing="0"/>
                    <w:ind w:left="0" w:right="0"/>
                    <w:jc w:val="center"/>
                    <w:rPr>
                      <w:rFonts w:hint="default" w:ascii="Times New Roman" w:hAnsi="Times New Roman" w:eastAsia="宋体" w:cs="Times New Roman"/>
                      <w:i w:val="0"/>
                      <w:iCs w:val="0"/>
                      <w:color w:val="auto"/>
                      <w:kern w:val="0"/>
                      <w:sz w:val="22"/>
                      <w:szCs w:val="22"/>
                      <w:u w:val="none"/>
                    </w:rPr>
                  </w:pPr>
                </w:p>
              </w:tc>
              <w:tc>
                <w:tcPr>
                  <w:tcW w:w="760" w:type="pct"/>
                  <w:tcBorders>
                    <w:top w:val="nil"/>
                    <w:left w:val="nil"/>
                    <w:bottom w:val="single" w:color="000000" w:sz="8" w:space="0"/>
                    <w:right w:val="single" w:color="000000" w:sz="8" w:space="0"/>
                  </w:tcBorders>
                  <w:shd w:val="clear" w:color="auto" w:fill="auto"/>
                  <w:vAlign w:val="center"/>
                </w:tcPr>
                <w:p w14:paraId="5D005A6D">
                  <w:pPr>
                    <w:keepNext w:val="0"/>
                    <w:keepLines w:val="0"/>
                    <w:suppressLineNumbers w:val="0"/>
                    <w:autoSpaceDE w:val="0"/>
                    <w:autoSpaceDN w:val="0"/>
                    <w:adjustRightInd w:val="0"/>
                    <w:spacing w:before="0" w:beforeAutospacing="0" w:after="0" w:afterAutospacing="0"/>
                    <w:ind w:left="0" w:right="0"/>
                    <w:jc w:val="center"/>
                    <w:rPr>
                      <w:rFonts w:hint="default" w:ascii="Times New Roman" w:hAnsi="Times New Roman" w:eastAsia="宋体" w:cs="Times New Roman"/>
                      <w:i w:val="0"/>
                      <w:iCs w:val="0"/>
                      <w:color w:val="auto"/>
                      <w:kern w:val="0"/>
                      <w:sz w:val="22"/>
                      <w:szCs w:val="22"/>
                      <w:u w:val="none"/>
                    </w:rPr>
                  </w:pPr>
                </w:p>
              </w:tc>
              <w:tc>
                <w:tcPr>
                  <w:tcW w:w="785" w:type="pct"/>
                  <w:gridSpan w:val="2"/>
                  <w:tcBorders>
                    <w:top w:val="nil"/>
                    <w:left w:val="nil"/>
                    <w:bottom w:val="single" w:color="000000" w:sz="8" w:space="0"/>
                    <w:right w:val="single" w:color="000000" w:sz="8" w:space="0"/>
                  </w:tcBorders>
                  <w:shd w:val="clear" w:color="auto" w:fill="auto"/>
                  <w:vAlign w:val="center"/>
                </w:tcPr>
                <w:p w14:paraId="2D1BA3FE">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i w:val="0"/>
                      <w:iCs w:val="0"/>
                      <w:color w:val="auto"/>
                      <w:kern w:val="0"/>
                      <w:sz w:val="22"/>
                      <w:szCs w:val="22"/>
                      <w:u w:val="none"/>
                    </w:rPr>
                  </w:pPr>
                </w:p>
              </w:tc>
              <w:tc>
                <w:tcPr>
                  <w:tcW w:w="528" w:type="pct"/>
                  <w:tcBorders>
                    <w:top w:val="nil"/>
                    <w:left w:val="nil"/>
                    <w:bottom w:val="single" w:color="000000" w:sz="8" w:space="0"/>
                    <w:right w:val="single" w:color="000000" w:sz="8" w:space="0"/>
                  </w:tcBorders>
                  <w:shd w:val="clear" w:color="auto" w:fill="auto"/>
                  <w:vAlign w:val="center"/>
                </w:tcPr>
                <w:p w14:paraId="14617685">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i w:val="0"/>
                      <w:iCs w:val="0"/>
                      <w:color w:val="auto"/>
                      <w:kern w:val="0"/>
                      <w:sz w:val="22"/>
                      <w:szCs w:val="22"/>
                      <w:u w:val="none"/>
                    </w:rPr>
                  </w:pPr>
                </w:p>
              </w:tc>
              <w:tc>
                <w:tcPr>
                  <w:tcW w:w="529" w:type="pct"/>
                  <w:tcBorders>
                    <w:top w:val="nil"/>
                    <w:left w:val="nil"/>
                    <w:bottom w:val="single" w:color="000000" w:sz="8" w:space="0"/>
                    <w:right w:val="single" w:color="000000" w:sz="8" w:space="0"/>
                  </w:tcBorders>
                  <w:shd w:val="clear" w:color="auto" w:fill="auto"/>
                  <w:vAlign w:val="center"/>
                </w:tcPr>
                <w:p w14:paraId="7C989A8F">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i w:val="0"/>
                      <w:iCs w:val="0"/>
                      <w:color w:val="auto"/>
                      <w:kern w:val="0"/>
                      <w:sz w:val="22"/>
                      <w:szCs w:val="22"/>
                      <w:u w:val="none"/>
                    </w:rPr>
                  </w:pPr>
                </w:p>
              </w:tc>
              <w:tc>
                <w:tcPr>
                  <w:tcW w:w="529" w:type="pct"/>
                  <w:tcBorders>
                    <w:top w:val="nil"/>
                    <w:left w:val="nil"/>
                    <w:bottom w:val="single" w:color="000000" w:sz="8" w:space="0"/>
                    <w:right w:val="single" w:color="000000" w:sz="8" w:space="0"/>
                  </w:tcBorders>
                  <w:shd w:val="clear" w:color="auto" w:fill="auto"/>
                  <w:vAlign w:val="center"/>
                </w:tcPr>
                <w:p w14:paraId="68B0F133">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i w:val="0"/>
                      <w:iCs w:val="0"/>
                      <w:color w:val="auto"/>
                      <w:kern w:val="0"/>
                      <w:sz w:val="22"/>
                      <w:szCs w:val="22"/>
                      <w:u w:val="none"/>
                    </w:rPr>
                  </w:pPr>
                </w:p>
              </w:tc>
              <w:tc>
                <w:tcPr>
                  <w:tcW w:w="633" w:type="pct"/>
                  <w:tcBorders>
                    <w:top w:val="nil"/>
                    <w:left w:val="nil"/>
                    <w:bottom w:val="single" w:color="000000" w:sz="8" w:space="0"/>
                    <w:right w:val="single" w:color="000000" w:sz="8" w:space="0"/>
                  </w:tcBorders>
                  <w:shd w:val="clear" w:color="auto" w:fill="auto"/>
                  <w:vAlign w:val="center"/>
                </w:tcPr>
                <w:p w14:paraId="129DA89C">
                  <w:pPr>
                    <w:keepNext w:val="0"/>
                    <w:keepLines w:val="0"/>
                    <w:suppressLineNumbers w:val="0"/>
                    <w:autoSpaceDE w:val="0"/>
                    <w:autoSpaceDN w:val="0"/>
                    <w:adjustRightInd w:val="0"/>
                    <w:spacing w:before="0" w:beforeAutospacing="0" w:after="0" w:afterAutospacing="0"/>
                    <w:ind w:left="0" w:right="0"/>
                    <w:jc w:val="center"/>
                    <w:rPr>
                      <w:rFonts w:hint="default" w:ascii="Times New Roman" w:hAnsi="Times New Roman" w:eastAsia="宋体" w:cs="Times New Roman"/>
                      <w:i w:val="0"/>
                      <w:iCs w:val="0"/>
                      <w:color w:val="auto"/>
                      <w:kern w:val="0"/>
                      <w:sz w:val="22"/>
                      <w:szCs w:val="22"/>
                      <w:u w:val="none"/>
                    </w:rPr>
                  </w:pPr>
                </w:p>
              </w:tc>
            </w:tr>
            <w:tr w14:paraId="0452F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778" w:type="pct"/>
                  <w:vMerge w:val="continue"/>
                  <w:tcBorders>
                    <w:top w:val="nil"/>
                    <w:left w:val="single" w:color="000000" w:sz="8" w:space="0"/>
                    <w:bottom w:val="nil"/>
                    <w:right w:val="single" w:color="000000" w:sz="8" w:space="0"/>
                  </w:tcBorders>
                  <w:shd w:val="clear" w:color="auto" w:fill="auto"/>
                  <w:noWrap/>
                  <w:vAlign w:val="center"/>
                </w:tcPr>
                <w:p w14:paraId="6A432884">
                  <w:pPr>
                    <w:keepNext w:val="0"/>
                    <w:keepLines w:val="0"/>
                    <w:suppressLineNumbers w:val="0"/>
                    <w:autoSpaceDE w:val="0"/>
                    <w:autoSpaceDN w:val="0"/>
                    <w:adjustRightInd w:val="0"/>
                    <w:spacing w:before="0" w:beforeAutospacing="0" w:after="0" w:afterAutospacing="0"/>
                    <w:ind w:left="0" w:right="0"/>
                    <w:jc w:val="center"/>
                    <w:rPr>
                      <w:rFonts w:hint="default" w:ascii="Times New Roman" w:hAnsi="Times New Roman" w:eastAsia="仿宋_GB2312" w:cs="Times New Roman"/>
                      <w:i w:val="0"/>
                      <w:iCs w:val="0"/>
                      <w:color w:val="auto"/>
                      <w:kern w:val="0"/>
                      <w:sz w:val="22"/>
                      <w:szCs w:val="22"/>
                      <w:u w:val="none"/>
                    </w:rPr>
                  </w:pPr>
                </w:p>
              </w:tc>
              <w:tc>
                <w:tcPr>
                  <w:tcW w:w="454" w:type="pct"/>
                  <w:tcBorders>
                    <w:top w:val="nil"/>
                    <w:left w:val="nil"/>
                    <w:bottom w:val="single" w:color="000000" w:sz="8" w:space="0"/>
                    <w:right w:val="single" w:color="000000" w:sz="8" w:space="0"/>
                  </w:tcBorders>
                  <w:shd w:val="clear" w:color="auto" w:fill="auto"/>
                  <w:vAlign w:val="center"/>
                </w:tcPr>
                <w:p w14:paraId="0B309A50">
                  <w:pPr>
                    <w:keepNext w:val="0"/>
                    <w:keepLines w:val="0"/>
                    <w:suppressLineNumbers w:val="0"/>
                    <w:autoSpaceDE w:val="0"/>
                    <w:autoSpaceDN w:val="0"/>
                    <w:adjustRightInd w:val="0"/>
                    <w:spacing w:before="0" w:beforeAutospacing="0" w:after="0" w:afterAutospacing="0"/>
                    <w:ind w:left="0" w:right="0"/>
                    <w:jc w:val="center"/>
                    <w:rPr>
                      <w:rFonts w:hint="default" w:ascii="Times New Roman" w:hAnsi="Times New Roman" w:eastAsia="宋体" w:cs="Times New Roman"/>
                      <w:i w:val="0"/>
                      <w:iCs w:val="0"/>
                      <w:color w:val="auto"/>
                      <w:kern w:val="0"/>
                      <w:sz w:val="22"/>
                      <w:szCs w:val="22"/>
                      <w:u w:val="none"/>
                    </w:rPr>
                  </w:pPr>
                </w:p>
              </w:tc>
              <w:tc>
                <w:tcPr>
                  <w:tcW w:w="760" w:type="pct"/>
                  <w:tcBorders>
                    <w:top w:val="nil"/>
                    <w:left w:val="nil"/>
                    <w:bottom w:val="single" w:color="000000" w:sz="8" w:space="0"/>
                    <w:right w:val="single" w:color="000000" w:sz="8" w:space="0"/>
                  </w:tcBorders>
                  <w:shd w:val="clear" w:color="auto" w:fill="auto"/>
                  <w:vAlign w:val="center"/>
                </w:tcPr>
                <w:p w14:paraId="3302EEC8">
                  <w:pPr>
                    <w:keepNext w:val="0"/>
                    <w:keepLines w:val="0"/>
                    <w:suppressLineNumbers w:val="0"/>
                    <w:autoSpaceDE w:val="0"/>
                    <w:autoSpaceDN w:val="0"/>
                    <w:adjustRightInd w:val="0"/>
                    <w:spacing w:before="0" w:beforeAutospacing="0" w:after="0" w:afterAutospacing="0"/>
                    <w:ind w:left="0" w:right="0"/>
                    <w:jc w:val="center"/>
                    <w:rPr>
                      <w:rFonts w:hint="default" w:ascii="Times New Roman" w:hAnsi="Times New Roman" w:eastAsia="宋体" w:cs="Times New Roman"/>
                      <w:i w:val="0"/>
                      <w:iCs w:val="0"/>
                      <w:color w:val="auto"/>
                      <w:kern w:val="0"/>
                      <w:sz w:val="22"/>
                      <w:szCs w:val="22"/>
                      <w:u w:val="none"/>
                    </w:rPr>
                  </w:pPr>
                </w:p>
              </w:tc>
              <w:tc>
                <w:tcPr>
                  <w:tcW w:w="785" w:type="pct"/>
                  <w:gridSpan w:val="2"/>
                  <w:tcBorders>
                    <w:top w:val="nil"/>
                    <w:left w:val="nil"/>
                    <w:bottom w:val="single" w:color="000000" w:sz="8" w:space="0"/>
                    <w:right w:val="single" w:color="000000" w:sz="8" w:space="0"/>
                  </w:tcBorders>
                  <w:shd w:val="clear" w:color="auto" w:fill="auto"/>
                  <w:vAlign w:val="center"/>
                </w:tcPr>
                <w:p w14:paraId="1A48D194">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i w:val="0"/>
                      <w:iCs w:val="0"/>
                      <w:color w:val="auto"/>
                      <w:kern w:val="0"/>
                      <w:sz w:val="22"/>
                      <w:szCs w:val="22"/>
                      <w:u w:val="none"/>
                    </w:rPr>
                  </w:pPr>
                </w:p>
              </w:tc>
              <w:tc>
                <w:tcPr>
                  <w:tcW w:w="528" w:type="pct"/>
                  <w:tcBorders>
                    <w:top w:val="nil"/>
                    <w:left w:val="nil"/>
                    <w:bottom w:val="single" w:color="000000" w:sz="8" w:space="0"/>
                    <w:right w:val="single" w:color="000000" w:sz="8" w:space="0"/>
                  </w:tcBorders>
                  <w:shd w:val="clear" w:color="auto" w:fill="auto"/>
                  <w:vAlign w:val="center"/>
                </w:tcPr>
                <w:p w14:paraId="1FAD555E">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i w:val="0"/>
                      <w:iCs w:val="0"/>
                      <w:color w:val="auto"/>
                      <w:kern w:val="0"/>
                      <w:sz w:val="22"/>
                      <w:szCs w:val="22"/>
                      <w:u w:val="none"/>
                    </w:rPr>
                  </w:pPr>
                </w:p>
              </w:tc>
              <w:tc>
                <w:tcPr>
                  <w:tcW w:w="529" w:type="pct"/>
                  <w:tcBorders>
                    <w:top w:val="nil"/>
                    <w:left w:val="nil"/>
                    <w:bottom w:val="single" w:color="000000" w:sz="8" w:space="0"/>
                    <w:right w:val="single" w:color="000000" w:sz="8" w:space="0"/>
                  </w:tcBorders>
                  <w:shd w:val="clear" w:color="auto" w:fill="auto"/>
                  <w:vAlign w:val="center"/>
                </w:tcPr>
                <w:p w14:paraId="2E3BD14A">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i w:val="0"/>
                      <w:iCs w:val="0"/>
                      <w:color w:val="auto"/>
                      <w:kern w:val="0"/>
                      <w:sz w:val="22"/>
                      <w:szCs w:val="22"/>
                      <w:u w:val="none"/>
                    </w:rPr>
                  </w:pPr>
                </w:p>
              </w:tc>
              <w:tc>
                <w:tcPr>
                  <w:tcW w:w="529" w:type="pct"/>
                  <w:tcBorders>
                    <w:top w:val="nil"/>
                    <w:left w:val="nil"/>
                    <w:bottom w:val="single" w:color="000000" w:sz="8" w:space="0"/>
                    <w:right w:val="single" w:color="000000" w:sz="8" w:space="0"/>
                  </w:tcBorders>
                  <w:shd w:val="clear" w:color="auto" w:fill="auto"/>
                  <w:vAlign w:val="center"/>
                </w:tcPr>
                <w:p w14:paraId="13E06D98">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i w:val="0"/>
                      <w:iCs w:val="0"/>
                      <w:color w:val="auto"/>
                      <w:kern w:val="0"/>
                      <w:sz w:val="22"/>
                      <w:szCs w:val="22"/>
                      <w:u w:val="none"/>
                    </w:rPr>
                  </w:pPr>
                </w:p>
              </w:tc>
              <w:tc>
                <w:tcPr>
                  <w:tcW w:w="633" w:type="pct"/>
                  <w:tcBorders>
                    <w:top w:val="nil"/>
                    <w:left w:val="nil"/>
                    <w:bottom w:val="single" w:color="000000" w:sz="8" w:space="0"/>
                    <w:right w:val="single" w:color="000000" w:sz="8" w:space="0"/>
                  </w:tcBorders>
                  <w:shd w:val="clear" w:color="auto" w:fill="auto"/>
                  <w:vAlign w:val="center"/>
                </w:tcPr>
                <w:p w14:paraId="28CF87F7">
                  <w:pPr>
                    <w:keepNext w:val="0"/>
                    <w:keepLines w:val="0"/>
                    <w:suppressLineNumbers w:val="0"/>
                    <w:autoSpaceDE w:val="0"/>
                    <w:autoSpaceDN w:val="0"/>
                    <w:adjustRightInd w:val="0"/>
                    <w:spacing w:before="0" w:beforeAutospacing="0" w:after="0" w:afterAutospacing="0"/>
                    <w:ind w:left="0" w:right="0"/>
                    <w:jc w:val="center"/>
                    <w:rPr>
                      <w:rFonts w:hint="default" w:ascii="Times New Roman" w:hAnsi="Times New Roman" w:eastAsia="宋体" w:cs="Times New Roman"/>
                      <w:i w:val="0"/>
                      <w:iCs w:val="0"/>
                      <w:color w:val="auto"/>
                      <w:kern w:val="0"/>
                      <w:sz w:val="22"/>
                      <w:szCs w:val="22"/>
                      <w:u w:val="none"/>
                    </w:rPr>
                  </w:pPr>
                </w:p>
              </w:tc>
            </w:tr>
            <w:tr w14:paraId="598E1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778"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07DF6F4D">
                  <w:pPr>
                    <w:keepNext w:val="0"/>
                    <w:keepLines w:val="0"/>
                    <w:widowControl/>
                    <w:suppressLineNumbers w:val="0"/>
                    <w:autoSpaceDE w:val="0"/>
                    <w:autoSpaceDN w:val="0"/>
                    <w:adjustRightInd w:val="0"/>
                    <w:spacing w:before="0" w:beforeAutospacing="0" w:after="0" w:afterAutospacing="0"/>
                    <w:ind w:left="0" w:right="0"/>
                    <w:jc w:val="center"/>
                    <w:textAlignment w:val="center"/>
                    <w:rPr>
                      <w:rFonts w:hint="default" w:ascii="Times New Roman" w:hAnsi="Times New Roman" w:eastAsia="仿宋_GB2312" w:cs="Times New Roman"/>
                      <w:i w:val="0"/>
                      <w:iCs w:val="0"/>
                      <w:color w:val="auto"/>
                      <w:kern w:val="0"/>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进场检查情况</w:t>
                  </w:r>
                </w:p>
              </w:tc>
              <w:tc>
                <w:tcPr>
                  <w:tcW w:w="1215" w:type="pct"/>
                  <w:gridSpan w:val="2"/>
                  <w:vMerge w:val="restart"/>
                  <w:tcBorders>
                    <w:top w:val="nil"/>
                    <w:left w:val="nil"/>
                    <w:bottom w:val="single" w:color="000000" w:sz="8" w:space="0"/>
                    <w:right w:val="single" w:color="000000" w:sz="8" w:space="0"/>
                  </w:tcBorders>
                  <w:shd w:val="clear" w:color="auto" w:fill="auto"/>
                  <w:vAlign w:val="center"/>
                </w:tcPr>
                <w:p w14:paraId="03B8B3DE">
                  <w:pPr>
                    <w:keepNext w:val="0"/>
                    <w:keepLines w:val="0"/>
                    <w:widowControl/>
                    <w:suppressLineNumbers w:val="0"/>
                    <w:autoSpaceDE w:val="0"/>
                    <w:autoSpaceDN w:val="0"/>
                    <w:adjustRightInd w:val="0"/>
                    <w:spacing w:before="0" w:beforeAutospacing="0" w:after="0" w:afterAutospacing="0"/>
                    <w:ind w:left="0" w:right="0"/>
                    <w:jc w:val="both"/>
                    <w:textAlignment w:val="center"/>
                    <w:rPr>
                      <w:rFonts w:hint="default" w:ascii="Times New Roman" w:hAnsi="Times New Roman" w:eastAsia="仿宋_GB2312" w:cs="Times New Roman"/>
                      <w:i w:val="0"/>
                      <w:iCs w:val="0"/>
                      <w:color w:val="auto"/>
                      <w:kern w:val="0"/>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货物数量是否齐全，如否请备注缺货或错货情况</w:t>
                  </w:r>
                </w:p>
              </w:tc>
              <w:tc>
                <w:tcPr>
                  <w:tcW w:w="3006" w:type="pct"/>
                  <w:gridSpan w:val="6"/>
                  <w:tcBorders>
                    <w:top w:val="nil"/>
                    <w:left w:val="nil"/>
                    <w:bottom w:val="nil"/>
                    <w:right w:val="single" w:color="000000" w:sz="8" w:space="0"/>
                  </w:tcBorders>
                  <w:shd w:val="clear" w:color="auto" w:fill="auto"/>
                  <w:vAlign w:val="center"/>
                </w:tcPr>
                <w:p w14:paraId="4EFE1546">
                  <w:pPr>
                    <w:keepNext w:val="0"/>
                    <w:keepLines w:val="0"/>
                    <w:widowControl/>
                    <w:suppressLineNumbers w:val="0"/>
                    <w:autoSpaceDE w:val="0"/>
                    <w:autoSpaceDN w:val="0"/>
                    <w:adjustRightInd w:val="0"/>
                    <w:spacing w:before="0" w:beforeAutospacing="0" w:after="0" w:afterAutospacing="0"/>
                    <w:ind w:left="0" w:right="0"/>
                    <w:jc w:val="both"/>
                    <w:textAlignment w:val="center"/>
                    <w:rPr>
                      <w:rFonts w:hint="default" w:ascii="Times New Roman" w:hAnsi="Times New Roman" w:eastAsia="Wingdings 2" w:cs="Times New Roman"/>
                      <w:i w:val="0"/>
                      <w:iCs w:val="0"/>
                      <w:color w:val="auto"/>
                      <w:kern w:val="0"/>
                      <w:sz w:val="22"/>
                      <w:szCs w:val="22"/>
                      <w:u w:val="none"/>
                    </w:rPr>
                  </w:pPr>
                  <w:r>
                    <w:rPr>
                      <w:rFonts w:hint="default" w:ascii="Times New Roman" w:hAnsi="Times New Roman" w:eastAsia="Wingdings 2" w:cs="Times New Roman"/>
                      <w:color w:val="auto"/>
                      <w:kern w:val="0"/>
                      <w:sz w:val="22"/>
                      <w:u w:val="none"/>
                      <w:lang w:val="en-US" w:eastAsia="zh-CN" w:bidi="ar"/>
                    </w:rPr>
                    <w:sym w:font="Wingdings 2" w:char="00A3"/>
                  </w:r>
                  <w:r>
                    <w:rPr>
                      <w:rFonts w:hint="default" w:ascii="Times New Roman" w:hAnsi="Times New Roman" w:eastAsia="仿宋_GB2312" w:cs="Times New Roman"/>
                      <w:color w:val="auto"/>
                      <w:kern w:val="0"/>
                      <w:sz w:val="22"/>
                      <w:u w:val="none"/>
                      <w:lang w:val="en-US" w:eastAsia="zh-CN" w:bidi="ar"/>
                    </w:rPr>
                    <w:t>是</w:t>
                  </w:r>
                  <w:r>
                    <w:rPr>
                      <w:rFonts w:hint="default" w:ascii="Times New Roman" w:hAnsi="Times New Roman" w:eastAsia="Wingdings 2" w:cs="Times New Roman"/>
                      <w:color w:val="auto"/>
                      <w:kern w:val="0"/>
                      <w:sz w:val="22"/>
                      <w:u w:val="none"/>
                      <w:lang w:val="en-US" w:eastAsia="zh-CN" w:bidi="ar"/>
                    </w:rPr>
                    <w:t xml:space="preserve">   </w:t>
                  </w:r>
                  <w:r>
                    <w:rPr>
                      <w:rFonts w:hint="default" w:ascii="Times New Roman" w:hAnsi="Times New Roman" w:eastAsia="Wingdings 2" w:cs="Times New Roman"/>
                      <w:color w:val="auto"/>
                      <w:kern w:val="0"/>
                      <w:sz w:val="22"/>
                      <w:u w:val="none"/>
                      <w:lang w:val="en-US" w:eastAsia="zh-CN" w:bidi="ar"/>
                    </w:rPr>
                    <w:sym w:font="Wingdings 2" w:char="00A3"/>
                  </w:r>
                  <w:r>
                    <w:rPr>
                      <w:rFonts w:hint="default" w:ascii="Times New Roman" w:hAnsi="Times New Roman" w:eastAsia="仿宋_GB2312" w:cs="Times New Roman"/>
                      <w:color w:val="auto"/>
                      <w:kern w:val="0"/>
                      <w:sz w:val="22"/>
                      <w:u w:val="none"/>
                      <w:lang w:val="en-US" w:eastAsia="zh-CN" w:bidi="ar"/>
                    </w:rPr>
                    <w:t>否</w:t>
                  </w:r>
                </w:p>
              </w:tc>
            </w:tr>
            <w:tr w14:paraId="6CD43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77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FBC1B2F">
                  <w:pPr>
                    <w:keepNext w:val="0"/>
                    <w:keepLines w:val="0"/>
                    <w:suppressLineNumbers w:val="0"/>
                    <w:autoSpaceDE w:val="0"/>
                    <w:autoSpaceDN w:val="0"/>
                    <w:adjustRightInd w:val="0"/>
                    <w:spacing w:before="0" w:beforeAutospacing="0" w:after="0" w:afterAutospacing="0"/>
                    <w:ind w:left="0" w:right="0"/>
                    <w:jc w:val="center"/>
                    <w:rPr>
                      <w:rFonts w:hint="default" w:ascii="Times New Roman" w:hAnsi="Times New Roman" w:eastAsia="仿宋_GB2312" w:cs="Times New Roman"/>
                      <w:i w:val="0"/>
                      <w:iCs w:val="0"/>
                      <w:color w:val="auto"/>
                      <w:kern w:val="0"/>
                      <w:sz w:val="22"/>
                      <w:szCs w:val="22"/>
                      <w:u w:val="none"/>
                    </w:rPr>
                  </w:pPr>
                </w:p>
              </w:tc>
              <w:tc>
                <w:tcPr>
                  <w:tcW w:w="1215" w:type="pct"/>
                  <w:gridSpan w:val="2"/>
                  <w:vMerge w:val="continue"/>
                  <w:tcBorders>
                    <w:top w:val="nil"/>
                    <w:left w:val="nil"/>
                    <w:bottom w:val="single" w:color="000000" w:sz="8" w:space="0"/>
                    <w:right w:val="single" w:color="000000" w:sz="8" w:space="0"/>
                  </w:tcBorders>
                  <w:shd w:val="clear" w:color="auto" w:fill="auto"/>
                  <w:vAlign w:val="center"/>
                </w:tcPr>
                <w:p w14:paraId="2D8C8574">
                  <w:pPr>
                    <w:keepNext w:val="0"/>
                    <w:keepLines w:val="0"/>
                    <w:suppressLineNumbers w:val="0"/>
                    <w:autoSpaceDE w:val="0"/>
                    <w:autoSpaceDN w:val="0"/>
                    <w:adjustRightInd w:val="0"/>
                    <w:spacing w:before="0" w:beforeAutospacing="0" w:after="0" w:afterAutospacing="0"/>
                    <w:ind w:left="0" w:right="0"/>
                    <w:jc w:val="both"/>
                    <w:rPr>
                      <w:rFonts w:hint="default" w:ascii="Times New Roman" w:hAnsi="Times New Roman" w:eastAsia="仿宋_GB2312" w:cs="Times New Roman"/>
                      <w:i w:val="0"/>
                      <w:iCs w:val="0"/>
                      <w:color w:val="auto"/>
                      <w:kern w:val="0"/>
                      <w:sz w:val="22"/>
                      <w:szCs w:val="22"/>
                      <w:u w:val="none"/>
                    </w:rPr>
                  </w:pPr>
                </w:p>
              </w:tc>
              <w:tc>
                <w:tcPr>
                  <w:tcW w:w="3006" w:type="pct"/>
                  <w:gridSpan w:val="6"/>
                  <w:tcBorders>
                    <w:top w:val="nil"/>
                    <w:left w:val="nil"/>
                    <w:bottom w:val="nil"/>
                    <w:right w:val="single" w:color="000000" w:sz="8" w:space="0"/>
                  </w:tcBorders>
                  <w:shd w:val="clear" w:color="auto" w:fill="auto"/>
                  <w:noWrap/>
                  <w:vAlign w:val="center"/>
                </w:tcPr>
                <w:p w14:paraId="49E964AA">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i w:val="0"/>
                      <w:iCs w:val="0"/>
                      <w:color w:val="auto"/>
                      <w:kern w:val="0"/>
                      <w:sz w:val="22"/>
                      <w:szCs w:val="22"/>
                      <w:u w:val="none"/>
                    </w:rPr>
                  </w:pPr>
                </w:p>
              </w:tc>
            </w:tr>
            <w:tr w14:paraId="172C8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 w:hRule="atLeast"/>
              </w:trPr>
              <w:tc>
                <w:tcPr>
                  <w:tcW w:w="77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048E181">
                  <w:pPr>
                    <w:keepNext w:val="0"/>
                    <w:keepLines w:val="0"/>
                    <w:suppressLineNumbers w:val="0"/>
                    <w:autoSpaceDE w:val="0"/>
                    <w:autoSpaceDN w:val="0"/>
                    <w:adjustRightInd w:val="0"/>
                    <w:spacing w:before="0" w:beforeAutospacing="0" w:after="0" w:afterAutospacing="0"/>
                    <w:ind w:left="0" w:right="0"/>
                    <w:jc w:val="center"/>
                    <w:rPr>
                      <w:rFonts w:hint="default" w:ascii="Times New Roman" w:hAnsi="Times New Roman" w:eastAsia="仿宋_GB2312" w:cs="Times New Roman"/>
                      <w:i w:val="0"/>
                      <w:iCs w:val="0"/>
                      <w:color w:val="auto"/>
                      <w:kern w:val="0"/>
                      <w:sz w:val="22"/>
                      <w:szCs w:val="22"/>
                      <w:u w:val="none"/>
                    </w:rPr>
                  </w:pPr>
                </w:p>
              </w:tc>
              <w:tc>
                <w:tcPr>
                  <w:tcW w:w="1215" w:type="pct"/>
                  <w:gridSpan w:val="2"/>
                  <w:vMerge w:val="continue"/>
                  <w:tcBorders>
                    <w:top w:val="nil"/>
                    <w:left w:val="nil"/>
                    <w:bottom w:val="single" w:color="000000" w:sz="8" w:space="0"/>
                    <w:right w:val="single" w:color="000000" w:sz="8" w:space="0"/>
                  </w:tcBorders>
                  <w:shd w:val="clear" w:color="auto" w:fill="auto"/>
                  <w:vAlign w:val="center"/>
                </w:tcPr>
                <w:p w14:paraId="36539440">
                  <w:pPr>
                    <w:keepNext w:val="0"/>
                    <w:keepLines w:val="0"/>
                    <w:suppressLineNumbers w:val="0"/>
                    <w:autoSpaceDE w:val="0"/>
                    <w:autoSpaceDN w:val="0"/>
                    <w:adjustRightInd w:val="0"/>
                    <w:spacing w:before="0" w:beforeAutospacing="0" w:after="0" w:afterAutospacing="0"/>
                    <w:ind w:left="0" w:right="0"/>
                    <w:jc w:val="both"/>
                    <w:rPr>
                      <w:rFonts w:hint="default" w:ascii="Times New Roman" w:hAnsi="Times New Roman" w:eastAsia="仿宋_GB2312" w:cs="Times New Roman"/>
                      <w:i w:val="0"/>
                      <w:iCs w:val="0"/>
                      <w:color w:val="auto"/>
                      <w:kern w:val="0"/>
                      <w:sz w:val="22"/>
                      <w:szCs w:val="22"/>
                      <w:u w:val="none"/>
                    </w:rPr>
                  </w:pPr>
                </w:p>
              </w:tc>
              <w:tc>
                <w:tcPr>
                  <w:tcW w:w="3006" w:type="pct"/>
                  <w:gridSpan w:val="6"/>
                  <w:tcBorders>
                    <w:top w:val="nil"/>
                    <w:left w:val="nil"/>
                    <w:bottom w:val="single" w:color="000000" w:sz="8" w:space="0"/>
                    <w:right w:val="single" w:color="000000" w:sz="8" w:space="0"/>
                  </w:tcBorders>
                  <w:shd w:val="clear" w:color="auto" w:fill="auto"/>
                  <w:vAlign w:val="center"/>
                </w:tcPr>
                <w:p w14:paraId="183FA4E1">
                  <w:pPr>
                    <w:keepNext w:val="0"/>
                    <w:keepLines w:val="0"/>
                    <w:widowControl/>
                    <w:suppressLineNumbers w:val="0"/>
                    <w:autoSpaceDE w:val="0"/>
                    <w:autoSpaceDN w:val="0"/>
                    <w:adjustRightInd w:val="0"/>
                    <w:spacing w:before="0" w:beforeAutospacing="0" w:after="0" w:afterAutospacing="0"/>
                    <w:ind w:left="0" w:right="0"/>
                    <w:jc w:val="both"/>
                    <w:textAlignment w:val="center"/>
                    <w:rPr>
                      <w:rFonts w:hint="default" w:ascii="Times New Roman" w:hAnsi="Times New Roman" w:eastAsia="仿宋_GB2312" w:cs="Times New Roman"/>
                      <w:i w:val="0"/>
                      <w:iCs w:val="0"/>
                      <w:color w:val="auto"/>
                      <w:kern w:val="0"/>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备注：</w:t>
                  </w:r>
                </w:p>
              </w:tc>
            </w:tr>
            <w:tr w14:paraId="7515F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77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D6ED917">
                  <w:pPr>
                    <w:keepNext w:val="0"/>
                    <w:keepLines w:val="0"/>
                    <w:suppressLineNumbers w:val="0"/>
                    <w:autoSpaceDE w:val="0"/>
                    <w:autoSpaceDN w:val="0"/>
                    <w:adjustRightInd w:val="0"/>
                    <w:spacing w:before="0" w:beforeAutospacing="0" w:after="0" w:afterAutospacing="0"/>
                    <w:ind w:left="0" w:right="0"/>
                    <w:jc w:val="center"/>
                    <w:rPr>
                      <w:rFonts w:hint="default" w:ascii="Times New Roman" w:hAnsi="Times New Roman" w:eastAsia="仿宋_GB2312" w:cs="Times New Roman"/>
                      <w:i w:val="0"/>
                      <w:iCs w:val="0"/>
                      <w:color w:val="auto"/>
                      <w:kern w:val="0"/>
                      <w:sz w:val="22"/>
                      <w:szCs w:val="22"/>
                      <w:u w:val="none"/>
                    </w:rPr>
                  </w:pPr>
                </w:p>
              </w:tc>
              <w:tc>
                <w:tcPr>
                  <w:tcW w:w="1215" w:type="pct"/>
                  <w:gridSpan w:val="2"/>
                  <w:vMerge w:val="restart"/>
                  <w:tcBorders>
                    <w:top w:val="nil"/>
                    <w:left w:val="nil"/>
                    <w:bottom w:val="single" w:color="000000" w:sz="8" w:space="0"/>
                    <w:right w:val="single" w:color="000000" w:sz="8" w:space="0"/>
                  </w:tcBorders>
                  <w:shd w:val="clear" w:color="auto" w:fill="auto"/>
                  <w:vAlign w:val="center"/>
                </w:tcPr>
                <w:p w14:paraId="7C2973DB">
                  <w:pPr>
                    <w:keepNext w:val="0"/>
                    <w:keepLines w:val="0"/>
                    <w:widowControl/>
                    <w:suppressLineNumbers w:val="0"/>
                    <w:autoSpaceDE w:val="0"/>
                    <w:autoSpaceDN w:val="0"/>
                    <w:adjustRightInd w:val="0"/>
                    <w:spacing w:before="0" w:beforeAutospacing="0" w:after="0" w:afterAutospacing="0"/>
                    <w:ind w:left="0" w:right="0"/>
                    <w:jc w:val="both"/>
                    <w:textAlignment w:val="center"/>
                    <w:rPr>
                      <w:rFonts w:hint="default" w:ascii="Times New Roman" w:hAnsi="Times New Roman" w:eastAsia="仿宋_GB2312" w:cs="Times New Roman"/>
                      <w:i w:val="0"/>
                      <w:iCs w:val="0"/>
                      <w:color w:val="auto"/>
                      <w:kern w:val="0"/>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货物是否完好无损，如否请备注货损情况</w:t>
                  </w:r>
                </w:p>
              </w:tc>
              <w:tc>
                <w:tcPr>
                  <w:tcW w:w="3006" w:type="pct"/>
                  <w:gridSpan w:val="6"/>
                  <w:tcBorders>
                    <w:top w:val="nil"/>
                    <w:left w:val="nil"/>
                    <w:bottom w:val="nil"/>
                    <w:right w:val="single" w:color="000000" w:sz="8" w:space="0"/>
                  </w:tcBorders>
                  <w:shd w:val="clear" w:color="auto" w:fill="auto"/>
                  <w:vAlign w:val="center"/>
                </w:tcPr>
                <w:p w14:paraId="6F297170">
                  <w:pPr>
                    <w:keepNext w:val="0"/>
                    <w:keepLines w:val="0"/>
                    <w:widowControl/>
                    <w:suppressLineNumbers w:val="0"/>
                    <w:autoSpaceDE w:val="0"/>
                    <w:autoSpaceDN w:val="0"/>
                    <w:adjustRightInd w:val="0"/>
                    <w:spacing w:before="0" w:beforeAutospacing="0" w:after="0" w:afterAutospacing="0"/>
                    <w:ind w:left="0" w:right="0"/>
                    <w:jc w:val="both"/>
                    <w:textAlignment w:val="center"/>
                    <w:rPr>
                      <w:rFonts w:hint="default" w:ascii="Times New Roman" w:hAnsi="Times New Roman" w:eastAsia="Wingdings 2" w:cs="Times New Roman"/>
                      <w:i w:val="0"/>
                      <w:iCs w:val="0"/>
                      <w:color w:val="auto"/>
                      <w:kern w:val="0"/>
                      <w:sz w:val="22"/>
                      <w:szCs w:val="22"/>
                      <w:u w:val="none"/>
                    </w:rPr>
                  </w:pPr>
                  <w:r>
                    <w:rPr>
                      <w:rFonts w:hint="default" w:ascii="Times New Roman" w:hAnsi="Times New Roman" w:eastAsia="Wingdings 2" w:cs="Times New Roman"/>
                      <w:color w:val="auto"/>
                      <w:kern w:val="0"/>
                      <w:sz w:val="22"/>
                      <w:u w:val="none"/>
                      <w:lang w:val="en-US" w:eastAsia="zh-CN" w:bidi="ar"/>
                    </w:rPr>
                    <w:sym w:font="Wingdings 2" w:char="00A3"/>
                  </w:r>
                  <w:r>
                    <w:rPr>
                      <w:rFonts w:hint="default" w:ascii="Times New Roman" w:hAnsi="Times New Roman" w:eastAsia="仿宋_GB2312" w:cs="Times New Roman"/>
                      <w:color w:val="auto"/>
                      <w:kern w:val="0"/>
                      <w:sz w:val="22"/>
                      <w:u w:val="none"/>
                      <w:lang w:val="en-US" w:eastAsia="zh-CN" w:bidi="ar"/>
                    </w:rPr>
                    <w:t>是</w:t>
                  </w:r>
                  <w:r>
                    <w:rPr>
                      <w:rFonts w:hint="default" w:ascii="Times New Roman" w:hAnsi="Times New Roman" w:eastAsia="Wingdings 2" w:cs="Times New Roman"/>
                      <w:color w:val="auto"/>
                      <w:kern w:val="0"/>
                      <w:sz w:val="22"/>
                      <w:u w:val="none"/>
                      <w:lang w:val="en-US" w:eastAsia="zh-CN" w:bidi="ar"/>
                    </w:rPr>
                    <w:t xml:space="preserve">   </w:t>
                  </w:r>
                  <w:r>
                    <w:rPr>
                      <w:rFonts w:hint="default" w:ascii="Times New Roman" w:hAnsi="Times New Roman" w:eastAsia="Wingdings 2" w:cs="Times New Roman"/>
                      <w:color w:val="auto"/>
                      <w:kern w:val="0"/>
                      <w:sz w:val="22"/>
                      <w:u w:val="none"/>
                      <w:lang w:val="en-US" w:eastAsia="zh-CN" w:bidi="ar"/>
                    </w:rPr>
                    <w:sym w:font="Wingdings 2" w:char="00A3"/>
                  </w:r>
                  <w:r>
                    <w:rPr>
                      <w:rFonts w:hint="default" w:ascii="Times New Roman" w:hAnsi="Times New Roman" w:eastAsia="仿宋_GB2312" w:cs="Times New Roman"/>
                      <w:color w:val="auto"/>
                      <w:kern w:val="0"/>
                      <w:sz w:val="22"/>
                      <w:u w:val="none"/>
                      <w:lang w:val="en-US" w:eastAsia="zh-CN" w:bidi="ar"/>
                    </w:rPr>
                    <w:t>否</w:t>
                  </w:r>
                </w:p>
              </w:tc>
            </w:tr>
            <w:tr w14:paraId="38B14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77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970F18A">
                  <w:pPr>
                    <w:keepNext w:val="0"/>
                    <w:keepLines w:val="0"/>
                    <w:suppressLineNumbers w:val="0"/>
                    <w:autoSpaceDE w:val="0"/>
                    <w:autoSpaceDN w:val="0"/>
                    <w:adjustRightInd w:val="0"/>
                    <w:spacing w:before="0" w:beforeAutospacing="0" w:after="0" w:afterAutospacing="0"/>
                    <w:ind w:left="0" w:right="0"/>
                    <w:jc w:val="center"/>
                    <w:rPr>
                      <w:rFonts w:hint="default" w:ascii="Times New Roman" w:hAnsi="Times New Roman" w:eastAsia="仿宋_GB2312" w:cs="Times New Roman"/>
                      <w:i w:val="0"/>
                      <w:iCs w:val="0"/>
                      <w:color w:val="auto"/>
                      <w:kern w:val="0"/>
                      <w:sz w:val="22"/>
                      <w:szCs w:val="22"/>
                      <w:u w:val="none"/>
                    </w:rPr>
                  </w:pPr>
                </w:p>
              </w:tc>
              <w:tc>
                <w:tcPr>
                  <w:tcW w:w="1215" w:type="pct"/>
                  <w:gridSpan w:val="2"/>
                  <w:vMerge w:val="continue"/>
                  <w:tcBorders>
                    <w:top w:val="nil"/>
                    <w:left w:val="nil"/>
                    <w:bottom w:val="single" w:color="000000" w:sz="8" w:space="0"/>
                    <w:right w:val="single" w:color="000000" w:sz="8" w:space="0"/>
                  </w:tcBorders>
                  <w:shd w:val="clear" w:color="auto" w:fill="auto"/>
                  <w:vAlign w:val="center"/>
                </w:tcPr>
                <w:p w14:paraId="53B60A1F">
                  <w:pPr>
                    <w:keepNext w:val="0"/>
                    <w:keepLines w:val="0"/>
                    <w:suppressLineNumbers w:val="0"/>
                    <w:autoSpaceDE w:val="0"/>
                    <w:autoSpaceDN w:val="0"/>
                    <w:adjustRightInd w:val="0"/>
                    <w:spacing w:before="0" w:beforeAutospacing="0" w:after="0" w:afterAutospacing="0"/>
                    <w:ind w:left="0" w:right="0"/>
                    <w:jc w:val="both"/>
                    <w:rPr>
                      <w:rFonts w:hint="default" w:ascii="Times New Roman" w:hAnsi="Times New Roman" w:eastAsia="仿宋_GB2312" w:cs="Times New Roman"/>
                      <w:i w:val="0"/>
                      <w:iCs w:val="0"/>
                      <w:color w:val="auto"/>
                      <w:kern w:val="0"/>
                      <w:sz w:val="22"/>
                      <w:szCs w:val="22"/>
                      <w:u w:val="none"/>
                    </w:rPr>
                  </w:pPr>
                </w:p>
              </w:tc>
              <w:tc>
                <w:tcPr>
                  <w:tcW w:w="3006" w:type="pct"/>
                  <w:gridSpan w:val="6"/>
                  <w:tcBorders>
                    <w:top w:val="nil"/>
                    <w:left w:val="nil"/>
                    <w:bottom w:val="single" w:color="000000" w:sz="8" w:space="0"/>
                    <w:right w:val="single" w:color="000000" w:sz="8" w:space="0"/>
                  </w:tcBorders>
                  <w:shd w:val="clear" w:color="auto" w:fill="auto"/>
                  <w:vAlign w:val="center"/>
                </w:tcPr>
                <w:p w14:paraId="0B313BF3">
                  <w:pPr>
                    <w:keepNext w:val="0"/>
                    <w:keepLines w:val="0"/>
                    <w:widowControl/>
                    <w:suppressLineNumbers w:val="0"/>
                    <w:autoSpaceDE w:val="0"/>
                    <w:autoSpaceDN w:val="0"/>
                    <w:adjustRightInd w:val="0"/>
                    <w:spacing w:before="0" w:beforeAutospacing="0" w:after="0" w:afterAutospacing="0"/>
                    <w:ind w:left="0" w:right="0"/>
                    <w:jc w:val="both"/>
                    <w:textAlignment w:val="center"/>
                    <w:rPr>
                      <w:rFonts w:hint="default" w:ascii="Times New Roman" w:hAnsi="Times New Roman" w:eastAsia="仿宋_GB2312" w:cs="Times New Roman"/>
                      <w:i w:val="0"/>
                      <w:iCs w:val="0"/>
                      <w:color w:val="auto"/>
                      <w:kern w:val="0"/>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备注：</w:t>
                  </w:r>
                </w:p>
              </w:tc>
            </w:tr>
            <w:tr w14:paraId="449F7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77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157D7BA">
                  <w:pPr>
                    <w:keepNext w:val="0"/>
                    <w:keepLines w:val="0"/>
                    <w:suppressLineNumbers w:val="0"/>
                    <w:autoSpaceDE w:val="0"/>
                    <w:autoSpaceDN w:val="0"/>
                    <w:adjustRightInd w:val="0"/>
                    <w:spacing w:before="0" w:beforeAutospacing="0" w:after="0" w:afterAutospacing="0"/>
                    <w:ind w:left="0" w:right="0"/>
                    <w:jc w:val="center"/>
                    <w:rPr>
                      <w:rFonts w:hint="default" w:ascii="Times New Roman" w:hAnsi="Times New Roman" w:eastAsia="仿宋_GB2312" w:cs="Times New Roman"/>
                      <w:i w:val="0"/>
                      <w:iCs w:val="0"/>
                      <w:color w:val="auto"/>
                      <w:kern w:val="0"/>
                      <w:sz w:val="22"/>
                      <w:szCs w:val="22"/>
                      <w:u w:val="none"/>
                    </w:rPr>
                  </w:pPr>
                </w:p>
              </w:tc>
              <w:tc>
                <w:tcPr>
                  <w:tcW w:w="1215" w:type="pct"/>
                  <w:gridSpan w:val="2"/>
                  <w:vMerge w:val="restart"/>
                  <w:tcBorders>
                    <w:top w:val="nil"/>
                    <w:left w:val="nil"/>
                    <w:bottom w:val="single" w:color="000000" w:sz="8" w:space="0"/>
                    <w:right w:val="single" w:color="000000" w:sz="8" w:space="0"/>
                  </w:tcBorders>
                  <w:shd w:val="clear" w:color="auto" w:fill="auto"/>
                  <w:vAlign w:val="center"/>
                </w:tcPr>
                <w:p w14:paraId="3A2F0466">
                  <w:pPr>
                    <w:keepNext w:val="0"/>
                    <w:keepLines w:val="0"/>
                    <w:widowControl/>
                    <w:suppressLineNumbers w:val="0"/>
                    <w:autoSpaceDE w:val="0"/>
                    <w:autoSpaceDN w:val="0"/>
                    <w:adjustRightInd w:val="0"/>
                    <w:spacing w:before="0" w:beforeAutospacing="0" w:after="0" w:afterAutospacing="0"/>
                    <w:ind w:left="0" w:right="0"/>
                    <w:jc w:val="both"/>
                    <w:textAlignment w:val="center"/>
                    <w:rPr>
                      <w:rFonts w:hint="default" w:ascii="Times New Roman" w:hAnsi="Times New Roman" w:eastAsia="仿宋_GB2312" w:cs="Times New Roman"/>
                      <w:i w:val="0"/>
                      <w:iCs w:val="0"/>
                      <w:color w:val="auto"/>
                      <w:kern w:val="0"/>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随货物备品备件和专用工具情况，如有缺请备注</w:t>
                  </w:r>
                </w:p>
              </w:tc>
              <w:tc>
                <w:tcPr>
                  <w:tcW w:w="3006" w:type="pct"/>
                  <w:gridSpan w:val="6"/>
                  <w:tcBorders>
                    <w:top w:val="nil"/>
                    <w:left w:val="nil"/>
                    <w:bottom w:val="nil"/>
                    <w:right w:val="single" w:color="000000" w:sz="8" w:space="0"/>
                  </w:tcBorders>
                  <w:shd w:val="clear" w:color="auto" w:fill="auto"/>
                  <w:vAlign w:val="center"/>
                </w:tcPr>
                <w:p w14:paraId="5B451328">
                  <w:pPr>
                    <w:keepNext w:val="0"/>
                    <w:keepLines w:val="0"/>
                    <w:widowControl/>
                    <w:suppressLineNumbers w:val="0"/>
                    <w:autoSpaceDE w:val="0"/>
                    <w:autoSpaceDN w:val="0"/>
                    <w:adjustRightInd w:val="0"/>
                    <w:spacing w:before="0" w:beforeAutospacing="0" w:after="0" w:afterAutospacing="0"/>
                    <w:ind w:left="0" w:right="0"/>
                    <w:jc w:val="both"/>
                    <w:textAlignment w:val="center"/>
                    <w:rPr>
                      <w:rFonts w:hint="default" w:ascii="Times New Roman" w:hAnsi="Times New Roman" w:eastAsia="Wingdings 2" w:cs="Times New Roman"/>
                      <w:i w:val="0"/>
                      <w:iCs w:val="0"/>
                      <w:color w:val="auto"/>
                      <w:kern w:val="0"/>
                      <w:sz w:val="22"/>
                      <w:szCs w:val="22"/>
                      <w:u w:val="none"/>
                    </w:rPr>
                  </w:pPr>
                  <w:r>
                    <w:rPr>
                      <w:rFonts w:hint="default" w:ascii="Times New Roman" w:hAnsi="Times New Roman" w:eastAsia="Wingdings 2" w:cs="Times New Roman"/>
                      <w:color w:val="auto"/>
                      <w:kern w:val="0"/>
                      <w:sz w:val="22"/>
                      <w:u w:val="none"/>
                      <w:lang w:val="en-US" w:eastAsia="zh-CN" w:bidi="ar"/>
                    </w:rPr>
                    <w:sym w:font="Wingdings 2" w:char="00A3"/>
                  </w:r>
                  <w:r>
                    <w:rPr>
                      <w:rFonts w:hint="default" w:ascii="Times New Roman" w:hAnsi="Times New Roman" w:eastAsia="仿宋_GB2312" w:cs="Times New Roman"/>
                      <w:color w:val="auto"/>
                      <w:kern w:val="0"/>
                      <w:sz w:val="22"/>
                      <w:u w:val="none"/>
                      <w:lang w:val="en-US" w:eastAsia="zh-CN" w:bidi="ar"/>
                    </w:rPr>
                    <w:t>是</w:t>
                  </w:r>
                  <w:r>
                    <w:rPr>
                      <w:rFonts w:hint="default" w:ascii="Times New Roman" w:hAnsi="Times New Roman" w:eastAsia="Wingdings 2" w:cs="Times New Roman"/>
                      <w:color w:val="auto"/>
                      <w:kern w:val="0"/>
                      <w:sz w:val="22"/>
                      <w:u w:val="none"/>
                      <w:lang w:val="en-US" w:eastAsia="zh-CN" w:bidi="ar"/>
                    </w:rPr>
                    <w:t xml:space="preserve">   </w:t>
                  </w:r>
                  <w:r>
                    <w:rPr>
                      <w:rFonts w:hint="default" w:ascii="Times New Roman" w:hAnsi="Times New Roman" w:eastAsia="Wingdings 2" w:cs="Times New Roman"/>
                      <w:color w:val="auto"/>
                      <w:kern w:val="0"/>
                      <w:sz w:val="22"/>
                      <w:u w:val="none"/>
                      <w:lang w:val="en-US" w:eastAsia="zh-CN" w:bidi="ar"/>
                    </w:rPr>
                    <w:sym w:font="Wingdings 2" w:char="00A3"/>
                  </w:r>
                  <w:r>
                    <w:rPr>
                      <w:rFonts w:hint="default" w:ascii="Times New Roman" w:hAnsi="Times New Roman" w:eastAsia="仿宋_GB2312" w:cs="Times New Roman"/>
                      <w:color w:val="auto"/>
                      <w:kern w:val="0"/>
                      <w:sz w:val="22"/>
                      <w:u w:val="none"/>
                      <w:lang w:val="en-US" w:eastAsia="zh-CN" w:bidi="ar"/>
                    </w:rPr>
                    <w:t>否</w:t>
                  </w:r>
                </w:p>
              </w:tc>
            </w:tr>
            <w:tr w14:paraId="49DF7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77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D739174">
                  <w:pPr>
                    <w:keepNext w:val="0"/>
                    <w:keepLines w:val="0"/>
                    <w:suppressLineNumbers w:val="0"/>
                    <w:autoSpaceDE w:val="0"/>
                    <w:autoSpaceDN w:val="0"/>
                    <w:adjustRightInd w:val="0"/>
                    <w:spacing w:before="0" w:beforeAutospacing="0" w:after="0" w:afterAutospacing="0"/>
                    <w:ind w:left="0" w:right="0"/>
                    <w:jc w:val="center"/>
                    <w:rPr>
                      <w:rFonts w:hint="default" w:ascii="Times New Roman" w:hAnsi="Times New Roman" w:eastAsia="仿宋_GB2312" w:cs="Times New Roman"/>
                      <w:i w:val="0"/>
                      <w:iCs w:val="0"/>
                      <w:color w:val="auto"/>
                      <w:kern w:val="0"/>
                      <w:sz w:val="22"/>
                      <w:szCs w:val="22"/>
                      <w:u w:val="none"/>
                    </w:rPr>
                  </w:pPr>
                </w:p>
              </w:tc>
              <w:tc>
                <w:tcPr>
                  <w:tcW w:w="1215" w:type="pct"/>
                  <w:gridSpan w:val="2"/>
                  <w:vMerge w:val="continue"/>
                  <w:tcBorders>
                    <w:top w:val="nil"/>
                    <w:left w:val="nil"/>
                    <w:bottom w:val="single" w:color="000000" w:sz="8" w:space="0"/>
                    <w:right w:val="single" w:color="000000" w:sz="8" w:space="0"/>
                  </w:tcBorders>
                  <w:shd w:val="clear" w:color="auto" w:fill="auto"/>
                  <w:vAlign w:val="center"/>
                </w:tcPr>
                <w:p w14:paraId="3777210B">
                  <w:pPr>
                    <w:keepNext w:val="0"/>
                    <w:keepLines w:val="0"/>
                    <w:suppressLineNumbers w:val="0"/>
                    <w:autoSpaceDE w:val="0"/>
                    <w:autoSpaceDN w:val="0"/>
                    <w:adjustRightInd w:val="0"/>
                    <w:spacing w:before="0" w:beforeAutospacing="0" w:after="0" w:afterAutospacing="0"/>
                    <w:ind w:left="0" w:right="0"/>
                    <w:jc w:val="both"/>
                    <w:rPr>
                      <w:rFonts w:hint="default" w:ascii="Times New Roman" w:hAnsi="Times New Roman" w:eastAsia="仿宋_GB2312" w:cs="Times New Roman"/>
                      <w:i w:val="0"/>
                      <w:iCs w:val="0"/>
                      <w:color w:val="auto"/>
                      <w:kern w:val="0"/>
                      <w:sz w:val="22"/>
                      <w:szCs w:val="22"/>
                      <w:u w:val="none"/>
                    </w:rPr>
                  </w:pPr>
                </w:p>
              </w:tc>
              <w:tc>
                <w:tcPr>
                  <w:tcW w:w="3006" w:type="pct"/>
                  <w:gridSpan w:val="6"/>
                  <w:tcBorders>
                    <w:top w:val="nil"/>
                    <w:left w:val="nil"/>
                    <w:bottom w:val="single" w:color="000000" w:sz="8" w:space="0"/>
                    <w:right w:val="single" w:color="000000" w:sz="8" w:space="0"/>
                  </w:tcBorders>
                  <w:shd w:val="clear" w:color="auto" w:fill="auto"/>
                  <w:vAlign w:val="center"/>
                </w:tcPr>
                <w:p w14:paraId="497D7C55">
                  <w:pPr>
                    <w:keepNext w:val="0"/>
                    <w:keepLines w:val="0"/>
                    <w:widowControl/>
                    <w:suppressLineNumbers w:val="0"/>
                    <w:autoSpaceDE w:val="0"/>
                    <w:autoSpaceDN w:val="0"/>
                    <w:adjustRightInd w:val="0"/>
                    <w:spacing w:before="0" w:beforeAutospacing="0" w:after="0" w:afterAutospacing="0"/>
                    <w:ind w:left="0" w:right="0"/>
                    <w:jc w:val="both"/>
                    <w:textAlignment w:val="center"/>
                    <w:rPr>
                      <w:rFonts w:hint="default" w:ascii="Times New Roman" w:hAnsi="Times New Roman" w:eastAsia="仿宋_GB2312" w:cs="Times New Roman"/>
                      <w:i w:val="0"/>
                      <w:iCs w:val="0"/>
                      <w:color w:val="auto"/>
                      <w:kern w:val="0"/>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备注：</w:t>
                  </w:r>
                </w:p>
              </w:tc>
            </w:tr>
            <w:tr w14:paraId="1D98F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77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009809B">
                  <w:pPr>
                    <w:keepNext w:val="0"/>
                    <w:keepLines w:val="0"/>
                    <w:suppressLineNumbers w:val="0"/>
                    <w:autoSpaceDE w:val="0"/>
                    <w:autoSpaceDN w:val="0"/>
                    <w:adjustRightInd w:val="0"/>
                    <w:spacing w:before="0" w:beforeAutospacing="0" w:after="0" w:afterAutospacing="0"/>
                    <w:ind w:left="0" w:right="0"/>
                    <w:jc w:val="center"/>
                    <w:rPr>
                      <w:rFonts w:hint="default" w:ascii="Times New Roman" w:hAnsi="Times New Roman" w:eastAsia="仿宋_GB2312" w:cs="Times New Roman"/>
                      <w:i w:val="0"/>
                      <w:iCs w:val="0"/>
                      <w:color w:val="auto"/>
                      <w:kern w:val="0"/>
                      <w:sz w:val="22"/>
                      <w:szCs w:val="22"/>
                      <w:u w:val="none"/>
                    </w:rPr>
                  </w:pPr>
                </w:p>
              </w:tc>
              <w:tc>
                <w:tcPr>
                  <w:tcW w:w="1215" w:type="pct"/>
                  <w:gridSpan w:val="2"/>
                  <w:vMerge w:val="restart"/>
                  <w:tcBorders>
                    <w:top w:val="nil"/>
                    <w:left w:val="nil"/>
                    <w:bottom w:val="single" w:color="000000" w:sz="8" w:space="0"/>
                    <w:right w:val="single" w:color="000000" w:sz="8" w:space="0"/>
                  </w:tcBorders>
                  <w:shd w:val="clear" w:color="auto" w:fill="auto"/>
                  <w:vAlign w:val="center"/>
                </w:tcPr>
                <w:p w14:paraId="039FE25C">
                  <w:pPr>
                    <w:keepNext w:val="0"/>
                    <w:keepLines w:val="0"/>
                    <w:widowControl/>
                    <w:suppressLineNumbers w:val="0"/>
                    <w:autoSpaceDE w:val="0"/>
                    <w:autoSpaceDN w:val="0"/>
                    <w:adjustRightInd w:val="0"/>
                    <w:spacing w:before="0" w:beforeAutospacing="0" w:after="0" w:afterAutospacing="0"/>
                    <w:ind w:left="0" w:right="0"/>
                    <w:jc w:val="both"/>
                    <w:textAlignment w:val="center"/>
                    <w:rPr>
                      <w:rFonts w:hint="default" w:ascii="Times New Roman" w:hAnsi="Times New Roman" w:eastAsia="仿宋_GB2312" w:cs="Times New Roman"/>
                      <w:i w:val="0"/>
                      <w:iCs w:val="0"/>
                      <w:color w:val="auto"/>
                      <w:kern w:val="0"/>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货物和配件材质是否相符，如否请备注情况</w:t>
                  </w:r>
                </w:p>
              </w:tc>
              <w:tc>
                <w:tcPr>
                  <w:tcW w:w="3006" w:type="pct"/>
                  <w:gridSpan w:val="6"/>
                  <w:tcBorders>
                    <w:top w:val="nil"/>
                    <w:left w:val="nil"/>
                    <w:bottom w:val="nil"/>
                    <w:right w:val="single" w:color="000000" w:sz="8" w:space="0"/>
                  </w:tcBorders>
                  <w:shd w:val="clear" w:color="auto" w:fill="auto"/>
                  <w:vAlign w:val="center"/>
                </w:tcPr>
                <w:p w14:paraId="45E74FE5">
                  <w:pPr>
                    <w:keepNext w:val="0"/>
                    <w:keepLines w:val="0"/>
                    <w:widowControl/>
                    <w:suppressLineNumbers w:val="0"/>
                    <w:autoSpaceDE w:val="0"/>
                    <w:autoSpaceDN w:val="0"/>
                    <w:adjustRightInd w:val="0"/>
                    <w:spacing w:before="0" w:beforeAutospacing="0" w:after="0" w:afterAutospacing="0"/>
                    <w:ind w:left="0" w:right="0"/>
                    <w:jc w:val="both"/>
                    <w:textAlignment w:val="center"/>
                    <w:rPr>
                      <w:rFonts w:hint="default" w:ascii="Times New Roman" w:hAnsi="Times New Roman" w:eastAsia="Wingdings 2" w:cs="Times New Roman"/>
                      <w:i w:val="0"/>
                      <w:iCs w:val="0"/>
                      <w:color w:val="auto"/>
                      <w:kern w:val="0"/>
                      <w:sz w:val="22"/>
                      <w:szCs w:val="22"/>
                      <w:u w:val="none"/>
                    </w:rPr>
                  </w:pPr>
                  <w:r>
                    <w:rPr>
                      <w:rFonts w:hint="default" w:ascii="Times New Roman" w:hAnsi="Times New Roman" w:eastAsia="Wingdings 2" w:cs="Times New Roman"/>
                      <w:color w:val="auto"/>
                      <w:kern w:val="0"/>
                      <w:sz w:val="22"/>
                      <w:u w:val="none"/>
                      <w:lang w:val="en-US" w:eastAsia="zh-CN" w:bidi="ar"/>
                    </w:rPr>
                    <w:sym w:font="Wingdings 2" w:char="00A3"/>
                  </w:r>
                  <w:r>
                    <w:rPr>
                      <w:rFonts w:hint="default" w:ascii="Times New Roman" w:hAnsi="Times New Roman" w:eastAsia="仿宋_GB2312" w:cs="Times New Roman"/>
                      <w:color w:val="auto"/>
                      <w:kern w:val="0"/>
                      <w:sz w:val="22"/>
                      <w:u w:val="none"/>
                      <w:lang w:val="en-US" w:eastAsia="zh-CN" w:bidi="ar"/>
                    </w:rPr>
                    <w:t>是</w:t>
                  </w:r>
                  <w:r>
                    <w:rPr>
                      <w:rFonts w:hint="default" w:ascii="Times New Roman" w:hAnsi="Times New Roman" w:eastAsia="Wingdings 2" w:cs="Times New Roman"/>
                      <w:color w:val="auto"/>
                      <w:kern w:val="0"/>
                      <w:sz w:val="22"/>
                      <w:u w:val="none"/>
                      <w:lang w:val="en-US" w:eastAsia="zh-CN" w:bidi="ar"/>
                    </w:rPr>
                    <w:t xml:space="preserve">   </w:t>
                  </w:r>
                  <w:r>
                    <w:rPr>
                      <w:rFonts w:hint="default" w:ascii="Times New Roman" w:hAnsi="Times New Roman" w:eastAsia="Wingdings 2" w:cs="Times New Roman"/>
                      <w:color w:val="auto"/>
                      <w:kern w:val="0"/>
                      <w:sz w:val="22"/>
                      <w:u w:val="none"/>
                      <w:lang w:val="en-US" w:eastAsia="zh-CN" w:bidi="ar"/>
                    </w:rPr>
                    <w:sym w:font="Wingdings 2" w:char="00A3"/>
                  </w:r>
                  <w:r>
                    <w:rPr>
                      <w:rFonts w:hint="default" w:ascii="Times New Roman" w:hAnsi="Times New Roman" w:eastAsia="仿宋_GB2312" w:cs="Times New Roman"/>
                      <w:color w:val="auto"/>
                      <w:kern w:val="0"/>
                      <w:sz w:val="22"/>
                      <w:u w:val="none"/>
                      <w:lang w:val="en-US" w:eastAsia="zh-CN" w:bidi="ar"/>
                    </w:rPr>
                    <w:t>否</w:t>
                  </w:r>
                </w:p>
              </w:tc>
            </w:tr>
            <w:tr w14:paraId="03D9A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77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0C2CC3F">
                  <w:pPr>
                    <w:keepNext w:val="0"/>
                    <w:keepLines w:val="0"/>
                    <w:suppressLineNumbers w:val="0"/>
                    <w:autoSpaceDE w:val="0"/>
                    <w:autoSpaceDN w:val="0"/>
                    <w:adjustRightInd w:val="0"/>
                    <w:spacing w:before="0" w:beforeAutospacing="0" w:after="0" w:afterAutospacing="0"/>
                    <w:ind w:left="0" w:right="0"/>
                    <w:jc w:val="center"/>
                    <w:rPr>
                      <w:rFonts w:hint="default" w:ascii="Times New Roman" w:hAnsi="Times New Roman" w:eastAsia="仿宋_GB2312" w:cs="Times New Roman"/>
                      <w:i w:val="0"/>
                      <w:iCs w:val="0"/>
                      <w:color w:val="auto"/>
                      <w:kern w:val="0"/>
                      <w:sz w:val="22"/>
                      <w:szCs w:val="22"/>
                      <w:u w:val="none"/>
                    </w:rPr>
                  </w:pPr>
                </w:p>
              </w:tc>
              <w:tc>
                <w:tcPr>
                  <w:tcW w:w="1215" w:type="pct"/>
                  <w:gridSpan w:val="2"/>
                  <w:vMerge w:val="continue"/>
                  <w:tcBorders>
                    <w:top w:val="nil"/>
                    <w:left w:val="nil"/>
                    <w:bottom w:val="single" w:color="000000" w:sz="8" w:space="0"/>
                    <w:right w:val="single" w:color="000000" w:sz="8" w:space="0"/>
                  </w:tcBorders>
                  <w:shd w:val="clear" w:color="auto" w:fill="auto"/>
                  <w:vAlign w:val="center"/>
                </w:tcPr>
                <w:p w14:paraId="2FC4785B">
                  <w:pPr>
                    <w:keepNext w:val="0"/>
                    <w:keepLines w:val="0"/>
                    <w:suppressLineNumbers w:val="0"/>
                    <w:autoSpaceDE w:val="0"/>
                    <w:autoSpaceDN w:val="0"/>
                    <w:adjustRightInd w:val="0"/>
                    <w:spacing w:before="0" w:beforeAutospacing="0" w:after="0" w:afterAutospacing="0"/>
                    <w:ind w:left="0" w:right="0"/>
                    <w:jc w:val="both"/>
                    <w:rPr>
                      <w:rFonts w:hint="default" w:ascii="Times New Roman" w:hAnsi="Times New Roman" w:eastAsia="仿宋_GB2312" w:cs="Times New Roman"/>
                      <w:i w:val="0"/>
                      <w:iCs w:val="0"/>
                      <w:color w:val="auto"/>
                      <w:kern w:val="0"/>
                      <w:sz w:val="22"/>
                      <w:szCs w:val="22"/>
                      <w:u w:val="none"/>
                    </w:rPr>
                  </w:pPr>
                </w:p>
              </w:tc>
              <w:tc>
                <w:tcPr>
                  <w:tcW w:w="3006" w:type="pct"/>
                  <w:gridSpan w:val="6"/>
                  <w:tcBorders>
                    <w:top w:val="nil"/>
                    <w:left w:val="nil"/>
                    <w:bottom w:val="single" w:color="000000" w:sz="8" w:space="0"/>
                    <w:right w:val="single" w:color="000000" w:sz="8" w:space="0"/>
                  </w:tcBorders>
                  <w:shd w:val="clear" w:color="auto" w:fill="auto"/>
                  <w:vAlign w:val="center"/>
                </w:tcPr>
                <w:p w14:paraId="3FDF3FE9">
                  <w:pPr>
                    <w:keepNext w:val="0"/>
                    <w:keepLines w:val="0"/>
                    <w:widowControl/>
                    <w:suppressLineNumbers w:val="0"/>
                    <w:autoSpaceDE w:val="0"/>
                    <w:autoSpaceDN w:val="0"/>
                    <w:adjustRightInd w:val="0"/>
                    <w:spacing w:before="0" w:beforeAutospacing="0" w:after="0" w:afterAutospacing="0"/>
                    <w:ind w:left="0" w:right="0"/>
                    <w:jc w:val="both"/>
                    <w:textAlignment w:val="center"/>
                    <w:rPr>
                      <w:rFonts w:hint="default" w:ascii="Times New Roman" w:hAnsi="Times New Roman" w:eastAsia="仿宋_GB2312" w:cs="Times New Roman"/>
                      <w:i w:val="0"/>
                      <w:iCs w:val="0"/>
                      <w:color w:val="auto"/>
                      <w:kern w:val="0"/>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备注：</w:t>
                  </w:r>
                </w:p>
              </w:tc>
            </w:tr>
            <w:tr w14:paraId="03D08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77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4D18F7E">
                  <w:pPr>
                    <w:keepNext w:val="0"/>
                    <w:keepLines w:val="0"/>
                    <w:suppressLineNumbers w:val="0"/>
                    <w:autoSpaceDE w:val="0"/>
                    <w:autoSpaceDN w:val="0"/>
                    <w:adjustRightInd w:val="0"/>
                    <w:spacing w:before="0" w:beforeAutospacing="0" w:after="0" w:afterAutospacing="0"/>
                    <w:ind w:left="0" w:right="0"/>
                    <w:jc w:val="center"/>
                    <w:rPr>
                      <w:rFonts w:hint="default" w:ascii="Times New Roman" w:hAnsi="Times New Roman" w:eastAsia="仿宋_GB2312" w:cs="Times New Roman"/>
                      <w:i w:val="0"/>
                      <w:iCs w:val="0"/>
                      <w:color w:val="auto"/>
                      <w:kern w:val="0"/>
                      <w:sz w:val="22"/>
                      <w:szCs w:val="22"/>
                      <w:u w:val="none"/>
                    </w:rPr>
                  </w:pPr>
                </w:p>
              </w:tc>
              <w:tc>
                <w:tcPr>
                  <w:tcW w:w="1215" w:type="pct"/>
                  <w:gridSpan w:val="2"/>
                  <w:vMerge w:val="restart"/>
                  <w:tcBorders>
                    <w:top w:val="nil"/>
                    <w:left w:val="nil"/>
                    <w:bottom w:val="single" w:color="000000" w:sz="8" w:space="0"/>
                    <w:right w:val="single" w:color="000000" w:sz="8" w:space="0"/>
                  </w:tcBorders>
                  <w:shd w:val="clear" w:color="auto" w:fill="auto"/>
                  <w:vAlign w:val="center"/>
                </w:tcPr>
                <w:p w14:paraId="22B1E26E">
                  <w:pPr>
                    <w:keepNext w:val="0"/>
                    <w:keepLines w:val="0"/>
                    <w:widowControl/>
                    <w:suppressLineNumbers w:val="0"/>
                    <w:autoSpaceDE w:val="0"/>
                    <w:autoSpaceDN w:val="0"/>
                    <w:adjustRightInd w:val="0"/>
                    <w:spacing w:before="0" w:beforeAutospacing="0" w:after="0" w:afterAutospacing="0"/>
                    <w:ind w:left="0" w:right="0"/>
                    <w:jc w:val="both"/>
                    <w:textAlignment w:val="center"/>
                    <w:rPr>
                      <w:rFonts w:hint="default" w:ascii="Times New Roman" w:hAnsi="Times New Roman" w:eastAsia="仿宋_GB2312" w:cs="Times New Roman"/>
                      <w:i w:val="0"/>
                      <w:iCs w:val="0"/>
                      <w:color w:val="auto"/>
                      <w:kern w:val="0"/>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货物和配件性能参数是否相符，如否请备注情况</w:t>
                  </w:r>
                </w:p>
              </w:tc>
              <w:tc>
                <w:tcPr>
                  <w:tcW w:w="3006" w:type="pct"/>
                  <w:gridSpan w:val="6"/>
                  <w:tcBorders>
                    <w:top w:val="nil"/>
                    <w:left w:val="nil"/>
                    <w:bottom w:val="nil"/>
                    <w:right w:val="single" w:color="000000" w:sz="8" w:space="0"/>
                  </w:tcBorders>
                  <w:shd w:val="clear" w:color="auto" w:fill="auto"/>
                  <w:vAlign w:val="center"/>
                </w:tcPr>
                <w:p w14:paraId="04CBFEDE">
                  <w:pPr>
                    <w:keepNext w:val="0"/>
                    <w:keepLines w:val="0"/>
                    <w:widowControl/>
                    <w:suppressLineNumbers w:val="0"/>
                    <w:autoSpaceDE w:val="0"/>
                    <w:autoSpaceDN w:val="0"/>
                    <w:adjustRightInd w:val="0"/>
                    <w:spacing w:before="0" w:beforeAutospacing="0" w:after="0" w:afterAutospacing="0"/>
                    <w:ind w:left="0" w:right="0"/>
                    <w:jc w:val="both"/>
                    <w:textAlignment w:val="center"/>
                    <w:rPr>
                      <w:rFonts w:hint="default" w:ascii="Times New Roman" w:hAnsi="Times New Roman" w:eastAsia="Wingdings 2" w:cs="Times New Roman"/>
                      <w:i w:val="0"/>
                      <w:iCs w:val="0"/>
                      <w:color w:val="auto"/>
                      <w:kern w:val="0"/>
                      <w:sz w:val="22"/>
                      <w:szCs w:val="22"/>
                      <w:u w:val="none"/>
                    </w:rPr>
                  </w:pPr>
                  <w:r>
                    <w:rPr>
                      <w:rFonts w:hint="default" w:ascii="Times New Roman" w:hAnsi="Times New Roman" w:eastAsia="Wingdings 2" w:cs="Times New Roman"/>
                      <w:color w:val="auto"/>
                      <w:kern w:val="0"/>
                      <w:sz w:val="22"/>
                      <w:u w:val="none"/>
                      <w:lang w:val="en-US" w:eastAsia="zh-CN" w:bidi="ar"/>
                    </w:rPr>
                    <w:sym w:font="Wingdings 2" w:char="00A3"/>
                  </w:r>
                  <w:r>
                    <w:rPr>
                      <w:rFonts w:hint="default" w:ascii="Times New Roman" w:hAnsi="Times New Roman" w:eastAsia="仿宋_GB2312" w:cs="Times New Roman"/>
                      <w:color w:val="auto"/>
                      <w:kern w:val="0"/>
                      <w:sz w:val="22"/>
                      <w:u w:val="none"/>
                      <w:lang w:val="en-US" w:eastAsia="zh-CN" w:bidi="ar"/>
                    </w:rPr>
                    <w:t>是</w:t>
                  </w:r>
                  <w:r>
                    <w:rPr>
                      <w:rFonts w:hint="default" w:ascii="Times New Roman" w:hAnsi="Times New Roman" w:eastAsia="Wingdings 2" w:cs="Times New Roman"/>
                      <w:color w:val="auto"/>
                      <w:kern w:val="0"/>
                      <w:sz w:val="22"/>
                      <w:u w:val="none"/>
                      <w:lang w:val="en-US" w:eastAsia="zh-CN" w:bidi="ar"/>
                    </w:rPr>
                    <w:t xml:space="preserve">   </w:t>
                  </w:r>
                  <w:r>
                    <w:rPr>
                      <w:rFonts w:hint="default" w:ascii="Times New Roman" w:hAnsi="Times New Roman" w:eastAsia="Wingdings 2" w:cs="Times New Roman"/>
                      <w:color w:val="auto"/>
                      <w:kern w:val="0"/>
                      <w:sz w:val="22"/>
                      <w:u w:val="none"/>
                      <w:lang w:val="en-US" w:eastAsia="zh-CN" w:bidi="ar"/>
                    </w:rPr>
                    <w:sym w:font="Wingdings 2" w:char="00A3"/>
                  </w:r>
                  <w:r>
                    <w:rPr>
                      <w:rFonts w:hint="default" w:ascii="Times New Roman" w:hAnsi="Times New Roman" w:eastAsia="仿宋_GB2312" w:cs="Times New Roman"/>
                      <w:color w:val="auto"/>
                      <w:kern w:val="0"/>
                      <w:sz w:val="22"/>
                      <w:u w:val="none"/>
                      <w:lang w:val="en-US" w:eastAsia="zh-CN" w:bidi="ar"/>
                    </w:rPr>
                    <w:t>否</w:t>
                  </w:r>
                </w:p>
              </w:tc>
            </w:tr>
            <w:tr w14:paraId="0138E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77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C937A10">
                  <w:pPr>
                    <w:keepNext w:val="0"/>
                    <w:keepLines w:val="0"/>
                    <w:suppressLineNumbers w:val="0"/>
                    <w:autoSpaceDE w:val="0"/>
                    <w:autoSpaceDN w:val="0"/>
                    <w:adjustRightInd w:val="0"/>
                    <w:spacing w:before="0" w:beforeAutospacing="0" w:after="0" w:afterAutospacing="0"/>
                    <w:ind w:left="0" w:right="0"/>
                    <w:jc w:val="center"/>
                    <w:rPr>
                      <w:rFonts w:hint="default" w:ascii="Times New Roman" w:hAnsi="Times New Roman" w:eastAsia="仿宋_GB2312" w:cs="Times New Roman"/>
                      <w:i w:val="0"/>
                      <w:iCs w:val="0"/>
                      <w:color w:val="auto"/>
                      <w:kern w:val="0"/>
                      <w:sz w:val="22"/>
                      <w:szCs w:val="22"/>
                      <w:u w:val="none"/>
                    </w:rPr>
                  </w:pPr>
                </w:p>
              </w:tc>
              <w:tc>
                <w:tcPr>
                  <w:tcW w:w="1215" w:type="pct"/>
                  <w:gridSpan w:val="2"/>
                  <w:vMerge w:val="continue"/>
                  <w:tcBorders>
                    <w:top w:val="nil"/>
                    <w:left w:val="nil"/>
                    <w:bottom w:val="single" w:color="000000" w:sz="8" w:space="0"/>
                    <w:right w:val="single" w:color="000000" w:sz="8" w:space="0"/>
                  </w:tcBorders>
                  <w:shd w:val="clear" w:color="auto" w:fill="auto"/>
                  <w:vAlign w:val="center"/>
                </w:tcPr>
                <w:p w14:paraId="79032739">
                  <w:pPr>
                    <w:keepNext w:val="0"/>
                    <w:keepLines w:val="0"/>
                    <w:suppressLineNumbers w:val="0"/>
                    <w:autoSpaceDE w:val="0"/>
                    <w:autoSpaceDN w:val="0"/>
                    <w:adjustRightInd w:val="0"/>
                    <w:spacing w:before="0" w:beforeAutospacing="0" w:after="0" w:afterAutospacing="0"/>
                    <w:ind w:left="0" w:right="0"/>
                    <w:jc w:val="both"/>
                    <w:rPr>
                      <w:rFonts w:hint="default" w:ascii="Times New Roman" w:hAnsi="Times New Roman" w:eastAsia="仿宋_GB2312" w:cs="Times New Roman"/>
                      <w:i w:val="0"/>
                      <w:iCs w:val="0"/>
                      <w:color w:val="auto"/>
                      <w:kern w:val="0"/>
                      <w:sz w:val="22"/>
                      <w:szCs w:val="22"/>
                      <w:u w:val="none"/>
                    </w:rPr>
                  </w:pPr>
                </w:p>
              </w:tc>
              <w:tc>
                <w:tcPr>
                  <w:tcW w:w="3006" w:type="pct"/>
                  <w:gridSpan w:val="6"/>
                  <w:tcBorders>
                    <w:top w:val="nil"/>
                    <w:left w:val="nil"/>
                    <w:bottom w:val="single" w:color="000000" w:sz="8" w:space="0"/>
                    <w:right w:val="single" w:color="000000" w:sz="8" w:space="0"/>
                  </w:tcBorders>
                  <w:shd w:val="clear" w:color="auto" w:fill="auto"/>
                  <w:vAlign w:val="center"/>
                </w:tcPr>
                <w:p w14:paraId="394620C8">
                  <w:pPr>
                    <w:keepNext w:val="0"/>
                    <w:keepLines w:val="0"/>
                    <w:widowControl/>
                    <w:suppressLineNumbers w:val="0"/>
                    <w:autoSpaceDE w:val="0"/>
                    <w:autoSpaceDN w:val="0"/>
                    <w:adjustRightInd w:val="0"/>
                    <w:spacing w:before="0" w:beforeAutospacing="0" w:after="0" w:afterAutospacing="0"/>
                    <w:ind w:left="0" w:right="0"/>
                    <w:jc w:val="both"/>
                    <w:textAlignment w:val="center"/>
                    <w:rPr>
                      <w:rFonts w:hint="default" w:ascii="Times New Roman" w:hAnsi="Times New Roman" w:eastAsia="仿宋_GB2312" w:cs="Times New Roman"/>
                      <w:i w:val="0"/>
                      <w:iCs w:val="0"/>
                      <w:color w:val="auto"/>
                      <w:kern w:val="0"/>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备注：</w:t>
                  </w:r>
                </w:p>
              </w:tc>
            </w:tr>
            <w:tr w14:paraId="4A7FD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77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1BE1EDE">
                  <w:pPr>
                    <w:keepNext w:val="0"/>
                    <w:keepLines w:val="0"/>
                    <w:suppressLineNumbers w:val="0"/>
                    <w:autoSpaceDE w:val="0"/>
                    <w:autoSpaceDN w:val="0"/>
                    <w:adjustRightInd w:val="0"/>
                    <w:spacing w:before="0" w:beforeAutospacing="0" w:after="0" w:afterAutospacing="0"/>
                    <w:ind w:left="0" w:right="0"/>
                    <w:jc w:val="center"/>
                    <w:rPr>
                      <w:rFonts w:hint="default" w:ascii="Times New Roman" w:hAnsi="Times New Roman" w:eastAsia="仿宋_GB2312" w:cs="Times New Roman"/>
                      <w:i w:val="0"/>
                      <w:iCs w:val="0"/>
                      <w:color w:val="auto"/>
                      <w:kern w:val="0"/>
                      <w:sz w:val="22"/>
                      <w:szCs w:val="22"/>
                      <w:u w:val="none"/>
                    </w:rPr>
                  </w:pPr>
                </w:p>
              </w:tc>
              <w:tc>
                <w:tcPr>
                  <w:tcW w:w="1215" w:type="pct"/>
                  <w:gridSpan w:val="2"/>
                  <w:tcBorders>
                    <w:top w:val="nil"/>
                    <w:left w:val="nil"/>
                    <w:bottom w:val="single" w:color="000000" w:sz="8" w:space="0"/>
                    <w:right w:val="single" w:color="000000" w:sz="8" w:space="0"/>
                  </w:tcBorders>
                  <w:shd w:val="clear" w:color="auto" w:fill="auto"/>
                  <w:vAlign w:val="center"/>
                </w:tcPr>
                <w:p w14:paraId="3D82F636">
                  <w:pPr>
                    <w:keepNext w:val="0"/>
                    <w:keepLines w:val="0"/>
                    <w:widowControl/>
                    <w:suppressLineNumbers w:val="0"/>
                    <w:autoSpaceDE w:val="0"/>
                    <w:autoSpaceDN w:val="0"/>
                    <w:adjustRightInd w:val="0"/>
                    <w:spacing w:before="0" w:beforeAutospacing="0" w:after="0" w:afterAutospacing="0"/>
                    <w:ind w:left="0" w:right="0"/>
                    <w:jc w:val="both"/>
                    <w:textAlignment w:val="center"/>
                    <w:rPr>
                      <w:rFonts w:hint="default" w:ascii="Times New Roman" w:hAnsi="Times New Roman" w:eastAsia="仿宋_GB2312" w:cs="Times New Roman"/>
                      <w:i w:val="0"/>
                      <w:iCs w:val="0"/>
                      <w:color w:val="auto"/>
                      <w:kern w:val="0"/>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到货资料检查</w:t>
                  </w:r>
                </w:p>
              </w:tc>
              <w:tc>
                <w:tcPr>
                  <w:tcW w:w="3006" w:type="pct"/>
                  <w:gridSpan w:val="6"/>
                  <w:tcBorders>
                    <w:top w:val="nil"/>
                    <w:left w:val="nil"/>
                    <w:bottom w:val="single" w:color="000000" w:sz="8" w:space="0"/>
                    <w:right w:val="single" w:color="000000" w:sz="8" w:space="0"/>
                  </w:tcBorders>
                  <w:shd w:val="clear" w:color="auto" w:fill="auto"/>
                  <w:vAlign w:val="center"/>
                </w:tcPr>
                <w:p w14:paraId="36C07C6B">
                  <w:pPr>
                    <w:keepNext w:val="0"/>
                    <w:keepLines w:val="0"/>
                    <w:widowControl/>
                    <w:suppressLineNumbers w:val="0"/>
                    <w:autoSpaceDE w:val="0"/>
                    <w:autoSpaceDN w:val="0"/>
                    <w:adjustRightInd w:val="0"/>
                    <w:spacing w:before="0" w:beforeAutospacing="0" w:after="0" w:afterAutospacing="0"/>
                    <w:ind w:left="0" w:right="0"/>
                    <w:jc w:val="both"/>
                    <w:textAlignment w:val="center"/>
                    <w:rPr>
                      <w:rFonts w:hint="default" w:ascii="Times New Roman" w:hAnsi="Times New Roman" w:eastAsia="Wingdings 2" w:cs="Times New Roman"/>
                      <w:i w:val="0"/>
                      <w:iCs w:val="0"/>
                      <w:color w:val="auto"/>
                      <w:kern w:val="0"/>
                      <w:sz w:val="22"/>
                      <w:szCs w:val="22"/>
                      <w:u w:val="none"/>
                    </w:rPr>
                  </w:pPr>
                  <w:r>
                    <w:rPr>
                      <w:rFonts w:hint="default" w:ascii="Times New Roman" w:hAnsi="Times New Roman" w:eastAsia="Wingdings 2" w:cs="Times New Roman"/>
                      <w:color w:val="auto"/>
                      <w:kern w:val="0"/>
                      <w:sz w:val="22"/>
                      <w:u w:val="none"/>
                      <w:lang w:val="en-US" w:eastAsia="zh-CN" w:bidi="ar"/>
                    </w:rPr>
                    <w:sym w:font="Wingdings 2" w:char="00A3"/>
                  </w:r>
                  <w:r>
                    <w:rPr>
                      <w:rFonts w:hint="default" w:ascii="Times New Roman" w:hAnsi="Times New Roman" w:eastAsia="仿宋_GB2312" w:cs="Times New Roman"/>
                      <w:color w:val="auto"/>
                      <w:kern w:val="0"/>
                      <w:sz w:val="22"/>
                      <w:u w:val="none"/>
                      <w:lang w:val="en-US" w:eastAsia="zh-CN" w:bidi="ar"/>
                    </w:rPr>
                    <w:t>产品说明书、</w:t>
                  </w:r>
                  <w:r>
                    <w:rPr>
                      <w:rFonts w:hint="default" w:ascii="Times New Roman" w:hAnsi="Times New Roman" w:eastAsia="Wingdings 2" w:cs="Times New Roman"/>
                      <w:color w:val="auto"/>
                      <w:kern w:val="0"/>
                      <w:sz w:val="22"/>
                      <w:u w:val="none"/>
                      <w:lang w:val="en-US" w:eastAsia="zh-CN" w:bidi="ar"/>
                    </w:rPr>
                    <w:sym w:font="Wingdings 2" w:char="00A3"/>
                  </w:r>
                  <w:r>
                    <w:rPr>
                      <w:rFonts w:hint="default" w:ascii="Times New Roman" w:hAnsi="Times New Roman" w:eastAsia="仿宋_GB2312" w:cs="Times New Roman"/>
                      <w:color w:val="auto"/>
                      <w:kern w:val="0"/>
                      <w:sz w:val="22"/>
                      <w:u w:val="none"/>
                      <w:lang w:val="en-US" w:eastAsia="zh-CN" w:bidi="ar"/>
                    </w:rPr>
                    <w:t>产品合格证、</w:t>
                  </w:r>
                  <w:r>
                    <w:rPr>
                      <w:rFonts w:hint="default" w:ascii="Times New Roman" w:hAnsi="Times New Roman" w:eastAsia="Wingdings 2" w:cs="Times New Roman"/>
                      <w:color w:val="auto"/>
                      <w:kern w:val="0"/>
                      <w:sz w:val="22"/>
                      <w:u w:val="none"/>
                      <w:lang w:val="en-US" w:eastAsia="zh-CN" w:bidi="ar"/>
                    </w:rPr>
                    <w:sym w:font="Wingdings 2" w:char="00A3"/>
                  </w:r>
                  <w:r>
                    <w:rPr>
                      <w:rFonts w:hint="default" w:ascii="Times New Roman" w:hAnsi="Times New Roman" w:eastAsia="仿宋_GB2312" w:cs="Times New Roman"/>
                      <w:color w:val="auto"/>
                      <w:kern w:val="0"/>
                      <w:sz w:val="22"/>
                      <w:u w:val="none"/>
                      <w:lang w:val="en-US" w:eastAsia="zh-CN" w:bidi="ar"/>
                    </w:rPr>
                    <w:t>保修单、</w:t>
                  </w:r>
                  <w:r>
                    <w:rPr>
                      <w:rFonts w:hint="default" w:ascii="Times New Roman" w:hAnsi="Times New Roman" w:eastAsia="Wingdings 2" w:cs="Times New Roman"/>
                      <w:color w:val="auto"/>
                      <w:kern w:val="0"/>
                      <w:sz w:val="22"/>
                      <w:u w:val="none"/>
                      <w:lang w:val="en-US" w:eastAsia="zh-CN" w:bidi="ar"/>
                    </w:rPr>
                    <w:sym w:font="Wingdings 2" w:char="00A3"/>
                  </w:r>
                  <w:r>
                    <w:rPr>
                      <w:rFonts w:hint="default" w:ascii="Times New Roman" w:hAnsi="Times New Roman" w:eastAsia="仿宋_GB2312" w:cs="Times New Roman"/>
                      <w:color w:val="auto"/>
                      <w:kern w:val="0"/>
                      <w:sz w:val="22"/>
                      <w:u w:val="none"/>
                      <w:lang w:val="en-US" w:eastAsia="zh-CN" w:bidi="ar"/>
                    </w:rPr>
                    <w:t>出厂检测报告、</w:t>
                  </w:r>
                  <w:r>
                    <w:rPr>
                      <w:rFonts w:hint="default" w:ascii="Times New Roman" w:hAnsi="Times New Roman" w:eastAsia="Wingdings 2" w:cs="Times New Roman"/>
                      <w:color w:val="auto"/>
                      <w:kern w:val="0"/>
                      <w:sz w:val="22"/>
                      <w:u w:val="none"/>
                      <w:lang w:val="en-US" w:eastAsia="zh-CN" w:bidi="ar"/>
                    </w:rPr>
                    <w:sym w:font="Wingdings 2" w:char="00A3"/>
                  </w:r>
                  <w:r>
                    <w:rPr>
                      <w:rFonts w:hint="default" w:ascii="Times New Roman" w:hAnsi="Times New Roman" w:eastAsia="仿宋_GB2312" w:cs="Times New Roman"/>
                      <w:color w:val="auto"/>
                      <w:kern w:val="0"/>
                      <w:sz w:val="22"/>
                      <w:u w:val="none"/>
                      <w:lang w:val="en-US" w:eastAsia="zh-CN" w:bidi="ar"/>
                    </w:rPr>
                    <w:t>技术图纸、其它</w:t>
                  </w:r>
                  <w:r>
                    <w:rPr>
                      <w:rFonts w:hint="default" w:ascii="Times New Roman" w:hAnsi="Times New Roman" w:eastAsia="Wingdings 2" w:cs="Times New Roman"/>
                      <w:color w:val="auto"/>
                      <w:kern w:val="0"/>
                      <w:sz w:val="22"/>
                      <w:u w:val="none"/>
                      <w:lang w:val="en-US" w:eastAsia="zh-CN" w:bidi="ar"/>
                    </w:rPr>
                    <w:t xml:space="preserve">      </w:t>
                  </w:r>
                </w:p>
              </w:tc>
            </w:tr>
            <w:tr w14:paraId="25B7C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77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0AA6F65">
                  <w:pPr>
                    <w:keepNext w:val="0"/>
                    <w:keepLines w:val="0"/>
                    <w:suppressLineNumbers w:val="0"/>
                    <w:autoSpaceDE w:val="0"/>
                    <w:autoSpaceDN w:val="0"/>
                    <w:adjustRightInd w:val="0"/>
                    <w:spacing w:before="0" w:beforeAutospacing="0" w:after="0" w:afterAutospacing="0"/>
                    <w:ind w:left="0" w:right="0"/>
                    <w:jc w:val="center"/>
                    <w:rPr>
                      <w:rFonts w:hint="default" w:ascii="Times New Roman" w:hAnsi="Times New Roman" w:eastAsia="仿宋_GB2312" w:cs="Times New Roman"/>
                      <w:i w:val="0"/>
                      <w:iCs w:val="0"/>
                      <w:color w:val="auto"/>
                      <w:kern w:val="0"/>
                      <w:sz w:val="22"/>
                      <w:szCs w:val="22"/>
                      <w:u w:val="none"/>
                    </w:rPr>
                  </w:pPr>
                </w:p>
              </w:tc>
              <w:tc>
                <w:tcPr>
                  <w:tcW w:w="1215" w:type="pct"/>
                  <w:gridSpan w:val="2"/>
                  <w:tcBorders>
                    <w:top w:val="nil"/>
                    <w:left w:val="nil"/>
                    <w:bottom w:val="single" w:color="000000" w:sz="8" w:space="0"/>
                    <w:right w:val="single" w:color="000000" w:sz="8" w:space="0"/>
                  </w:tcBorders>
                  <w:shd w:val="clear" w:color="auto" w:fill="auto"/>
                  <w:vAlign w:val="center"/>
                </w:tcPr>
                <w:p w14:paraId="15D2CB83">
                  <w:pPr>
                    <w:keepNext w:val="0"/>
                    <w:keepLines w:val="0"/>
                    <w:widowControl/>
                    <w:suppressLineNumbers w:val="0"/>
                    <w:autoSpaceDE w:val="0"/>
                    <w:autoSpaceDN w:val="0"/>
                    <w:adjustRightInd w:val="0"/>
                    <w:spacing w:before="0" w:beforeAutospacing="0" w:after="0" w:afterAutospacing="0"/>
                    <w:ind w:left="0" w:right="0"/>
                    <w:jc w:val="both"/>
                    <w:textAlignment w:val="center"/>
                    <w:rPr>
                      <w:rFonts w:hint="default" w:ascii="Times New Roman" w:hAnsi="Times New Roman" w:eastAsia="仿宋_GB2312" w:cs="Times New Roman"/>
                      <w:i w:val="0"/>
                      <w:iCs w:val="0"/>
                      <w:color w:val="auto"/>
                      <w:kern w:val="0"/>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是否需要送检</w:t>
                  </w:r>
                </w:p>
              </w:tc>
              <w:tc>
                <w:tcPr>
                  <w:tcW w:w="3006" w:type="pct"/>
                  <w:gridSpan w:val="6"/>
                  <w:tcBorders>
                    <w:top w:val="nil"/>
                    <w:left w:val="nil"/>
                    <w:bottom w:val="single" w:color="000000" w:sz="8" w:space="0"/>
                    <w:right w:val="single" w:color="000000" w:sz="8" w:space="0"/>
                  </w:tcBorders>
                  <w:shd w:val="clear" w:color="auto" w:fill="auto"/>
                  <w:vAlign w:val="center"/>
                </w:tcPr>
                <w:p w14:paraId="47AE8A51">
                  <w:pPr>
                    <w:keepNext w:val="0"/>
                    <w:keepLines w:val="0"/>
                    <w:widowControl/>
                    <w:suppressLineNumbers w:val="0"/>
                    <w:autoSpaceDE w:val="0"/>
                    <w:autoSpaceDN w:val="0"/>
                    <w:adjustRightInd w:val="0"/>
                    <w:spacing w:before="0" w:beforeAutospacing="0" w:after="0" w:afterAutospacing="0"/>
                    <w:ind w:left="0" w:right="0" w:firstLineChars="400"/>
                    <w:jc w:val="both"/>
                    <w:textAlignment w:val="center"/>
                    <w:rPr>
                      <w:rFonts w:hint="default" w:ascii="Times New Roman" w:hAnsi="Times New Roman" w:eastAsia="Wingdings 2" w:cs="Times New Roman"/>
                      <w:i w:val="0"/>
                      <w:iCs w:val="0"/>
                      <w:color w:val="auto"/>
                      <w:kern w:val="0"/>
                      <w:sz w:val="22"/>
                      <w:szCs w:val="22"/>
                      <w:u w:val="none"/>
                    </w:rPr>
                  </w:pPr>
                  <w:r>
                    <w:rPr>
                      <w:rFonts w:hint="default" w:ascii="Times New Roman" w:hAnsi="Times New Roman" w:eastAsia="Wingdings 2" w:cs="Times New Roman"/>
                      <w:color w:val="auto"/>
                      <w:kern w:val="0"/>
                      <w:sz w:val="22"/>
                      <w:u w:val="none"/>
                      <w:lang w:val="en-US" w:eastAsia="zh-CN" w:bidi="ar"/>
                    </w:rPr>
                    <w:sym w:font="Wingdings 2" w:char="00A3"/>
                  </w:r>
                  <w:r>
                    <w:rPr>
                      <w:rFonts w:hint="default" w:ascii="Times New Roman" w:hAnsi="Times New Roman" w:eastAsia="仿宋_GB2312" w:cs="Times New Roman"/>
                      <w:color w:val="auto"/>
                      <w:kern w:val="0"/>
                      <w:sz w:val="22"/>
                      <w:u w:val="none"/>
                      <w:lang w:val="en-US" w:eastAsia="zh-CN" w:bidi="ar"/>
                    </w:rPr>
                    <w:t>是</w:t>
                  </w:r>
                  <w:r>
                    <w:rPr>
                      <w:rFonts w:hint="default" w:ascii="Times New Roman" w:hAnsi="Times New Roman" w:eastAsia="Wingdings 2" w:cs="Times New Roman"/>
                      <w:color w:val="auto"/>
                      <w:kern w:val="0"/>
                      <w:sz w:val="22"/>
                      <w:u w:val="none"/>
                      <w:lang w:val="en-US" w:eastAsia="zh-CN" w:bidi="ar"/>
                    </w:rPr>
                    <w:t xml:space="preserve">            </w:t>
                  </w:r>
                  <w:r>
                    <w:rPr>
                      <w:rFonts w:hint="default" w:ascii="Times New Roman" w:hAnsi="Times New Roman" w:eastAsia="Wingdings 2" w:cs="Times New Roman"/>
                      <w:color w:val="auto"/>
                      <w:kern w:val="0"/>
                      <w:sz w:val="22"/>
                      <w:u w:val="none"/>
                      <w:lang w:val="en-US" w:eastAsia="zh-CN" w:bidi="ar"/>
                    </w:rPr>
                    <w:sym w:font="Wingdings 2" w:char="00A3"/>
                  </w:r>
                  <w:r>
                    <w:rPr>
                      <w:rFonts w:hint="default" w:ascii="Times New Roman" w:hAnsi="Times New Roman" w:eastAsia="仿宋_GB2312" w:cs="Times New Roman"/>
                      <w:color w:val="auto"/>
                      <w:kern w:val="0"/>
                      <w:sz w:val="22"/>
                      <w:u w:val="none"/>
                      <w:lang w:val="en-US" w:eastAsia="zh-CN" w:bidi="ar"/>
                    </w:rPr>
                    <w:t>否</w:t>
                  </w:r>
                </w:p>
              </w:tc>
            </w:tr>
            <w:tr w14:paraId="419BC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77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EF0B70B">
                  <w:pPr>
                    <w:keepNext w:val="0"/>
                    <w:keepLines w:val="0"/>
                    <w:suppressLineNumbers w:val="0"/>
                    <w:autoSpaceDE w:val="0"/>
                    <w:autoSpaceDN w:val="0"/>
                    <w:adjustRightInd w:val="0"/>
                    <w:spacing w:before="0" w:beforeAutospacing="0" w:after="0" w:afterAutospacing="0"/>
                    <w:ind w:left="0" w:right="0"/>
                    <w:jc w:val="center"/>
                    <w:rPr>
                      <w:rFonts w:hint="default" w:ascii="Times New Roman" w:hAnsi="Times New Roman" w:eastAsia="仿宋_GB2312" w:cs="Times New Roman"/>
                      <w:i w:val="0"/>
                      <w:iCs w:val="0"/>
                      <w:color w:val="auto"/>
                      <w:kern w:val="0"/>
                      <w:sz w:val="22"/>
                      <w:szCs w:val="22"/>
                      <w:u w:val="none"/>
                    </w:rPr>
                  </w:pPr>
                </w:p>
              </w:tc>
              <w:tc>
                <w:tcPr>
                  <w:tcW w:w="1215" w:type="pct"/>
                  <w:gridSpan w:val="2"/>
                  <w:tcBorders>
                    <w:top w:val="nil"/>
                    <w:left w:val="nil"/>
                    <w:bottom w:val="single" w:color="000000" w:sz="8" w:space="0"/>
                    <w:right w:val="single" w:color="000000" w:sz="8" w:space="0"/>
                  </w:tcBorders>
                  <w:shd w:val="clear" w:color="auto" w:fill="auto"/>
                  <w:vAlign w:val="center"/>
                </w:tcPr>
                <w:p w14:paraId="45A60728">
                  <w:pPr>
                    <w:keepNext w:val="0"/>
                    <w:keepLines w:val="0"/>
                    <w:widowControl/>
                    <w:suppressLineNumbers w:val="0"/>
                    <w:autoSpaceDE w:val="0"/>
                    <w:autoSpaceDN w:val="0"/>
                    <w:adjustRightInd w:val="0"/>
                    <w:spacing w:before="0" w:beforeAutospacing="0" w:after="0" w:afterAutospacing="0"/>
                    <w:ind w:left="0" w:right="0"/>
                    <w:jc w:val="both"/>
                    <w:textAlignment w:val="center"/>
                    <w:rPr>
                      <w:rFonts w:hint="default" w:ascii="Times New Roman" w:hAnsi="Times New Roman" w:eastAsia="仿宋_GB2312" w:cs="Times New Roman"/>
                      <w:i w:val="0"/>
                      <w:iCs w:val="0"/>
                      <w:color w:val="auto"/>
                      <w:kern w:val="0"/>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其他问题</w:t>
                  </w:r>
                </w:p>
              </w:tc>
              <w:tc>
                <w:tcPr>
                  <w:tcW w:w="3006" w:type="pct"/>
                  <w:gridSpan w:val="6"/>
                  <w:tcBorders>
                    <w:top w:val="nil"/>
                    <w:left w:val="nil"/>
                    <w:bottom w:val="single" w:color="000000" w:sz="8" w:space="0"/>
                    <w:right w:val="single" w:color="000000" w:sz="8" w:space="0"/>
                  </w:tcBorders>
                  <w:shd w:val="clear" w:color="auto" w:fill="auto"/>
                  <w:vAlign w:val="center"/>
                </w:tcPr>
                <w:p w14:paraId="523E2085">
                  <w:pPr>
                    <w:keepNext w:val="0"/>
                    <w:keepLines w:val="0"/>
                    <w:suppressLineNumbers w:val="0"/>
                    <w:autoSpaceDE w:val="0"/>
                    <w:autoSpaceDN w:val="0"/>
                    <w:adjustRightInd w:val="0"/>
                    <w:spacing w:before="0" w:beforeAutospacing="0" w:after="0" w:afterAutospacing="0"/>
                    <w:ind w:left="0" w:right="0"/>
                    <w:jc w:val="both"/>
                    <w:rPr>
                      <w:rFonts w:hint="default" w:ascii="Times New Roman" w:hAnsi="Times New Roman" w:eastAsia="宋体" w:cs="Times New Roman"/>
                      <w:i w:val="0"/>
                      <w:iCs w:val="0"/>
                      <w:color w:val="auto"/>
                      <w:kern w:val="0"/>
                      <w:sz w:val="22"/>
                      <w:szCs w:val="22"/>
                      <w:u w:val="none"/>
                    </w:rPr>
                  </w:pPr>
                </w:p>
              </w:tc>
            </w:tr>
            <w:tr w14:paraId="49716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993" w:type="pct"/>
                  <w:gridSpan w:val="3"/>
                  <w:vMerge w:val="restart"/>
                  <w:tcBorders>
                    <w:top w:val="nil"/>
                    <w:left w:val="single" w:color="000000" w:sz="8" w:space="0"/>
                    <w:bottom w:val="single" w:color="000000" w:sz="8" w:space="0"/>
                    <w:right w:val="single" w:color="000000" w:sz="8" w:space="0"/>
                  </w:tcBorders>
                  <w:shd w:val="clear" w:color="auto" w:fill="auto"/>
                  <w:vAlign w:val="center"/>
                </w:tcPr>
                <w:p w14:paraId="0E11D8DE">
                  <w:pPr>
                    <w:keepNext w:val="0"/>
                    <w:keepLines w:val="0"/>
                    <w:widowControl/>
                    <w:suppressLineNumbers w:val="0"/>
                    <w:autoSpaceDE w:val="0"/>
                    <w:autoSpaceDN w:val="0"/>
                    <w:adjustRightInd w:val="0"/>
                    <w:spacing w:before="0" w:beforeAutospacing="0" w:after="0" w:afterAutospacing="0"/>
                    <w:ind w:left="0" w:right="0"/>
                    <w:jc w:val="center"/>
                    <w:textAlignment w:val="center"/>
                    <w:rPr>
                      <w:rFonts w:hint="default" w:ascii="Times New Roman" w:hAnsi="Times New Roman" w:eastAsia="仿宋_GB2312" w:cs="Times New Roman"/>
                      <w:i w:val="0"/>
                      <w:iCs w:val="0"/>
                      <w:color w:val="auto"/>
                      <w:kern w:val="0"/>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现场到货验收意见</w:t>
                  </w:r>
                </w:p>
              </w:tc>
              <w:tc>
                <w:tcPr>
                  <w:tcW w:w="3006" w:type="pct"/>
                  <w:gridSpan w:val="6"/>
                  <w:vMerge w:val="restart"/>
                  <w:tcBorders>
                    <w:top w:val="nil"/>
                    <w:left w:val="single" w:color="000000" w:sz="8" w:space="0"/>
                    <w:bottom w:val="single" w:color="000000" w:sz="8" w:space="0"/>
                    <w:right w:val="single" w:color="000000" w:sz="8" w:space="0"/>
                  </w:tcBorders>
                  <w:shd w:val="clear" w:color="auto" w:fill="auto"/>
                  <w:vAlign w:val="center"/>
                </w:tcPr>
                <w:p w14:paraId="4B61C77A">
                  <w:pPr>
                    <w:keepNext w:val="0"/>
                    <w:keepLines w:val="0"/>
                    <w:widowControl/>
                    <w:suppressLineNumbers w:val="0"/>
                    <w:autoSpaceDE w:val="0"/>
                    <w:autoSpaceDN w:val="0"/>
                    <w:adjustRightInd w:val="0"/>
                    <w:spacing w:before="0" w:beforeAutospacing="0" w:after="0" w:afterAutospacing="0"/>
                    <w:ind w:left="0" w:right="0"/>
                    <w:jc w:val="center"/>
                    <w:textAlignment w:val="center"/>
                    <w:rPr>
                      <w:rFonts w:hint="default" w:ascii="Times New Roman" w:hAnsi="Times New Roman" w:eastAsia="仿宋_GB2312" w:cs="Times New Roman"/>
                      <w:i w:val="0"/>
                      <w:iCs w:val="0"/>
                      <w:color w:val="auto"/>
                      <w:kern w:val="0"/>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例如：货物数量、规格与采购相符，无损坏，经安装调试可正常使用，符合合同规定质量要求。</w:t>
                  </w:r>
                </w:p>
              </w:tc>
            </w:tr>
            <w:tr w14:paraId="373FE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993" w:type="pct"/>
                  <w:gridSpan w:val="3"/>
                  <w:vMerge w:val="continue"/>
                  <w:tcBorders>
                    <w:top w:val="nil"/>
                    <w:left w:val="single" w:color="000000" w:sz="8" w:space="0"/>
                    <w:bottom w:val="single" w:color="000000" w:sz="8" w:space="0"/>
                    <w:right w:val="single" w:color="000000" w:sz="8" w:space="0"/>
                  </w:tcBorders>
                  <w:shd w:val="clear" w:color="auto" w:fill="auto"/>
                  <w:vAlign w:val="center"/>
                </w:tcPr>
                <w:p w14:paraId="7E227406">
                  <w:pPr>
                    <w:keepNext w:val="0"/>
                    <w:keepLines w:val="0"/>
                    <w:suppressLineNumbers w:val="0"/>
                    <w:autoSpaceDE w:val="0"/>
                    <w:autoSpaceDN w:val="0"/>
                    <w:adjustRightInd w:val="0"/>
                    <w:spacing w:before="0" w:beforeAutospacing="0" w:after="0" w:afterAutospacing="0"/>
                    <w:ind w:left="0" w:right="0"/>
                    <w:jc w:val="center"/>
                    <w:rPr>
                      <w:rFonts w:hint="default" w:ascii="Times New Roman" w:hAnsi="Times New Roman" w:eastAsia="仿宋_GB2312" w:cs="Times New Roman"/>
                      <w:i w:val="0"/>
                      <w:iCs w:val="0"/>
                      <w:color w:val="auto"/>
                      <w:kern w:val="0"/>
                      <w:sz w:val="22"/>
                      <w:szCs w:val="22"/>
                      <w:u w:val="none"/>
                    </w:rPr>
                  </w:pPr>
                </w:p>
              </w:tc>
              <w:tc>
                <w:tcPr>
                  <w:tcW w:w="3006" w:type="pct"/>
                  <w:gridSpan w:val="6"/>
                  <w:vMerge w:val="continue"/>
                  <w:tcBorders>
                    <w:top w:val="nil"/>
                    <w:left w:val="single" w:color="000000" w:sz="8" w:space="0"/>
                    <w:bottom w:val="single" w:color="000000" w:sz="8" w:space="0"/>
                    <w:right w:val="single" w:color="000000" w:sz="8" w:space="0"/>
                  </w:tcBorders>
                  <w:shd w:val="clear" w:color="auto" w:fill="auto"/>
                  <w:vAlign w:val="center"/>
                </w:tcPr>
                <w:p w14:paraId="1F9DB828">
                  <w:pPr>
                    <w:keepNext w:val="0"/>
                    <w:keepLines w:val="0"/>
                    <w:suppressLineNumbers w:val="0"/>
                    <w:autoSpaceDE w:val="0"/>
                    <w:autoSpaceDN w:val="0"/>
                    <w:adjustRightInd w:val="0"/>
                    <w:spacing w:before="0" w:beforeAutospacing="0" w:after="0" w:afterAutospacing="0"/>
                    <w:ind w:left="0" w:right="0"/>
                    <w:jc w:val="center"/>
                    <w:rPr>
                      <w:rFonts w:hint="default" w:ascii="Times New Roman" w:hAnsi="Times New Roman" w:eastAsia="仿宋_GB2312" w:cs="Times New Roman"/>
                      <w:i w:val="0"/>
                      <w:iCs w:val="0"/>
                      <w:color w:val="auto"/>
                      <w:kern w:val="0"/>
                      <w:sz w:val="22"/>
                      <w:szCs w:val="22"/>
                      <w:u w:val="none"/>
                    </w:rPr>
                  </w:pPr>
                </w:p>
              </w:tc>
            </w:tr>
            <w:tr w14:paraId="2334F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5000" w:type="pct"/>
                  <w:gridSpan w:val="9"/>
                  <w:tcBorders>
                    <w:top w:val="single" w:color="000000" w:sz="8" w:space="0"/>
                    <w:left w:val="single" w:color="000000" w:sz="8" w:space="0"/>
                    <w:bottom w:val="single" w:color="000000" w:sz="8" w:space="0"/>
                    <w:right w:val="single" w:color="000000" w:sz="8" w:space="0"/>
                  </w:tcBorders>
                  <w:shd w:val="clear" w:color="auto" w:fill="auto"/>
                  <w:noWrap/>
                  <w:vAlign w:val="center"/>
                </w:tcPr>
                <w:p w14:paraId="78A4A9A5">
                  <w:pPr>
                    <w:keepNext w:val="0"/>
                    <w:keepLines w:val="0"/>
                    <w:widowControl/>
                    <w:suppressLineNumbers w:val="0"/>
                    <w:autoSpaceDE w:val="0"/>
                    <w:autoSpaceDN w:val="0"/>
                    <w:adjustRightInd w:val="0"/>
                    <w:spacing w:before="0" w:beforeAutospacing="0" w:after="0" w:afterAutospacing="0"/>
                    <w:ind w:left="0" w:right="0"/>
                    <w:jc w:val="center"/>
                    <w:textAlignment w:val="center"/>
                    <w:rPr>
                      <w:rFonts w:hint="default" w:ascii="Times New Roman" w:hAnsi="Times New Roman" w:eastAsia="仿宋_GB2312" w:cs="Times New Roman"/>
                      <w:i w:val="0"/>
                      <w:iCs w:val="0"/>
                      <w:color w:val="auto"/>
                      <w:kern w:val="0"/>
                      <w:sz w:val="22"/>
                      <w:szCs w:val="22"/>
                      <w:u w:val="none"/>
                    </w:rPr>
                  </w:pPr>
                  <w:r>
                    <w:rPr>
                      <w:rFonts w:hint="default" w:ascii="Times New Roman" w:hAnsi="Times New Roman" w:eastAsia="仿宋_GB2312" w:cs="Times New Roman"/>
                      <w:color w:val="auto"/>
                      <w:kern w:val="0"/>
                      <w:sz w:val="22"/>
                      <w:u w:val="none"/>
                      <w:lang w:val="en-US" w:eastAsia="zh-CN" w:bidi="ar"/>
                    </w:rPr>
                    <w:t>参 加  验 收 的 单 位 和 代 表 （签 字）</w:t>
                  </w:r>
                </w:p>
              </w:tc>
            </w:tr>
            <w:tr w14:paraId="20039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387" w:type="pct"/>
                  <w:gridSpan w:val="4"/>
                  <w:tcBorders>
                    <w:top w:val="nil"/>
                    <w:left w:val="single" w:color="000000" w:sz="8" w:space="0"/>
                    <w:bottom w:val="single" w:color="000000" w:sz="8" w:space="0"/>
                    <w:right w:val="single" w:color="000000" w:sz="8" w:space="0"/>
                  </w:tcBorders>
                  <w:shd w:val="clear" w:color="auto" w:fill="auto"/>
                  <w:noWrap/>
                  <w:vAlign w:val="top"/>
                </w:tcPr>
                <w:p w14:paraId="340D10F8">
                  <w:pPr>
                    <w:keepNext w:val="0"/>
                    <w:keepLines w:val="0"/>
                    <w:widowControl/>
                    <w:suppressLineNumbers w:val="0"/>
                    <w:autoSpaceDE w:val="0"/>
                    <w:autoSpaceDN w:val="0"/>
                    <w:adjustRightInd w:val="0"/>
                    <w:spacing w:before="0" w:beforeAutospacing="0" w:after="0" w:afterAutospacing="0"/>
                    <w:ind w:left="0" w:right="0"/>
                    <w:jc w:val="both"/>
                    <w:textAlignment w:val="top"/>
                    <w:rPr>
                      <w:rFonts w:hint="default" w:ascii="Times New Roman" w:hAnsi="Times New Roman" w:eastAsia="仿宋_GB2312" w:cs="Times New Roman"/>
                      <w:i w:val="0"/>
                      <w:iCs w:val="0"/>
                      <w:color w:val="auto"/>
                      <w:kern w:val="0"/>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供货单位：</w:t>
                  </w:r>
                </w:p>
              </w:tc>
              <w:tc>
                <w:tcPr>
                  <w:tcW w:w="2612" w:type="pct"/>
                  <w:gridSpan w:val="5"/>
                  <w:tcBorders>
                    <w:top w:val="single" w:color="000000" w:sz="8" w:space="0"/>
                    <w:left w:val="nil"/>
                    <w:bottom w:val="single" w:color="000000" w:sz="8" w:space="0"/>
                    <w:right w:val="single" w:color="000000" w:sz="8" w:space="0"/>
                  </w:tcBorders>
                  <w:shd w:val="clear" w:color="auto" w:fill="auto"/>
                  <w:vAlign w:val="top"/>
                </w:tcPr>
                <w:p w14:paraId="70F74C62">
                  <w:pPr>
                    <w:keepNext w:val="0"/>
                    <w:keepLines w:val="0"/>
                    <w:widowControl/>
                    <w:suppressLineNumbers w:val="0"/>
                    <w:autoSpaceDE w:val="0"/>
                    <w:autoSpaceDN w:val="0"/>
                    <w:adjustRightInd w:val="0"/>
                    <w:spacing w:before="0" w:beforeAutospacing="0" w:after="0" w:afterAutospacing="0"/>
                    <w:ind w:left="0" w:right="0"/>
                    <w:jc w:val="both"/>
                    <w:textAlignment w:val="top"/>
                    <w:rPr>
                      <w:rFonts w:hint="default" w:ascii="Times New Roman" w:hAnsi="Times New Roman" w:eastAsia="仿宋_GB2312" w:cs="Times New Roman"/>
                      <w:i w:val="0"/>
                      <w:iCs w:val="0"/>
                      <w:color w:val="auto"/>
                      <w:kern w:val="0"/>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采购单位：</w:t>
                  </w:r>
                </w:p>
              </w:tc>
            </w:tr>
            <w:tr w14:paraId="60985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000" w:type="pct"/>
                  <w:gridSpan w:val="9"/>
                  <w:tcBorders>
                    <w:top w:val="nil"/>
                    <w:left w:val="single" w:color="000000" w:sz="8" w:space="0"/>
                    <w:bottom w:val="single" w:color="000000" w:sz="8" w:space="0"/>
                    <w:right w:val="single" w:color="000000" w:sz="8" w:space="0"/>
                  </w:tcBorders>
                  <w:shd w:val="clear" w:color="auto" w:fill="auto"/>
                  <w:noWrap/>
                  <w:vAlign w:val="top"/>
                </w:tcPr>
                <w:p w14:paraId="1B064452">
                  <w:pPr>
                    <w:keepNext w:val="0"/>
                    <w:keepLines w:val="0"/>
                    <w:widowControl/>
                    <w:suppressLineNumbers w:val="0"/>
                    <w:autoSpaceDE w:val="0"/>
                    <w:autoSpaceDN w:val="0"/>
                    <w:adjustRightInd w:val="0"/>
                    <w:spacing w:before="0" w:beforeAutospacing="0" w:after="0" w:afterAutospacing="0"/>
                    <w:ind w:left="0" w:right="0"/>
                    <w:jc w:val="both"/>
                    <w:textAlignment w:val="top"/>
                    <w:rPr>
                      <w:rFonts w:hint="default" w:ascii="Times New Roman" w:hAnsi="Times New Roman" w:eastAsia="仿宋_GB2312" w:cs="Times New Roman"/>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抽验代表（上级抽查时签字）：</w:t>
                  </w:r>
                </w:p>
              </w:tc>
            </w:tr>
            <w:tr w14:paraId="6F618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000" w:type="pct"/>
                  <w:gridSpan w:val="9"/>
                  <w:tcBorders>
                    <w:top w:val="nil"/>
                    <w:left w:val="single" w:color="000000" w:sz="8" w:space="0"/>
                    <w:bottom w:val="single" w:color="000000" w:sz="8" w:space="0"/>
                    <w:right w:val="single" w:color="000000" w:sz="8" w:space="0"/>
                  </w:tcBorders>
                  <w:shd w:val="clear" w:color="auto" w:fill="auto"/>
                  <w:noWrap/>
                  <w:vAlign w:val="top"/>
                </w:tcPr>
                <w:p w14:paraId="5A9F8526">
                  <w:pPr>
                    <w:keepNext w:val="0"/>
                    <w:keepLines w:val="0"/>
                    <w:widowControl/>
                    <w:suppressLineNumbers w:val="0"/>
                    <w:autoSpaceDE w:val="0"/>
                    <w:autoSpaceDN w:val="0"/>
                    <w:adjustRightInd w:val="0"/>
                    <w:spacing w:before="0" w:beforeAutospacing="0" w:after="0" w:afterAutospacing="0"/>
                    <w:ind w:left="0" w:right="0"/>
                    <w:jc w:val="both"/>
                    <w:textAlignment w:val="top"/>
                    <w:rPr>
                      <w:rFonts w:hint="default" w:ascii="Times New Roman" w:hAnsi="Times New Roman" w:eastAsia="仿宋_GB2312" w:cs="Times New Roman"/>
                      <w:i w:val="0"/>
                      <w:iCs w:val="0"/>
                      <w:color w:val="auto"/>
                      <w:kern w:val="0"/>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注：对于需要调试和整体验收的项目，本验收表签署仅代表货物到场，不代表完全认可货物的质量，不代表货物所有权转移。</w:t>
                  </w:r>
                </w:p>
              </w:tc>
            </w:tr>
          </w:tbl>
          <w:p w14:paraId="2B5AD76E">
            <w:pPr>
              <w:keepNext w:val="0"/>
              <w:keepLines w:val="0"/>
              <w:widowControl/>
              <w:suppressLineNumbers w:val="0"/>
              <w:autoSpaceDE w:val="0"/>
              <w:autoSpaceDN w:val="0"/>
              <w:adjustRightInd w:val="0"/>
              <w:spacing w:before="0" w:beforeAutospacing="0" w:after="0" w:afterAutospacing="0" w:line="360" w:lineRule="auto"/>
              <w:ind w:left="0" w:right="0"/>
              <w:contextualSpacing/>
              <w:jc w:val="center"/>
              <w:textAlignment w:val="center"/>
              <w:rPr>
                <w:rFonts w:hint="default" w:ascii="宋体" w:hAnsi="宋体" w:eastAsia="宋体" w:cs="宋体"/>
                <w:color w:val="auto"/>
                <w:kern w:val="0"/>
                <w:sz w:val="21"/>
                <w:szCs w:val="21"/>
              </w:rPr>
            </w:pPr>
          </w:p>
        </w:tc>
      </w:tr>
    </w:tbl>
    <w:p w14:paraId="47FDCCE8">
      <w:pPr>
        <w:keepNext w:val="0"/>
        <w:keepLines w:val="0"/>
        <w:pageBreakBefore w:val="0"/>
        <w:widowControl/>
        <w:kinsoku/>
        <w:wordWrap/>
        <w:overflowPunct/>
        <w:topLinePunct w:val="0"/>
        <w:autoSpaceDE w:val="0"/>
        <w:autoSpaceDN w:val="0"/>
        <w:bidi w:val="0"/>
        <w:adjustRightInd w:val="0"/>
        <w:snapToGrid/>
        <w:spacing w:line="360" w:lineRule="auto"/>
        <w:contextualSpacing/>
        <w:jc w:val="left"/>
        <w:textAlignment w:val="auto"/>
        <w:outlineLvl w:val="9"/>
        <w:rPr>
          <w:rFonts w:ascii="宋体" w:hAnsi="宋体" w:eastAsia="宋体" w:cs="方正小标宋简体"/>
          <w:b/>
          <w:bCs/>
          <w:color w:val="auto"/>
          <w:kern w:val="0"/>
          <w:sz w:val="21"/>
          <w:szCs w:val="21"/>
        </w:rPr>
      </w:pPr>
    </w:p>
    <w:p w14:paraId="4509FCFA">
      <w:pPr>
        <w:widowControl/>
        <w:autoSpaceDE w:val="0"/>
        <w:autoSpaceDN w:val="0"/>
        <w:adjustRightInd w:val="0"/>
        <w:spacing w:line="360" w:lineRule="auto"/>
        <w:contextualSpacing/>
        <w:jc w:val="left"/>
        <w:outlineLvl w:val="1"/>
        <w:rPr>
          <w:rFonts w:ascii="宋体" w:hAnsi="宋体" w:eastAsia="宋体" w:cs="方正小标宋简体"/>
          <w:b/>
          <w:bCs/>
          <w:color w:val="auto"/>
          <w:kern w:val="0"/>
          <w:sz w:val="24"/>
          <w:szCs w:val="24"/>
        </w:rPr>
      </w:pPr>
      <w:r>
        <w:rPr>
          <w:rFonts w:ascii="宋体" w:hAnsi="宋体" w:eastAsia="宋体" w:cs="方正小标宋简体"/>
          <w:b/>
          <w:bCs/>
          <w:color w:val="auto"/>
          <w:kern w:val="0"/>
          <w:sz w:val="24"/>
          <w:szCs w:val="24"/>
        </w:rPr>
        <w:br w:type="page"/>
      </w:r>
      <w:bookmarkStart w:id="404" w:name="_Toc11812"/>
      <w:r>
        <w:rPr>
          <w:rFonts w:hint="eastAsia" w:ascii="宋体" w:hAnsi="宋体" w:eastAsia="宋体" w:cs="仿宋_GB2312"/>
          <w:b/>
          <w:bCs/>
          <w:color w:val="auto"/>
          <w:kern w:val="0"/>
          <w:sz w:val="24"/>
          <w:szCs w:val="24"/>
          <w:lang w:bidi="ar"/>
        </w:rPr>
        <w:t>附件</w:t>
      </w:r>
      <w:r>
        <w:rPr>
          <w:rFonts w:hint="eastAsia" w:ascii="宋体" w:hAnsi="宋体" w:eastAsia="宋体" w:cs="仿宋_GB2312"/>
          <w:b/>
          <w:bCs/>
          <w:color w:val="auto"/>
          <w:kern w:val="0"/>
          <w:sz w:val="24"/>
          <w:szCs w:val="24"/>
          <w:lang w:val="en-US" w:eastAsia="zh-CN" w:bidi="ar"/>
        </w:rPr>
        <w:t>6</w:t>
      </w:r>
      <w:r>
        <w:rPr>
          <w:rFonts w:hint="eastAsia" w:ascii="宋体" w:hAnsi="宋体" w:eastAsia="宋体" w:cs="仿宋_GB2312"/>
          <w:b/>
          <w:bCs/>
          <w:color w:val="auto"/>
          <w:kern w:val="0"/>
          <w:sz w:val="24"/>
          <w:szCs w:val="24"/>
          <w:lang w:bidi="ar"/>
        </w:rPr>
        <w:t>：供应商履约评价表</w:t>
      </w:r>
      <w:bookmarkEnd w:id="404"/>
    </w:p>
    <w:p w14:paraId="1AFEC000">
      <w:pPr>
        <w:widowControl/>
        <w:autoSpaceDE w:val="0"/>
        <w:autoSpaceDN w:val="0"/>
        <w:adjustRightInd w:val="0"/>
        <w:spacing w:line="360" w:lineRule="auto"/>
        <w:contextualSpacing/>
        <w:jc w:val="center"/>
        <w:outlineLvl w:val="9"/>
        <w:rPr>
          <w:rFonts w:ascii="宋体" w:hAnsi="宋体" w:eastAsia="宋体" w:cs="仿宋_GB2312"/>
          <w:b/>
          <w:color w:val="auto"/>
          <w:kern w:val="0"/>
          <w:sz w:val="30"/>
          <w:szCs w:val="30"/>
          <w:lang w:bidi="ar"/>
        </w:rPr>
      </w:pPr>
      <w:r>
        <w:rPr>
          <w:rFonts w:hint="eastAsia" w:ascii="宋体" w:hAnsi="宋体" w:eastAsia="宋体" w:cs="仿宋_GB2312"/>
          <w:b/>
          <w:color w:val="auto"/>
          <w:kern w:val="0"/>
          <w:sz w:val="30"/>
          <w:szCs w:val="30"/>
          <w:lang w:bidi="ar"/>
        </w:rPr>
        <w:t>供应商履约评价表</w:t>
      </w:r>
    </w:p>
    <w:tbl>
      <w:tblPr>
        <w:tblStyle w:val="45"/>
        <w:tblW w:w="96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114"/>
        <w:gridCol w:w="4134"/>
        <w:gridCol w:w="2044"/>
        <w:gridCol w:w="713"/>
        <w:gridCol w:w="937"/>
      </w:tblGrid>
      <w:tr w14:paraId="08554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818" w:type="dxa"/>
            <w:gridSpan w:val="2"/>
            <w:vAlign w:val="center"/>
          </w:tcPr>
          <w:p w14:paraId="44B3260B">
            <w:pPr>
              <w:keepNext w:val="0"/>
              <w:keepLines w:val="0"/>
              <w:widowControl/>
              <w:suppressLineNumbers w:val="0"/>
              <w:autoSpaceDE/>
              <w:autoSpaceDN/>
              <w:adjustRightInd/>
              <w:spacing w:before="0" w:beforeAutospacing="0" w:after="0" w:afterAutospacing="0" w:line="360" w:lineRule="auto"/>
              <w:ind w:left="0" w:right="0"/>
              <w:contextualSpacing/>
              <w:jc w:val="center"/>
              <w:textAlignment w:val="center"/>
              <w:rPr>
                <w:rFonts w:hint="default" w:ascii="Times New Roman" w:hAnsi="Times New Roman" w:eastAsia="宋体" w:cs="Times New Roman"/>
                <w:b/>
                <w:bCs/>
                <w:color w:val="auto"/>
                <w:kern w:val="2"/>
                <w:sz w:val="21"/>
                <w:szCs w:val="21"/>
              </w:rPr>
            </w:pPr>
            <w:r>
              <w:rPr>
                <w:rFonts w:hint="default" w:ascii="Times New Roman" w:hAnsi="Times New Roman" w:eastAsia="宋体" w:cs="Times New Roman"/>
                <w:b/>
                <w:bCs/>
                <w:snapToGrid w:val="0"/>
                <w:color w:val="auto"/>
                <w:kern w:val="0"/>
                <w:sz w:val="21"/>
                <w:szCs w:val="21"/>
                <w:lang w:bidi="ar"/>
              </w:rPr>
              <w:t>合同名称</w:t>
            </w:r>
          </w:p>
        </w:tc>
        <w:tc>
          <w:tcPr>
            <w:tcW w:w="7828" w:type="dxa"/>
            <w:gridSpan w:val="4"/>
            <w:vAlign w:val="center"/>
          </w:tcPr>
          <w:p w14:paraId="71D5F6F6">
            <w:pPr>
              <w:keepNext w:val="0"/>
              <w:keepLines w:val="0"/>
              <w:suppressLineNumbers w:val="0"/>
              <w:autoSpaceDE/>
              <w:autoSpaceDN/>
              <w:adjustRightInd/>
              <w:spacing w:before="0" w:beforeAutospacing="0" w:after="0" w:afterAutospacing="0" w:line="360" w:lineRule="auto"/>
              <w:ind w:left="0" w:right="0"/>
              <w:contextualSpacing/>
              <w:jc w:val="center"/>
              <w:rPr>
                <w:rFonts w:hint="default" w:ascii="Times New Roman" w:hAnsi="Times New Roman" w:eastAsia="宋体" w:cs="Times New Roman"/>
                <w:color w:val="auto"/>
                <w:kern w:val="2"/>
                <w:sz w:val="21"/>
                <w:szCs w:val="21"/>
              </w:rPr>
            </w:pPr>
          </w:p>
        </w:tc>
      </w:tr>
      <w:tr w14:paraId="600A3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818" w:type="dxa"/>
            <w:gridSpan w:val="2"/>
            <w:vAlign w:val="center"/>
          </w:tcPr>
          <w:p w14:paraId="29D85604">
            <w:pPr>
              <w:keepNext w:val="0"/>
              <w:keepLines w:val="0"/>
              <w:widowControl/>
              <w:suppressLineNumbers w:val="0"/>
              <w:autoSpaceDE/>
              <w:autoSpaceDN/>
              <w:adjustRightInd/>
              <w:spacing w:before="0" w:beforeAutospacing="0" w:after="0" w:afterAutospacing="0" w:line="360" w:lineRule="auto"/>
              <w:ind w:left="0" w:right="0"/>
              <w:contextualSpacing/>
              <w:jc w:val="center"/>
              <w:textAlignment w:val="center"/>
              <w:rPr>
                <w:rFonts w:hint="default" w:ascii="Times New Roman" w:hAnsi="Times New Roman" w:eastAsia="宋体" w:cs="Times New Roman"/>
                <w:b/>
                <w:bCs/>
                <w:color w:val="auto"/>
                <w:kern w:val="2"/>
                <w:sz w:val="21"/>
                <w:szCs w:val="21"/>
              </w:rPr>
            </w:pPr>
            <w:r>
              <w:rPr>
                <w:rFonts w:hint="default" w:ascii="Times New Roman" w:hAnsi="Times New Roman" w:eastAsia="宋体" w:cs="Times New Roman"/>
                <w:b/>
                <w:bCs/>
                <w:snapToGrid w:val="0"/>
                <w:color w:val="auto"/>
                <w:kern w:val="0"/>
                <w:sz w:val="21"/>
                <w:szCs w:val="21"/>
                <w:lang w:bidi="ar"/>
              </w:rPr>
              <w:t>合同编号</w:t>
            </w:r>
          </w:p>
        </w:tc>
        <w:tc>
          <w:tcPr>
            <w:tcW w:w="7828" w:type="dxa"/>
            <w:gridSpan w:val="4"/>
            <w:vAlign w:val="center"/>
          </w:tcPr>
          <w:p w14:paraId="0FA8814A">
            <w:pPr>
              <w:keepNext w:val="0"/>
              <w:keepLines w:val="0"/>
              <w:suppressLineNumbers w:val="0"/>
              <w:autoSpaceDE/>
              <w:autoSpaceDN/>
              <w:adjustRightInd/>
              <w:spacing w:before="0" w:beforeAutospacing="0" w:after="0" w:afterAutospacing="0" w:line="360" w:lineRule="auto"/>
              <w:ind w:left="0" w:right="0"/>
              <w:contextualSpacing/>
              <w:jc w:val="center"/>
              <w:rPr>
                <w:rFonts w:hint="default" w:ascii="Times New Roman" w:hAnsi="Times New Roman" w:eastAsia="宋体" w:cs="Times New Roman"/>
                <w:color w:val="auto"/>
                <w:kern w:val="2"/>
                <w:sz w:val="21"/>
                <w:szCs w:val="21"/>
              </w:rPr>
            </w:pPr>
          </w:p>
        </w:tc>
      </w:tr>
      <w:tr w14:paraId="4C8B4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818" w:type="dxa"/>
            <w:gridSpan w:val="2"/>
          </w:tcPr>
          <w:p w14:paraId="475432DE">
            <w:pPr>
              <w:keepNext w:val="0"/>
              <w:keepLines w:val="0"/>
              <w:suppressLineNumbers w:val="0"/>
              <w:autoSpaceDE/>
              <w:autoSpaceDN/>
              <w:adjustRightInd/>
              <w:spacing w:before="0" w:beforeAutospacing="0" w:after="0" w:afterAutospacing="0" w:line="360" w:lineRule="auto"/>
              <w:ind w:left="0" w:right="0"/>
              <w:contextualSpacing/>
              <w:jc w:val="center"/>
              <w:rPr>
                <w:rFonts w:hint="default" w:ascii="Times New Roman" w:hAnsi="Times New Roman" w:eastAsia="宋体" w:cs="Times New Roman"/>
                <w:b/>
                <w:bCs/>
                <w:color w:val="auto"/>
                <w:kern w:val="2"/>
                <w:sz w:val="21"/>
                <w:szCs w:val="21"/>
              </w:rPr>
            </w:pPr>
            <w:r>
              <w:rPr>
                <w:rFonts w:hint="default" w:ascii="Times New Roman" w:hAnsi="Times New Roman" w:eastAsia="宋体" w:cs="Times New Roman"/>
                <w:b/>
                <w:bCs/>
                <w:color w:val="auto"/>
                <w:kern w:val="2"/>
                <w:sz w:val="21"/>
                <w:szCs w:val="21"/>
              </w:rPr>
              <w:t>招标人名称</w:t>
            </w:r>
          </w:p>
        </w:tc>
        <w:tc>
          <w:tcPr>
            <w:tcW w:w="7828" w:type="dxa"/>
            <w:gridSpan w:val="4"/>
            <w:vAlign w:val="center"/>
          </w:tcPr>
          <w:p w14:paraId="3DDE8D58">
            <w:pPr>
              <w:keepNext w:val="0"/>
              <w:keepLines w:val="0"/>
              <w:suppressLineNumbers w:val="0"/>
              <w:autoSpaceDE/>
              <w:autoSpaceDN/>
              <w:adjustRightInd/>
              <w:spacing w:before="0" w:beforeAutospacing="0" w:after="0" w:afterAutospacing="0" w:line="360" w:lineRule="auto"/>
              <w:ind w:left="0" w:right="0"/>
              <w:contextualSpacing/>
              <w:jc w:val="center"/>
              <w:rPr>
                <w:rFonts w:hint="default" w:ascii="Times New Roman" w:hAnsi="Times New Roman" w:eastAsia="宋体" w:cs="Times New Roman"/>
                <w:color w:val="auto"/>
                <w:kern w:val="2"/>
                <w:sz w:val="21"/>
                <w:szCs w:val="21"/>
              </w:rPr>
            </w:pPr>
          </w:p>
        </w:tc>
      </w:tr>
      <w:tr w14:paraId="0A198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818" w:type="dxa"/>
            <w:gridSpan w:val="2"/>
          </w:tcPr>
          <w:p w14:paraId="6780F831">
            <w:pPr>
              <w:keepNext w:val="0"/>
              <w:keepLines w:val="0"/>
              <w:suppressLineNumbers w:val="0"/>
              <w:autoSpaceDE/>
              <w:autoSpaceDN/>
              <w:adjustRightInd/>
              <w:spacing w:before="0" w:beforeAutospacing="0" w:after="0" w:afterAutospacing="0" w:line="360" w:lineRule="auto"/>
              <w:ind w:left="0" w:right="0"/>
              <w:contextualSpacing/>
              <w:jc w:val="center"/>
              <w:rPr>
                <w:rFonts w:hint="default" w:ascii="Times New Roman" w:hAnsi="Times New Roman" w:eastAsia="宋体" w:cs="Times New Roman"/>
                <w:b/>
                <w:bCs/>
                <w:color w:val="auto"/>
                <w:kern w:val="2"/>
                <w:sz w:val="21"/>
                <w:szCs w:val="21"/>
              </w:rPr>
            </w:pPr>
            <w:r>
              <w:rPr>
                <w:rFonts w:hint="default" w:ascii="Times New Roman" w:hAnsi="Times New Roman" w:eastAsia="宋体" w:cs="Times New Roman"/>
                <w:b/>
                <w:bCs/>
                <w:color w:val="auto"/>
                <w:kern w:val="2"/>
                <w:sz w:val="21"/>
                <w:szCs w:val="21"/>
              </w:rPr>
              <w:t>中标人名称</w:t>
            </w:r>
          </w:p>
        </w:tc>
        <w:tc>
          <w:tcPr>
            <w:tcW w:w="7828" w:type="dxa"/>
            <w:gridSpan w:val="4"/>
            <w:vAlign w:val="center"/>
          </w:tcPr>
          <w:p w14:paraId="164410D0">
            <w:pPr>
              <w:keepNext w:val="0"/>
              <w:keepLines w:val="0"/>
              <w:suppressLineNumbers w:val="0"/>
              <w:autoSpaceDE/>
              <w:autoSpaceDN/>
              <w:adjustRightInd/>
              <w:spacing w:before="0" w:beforeAutospacing="0" w:after="0" w:afterAutospacing="0" w:line="360" w:lineRule="auto"/>
              <w:ind w:left="0" w:right="0"/>
              <w:contextualSpacing/>
              <w:jc w:val="center"/>
              <w:rPr>
                <w:rFonts w:hint="default" w:ascii="Times New Roman" w:hAnsi="Times New Roman" w:eastAsia="宋体" w:cs="Times New Roman"/>
                <w:color w:val="auto"/>
                <w:kern w:val="2"/>
                <w:sz w:val="21"/>
                <w:szCs w:val="21"/>
              </w:rPr>
            </w:pPr>
          </w:p>
        </w:tc>
      </w:tr>
      <w:tr w14:paraId="59C2E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704" w:type="dxa"/>
            <w:vAlign w:val="center"/>
          </w:tcPr>
          <w:p w14:paraId="72C6BE00">
            <w:pPr>
              <w:keepNext w:val="0"/>
              <w:keepLines w:val="0"/>
              <w:widowControl/>
              <w:suppressLineNumbers w:val="0"/>
              <w:autoSpaceDE/>
              <w:autoSpaceDN/>
              <w:adjustRightInd/>
              <w:spacing w:before="0" w:beforeAutospacing="0" w:after="0" w:afterAutospacing="0" w:line="360" w:lineRule="auto"/>
              <w:ind w:left="0" w:right="0"/>
              <w:contextualSpacing/>
              <w:jc w:val="center"/>
              <w:textAlignment w:val="center"/>
              <w:rPr>
                <w:rFonts w:hint="default" w:ascii="Times New Roman" w:hAnsi="Times New Roman" w:eastAsia="宋体" w:cs="Times New Roman"/>
                <w:b/>
                <w:bCs/>
                <w:color w:val="auto"/>
                <w:kern w:val="2"/>
                <w:sz w:val="21"/>
                <w:szCs w:val="21"/>
              </w:rPr>
            </w:pPr>
            <w:r>
              <w:rPr>
                <w:rFonts w:hint="default" w:ascii="Times New Roman" w:hAnsi="Times New Roman" w:eastAsia="宋体" w:cs="Times New Roman"/>
                <w:b/>
                <w:bCs/>
                <w:snapToGrid w:val="0"/>
                <w:color w:val="auto"/>
                <w:kern w:val="0"/>
                <w:sz w:val="21"/>
                <w:szCs w:val="21"/>
                <w:lang w:bidi="ar"/>
              </w:rPr>
              <w:t>序号</w:t>
            </w:r>
          </w:p>
        </w:tc>
        <w:tc>
          <w:tcPr>
            <w:tcW w:w="1114" w:type="dxa"/>
            <w:vAlign w:val="center"/>
          </w:tcPr>
          <w:p w14:paraId="006919F3">
            <w:pPr>
              <w:keepNext w:val="0"/>
              <w:keepLines w:val="0"/>
              <w:widowControl/>
              <w:suppressLineNumbers w:val="0"/>
              <w:autoSpaceDE/>
              <w:autoSpaceDN/>
              <w:adjustRightInd/>
              <w:spacing w:before="0" w:beforeAutospacing="0" w:after="0" w:afterAutospacing="0" w:line="240" w:lineRule="auto"/>
              <w:ind w:left="0" w:right="0"/>
              <w:contextualSpacing/>
              <w:jc w:val="center"/>
              <w:textAlignment w:val="center"/>
              <w:rPr>
                <w:rFonts w:hint="default" w:ascii="Times New Roman" w:hAnsi="Times New Roman" w:eastAsia="宋体" w:cs="Times New Roman"/>
                <w:b/>
                <w:bCs/>
                <w:color w:val="auto"/>
                <w:kern w:val="2"/>
                <w:sz w:val="21"/>
                <w:szCs w:val="21"/>
              </w:rPr>
            </w:pPr>
            <w:r>
              <w:rPr>
                <w:rFonts w:hint="default" w:ascii="Times New Roman" w:hAnsi="Times New Roman" w:eastAsia="宋体" w:cs="Times New Roman"/>
                <w:b/>
                <w:bCs/>
                <w:snapToGrid w:val="0"/>
                <w:color w:val="auto"/>
                <w:kern w:val="0"/>
                <w:sz w:val="21"/>
                <w:szCs w:val="21"/>
                <w:lang w:bidi="ar"/>
              </w:rPr>
              <w:t>履约评价项目</w:t>
            </w:r>
          </w:p>
        </w:tc>
        <w:tc>
          <w:tcPr>
            <w:tcW w:w="4134" w:type="dxa"/>
            <w:vAlign w:val="center"/>
          </w:tcPr>
          <w:p w14:paraId="76409DD6">
            <w:pPr>
              <w:keepNext w:val="0"/>
              <w:keepLines w:val="0"/>
              <w:widowControl/>
              <w:suppressLineNumbers w:val="0"/>
              <w:autoSpaceDE/>
              <w:autoSpaceDN/>
              <w:adjustRightInd/>
              <w:spacing w:before="0" w:beforeAutospacing="0" w:after="0" w:afterAutospacing="0" w:line="360" w:lineRule="auto"/>
              <w:ind w:left="0" w:right="0"/>
              <w:contextualSpacing/>
              <w:jc w:val="center"/>
              <w:textAlignment w:val="center"/>
              <w:rPr>
                <w:rFonts w:hint="default" w:ascii="Times New Roman" w:hAnsi="Times New Roman" w:eastAsia="宋体" w:cs="Times New Roman"/>
                <w:b/>
                <w:bCs/>
                <w:color w:val="auto"/>
                <w:kern w:val="2"/>
                <w:sz w:val="21"/>
                <w:szCs w:val="21"/>
              </w:rPr>
            </w:pPr>
            <w:r>
              <w:rPr>
                <w:rFonts w:hint="default" w:ascii="Times New Roman" w:hAnsi="Times New Roman" w:eastAsia="宋体" w:cs="Times New Roman"/>
                <w:b/>
                <w:bCs/>
                <w:snapToGrid w:val="0"/>
                <w:color w:val="auto"/>
                <w:kern w:val="0"/>
                <w:sz w:val="21"/>
                <w:szCs w:val="21"/>
                <w:lang w:bidi="ar"/>
              </w:rPr>
              <w:t>评价标准</w:t>
            </w:r>
          </w:p>
        </w:tc>
        <w:tc>
          <w:tcPr>
            <w:tcW w:w="2044" w:type="dxa"/>
            <w:vAlign w:val="center"/>
          </w:tcPr>
          <w:p w14:paraId="65AECB60">
            <w:pPr>
              <w:keepNext w:val="0"/>
              <w:keepLines w:val="0"/>
              <w:widowControl/>
              <w:suppressLineNumbers w:val="0"/>
              <w:autoSpaceDE/>
              <w:autoSpaceDN/>
              <w:adjustRightInd/>
              <w:spacing w:before="0" w:beforeAutospacing="0" w:after="0" w:afterAutospacing="0" w:line="360" w:lineRule="auto"/>
              <w:ind w:left="0" w:right="0"/>
              <w:contextualSpacing/>
              <w:jc w:val="center"/>
              <w:textAlignment w:val="center"/>
              <w:rPr>
                <w:rFonts w:hint="default" w:ascii="Times New Roman" w:hAnsi="Times New Roman" w:eastAsia="宋体" w:cs="Times New Roman"/>
                <w:b/>
                <w:bCs/>
                <w:color w:val="auto"/>
                <w:kern w:val="2"/>
                <w:sz w:val="21"/>
                <w:szCs w:val="21"/>
              </w:rPr>
            </w:pPr>
            <w:r>
              <w:rPr>
                <w:rFonts w:hint="default" w:ascii="Times New Roman" w:hAnsi="Times New Roman" w:eastAsia="宋体" w:cs="Times New Roman"/>
                <w:b/>
                <w:bCs/>
                <w:snapToGrid w:val="0"/>
                <w:color w:val="auto"/>
                <w:kern w:val="0"/>
                <w:sz w:val="21"/>
                <w:szCs w:val="21"/>
                <w:lang w:bidi="ar"/>
              </w:rPr>
              <w:t>评分说明</w:t>
            </w:r>
          </w:p>
        </w:tc>
        <w:tc>
          <w:tcPr>
            <w:tcW w:w="713" w:type="dxa"/>
            <w:vAlign w:val="center"/>
          </w:tcPr>
          <w:p w14:paraId="057444FD">
            <w:pPr>
              <w:keepNext w:val="0"/>
              <w:keepLines w:val="0"/>
              <w:widowControl/>
              <w:suppressLineNumbers w:val="0"/>
              <w:autoSpaceDE/>
              <w:autoSpaceDN/>
              <w:adjustRightInd/>
              <w:spacing w:before="0" w:beforeAutospacing="0" w:after="0" w:afterAutospacing="0" w:line="360" w:lineRule="auto"/>
              <w:ind w:left="0" w:right="0"/>
              <w:contextualSpacing/>
              <w:jc w:val="center"/>
              <w:textAlignment w:val="center"/>
              <w:rPr>
                <w:rFonts w:hint="default" w:ascii="Times New Roman" w:hAnsi="Times New Roman" w:eastAsia="宋体" w:cs="Times New Roman"/>
                <w:b/>
                <w:bCs/>
                <w:color w:val="auto"/>
                <w:kern w:val="2"/>
                <w:sz w:val="21"/>
                <w:szCs w:val="21"/>
              </w:rPr>
            </w:pPr>
            <w:r>
              <w:rPr>
                <w:rFonts w:hint="default" w:ascii="Times New Roman" w:hAnsi="Times New Roman" w:eastAsia="宋体" w:cs="Times New Roman"/>
                <w:b/>
                <w:bCs/>
                <w:snapToGrid w:val="0"/>
                <w:color w:val="auto"/>
                <w:kern w:val="0"/>
                <w:sz w:val="21"/>
                <w:szCs w:val="21"/>
                <w:lang w:bidi="ar"/>
              </w:rPr>
              <w:t>分值</w:t>
            </w:r>
          </w:p>
        </w:tc>
        <w:tc>
          <w:tcPr>
            <w:tcW w:w="937" w:type="dxa"/>
            <w:vAlign w:val="center"/>
          </w:tcPr>
          <w:p w14:paraId="517FF5B7">
            <w:pPr>
              <w:keepNext w:val="0"/>
              <w:keepLines w:val="0"/>
              <w:widowControl/>
              <w:suppressLineNumbers w:val="0"/>
              <w:autoSpaceDE/>
              <w:autoSpaceDN/>
              <w:adjustRightInd/>
              <w:spacing w:before="0" w:beforeAutospacing="0" w:after="0" w:afterAutospacing="0" w:line="360" w:lineRule="auto"/>
              <w:ind w:left="0" w:right="0"/>
              <w:contextualSpacing/>
              <w:jc w:val="center"/>
              <w:textAlignment w:val="center"/>
              <w:rPr>
                <w:rFonts w:hint="default" w:ascii="Times New Roman" w:hAnsi="Times New Roman" w:eastAsia="宋体" w:cs="Times New Roman"/>
                <w:b/>
                <w:bCs/>
                <w:color w:val="auto"/>
                <w:kern w:val="2"/>
                <w:sz w:val="21"/>
                <w:szCs w:val="21"/>
              </w:rPr>
            </w:pPr>
            <w:r>
              <w:rPr>
                <w:rFonts w:hint="default" w:ascii="Times New Roman" w:hAnsi="Times New Roman" w:eastAsia="宋体" w:cs="Times New Roman"/>
                <w:b/>
                <w:bCs/>
                <w:snapToGrid w:val="0"/>
                <w:color w:val="auto"/>
                <w:kern w:val="0"/>
                <w:sz w:val="21"/>
                <w:szCs w:val="21"/>
                <w:lang w:bidi="ar"/>
              </w:rPr>
              <w:t>实得分</w:t>
            </w:r>
          </w:p>
        </w:tc>
      </w:tr>
      <w:tr w14:paraId="47B17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704" w:type="dxa"/>
            <w:vAlign w:val="center"/>
          </w:tcPr>
          <w:p w14:paraId="09418EE1">
            <w:pPr>
              <w:keepNext w:val="0"/>
              <w:keepLines w:val="0"/>
              <w:widowControl/>
              <w:suppressLineNumbers w:val="0"/>
              <w:autoSpaceDE/>
              <w:autoSpaceDN/>
              <w:adjustRightInd/>
              <w:spacing w:before="0" w:beforeAutospacing="0" w:after="0" w:afterAutospacing="0" w:line="360" w:lineRule="auto"/>
              <w:ind w:left="0" w:right="0"/>
              <w:contextualSpacing/>
              <w:jc w:val="center"/>
              <w:textAlignment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snapToGrid w:val="0"/>
                <w:color w:val="auto"/>
                <w:kern w:val="0"/>
                <w:sz w:val="21"/>
                <w:szCs w:val="21"/>
                <w:lang w:bidi="ar"/>
              </w:rPr>
              <w:t>1</w:t>
            </w:r>
          </w:p>
        </w:tc>
        <w:tc>
          <w:tcPr>
            <w:tcW w:w="1114" w:type="dxa"/>
            <w:vAlign w:val="center"/>
          </w:tcPr>
          <w:p w14:paraId="44DE1029">
            <w:pPr>
              <w:keepNext w:val="0"/>
              <w:keepLines w:val="0"/>
              <w:widowControl/>
              <w:suppressLineNumbers w:val="0"/>
              <w:autoSpaceDE/>
              <w:autoSpaceDN/>
              <w:adjustRightInd/>
              <w:spacing w:before="0" w:beforeAutospacing="0" w:after="0" w:afterAutospacing="0" w:line="360" w:lineRule="auto"/>
              <w:ind w:left="0" w:right="0"/>
              <w:contextualSpacing/>
              <w:jc w:val="center"/>
              <w:textAlignment w:val="center"/>
              <w:rPr>
                <w:rFonts w:hint="default" w:ascii="Times New Roman" w:hAnsi="Times New Roman" w:eastAsia="宋体" w:cs="Times New Roman"/>
                <w:b/>
                <w:bCs/>
                <w:color w:val="auto"/>
                <w:kern w:val="2"/>
                <w:sz w:val="21"/>
                <w:szCs w:val="21"/>
              </w:rPr>
            </w:pPr>
            <w:r>
              <w:rPr>
                <w:rFonts w:hint="default" w:ascii="Times New Roman" w:hAnsi="Times New Roman" w:eastAsia="宋体" w:cs="Times New Roman"/>
                <w:b/>
                <w:bCs/>
                <w:snapToGrid w:val="0"/>
                <w:color w:val="auto"/>
                <w:kern w:val="0"/>
                <w:sz w:val="21"/>
                <w:szCs w:val="21"/>
                <w:lang w:bidi="ar"/>
              </w:rPr>
              <w:t>质量</w:t>
            </w:r>
          </w:p>
        </w:tc>
        <w:tc>
          <w:tcPr>
            <w:tcW w:w="4134" w:type="dxa"/>
            <w:vAlign w:val="center"/>
          </w:tcPr>
          <w:p w14:paraId="1AE2FF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contextualSpacing/>
              <w:jc w:val="both"/>
              <w:textAlignment w:val="center"/>
              <w:rPr>
                <w:rFonts w:hint="default" w:ascii="Times New Roman" w:hAnsi="Times New Roman" w:eastAsia="宋体" w:cs="Times New Roman"/>
                <w:snapToGrid w:val="0"/>
                <w:color w:val="auto"/>
                <w:kern w:val="0"/>
                <w:sz w:val="18"/>
                <w:szCs w:val="18"/>
                <w:lang w:bidi="ar"/>
              </w:rPr>
            </w:pPr>
            <w:r>
              <w:rPr>
                <w:rFonts w:hint="default" w:ascii="Times New Roman" w:hAnsi="Times New Roman" w:eastAsia="宋体" w:cs="Times New Roman"/>
                <w:snapToGrid w:val="0"/>
                <w:color w:val="auto"/>
                <w:kern w:val="0"/>
                <w:sz w:val="18"/>
                <w:szCs w:val="18"/>
                <w:lang w:bidi="ar"/>
              </w:rPr>
              <w:t>(1)货物未出现全部拒收或换货等质量问题；（10分）</w:t>
            </w:r>
          </w:p>
          <w:p w14:paraId="1AB4CA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contextualSpacing/>
              <w:jc w:val="both"/>
              <w:textAlignment w:val="center"/>
              <w:rPr>
                <w:rFonts w:hint="default" w:ascii="Times New Roman" w:hAnsi="Times New Roman" w:eastAsia="宋体" w:cs="Times New Roman"/>
                <w:snapToGrid w:val="0"/>
                <w:color w:val="auto"/>
                <w:kern w:val="0"/>
                <w:sz w:val="18"/>
                <w:szCs w:val="18"/>
                <w:lang w:bidi="ar"/>
              </w:rPr>
            </w:pPr>
            <w:r>
              <w:rPr>
                <w:rFonts w:hint="default" w:ascii="Times New Roman" w:hAnsi="Times New Roman" w:eastAsia="宋体" w:cs="Times New Roman"/>
                <w:snapToGrid w:val="0"/>
                <w:color w:val="auto"/>
                <w:kern w:val="0"/>
                <w:sz w:val="18"/>
                <w:szCs w:val="18"/>
                <w:lang w:bidi="ar"/>
              </w:rPr>
              <w:t>(2)供货货物符合合同规定，其他指标符合合同规定；（8分）</w:t>
            </w:r>
          </w:p>
          <w:p w14:paraId="09416E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contextualSpacing/>
              <w:jc w:val="both"/>
              <w:textAlignment w:val="center"/>
              <w:rPr>
                <w:rFonts w:hint="default" w:ascii="Times New Roman" w:hAnsi="Times New Roman" w:eastAsia="宋体" w:cs="Times New Roman"/>
                <w:color w:val="auto"/>
                <w:kern w:val="2"/>
                <w:sz w:val="18"/>
                <w:szCs w:val="18"/>
              </w:rPr>
            </w:pPr>
            <w:r>
              <w:rPr>
                <w:rFonts w:hint="default" w:ascii="Times New Roman" w:hAnsi="Times New Roman" w:eastAsia="宋体" w:cs="Times New Roman"/>
                <w:snapToGrid w:val="0"/>
                <w:color w:val="auto"/>
                <w:kern w:val="0"/>
                <w:sz w:val="18"/>
                <w:szCs w:val="18"/>
                <w:lang w:bidi="ar"/>
              </w:rPr>
              <w:t>(3)</w:t>
            </w:r>
            <w:r>
              <w:rPr>
                <w:rFonts w:hint="default" w:ascii="Times New Roman" w:hAnsi="Times New Roman" w:eastAsia="宋体" w:cs="Times New Roman"/>
                <w:color w:val="auto"/>
                <w:kern w:val="2"/>
                <w:sz w:val="18"/>
                <w:szCs w:val="18"/>
              </w:rPr>
              <w:t>每批次货物质量稳定，使用效果良好，未出现由于货物质量参差不齐，造成实质性影响或损失等情况。</w:t>
            </w:r>
            <w:r>
              <w:rPr>
                <w:rFonts w:hint="default" w:ascii="Times New Roman" w:hAnsi="Times New Roman" w:eastAsia="宋体" w:cs="Times New Roman"/>
                <w:snapToGrid w:val="0"/>
                <w:color w:val="auto"/>
                <w:kern w:val="0"/>
                <w:sz w:val="18"/>
                <w:szCs w:val="18"/>
                <w:lang w:bidi="ar"/>
              </w:rPr>
              <w:t>（8分）</w:t>
            </w:r>
          </w:p>
        </w:tc>
        <w:tc>
          <w:tcPr>
            <w:tcW w:w="2044" w:type="dxa"/>
            <w:vAlign w:val="center"/>
          </w:tcPr>
          <w:p w14:paraId="49F40C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contextualSpacing/>
              <w:jc w:val="both"/>
              <w:textAlignment w:val="center"/>
              <w:rPr>
                <w:rFonts w:hint="default" w:ascii="Times New Roman" w:hAnsi="Times New Roman" w:eastAsia="宋体" w:cs="Times New Roman"/>
                <w:color w:val="auto"/>
                <w:kern w:val="2"/>
                <w:sz w:val="18"/>
                <w:szCs w:val="18"/>
              </w:rPr>
            </w:pPr>
            <w:r>
              <w:rPr>
                <w:rFonts w:hint="default" w:ascii="Times New Roman" w:hAnsi="Times New Roman" w:eastAsia="宋体" w:cs="Times New Roman"/>
                <w:snapToGrid w:val="0"/>
                <w:color w:val="auto"/>
                <w:kern w:val="0"/>
                <w:sz w:val="18"/>
                <w:szCs w:val="18"/>
                <w:lang w:bidi="ar"/>
              </w:rPr>
              <w:t>达到标准的得满分，每季度每次有一项未达到标准的按对应分值进行扣分。</w:t>
            </w:r>
          </w:p>
        </w:tc>
        <w:tc>
          <w:tcPr>
            <w:tcW w:w="713" w:type="dxa"/>
            <w:vAlign w:val="center"/>
          </w:tcPr>
          <w:p w14:paraId="42C75CF6">
            <w:pPr>
              <w:keepNext w:val="0"/>
              <w:keepLines w:val="0"/>
              <w:widowControl/>
              <w:suppressLineNumbers w:val="0"/>
              <w:autoSpaceDE/>
              <w:autoSpaceDN/>
              <w:adjustRightInd/>
              <w:spacing w:before="0" w:beforeAutospacing="0" w:after="0" w:afterAutospacing="0" w:line="360" w:lineRule="auto"/>
              <w:ind w:left="0" w:right="0"/>
              <w:contextualSpacing/>
              <w:jc w:val="center"/>
              <w:textAlignment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snapToGrid w:val="0"/>
                <w:color w:val="auto"/>
                <w:kern w:val="0"/>
                <w:sz w:val="21"/>
                <w:szCs w:val="21"/>
                <w:lang w:bidi="ar"/>
              </w:rPr>
              <w:t>26</w:t>
            </w:r>
          </w:p>
        </w:tc>
        <w:tc>
          <w:tcPr>
            <w:tcW w:w="937" w:type="dxa"/>
            <w:vAlign w:val="center"/>
          </w:tcPr>
          <w:p w14:paraId="2AE97B8D">
            <w:pPr>
              <w:keepNext w:val="0"/>
              <w:keepLines w:val="0"/>
              <w:suppressLineNumbers w:val="0"/>
              <w:autoSpaceDE/>
              <w:autoSpaceDN/>
              <w:adjustRightInd/>
              <w:spacing w:before="0" w:beforeAutospacing="0" w:after="0" w:afterAutospacing="0" w:line="360" w:lineRule="auto"/>
              <w:ind w:left="0" w:right="0"/>
              <w:contextualSpacing/>
              <w:jc w:val="center"/>
              <w:rPr>
                <w:rFonts w:hint="default" w:ascii="Times New Roman" w:hAnsi="Times New Roman" w:eastAsia="宋体" w:cs="Times New Roman"/>
                <w:color w:val="auto"/>
                <w:kern w:val="2"/>
                <w:sz w:val="21"/>
                <w:szCs w:val="21"/>
              </w:rPr>
            </w:pPr>
          </w:p>
        </w:tc>
      </w:tr>
      <w:tr w14:paraId="77B61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704" w:type="dxa"/>
            <w:vAlign w:val="center"/>
          </w:tcPr>
          <w:p w14:paraId="3CDB1B6F">
            <w:pPr>
              <w:keepNext w:val="0"/>
              <w:keepLines w:val="0"/>
              <w:suppressLineNumbers w:val="0"/>
              <w:autoSpaceDE/>
              <w:autoSpaceDN/>
              <w:adjustRightInd/>
              <w:spacing w:before="0" w:beforeAutospacing="0" w:after="0" w:afterAutospacing="0" w:line="360" w:lineRule="auto"/>
              <w:ind w:left="0" w:right="0"/>
              <w:contextualSpacing/>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rPr>
              <w:t>2</w:t>
            </w:r>
          </w:p>
        </w:tc>
        <w:tc>
          <w:tcPr>
            <w:tcW w:w="1114" w:type="dxa"/>
            <w:vAlign w:val="center"/>
          </w:tcPr>
          <w:p w14:paraId="6B9C371D">
            <w:pPr>
              <w:keepNext w:val="0"/>
              <w:keepLines w:val="0"/>
              <w:suppressLineNumbers w:val="0"/>
              <w:autoSpaceDE/>
              <w:autoSpaceDN/>
              <w:adjustRightInd/>
              <w:spacing w:before="0" w:beforeAutospacing="0" w:after="0" w:afterAutospacing="0" w:line="360" w:lineRule="auto"/>
              <w:ind w:left="0" w:right="0"/>
              <w:contextualSpacing/>
              <w:jc w:val="center"/>
              <w:rPr>
                <w:rFonts w:hint="default" w:ascii="Times New Roman" w:hAnsi="Times New Roman" w:eastAsia="宋体" w:cs="Times New Roman"/>
                <w:b/>
                <w:bCs/>
                <w:color w:val="auto"/>
                <w:kern w:val="2"/>
                <w:sz w:val="21"/>
                <w:szCs w:val="21"/>
              </w:rPr>
            </w:pPr>
            <w:r>
              <w:rPr>
                <w:rFonts w:hint="default" w:ascii="Times New Roman" w:hAnsi="Times New Roman" w:eastAsia="宋体" w:cs="Times New Roman"/>
                <w:b/>
                <w:bCs/>
                <w:color w:val="auto"/>
                <w:kern w:val="2"/>
                <w:sz w:val="21"/>
                <w:szCs w:val="21"/>
              </w:rPr>
              <w:t>包装运输</w:t>
            </w:r>
          </w:p>
        </w:tc>
        <w:tc>
          <w:tcPr>
            <w:tcW w:w="4134" w:type="dxa"/>
            <w:vAlign w:val="center"/>
          </w:tcPr>
          <w:p w14:paraId="606FCF3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right="0"/>
              <w:contextualSpacing/>
              <w:jc w:val="both"/>
              <w:outlineLvl w:val="2"/>
              <w:rPr>
                <w:rFonts w:hint="default" w:ascii="Times New Roman" w:hAnsi="Times New Roman" w:eastAsia="宋体" w:cs="Times New Roman"/>
                <w:color w:val="auto"/>
                <w:kern w:val="2"/>
                <w:sz w:val="18"/>
                <w:szCs w:val="18"/>
              </w:rPr>
            </w:pPr>
            <w:bookmarkStart w:id="405" w:name="_Toc14908"/>
            <w:r>
              <w:rPr>
                <w:rFonts w:hint="default" w:ascii="Times New Roman" w:hAnsi="Times New Roman" w:eastAsia="宋体" w:cs="Times New Roman"/>
                <w:color w:val="auto"/>
                <w:kern w:val="2"/>
                <w:sz w:val="18"/>
                <w:szCs w:val="18"/>
              </w:rPr>
              <w:t>货物的包装完好，无破损，货物无出现磕碰等情况。（</w:t>
            </w:r>
            <w:r>
              <w:rPr>
                <w:rFonts w:hint="default" w:ascii="Times New Roman" w:hAnsi="Times New Roman" w:eastAsia="宋体" w:cs="Times New Roman"/>
                <w:snapToGrid w:val="0"/>
                <w:color w:val="auto"/>
                <w:kern w:val="0"/>
                <w:sz w:val="18"/>
                <w:szCs w:val="18"/>
                <w:lang w:bidi="ar"/>
              </w:rPr>
              <w:t>8分</w:t>
            </w:r>
            <w:r>
              <w:rPr>
                <w:rFonts w:hint="default" w:ascii="Times New Roman" w:hAnsi="Times New Roman" w:eastAsia="宋体" w:cs="Times New Roman"/>
                <w:color w:val="auto"/>
                <w:kern w:val="2"/>
                <w:sz w:val="18"/>
                <w:szCs w:val="18"/>
              </w:rPr>
              <w:t>）</w:t>
            </w:r>
            <w:bookmarkEnd w:id="405"/>
          </w:p>
        </w:tc>
        <w:tc>
          <w:tcPr>
            <w:tcW w:w="2044" w:type="dxa"/>
            <w:vAlign w:val="center"/>
          </w:tcPr>
          <w:p w14:paraId="5179739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right="0"/>
              <w:contextualSpacing/>
              <w:jc w:val="both"/>
              <w:rPr>
                <w:rFonts w:hint="default" w:ascii="Times New Roman" w:hAnsi="Times New Roman" w:eastAsia="宋体" w:cs="Times New Roman"/>
                <w:bCs/>
                <w:color w:val="auto"/>
                <w:kern w:val="2"/>
                <w:sz w:val="18"/>
                <w:szCs w:val="18"/>
              </w:rPr>
            </w:pPr>
            <w:r>
              <w:rPr>
                <w:rFonts w:hint="default" w:ascii="Times New Roman" w:hAnsi="Times New Roman" w:eastAsia="宋体" w:cs="Times New Roman"/>
                <w:snapToGrid w:val="0"/>
                <w:color w:val="auto"/>
                <w:kern w:val="0"/>
                <w:sz w:val="18"/>
                <w:szCs w:val="18"/>
                <w:lang w:bidi="ar"/>
              </w:rPr>
              <w:t>达到标准的得满分，每季度每次有一项未达到标准的按对应分值进行扣分。</w:t>
            </w:r>
          </w:p>
        </w:tc>
        <w:tc>
          <w:tcPr>
            <w:tcW w:w="713" w:type="dxa"/>
            <w:vAlign w:val="center"/>
          </w:tcPr>
          <w:p w14:paraId="4BC2CCC1">
            <w:pPr>
              <w:keepNext w:val="0"/>
              <w:keepLines w:val="0"/>
              <w:suppressLineNumbers w:val="0"/>
              <w:autoSpaceDE/>
              <w:autoSpaceDN/>
              <w:adjustRightInd/>
              <w:spacing w:before="0" w:beforeAutospacing="0" w:after="0" w:afterAutospacing="0" w:line="360" w:lineRule="auto"/>
              <w:ind w:left="0" w:right="0"/>
              <w:contextualSpacing/>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rPr>
              <w:t>8</w:t>
            </w:r>
          </w:p>
        </w:tc>
        <w:tc>
          <w:tcPr>
            <w:tcW w:w="937" w:type="dxa"/>
            <w:vAlign w:val="center"/>
          </w:tcPr>
          <w:p w14:paraId="6EF4C5F6">
            <w:pPr>
              <w:keepNext w:val="0"/>
              <w:keepLines w:val="0"/>
              <w:suppressLineNumbers w:val="0"/>
              <w:autoSpaceDE/>
              <w:autoSpaceDN/>
              <w:adjustRightInd/>
              <w:spacing w:before="0" w:beforeAutospacing="0" w:after="0" w:afterAutospacing="0" w:line="360" w:lineRule="auto"/>
              <w:ind w:left="0" w:right="0"/>
              <w:contextualSpacing/>
              <w:jc w:val="center"/>
              <w:rPr>
                <w:rFonts w:hint="default" w:ascii="Times New Roman" w:hAnsi="Times New Roman" w:eastAsia="宋体" w:cs="Times New Roman"/>
                <w:color w:val="auto"/>
                <w:kern w:val="2"/>
                <w:sz w:val="21"/>
                <w:szCs w:val="21"/>
              </w:rPr>
            </w:pPr>
          </w:p>
        </w:tc>
      </w:tr>
      <w:tr w14:paraId="620A5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jc w:val="center"/>
        </w:trPr>
        <w:tc>
          <w:tcPr>
            <w:tcW w:w="704" w:type="dxa"/>
            <w:vAlign w:val="center"/>
          </w:tcPr>
          <w:p w14:paraId="17CE4E6C">
            <w:pPr>
              <w:keepNext w:val="0"/>
              <w:keepLines w:val="0"/>
              <w:widowControl/>
              <w:suppressLineNumbers w:val="0"/>
              <w:autoSpaceDE/>
              <w:autoSpaceDN/>
              <w:adjustRightInd/>
              <w:spacing w:before="0" w:beforeAutospacing="0" w:after="0" w:afterAutospacing="0" w:line="360" w:lineRule="auto"/>
              <w:ind w:left="0" w:right="0"/>
              <w:contextualSpacing/>
              <w:jc w:val="center"/>
              <w:textAlignment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snapToGrid w:val="0"/>
                <w:color w:val="auto"/>
                <w:kern w:val="0"/>
                <w:sz w:val="21"/>
                <w:szCs w:val="21"/>
                <w:lang w:bidi="ar"/>
              </w:rPr>
              <w:t>3</w:t>
            </w:r>
          </w:p>
        </w:tc>
        <w:tc>
          <w:tcPr>
            <w:tcW w:w="1114" w:type="dxa"/>
            <w:vAlign w:val="center"/>
          </w:tcPr>
          <w:p w14:paraId="25641951">
            <w:pPr>
              <w:keepNext w:val="0"/>
              <w:keepLines w:val="0"/>
              <w:widowControl/>
              <w:suppressLineNumbers w:val="0"/>
              <w:autoSpaceDE/>
              <w:autoSpaceDN/>
              <w:adjustRightInd/>
              <w:spacing w:before="0" w:beforeAutospacing="0" w:after="0" w:afterAutospacing="0" w:line="360" w:lineRule="auto"/>
              <w:ind w:left="0" w:right="0"/>
              <w:contextualSpacing/>
              <w:jc w:val="center"/>
              <w:textAlignment w:val="center"/>
              <w:rPr>
                <w:rFonts w:hint="default" w:ascii="Times New Roman" w:hAnsi="Times New Roman" w:eastAsia="宋体" w:cs="Times New Roman"/>
                <w:b/>
                <w:bCs/>
                <w:color w:val="auto"/>
                <w:kern w:val="2"/>
                <w:sz w:val="21"/>
                <w:szCs w:val="21"/>
              </w:rPr>
            </w:pPr>
            <w:r>
              <w:rPr>
                <w:rFonts w:hint="default" w:ascii="Times New Roman" w:hAnsi="Times New Roman" w:eastAsia="宋体" w:cs="Times New Roman"/>
                <w:b/>
                <w:bCs/>
                <w:snapToGrid w:val="0"/>
                <w:color w:val="auto"/>
                <w:kern w:val="0"/>
                <w:sz w:val="21"/>
                <w:szCs w:val="21"/>
                <w:lang w:bidi="ar"/>
              </w:rPr>
              <w:t>货物交付</w:t>
            </w:r>
          </w:p>
        </w:tc>
        <w:tc>
          <w:tcPr>
            <w:tcW w:w="4134" w:type="dxa"/>
            <w:vAlign w:val="center"/>
          </w:tcPr>
          <w:p w14:paraId="0DAB83B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right="0"/>
              <w:contextualSpacing/>
              <w:jc w:val="both"/>
              <w:rPr>
                <w:rFonts w:hint="default" w:ascii="Times New Roman" w:hAnsi="Times New Roman" w:eastAsia="宋体" w:cs="Times New Roman"/>
                <w:color w:val="auto"/>
                <w:kern w:val="2"/>
                <w:sz w:val="18"/>
                <w:szCs w:val="18"/>
              </w:rPr>
            </w:pPr>
            <w:r>
              <w:rPr>
                <w:rFonts w:hint="default" w:ascii="Times New Roman" w:hAnsi="Times New Roman" w:eastAsia="宋体" w:cs="Times New Roman"/>
                <w:color w:val="auto"/>
                <w:kern w:val="2"/>
                <w:sz w:val="18"/>
                <w:szCs w:val="18"/>
              </w:rPr>
              <w:t>(1)</w:t>
            </w:r>
            <w:r>
              <w:rPr>
                <w:rFonts w:hint="default" w:ascii="Times New Roman" w:hAnsi="Times New Roman" w:eastAsia="宋体" w:cs="Times New Roman"/>
                <w:bCs/>
                <w:color w:val="auto"/>
                <w:kern w:val="2"/>
                <w:sz w:val="18"/>
                <w:szCs w:val="18"/>
              </w:rPr>
              <w:t>按合同约定时间供货</w:t>
            </w:r>
            <w:r>
              <w:rPr>
                <w:rFonts w:hint="default" w:ascii="Times New Roman" w:hAnsi="Times New Roman" w:eastAsia="宋体" w:cs="Times New Roman"/>
                <w:color w:val="auto"/>
                <w:kern w:val="2"/>
                <w:sz w:val="18"/>
                <w:szCs w:val="18"/>
              </w:rPr>
              <w:t>；</w:t>
            </w:r>
            <w:r>
              <w:rPr>
                <w:rFonts w:hint="default" w:ascii="Times New Roman" w:hAnsi="Times New Roman" w:eastAsia="宋体" w:cs="Times New Roman"/>
                <w:snapToGrid w:val="0"/>
                <w:color w:val="auto"/>
                <w:kern w:val="0"/>
                <w:sz w:val="18"/>
                <w:szCs w:val="18"/>
                <w:lang w:bidi="ar"/>
              </w:rPr>
              <w:t>（10分）</w:t>
            </w:r>
          </w:p>
          <w:p w14:paraId="2C0754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contextualSpacing/>
              <w:jc w:val="both"/>
              <w:textAlignment w:val="center"/>
              <w:rPr>
                <w:rFonts w:hint="default" w:ascii="Times New Roman" w:hAnsi="Times New Roman" w:eastAsia="宋体" w:cs="Times New Roman"/>
                <w:color w:val="auto"/>
                <w:kern w:val="2"/>
                <w:sz w:val="18"/>
                <w:szCs w:val="18"/>
              </w:rPr>
            </w:pPr>
            <w:r>
              <w:rPr>
                <w:rFonts w:hint="default" w:ascii="Times New Roman" w:hAnsi="Times New Roman" w:eastAsia="宋体" w:cs="Times New Roman"/>
                <w:color w:val="auto"/>
                <w:kern w:val="2"/>
                <w:sz w:val="18"/>
                <w:szCs w:val="18"/>
              </w:rPr>
              <w:t>(2)每批次供货配合提供货物清单、配合清点货物；</w:t>
            </w:r>
            <w:r>
              <w:rPr>
                <w:rFonts w:hint="default" w:ascii="Times New Roman" w:hAnsi="Times New Roman" w:eastAsia="宋体" w:cs="Times New Roman"/>
                <w:snapToGrid w:val="0"/>
                <w:color w:val="auto"/>
                <w:kern w:val="0"/>
                <w:sz w:val="18"/>
                <w:szCs w:val="18"/>
                <w:lang w:bidi="ar"/>
              </w:rPr>
              <w:t>（8分）</w:t>
            </w:r>
          </w:p>
          <w:p w14:paraId="5C3BED0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right="0"/>
              <w:contextualSpacing/>
              <w:jc w:val="both"/>
              <w:rPr>
                <w:rFonts w:hint="default" w:ascii="Times New Roman" w:hAnsi="Times New Roman" w:eastAsia="宋体" w:cs="Times New Roman"/>
                <w:color w:val="auto"/>
                <w:kern w:val="2"/>
                <w:sz w:val="18"/>
                <w:szCs w:val="18"/>
              </w:rPr>
            </w:pPr>
            <w:r>
              <w:rPr>
                <w:rFonts w:hint="default" w:ascii="Times New Roman" w:hAnsi="Times New Roman" w:eastAsia="宋体" w:cs="Times New Roman"/>
                <w:color w:val="auto"/>
                <w:kern w:val="2"/>
                <w:sz w:val="18"/>
                <w:szCs w:val="18"/>
              </w:rPr>
              <w:t>(3)每批次实际供货数量与招标人发出的供货通知清单要求的供货数量一致。</w:t>
            </w:r>
            <w:r>
              <w:rPr>
                <w:rFonts w:hint="default" w:ascii="Times New Roman" w:hAnsi="Times New Roman" w:eastAsia="宋体" w:cs="Times New Roman"/>
                <w:snapToGrid w:val="0"/>
                <w:color w:val="auto"/>
                <w:kern w:val="0"/>
                <w:sz w:val="18"/>
                <w:szCs w:val="18"/>
                <w:lang w:bidi="ar"/>
              </w:rPr>
              <w:t>（8分）</w:t>
            </w:r>
          </w:p>
        </w:tc>
        <w:tc>
          <w:tcPr>
            <w:tcW w:w="2044" w:type="dxa"/>
            <w:vAlign w:val="center"/>
          </w:tcPr>
          <w:p w14:paraId="1E2607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contextualSpacing/>
              <w:jc w:val="both"/>
              <w:textAlignment w:val="center"/>
              <w:rPr>
                <w:rFonts w:hint="default" w:ascii="Times New Roman" w:hAnsi="Times New Roman" w:eastAsia="宋体" w:cs="Times New Roman"/>
                <w:color w:val="auto"/>
                <w:kern w:val="2"/>
                <w:sz w:val="18"/>
                <w:szCs w:val="18"/>
              </w:rPr>
            </w:pPr>
            <w:r>
              <w:rPr>
                <w:rFonts w:hint="default" w:ascii="Times New Roman" w:hAnsi="Times New Roman" w:eastAsia="宋体" w:cs="Times New Roman"/>
                <w:snapToGrid w:val="0"/>
                <w:color w:val="auto"/>
                <w:kern w:val="0"/>
                <w:sz w:val="18"/>
                <w:szCs w:val="18"/>
                <w:lang w:bidi="ar"/>
              </w:rPr>
              <w:t>达到标准的得满分，每季度每次有一项未达到标准的按对应分值进行扣分。</w:t>
            </w:r>
          </w:p>
        </w:tc>
        <w:tc>
          <w:tcPr>
            <w:tcW w:w="713" w:type="dxa"/>
            <w:vAlign w:val="center"/>
          </w:tcPr>
          <w:p w14:paraId="6008C1F4">
            <w:pPr>
              <w:keepNext w:val="0"/>
              <w:keepLines w:val="0"/>
              <w:widowControl/>
              <w:suppressLineNumbers w:val="0"/>
              <w:autoSpaceDE/>
              <w:autoSpaceDN/>
              <w:adjustRightInd/>
              <w:spacing w:before="0" w:beforeAutospacing="0" w:after="0" w:afterAutospacing="0" w:line="360" w:lineRule="auto"/>
              <w:ind w:left="0" w:right="0"/>
              <w:contextualSpacing/>
              <w:jc w:val="center"/>
              <w:textAlignment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snapToGrid w:val="0"/>
                <w:color w:val="auto"/>
                <w:kern w:val="0"/>
                <w:sz w:val="21"/>
                <w:szCs w:val="21"/>
                <w:lang w:bidi="ar"/>
              </w:rPr>
              <w:t>26</w:t>
            </w:r>
          </w:p>
        </w:tc>
        <w:tc>
          <w:tcPr>
            <w:tcW w:w="937" w:type="dxa"/>
            <w:vAlign w:val="center"/>
          </w:tcPr>
          <w:p w14:paraId="1714E47A">
            <w:pPr>
              <w:keepNext w:val="0"/>
              <w:keepLines w:val="0"/>
              <w:suppressLineNumbers w:val="0"/>
              <w:autoSpaceDE/>
              <w:autoSpaceDN/>
              <w:adjustRightInd/>
              <w:spacing w:before="0" w:beforeAutospacing="0" w:after="0" w:afterAutospacing="0" w:line="360" w:lineRule="auto"/>
              <w:ind w:left="0" w:right="0"/>
              <w:contextualSpacing/>
              <w:jc w:val="center"/>
              <w:rPr>
                <w:rFonts w:hint="default" w:ascii="Times New Roman" w:hAnsi="Times New Roman" w:eastAsia="宋体" w:cs="Times New Roman"/>
                <w:color w:val="auto"/>
                <w:kern w:val="2"/>
                <w:sz w:val="21"/>
                <w:szCs w:val="21"/>
              </w:rPr>
            </w:pPr>
          </w:p>
        </w:tc>
      </w:tr>
      <w:tr w14:paraId="791E7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704" w:type="dxa"/>
            <w:vAlign w:val="center"/>
          </w:tcPr>
          <w:p w14:paraId="3BE3B3FE">
            <w:pPr>
              <w:keepNext w:val="0"/>
              <w:keepLines w:val="0"/>
              <w:widowControl/>
              <w:suppressLineNumbers w:val="0"/>
              <w:autoSpaceDE/>
              <w:autoSpaceDN/>
              <w:adjustRightInd/>
              <w:spacing w:before="0" w:beforeAutospacing="0" w:after="0" w:afterAutospacing="0" w:line="360" w:lineRule="auto"/>
              <w:ind w:left="0" w:right="0"/>
              <w:contextualSpacing/>
              <w:jc w:val="center"/>
              <w:textAlignment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snapToGrid w:val="0"/>
                <w:color w:val="auto"/>
                <w:kern w:val="0"/>
                <w:sz w:val="21"/>
                <w:szCs w:val="21"/>
                <w:lang w:bidi="ar"/>
              </w:rPr>
              <w:t>4</w:t>
            </w:r>
          </w:p>
        </w:tc>
        <w:tc>
          <w:tcPr>
            <w:tcW w:w="1114" w:type="dxa"/>
            <w:vAlign w:val="center"/>
          </w:tcPr>
          <w:p w14:paraId="1B482C62">
            <w:pPr>
              <w:keepNext w:val="0"/>
              <w:keepLines w:val="0"/>
              <w:widowControl/>
              <w:suppressLineNumbers w:val="0"/>
              <w:autoSpaceDE/>
              <w:autoSpaceDN/>
              <w:adjustRightInd/>
              <w:spacing w:before="0" w:beforeAutospacing="0" w:after="0" w:afterAutospacing="0" w:line="360" w:lineRule="auto"/>
              <w:ind w:left="0" w:right="0"/>
              <w:contextualSpacing/>
              <w:jc w:val="center"/>
              <w:textAlignment w:val="center"/>
              <w:rPr>
                <w:rFonts w:hint="default" w:ascii="Times New Roman" w:hAnsi="Times New Roman" w:eastAsia="宋体" w:cs="Times New Roman"/>
                <w:b/>
                <w:bCs/>
                <w:color w:val="auto"/>
                <w:kern w:val="2"/>
                <w:sz w:val="21"/>
                <w:szCs w:val="21"/>
              </w:rPr>
            </w:pPr>
            <w:r>
              <w:rPr>
                <w:rFonts w:hint="default" w:ascii="Times New Roman" w:hAnsi="Times New Roman" w:eastAsia="宋体" w:cs="Times New Roman"/>
                <w:b/>
                <w:bCs/>
                <w:snapToGrid w:val="0"/>
                <w:color w:val="auto"/>
                <w:kern w:val="0"/>
                <w:sz w:val="21"/>
                <w:szCs w:val="21"/>
                <w:lang w:bidi="ar"/>
              </w:rPr>
              <w:t>验收</w:t>
            </w:r>
          </w:p>
        </w:tc>
        <w:tc>
          <w:tcPr>
            <w:tcW w:w="4134" w:type="dxa"/>
            <w:vAlign w:val="center"/>
          </w:tcPr>
          <w:p w14:paraId="28AEC6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contextualSpacing/>
              <w:jc w:val="both"/>
              <w:textAlignment w:val="center"/>
              <w:rPr>
                <w:rFonts w:hint="default" w:ascii="Times New Roman" w:hAnsi="Times New Roman" w:eastAsia="宋体" w:cs="Times New Roman"/>
                <w:snapToGrid w:val="0"/>
                <w:color w:val="auto"/>
                <w:kern w:val="0"/>
                <w:sz w:val="18"/>
                <w:szCs w:val="18"/>
                <w:lang w:bidi="ar"/>
              </w:rPr>
            </w:pPr>
            <w:r>
              <w:rPr>
                <w:rFonts w:hint="default" w:ascii="Times New Roman" w:hAnsi="Times New Roman" w:eastAsia="宋体" w:cs="Times New Roman"/>
                <w:snapToGrid w:val="0"/>
                <w:color w:val="auto"/>
                <w:kern w:val="0"/>
                <w:sz w:val="18"/>
                <w:szCs w:val="18"/>
                <w:lang w:bidi="ar"/>
              </w:rPr>
              <w:t>(1)及时提供货物的各项技术资料；（6分）</w:t>
            </w:r>
          </w:p>
          <w:p w14:paraId="1DD4F6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contextualSpacing/>
              <w:jc w:val="both"/>
              <w:textAlignment w:val="center"/>
              <w:rPr>
                <w:rFonts w:hint="default" w:ascii="Times New Roman" w:hAnsi="Times New Roman" w:eastAsia="宋体" w:cs="Times New Roman"/>
                <w:snapToGrid w:val="0"/>
                <w:color w:val="auto"/>
                <w:kern w:val="0"/>
                <w:sz w:val="18"/>
                <w:szCs w:val="18"/>
                <w:lang w:bidi="ar"/>
              </w:rPr>
            </w:pPr>
            <w:r>
              <w:rPr>
                <w:rFonts w:hint="default" w:ascii="Times New Roman" w:hAnsi="Times New Roman" w:eastAsia="宋体" w:cs="Times New Roman"/>
                <w:snapToGrid w:val="0"/>
                <w:color w:val="auto"/>
                <w:kern w:val="0"/>
                <w:sz w:val="18"/>
                <w:szCs w:val="18"/>
                <w:lang w:bidi="ar"/>
              </w:rPr>
              <w:t>(2)高效处理退换货工作、态度良好；（8分）</w:t>
            </w:r>
          </w:p>
          <w:p w14:paraId="74E629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contextualSpacing/>
              <w:jc w:val="both"/>
              <w:textAlignment w:val="center"/>
              <w:rPr>
                <w:rFonts w:hint="default" w:ascii="Times New Roman" w:hAnsi="Times New Roman" w:eastAsia="宋体" w:cs="Times New Roman"/>
                <w:color w:val="auto"/>
                <w:kern w:val="2"/>
                <w:sz w:val="18"/>
                <w:szCs w:val="18"/>
              </w:rPr>
            </w:pPr>
            <w:r>
              <w:rPr>
                <w:rFonts w:hint="default" w:ascii="Times New Roman" w:hAnsi="Times New Roman" w:eastAsia="宋体" w:cs="Times New Roman"/>
                <w:snapToGrid w:val="0"/>
                <w:color w:val="auto"/>
                <w:kern w:val="0"/>
                <w:sz w:val="18"/>
                <w:szCs w:val="18"/>
                <w:lang w:bidi="ar"/>
              </w:rPr>
              <w:t>(3)未出现因对检验结果存在异议而影响供货的情况；（6分）</w:t>
            </w:r>
          </w:p>
        </w:tc>
        <w:tc>
          <w:tcPr>
            <w:tcW w:w="2044" w:type="dxa"/>
            <w:vAlign w:val="center"/>
          </w:tcPr>
          <w:p w14:paraId="36D6E9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contextualSpacing/>
              <w:jc w:val="both"/>
              <w:textAlignment w:val="center"/>
              <w:rPr>
                <w:rFonts w:hint="default" w:ascii="Times New Roman" w:hAnsi="Times New Roman" w:eastAsia="宋体" w:cs="Times New Roman"/>
                <w:color w:val="auto"/>
                <w:kern w:val="2"/>
                <w:sz w:val="18"/>
                <w:szCs w:val="18"/>
              </w:rPr>
            </w:pPr>
            <w:r>
              <w:rPr>
                <w:rFonts w:hint="default" w:ascii="Times New Roman" w:hAnsi="Times New Roman" w:eastAsia="宋体" w:cs="Times New Roman"/>
                <w:snapToGrid w:val="0"/>
                <w:color w:val="auto"/>
                <w:kern w:val="0"/>
                <w:sz w:val="18"/>
                <w:szCs w:val="18"/>
                <w:lang w:bidi="ar"/>
              </w:rPr>
              <w:t>达到标准的得满分，每季度每次有一项未达到标准的按对应分值进行扣分。</w:t>
            </w:r>
          </w:p>
        </w:tc>
        <w:tc>
          <w:tcPr>
            <w:tcW w:w="713" w:type="dxa"/>
            <w:vAlign w:val="center"/>
          </w:tcPr>
          <w:p w14:paraId="72B71A24">
            <w:pPr>
              <w:keepNext w:val="0"/>
              <w:keepLines w:val="0"/>
              <w:widowControl/>
              <w:suppressLineNumbers w:val="0"/>
              <w:autoSpaceDE/>
              <w:autoSpaceDN/>
              <w:adjustRightInd/>
              <w:spacing w:before="0" w:beforeAutospacing="0" w:after="0" w:afterAutospacing="0" w:line="360" w:lineRule="auto"/>
              <w:ind w:left="0" w:right="0"/>
              <w:contextualSpacing/>
              <w:jc w:val="center"/>
              <w:textAlignment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snapToGrid w:val="0"/>
                <w:color w:val="auto"/>
                <w:kern w:val="0"/>
                <w:sz w:val="21"/>
                <w:szCs w:val="21"/>
                <w:lang w:bidi="ar"/>
              </w:rPr>
              <w:t>20</w:t>
            </w:r>
          </w:p>
        </w:tc>
        <w:tc>
          <w:tcPr>
            <w:tcW w:w="937" w:type="dxa"/>
            <w:vAlign w:val="center"/>
          </w:tcPr>
          <w:p w14:paraId="542FF715">
            <w:pPr>
              <w:keepNext w:val="0"/>
              <w:keepLines w:val="0"/>
              <w:suppressLineNumbers w:val="0"/>
              <w:autoSpaceDE/>
              <w:autoSpaceDN/>
              <w:adjustRightInd/>
              <w:spacing w:before="0" w:beforeAutospacing="0" w:after="0" w:afterAutospacing="0" w:line="360" w:lineRule="auto"/>
              <w:ind w:left="0" w:right="0"/>
              <w:contextualSpacing/>
              <w:jc w:val="center"/>
              <w:rPr>
                <w:rFonts w:hint="default" w:ascii="Times New Roman" w:hAnsi="Times New Roman" w:eastAsia="宋体" w:cs="Times New Roman"/>
                <w:color w:val="auto"/>
                <w:kern w:val="2"/>
                <w:sz w:val="21"/>
                <w:szCs w:val="21"/>
              </w:rPr>
            </w:pPr>
          </w:p>
        </w:tc>
      </w:tr>
      <w:tr w14:paraId="64573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704" w:type="dxa"/>
            <w:vAlign w:val="center"/>
          </w:tcPr>
          <w:p w14:paraId="0CF9A330">
            <w:pPr>
              <w:keepNext w:val="0"/>
              <w:keepLines w:val="0"/>
              <w:widowControl/>
              <w:suppressLineNumbers w:val="0"/>
              <w:autoSpaceDE/>
              <w:autoSpaceDN/>
              <w:adjustRightInd/>
              <w:spacing w:before="0" w:beforeAutospacing="0" w:after="0" w:afterAutospacing="0" w:line="360" w:lineRule="auto"/>
              <w:ind w:left="0" w:right="0"/>
              <w:contextualSpacing/>
              <w:jc w:val="center"/>
              <w:textAlignment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snapToGrid w:val="0"/>
                <w:color w:val="auto"/>
                <w:kern w:val="0"/>
                <w:sz w:val="21"/>
                <w:szCs w:val="21"/>
                <w:lang w:bidi="ar"/>
              </w:rPr>
              <w:t>5</w:t>
            </w:r>
          </w:p>
        </w:tc>
        <w:tc>
          <w:tcPr>
            <w:tcW w:w="1114" w:type="dxa"/>
            <w:vAlign w:val="center"/>
          </w:tcPr>
          <w:p w14:paraId="639852DA">
            <w:pPr>
              <w:keepNext w:val="0"/>
              <w:keepLines w:val="0"/>
              <w:widowControl/>
              <w:suppressLineNumbers w:val="0"/>
              <w:autoSpaceDE/>
              <w:autoSpaceDN/>
              <w:adjustRightInd/>
              <w:spacing w:before="0" w:beforeAutospacing="0" w:after="0" w:afterAutospacing="0" w:line="360" w:lineRule="auto"/>
              <w:ind w:left="0" w:right="0"/>
              <w:contextualSpacing/>
              <w:jc w:val="center"/>
              <w:textAlignment w:val="center"/>
              <w:rPr>
                <w:rFonts w:hint="default" w:ascii="Times New Roman" w:hAnsi="Times New Roman" w:eastAsia="宋体" w:cs="Times New Roman"/>
                <w:b/>
                <w:bCs/>
                <w:color w:val="auto"/>
                <w:kern w:val="2"/>
                <w:sz w:val="21"/>
                <w:szCs w:val="21"/>
              </w:rPr>
            </w:pPr>
            <w:r>
              <w:rPr>
                <w:rFonts w:hint="default" w:ascii="Times New Roman" w:hAnsi="Times New Roman" w:eastAsia="宋体" w:cs="Times New Roman"/>
                <w:b/>
                <w:bCs/>
                <w:snapToGrid w:val="0"/>
                <w:color w:val="auto"/>
                <w:kern w:val="0"/>
                <w:sz w:val="21"/>
                <w:szCs w:val="21"/>
                <w:lang w:bidi="ar"/>
              </w:rPr>
              <w:t>售后服务</w:t>
            </w:r>
          </w:p>
        </w:tc>
        <w:tc>
          <w:tcPr>
            <w:tcW w:w="4134" w:type="dxa"/>
            <w:vAlign w:val="center"/>
          </w:tcPr>
          <w:p w14:paraId="501F829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right="0"/>
              <w:contextualSpacing/>
              <w:jc w:val="both"/>
              <w:rPr>
                <w:rFonts w:hint="default" w:ascii="Times New Roman" w:hAnsi="Times New Roman" w:eastAsia="宋体" w:cs="Times New Roman"/>
                <w:snapToGrid w:val="0"/>
                <w:color w:val="auto"/>
                <w:kern w:val="0"/>
                <w:sz w:val="18"/>
                <w:szCs w:val="18"/>
                <w:lang w:bidi="ar"/>
              </w:rPr>
            </w:pPr>
            <w:r>
              <w:rPr>
                <w:rFonts w:hint="default" w:ascii="Times New Roman" w:hAnsi="Times New Roman" w:eastAsia="宋体" w:cs="Times New Roman"/>
                <w:color w:val="auto"/>
                <w:kern w:val="2"/>
                <w:sz w:val="18"/>
                <w:szCs w:val="18"/>
              </w:rPr>
              <w:t>（1）未出现推诿，或者敷衍了事、置之不理等情况；</w:t>
            </w:r>
            <w:r>
              <w:rPr>
                <w:rFonts w:hint="default" w:ascii="Times New Roman" w:hAnsi="Times New Roman" w:eastAsia="宋体" w:cs="Times New Roman"/>
                <w:snapToGrid w:val="0"/>
                <w:color w:val="auto"/>
                <w:kern w:val="0"/>
                <w:sz w:val="18"/>
                <w:szCs w:val="18"/>
                <w:lang w:bidi="ar"/>
              </w:rPr>
              <w:t>（6分）</w:t>
            </w:r>
          </w:p>
          <w:p w14:paraId="65F47E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contextualSpacing/>
              <w:jc w:val="both"/>
              <w:textAlignment w:val="center"/>
              <w:rPr>
                <w:rFonts w:hint="default" w:ascii="Times New Roman" w:hAnsi="Times New Roman" w:eastAsia="宋体" w:cs="Times New Roman"/>
                <w:snapToGrid w:val="0"/>
                <w:color w:val="auto"/>
                <w:kern w:val="0"/>
                <w:sz w:val="18"/>
                <w:szCs w:val="18"/>
                <w:lang w:bidi="ar"/>
              </w:rPr>
            </w:pPr>
            <w:r>
              <w:rPr>
                <w:rFonts w:hint="default" w:ascii="Times New Roman" w:hAnsi="Times New Roman" w:eastAsia="宋体" w:cs="Times New Roman"/>
                <w:snapToGrid w:val="0"/>
                <w:color w:val="auto"/>
                <w:kern w:val="0"/>
                <w:sz w:val="18"/>
                <w:szCs w:val="18"/>
                <w:lang w:bidi="ar"/>
              </w:rPr>
              <w:t>(2)售后服务流程完善，跟踪到位，响应速度快；（8分）</w:t>
            </w:r>
          </w:p>
          <w:p w14:paraId="7F1B64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contextualSpacing/>
              <w:jc w:val="both"/>
              <w:textAlignment w:val="center"/>
              <w:rPr>
                <w:rFonts w:hint="default" w:ascii="Times New Roman" w:hAnsi="Times New Roman" w:eastAsia="宋体" w:cs="Times New Roman"/>
                <w:color w:val="auto"/>
                <w:kern w:val="2"/>
                <w:sz w:val="18"/>
                <w:szCs w:val="18"/>
              </w:rPr>
            </w:pPr>
            <w:r>
              <w:rPr>
                <w:rFonts w:hint="default" w:ascii="Times New Roman" w:hAnsi="Times New Roman" w:eastAsia="宋体" w:cs="Times New Roman"/>
                <w:snapToGrid w:val="0"/>
                <w:color w:val="auto"/>
                <w:kern w:val="0"/>
                <w:sz w:val="18"/>
                <w:szCs w:val="18"/>
                <w:lang w:bidi="ar"/>
              </w:rPr>
              <w:t>（3）就货物使用保质方式、方法提出合理化建议并能提供专业技术指导；（6分）</w:t>
            </w:r>
          </w:p>
        </w:tc>
        <w:tc>
          <w:tcPr>
            <w:tcW w:w="2044" w:type="dxa"/>
            <w:vAlign w:val="center"/>
          </w:tcPr>
          <w:p w14:paraId="1D9710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contextualSpacing/>
              <w:jc w:val="both"/>
              <w:textAlignment w:val="center"/>
              <w:rPr>
                <w:rFonts w:hint="default" w:ascii="Times New Roman" w:hAnsi="Times New Roman" w:eastAsia="宋体" w:cs="Times New Roman"/>
                <w:color w:val="auto"/>
                <w:kern w:val="2"/>
                <w:sz w:val="18"/>
                <w:szCs w:val="18"/>
              </w:rPr>
            </w:pPr>
            <w:r>
              <w:rPr>
                <w:rFonts w:hint="default" w:ascii="Times New Roman" w:hAnsi="Times New Roman" w:eastAsia="宋体" w:cs="Times New Roman"/>
                <w:snapToGrid w:val="0"/>
                <w:color w:val="auto"/>
                <w:kern w:val="0"/>
                <w:sz w:val="18"/>
                <w:szCs w:val="18"/>
                <w:lang w:bidi="ar"/>
              </w:rPr>
              <w:t>达到标准的得满分，每季度每次有一项未达到标准的按对应分值进行扣分。</w:t>
            </w:r>
          </w:p>
        </w:tc>
        <w:tc>
          <w:tcPr>
            <w:tcW w:w="713" w:type="dxa"/>
            <w:vAlign w:val="center"/>
          </w:tcPr>
          <w:p w14:paraId="08500430">
            <w:pPr>
              <w:keepNext w:val="0"/>
              <w:keepLines w:val="0"/>
              <w:widowControl/>
              <w:suppressLineNumbers w:val="0"/>
              <w:autoSpaceDE/>
              <w:autoSpaceDN/>
              <w:adjustRightInd/>
              <w:spacing w:before="0" w:beforeAutospacing="0" w:after="0" w:afterAutospacing="0" w:line="360" w:lineRule="auto"/>
              <w:ind w:left="0" w:right="0"/>
              <w:contextualSpacing/>
              <w:jc w:val="center"/>
              <w:textAlignment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snapToGrid w:val="0"/>
                <w:color w:val="auto"/>
                <w:kern w:val="0"/>
                <w:sz w:val="21"/>
                <w:szCs w:val="21"/>
                <w:lang w:bidi="ar"/>
              </w:rPr>
              <w:t>20</w:t>
            </w:r>
          </w:p>
        </w:tc>
        <w:tc>
          <w:tcPr>
            <w:tcW w:w="937" w:type="dxa"/>
            <w:vAlign w:val="center"/>
          </w:tcPr>
          <w:p w14:paraId="7C3D6C96">
            <w:pPr>
              <w:keepNext w:val="0"/>
              <w:keepLines w:val="0"/>
              <w:suppressLineNumbers w:val="0"/>
              <w:autoSpaceDE/>
              <w:autoSpaceDN/>
              <w:adjustRightInd/>
              <w:spacing w:before="0" w:beforeAutospacing="0" w:after="0" w:afterAutospacing="0" w:line="360" w:lineRule="auto"/>
              <w:ind w:left="0" w:right="0"/>
              <w:contextualSpacing/>
              <w:jc w:val="center"/>
              <w:rPr>
                <w:rFonts w:hint="default" w:ascii="Times New Roman" w:hAnsi="Times New Roman" w:eastAsia="宋体" w:cs="Times New Roman"/>
                <w:color w:val="auto"/>
                <w:kern w:val="2"/>
                <w:sz w:val="21"/>
                <w:szCs w:val="21"/>
              </w:rPr>
            </w:pPr>
          </w:p>
        </w:tc>
      </w:tr>
      <w:tr w14:paraId="1F3D7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7996" w:type="dxa"/>
            <w:gridSpan w:val="4"/>
            <w:vAlign w:val="center"/>
          </w:tcPr>
          <w:p w14:paraId="3A7D23DC">
            <w:pPr>
              <w:keepNext w:val="0"/>
              <w:keepLines w:val="0"/>
              <w:widowControl/>
              <w:suppressLineNumbers w:val="0"/>
              <w:autoSpaceDE/>
              <w:autoSpaceDN/>
              <w:adjustRightInd/>
              <w:spacing w:before="0" w:beforeAutospacing="0" w:after="0" w:afterAutospacing="0" w:line="360" w:lineRule="auto"/>
              <w:ind w:left="0" w:right="0"/>
              <w:contextualSpacing/>
              <w:jc w:val="center"/>
              <w:textAlignment w:val="center"/>
              <w:rPr>
                <w:rFonts w:hint="default" w:ascii="Times New Roman" w:hAnsi="Times New Roman" w:eastAsia="宋体" w:cs="Times New Roman"/>
                <w:snapToGrid w:val="0"/>
                <w:color w:val="auto"/>
                <w:kern w:val="0"/>
                <w:sz w:val="21"/>
                <w:szCs w:val="21"/>
                <w:lang w:bidi="ar"/>
              </w:rPr>
            </w:pPr>
            <w:r>
              <w:rPr>
                <w:rFonts w:hint="default" w:ascii="Times New Roman" w:hAnsi="Times New Roman" w:eastAsia="宋体" w:cs="Times New Roman"/>
                <w:snapToGrid w:val="0"/>
                <w:color w:val="auto"/>
                <w:kern w:val="0"/>
                <w:sz w:val="21"/>
                <w:szCs w:val="21"/>
                <w:lang w:bidi="ar"/>
              </w:rPr>
              <w:t>合计</w:t>
            </w:r>
          </w:p>
        </w:tc>
        <w:tc>
          <w:tcPr>
            <w:tcW w:w="713" w:type="dxa"/>
            <w:vAlign w:val="center"/>
          </w:tcPr>
          <w:p w14:paraId="581395A2">
            <w:pPr>
              <w:keepNext w:val="0"/>
              <w:keepLines w:val="0"/>
              <w:widowControl/>
              <w:suppressLineNumbers w:val="0"/>
              <w:autoSpaceDE/>
              <w:autoSpaceDN/>
              <w:adjustRightInd/>
              <w:spacing w:before="0" w:beforeAutospacing="0" w:after="0" w:afterAutospacing="0" w:line="360" w:lineRule="auto"/>
              <w:ind w:left="0" w:right="0"/>
              <w:contextualSpacing/>
              <w:jc w:val="center"/>
              <w:textAlignment w:val="center"/>
              <w:rPr>
                <w:rFonts w:hint="default" w:ascii="Times New Roman" w:hAnsi="Times New Roman" w:eastAsia="宋体" w:cs="Times New Roman"/>
                <w:snapToGrid w:val="0"/>
                <w:color w:val="auto"/>
                <w:kern w:val="0"/>
                <w:sz w:val="21"/>
                <w:szCs w:val="21"/>
                <w:lang w:bidi="ar"/>
              </w:rPr>
            </w:pPr>
            <w:r>
              <w:rPr>
                <w:rFonts w:hint="default" w:ascii="Times New Roman" w:hAnsi="Times New Roman" w:eastAsia="宋体" w:cs="Times New Roman"/>
                <w:snapToGrid w:val="0"/>
                <w:color w:val="auto"/>
                <w:kern w:val="0"/>
                <w:sz w:val="21"/>
                <w:szCs w:val="21"/>
                <w:lang w:bidi="ar"/>
              </w:rPr>
              <w:t>100</w:t>
            </w:r>
          </w:p>
        </w:tc>
        <w:tc>
          <w:tcPr>
            <w:tcW w:w="937" w:type="dxa"/>
            <w:vAlign w:val="center"/>
          </w:tcPr>
          <w:p w14:paraId="54B6926C">
            <w:pPr>
              <w:keepNext w:val="0"/>
              <w:keepLines w:val="0"/>
              <w:suppressLineNumbers w:val="0"/>
              <w:autoSpaceDE/>
              <w:autoSpaceDN/>
              <w:adjustRightInd/>
              <w:spacing w:before="0" w:beforeAutospacing="0" w:after="0" w:afterAutospacing="0" w:line="360" w:lineRule="auto"/>
              <w:ind w:left="0" w:right="0"/>
              <w:contextualSpacing/>
              <w:jc w:val="center"/>
              <w:rPr>
                <w:rFonts w:hint="default" w:ascii="Times New Roman" w:hAnsi="Times New Roman" w:eastAsia="宋体" w:cs="Times New Roman"/>
                <w:color w:val="auto"/>
                <w:kern w:val="2"/>
                <w:sz w:val="21"/>
                <w:szCs w:val="21"/>
              </w:rPr>
            </w:pPr>
          </w:p>
        </w:tc>
      </w:tr>
      <w:tr w14:paraId="78C6D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18" w:type="dxa"/>
            <w:gridSpan w:val="2"/>
            <w:vMerge w:val="restart"/>
            <w:vAlign w:val="center"/>
          </w:tcPr>
          <w:p w14:paraId="6773BF8E">
            <w:pPr>
              <w:keepNext w:val="0"/>
              <w:keepLines w:val="0"/>
              <w:widowControl/>
              <w:suppressLineNumbers w:val="0"/>
              <w:autoSpaceDE/>
              <w:autoSpaceDN/>
              <w:adjustRightInd/>
              <w:spacing w:before="0" w:beforeAutospacing="0" w:after="0" w:afterAutospacing="0" w:line="360" w:lineRule="auto"/>
              <w:ind w:left="0" w:right="0"/>
              <w:contextualSpacing/>
              <w:jc w:val="both"/>
              <w:textAlignment w:val="center"/>
              <w:rPr>
                <w:rFonts w:hint="default" w:ascii="Times New Roman" w:hAnsi="Times New Roman" w:eastAsia="宋体" w:cs="Times New Roman"/>
                <w:snapToGrid w:val="0"/>
                <w:color w:val="auto"/>
                <w:kern w:val="2"/>
                <w:sz w:val="21"/>
                <w:szCs w:val="21"/>
                <w:lang w:val="en-US" w:eastAsia="zh-CN" w:bidi="ar"/>
              </w:rPr>
            </w:pPr>
            <w:r>
              <w:rPr>
                <w:rFonts w:hint="default" w:ascii="Times New Roman" w:hAnsi="Times New Roman" w:eastAsia="宋体" w:cs="Times New Roman"/>
                <w:snapToGrid w:val="0"/>
                <w:color w:val="auto"/>
                <w:kern w:val="0"/>
                <w:sz w:val="21"/>
                <w:szCs w:val="21"/>
                <w:lang w:bidi="ar"/>
              </w:rPr>
              <w:t>履约评审部门</w:t>
            </w:r>
            <w:r>
              <w:rPr>
                <w:rFonts w:hint="default" w:ascii="Times New Roman" w:hAnsi="Times New Roman" w:eastAsia="宋体" w:cs="Times New Roman"/>
                <w:snapToGrid w:val="0"/>
                <w:color w:val="auto"/>
                <w:kern w:val="2"/>
                <w:sz w:val="21"/>
                <w:szCs w:val="21"/>
                <w:lang w:bidi="ar"/>
              </w:rPr>
              <w:t>(使用部门)其他意见及签署</w:t>
            </w:r>
          </w:p>
        </w:tc>
        <w:tc>
          <w:tcPr>
            <w:tcW w:w="4134" w:type="dxa"/>
            <w:vAlign w:val="center"/>
          </w:tcPr>
          <w:p w14:paraId="4136E268">
            <w:pPr>
              <w:keepNext w:val="0"/>
              <w:keepLines w:val="0"/>
              <w:widowControl/>
              <w:suppressLineNumbers w:val="0"/>
              <w:autoSpaceDE/>
              <w:autoSpaceDN/>
              <w:adjustRightInd/>
              <w:spacing w:before="0" w:beforeAutospacing="0" w:after="0" w:afterAutospacing="0" w:line="360" w:lineRule="auto"/>
              <w:ind w:left="0" w:right="0"/>
              <w:contextualSpacing/>
              <w:jc w:val="center"/>
              <w:textAlignment w:val="center"/>
              <w:rPr>
                <w:rFonts w:hint="default" w:ascii="Times New Roman" w:hAnsi="Times New Roman" w:eastAsia="宋体" w:cs="Times New Roman"/>
                <w:snapToGrid w:val="0"/>
                <w:color w:val="auto"/>
                <w:kern w:val="0"/>
                <w:sz w:val="21"/>
                <w:szCs w:val="21"/>
                <w:lang w:val="en-US" w:eastAsia="zh-CN" w:bidi="ar"/>
              </w:rPr>
            </w:pPr>
            <w:r>
              <w:rPr>
                <w:rFonts w:hint="default" w:ascii="Times New Roman" w:hAnsi="Times New Roman" w:eastAsia="宋体" w:cs="Times New Roman"/>
                <w:snapToGrid w:val="0"/>
                <w:color w:val="auto"/>
                <w:kern w:val="0"/>
                <w:sz w:val="21"/>
                <w:szCs w:val="21"/>
                <w:lang w:val="en-US" w:eastAsia="zh-CN" w:bidi="ar"/>
              </w:rPr>
              <w:t>经办人：</w:t>
            </w:r>
          </w:p>
        </w:tc>
        <w:tc>
          <w:tcPr>
            <w:tcW w:w="3694" w:type="dxa"/>
            <w:gridSpan w:val="3"/>
            <w:vAlign w:val="center"/>
          </w:tcPr>
          <w:p w14:paraId="152D1C94">
            <w:pPr>
              <w:keepNext w:val="0"/>
              <w:keepLines w:val="0"/>
              <w:suppressLineNumbers w:val="0"/>
              <w:autoSpaceDE/>
              <w:autoSpaceDN/>
              <w:adjustRightInd/>
              <w:spacing w:before="0" w:beforeAutospacing="0" w:after="0" w:afterAutospacing="0" w:line="360" w:lineRule="auto"/>
              <w:ind w:left="0" w:right="0"/>
              <w:contextualSpacing/>
              <w:jc w:val="center"/>
              <w:rPr>
                <w:rFonts w:hint="default" w:ascii="Times New Roman" w:hAnsi="Times New Roman" w:eastAsia="宋体" w:cs="Times New Roman"/>
                <w:color w:val="auto"/>
                <w:kern w:val="2"/>
                <w:sz w:val="21"/>
                <w:szCs w:val="21"/>
              </w:rPr>
            </w:pPr>
          </w:p>
        </w:tc>
      </w:tr>
      <w:tr w14:paraId="029F3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818" w:type="dxa"/>
            <w:gridSpan w:val="2"/>
            <w:vMerge w:val="continue"/>
            <w:vAlign w:val="center"/>
          </w:tcPr>
          <w:p w14:paraId="6167EFE1">
            <w:pPr>
              <w:keepNext w:val="0"/>
              <w:keepLines w:val="0"/>
              <w:widowControl/>
              <w:suppressLineNumbers w:val="0"/>
              <w:autoSpaceDE/>
              <w:autoSpaceDN/>
              <w:adjustRightInd/>
              <w:spacing w:before="0" w:beforeAutospacing="0" w:after="0" w:afterAutospacing="0" w:line="360" w:lineRule="auto"/>
              <w:ind w:left="0" w:right="0"/>
              <w:contextualSpacing/>
              <w:jc w:val="center"/>
              <w:textAlignment w:val="center"/>
              <w:rPr>
                <w:rFonts w:hint="default" w:ascii="Times New Roman" w:hAnsi="Times New Roman" w:eastAsia="宋体" w:cs="Times New Roman"/>
                <w:snapToGrid w:val="0"/>
                <w:color w:val="auto"/>
                <w:kern w:val="0"/>
                <w:sz w:val="21"/>
                <w:szCs w:val="21"/>
                <w:lang w:bidi="ar"/>
              </w:rPr>
            </w:pPr>
          </w:p>
        </w:tc>
        <w:tc>
          <w:tcPr>
            <w:tcW w:w="4134" w:type="dxa"/>
            <w:vAlign w:val="center"/>
          </w:tcPr>
          <w:p w14:paraId="14104753">
            <w:pPr>
              <w:keepNext w:val="0"/>
              <w:keepLines w:val="0"/>
              <w:widowControl/>
              <w:suppressLineNumbers w:val="0"/>
              <w:autoSpaceDE/>
              <w:autoSpaceDN/>
              <w:adjustRightInd/>
              <w:spacing w:before="0" w:beforeAutospacing="0" w:after="0" w:afterAutospacing="0" w:line="360" w:lineRule="auto"/>
              <w:ind w:left="0" w:right="0"/>
              <w:contextualSpacing/>
              <w:jc w:val="center"/>
              <w:textAlignment w:val="center"/>
              <w:rPr>
                <w:rFonts w:hint="default" w:ascii="Times New Roman" w:hAnsi="Times New Roman" w:eastAsia="宋体" w:cs="Times New Roman"/>
                <w:snapToGrid w:val="0"/>
                <w:color w:val="auto"/>
                <w:kern w:val="0"/>
                <w:sz w:val="21"/>
                <w:szCs w:val="21"/>
                <w:lang w:eastAsia="zh-CN" w:bidi="ar"/>
              </w:rPr>
            </w:pPr>
            <w:r>
              <w:rPr>
                <w:rFonts w:hint="default" w:ascii="Times New Roman" w:hAnsi="Times New Roman" w:eastAsia="宋体" w:cs="Times New Roman"/>
                <w:snapToGrid w:val="0"/>
                <w:color w:val="auto"/>
                <w:kern w:val="0"/>
                <w:sz w:val="21"/>
                <w:szCs w:val="21"/>
                <w:lang w:val="en-US" w:eastAsia="zh-CN" w:bidi="ar"/>
              </w:rPr>
              <w:t>直属企业安全监管部</w:t>
            </w:r>
            <w:r>
              <w:rPr>
                <w:rFonts w:hint="default" w:ascii="Times New Roman" w:hAnsi="Times New Roman" w:eastAsia="宋体" w:cs="Times New Roman"/>
                <w:snapToGrid w:val="0"/>
                <w:color w:val="auto"/>
                <w:kern w:val="0"/>
                <w:sz w:val="21"/>
                <w:szCs w:val="21"/>
                <w:lang w:eastAsia="zh-CN" w:bidi="ar"/>
              </w:rPr>
              <w:t>：</w:t>
            </w:r>
          </w:p>
        </w:tc>
        <w:tc>
          <w:tcPr>
            <w:tcW w:w="3694" w:type="dxa"/>
            <w:gridSpan w:val="3"/>
            <w:vAlign w:val="center"/>
          </w:tcPr>
          <w:p w14:paraId="5FA5E40A">
            <w:pPr>
              <w:keepNext w:val="0"/>
              <w:keepLines w:val="0"/>
              <w:suppressLineNumbers w:val="0"/>
              <w:autoSpaceDE/>
              <w:autoSpaceDN/>
              <w:adjustRightInd/>
              <w:spacing w:before="0" w:beforeAutospacing="0" w:after="0" w:afterAutospacing="0" w:line="360" w:lineRule="auto"/>
              <w:ind w:left="0" w:right="0"/>
              <w:contextualSpacing/>
              <w:jc w:val="center"/>
              <w:rPr>
                <w:rFonts w:hint="default" w:ascii="Times New Roman" w:hAnsi="Times New Roman" w:eastAsia="宋体" w:cs="Times New Roman"/>
                <w:color w:val="auto"/>
                <w:kern w:val="2"/>
                <w:sz w:val="21"/>
                <w:szCs w:val="21"/>
              </w:rPr>
            </w:pPr>
          </w:p>
        </w:tc>
      </w:tr>
      <w:tr w14:paraId="47CF3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818" w:type="dxa"/>
            <w:gridSpan w:val="2"/>
            <w:vMerge w:val="continue"/>
            <w:vAlign w:val="center"/>
          </w:tcPr>
          <w:p w14:paraId="62D3CD19">
            <w:pPr>
              <w:keepNext w:val="0"/>
              <w:keepLines w:val="0"/>
              <w:widowControl/>
              <w:suppressLineNumbers w:val="0"/>
              <w:autoSpaceDE/>
              <w:autoSpaceDN/>
              <w:adjustRightInd/>
              <w:spacing w:before="0" w:beforeAutospacing="0" w:after="0" w:afterAutospacing="0" w:line="360" w:lineRule="auto"/>
              <w:ind w:left="0" w:right="0"/>
              <w:contextualSpacing/>
              <w:jc w:val="center"/>
              <w:textAlignment w:val="center"/>
              <w:rPr>
                <w:rFonts w:hint="default" w:ascii="宋体" w:hAnsi="宋体" w:eastAsia="宋体" w:cs="宋体"/>
                <w:snapToGrid w:val="0"/>
                <w:color w:val="auto"/>
                <w:kern w:val="0"/>
                <w:sz w:val="21"/>
                <w:szCs w:val="21"/>
                <w:lang w:bidi="ar"/>
              </w:rPr>
            </w:pPr>
          </w:p>
        </w:tc>
        <w:tc>
          <w:tcPr>
            <w:tcW w:w="4134" w:type="dxa"/>
            <w:vAlign w:val="center"/>
          </w:tcPr>
          <w:p w14:paraId="704F4DFD">
            <w:pPr>
              <w:keepNext w:val="0"/>
              <w:keepLines w:val="0"/>
              <w:widowControl/>
              <w:suppressLineNumbers w:val="0"/>
              <w:autoSpaceDE/>
              <w:autoSpaceDN/>
              <w:adjustRightInd/>
              <w:spacing w:before="0" w:beforeAutospacing="0" w:after="0" w:afterAutospacing="0" w:line="360" w:lineRule="auto"/>
              <w:ind w:left="0" w:right="0"/>
              <w:contextualSpacing/>
              <w:jc w:val="center"/>
              <w:textAlignment w:val="center"/>
              <w:rPr>
                <w:rFonts w:hint="eastAsia" w:ascii="宋体" w:hAnsi="宋体" w:eastAsia="宋体" w:cs="宋体"/>
                <w:snapToGrid w:val="0"/>
                <w:color w:val="auto"/>
                <w:kern w:val="0"/>
                <w:sz w:val="21"/>
                <w:szCs w:val="21"/>
                <w:lang w:val="en-US" w:eastAsia="zh-CN" w:bidi="ar"/>
              </w:rPr>
            </w:pPr>
            <w:r>
              <w:rPr>
                <w:rFonts w:hint="eastAsia" w:ascii="仿宋_GB2312" w:hAnsi="宋体" w:eastAsia="仿宋_GB2312" w:cs="仿宋_GB2312"/>
                <w:i w:val="0"/>
                <w:iCs w:val="0"/>
                <w:color w:val="auto"/>
                <w:kern w:val="0"/>
                <w:sz w:val="22"/>
                <w:szCs w:val="22"/>
                <w:u w:val="none"/>
                <w:lang w:val="en-US" w:eastAsia="zh-CN" w:bidi="ar"/>
              </w:rPr>
              <w:t>抽验代表（上级抽查时签字）：</w:t>
            </w:r>
          </w:p>
        </w:tc>
        <w:tc>
          <w:tcPr>
            <w:tcW w:w="3694" w:type="dxa"/>
            <w:gridSpan w:val="3"/>
            <w:vAlign w:val="center"/>
          </w:tcPr>
          <w:p w14:paraId="0EE146BB">
            <w:pPr>
              <w:keepNext w:val="0"/>
              <w:keepLines w:val="0"/>
              <w:suppressLineNumbers w:val="0"/>
              <w:autoSpaceDE/>
              <w:autoSpaceDN/>
              <w:adjustRightInd/>
              <w:spacing w:before="0" w:beforeAutospacing="0" w:after="0" w:afterAutospacing="0" w:line="360" w:lineRule="auto"/>
              <w:ind w:left="0" w:right="0"/>
              <w:contextualSpacing/>
              <w:jc w:val="center"/>
              <w:rPr>
                <w:rFonts w:hint="default" w:ascii="宋体" w:hAnsi="宋体" w:eastAsia="宋体" w:cs="Times New Roman"/>
                <w:color w:val="auto"/>
                <w:kern w:val="2"/>
                <w:sz w:val="21"/>
                <w:szCs w:val="21"/>
              </w:rPr>
            </w:pPr>
          </w:p>
        </w:tc>
      </w:tr>
    </w:tbl>
    <w:p w14:paraId="701D7E31">
      <w:pPr>
        <w:autoSpaceDE w:val="0"/>
        <w:autoSpaceDN w:val="0"/>
        <w:adjustRightInd w:val="0"/>
        <w:jc w:val="left"/>
        <w:rPr>
          <w:rFonts w:ascii="宋体" w:hAnsi="Times New Roman" w:eastAsia="宋体" w:cs="Times New Roman"/>
          <w:color w:val="auto"/>
          <w:kern w:val="0"/>
          <w:sz w:val="24"/>
          <w:szCs w:val="24"/>
        </w:rPr>
      </w:pPr>
      <w:r>
        <w:rPr>
          <w:rFonts w:ascii="宋体" w:hAnsi="宋体" w:eastAsia="宋体" w:cs="Times New Roman"/>
          <w:color w:val="auto"/>
          <w:kern w:val="0"/>
          <w:sz w:val="24"/>
          <w:szCs w:val="24"/>
        </w:rPr>
        <w:br w:type="page"/>
      </w:r>
    </w:p>
    <w:p w14:paraId="3AB7AF69">
      <w:pPr>
        <w:pageBreakBefore w:val="0"/>
        <w:widowControl/>
        <w:autoSpaceDE w:val="0"/>
        <w:autoSpaceDN w:val="0"/>
        <w:adjustRightInd w:val="0"/>
        <w:spacing w:line="360" w:lineRule="auto"/>
        <w:contextualSpacing/>
        <w:jc w:val="left"/>
        <w:outlineLvl w:val="1"/>
        <w:rPr>
          <w:rFonts w:ascii="宋体" w:hAnsi="宋体" w:eastAsia="宋体" w:cs="宋体"/>
          <w:b/>
          <w:color w:val="auto"/>
          <w:kern w:val="0"/>
          <w:sz w:val="24"/>
          <w:szCs w:val="24"/>
          <w:lang w:bidi="ar"/>
        </w:rPr>
      </w:pPr>
      <w:bookmarkStart w:id="406" w:name="_Toc857"/>
      <w:r>
        <w:rPr>
          <w:rFonts w:hint="default" w:ascii="宋体" w:hAnsi="宋体" w:eastAsia="宋体" w:cs="方正小标宋简体"/>
          <w:b/>
          <w:bCs/>
          <w:color w:val="auto"/>
          <w:kern w:val="0"/>
          <w:sz w:val="24"/>
          <w:szCs w:val="24"/>
          <w:lang w:bidi="ar"/>
        </w:rPr>
        <w:t>附件</w:t>
      </w:r>
      <w:r>
        <w:rPr>
          <w:rFonts w:hint="eastAsia" w:ascii="宋体" w:hAnsi="宋体" w:eastAsia="宋体" w:cs="宋体"/>
          <w:b/>
          <w:color w:val="auto"/>
          <w:kern w:val="0"/>
          <w:sz w:val="24"/>
          <w:szCs w:val="24"/>
          <w:lang w:val="en-US" w:eastAsia="zh-CN" w:bidi="ar"/>
        </w:rPr>
        <w:t>7</w:t>
      </w:r>
      <w:r>
        <w:rPr>
          <w:rFonts w:hint="eastAsia" w:ascii="宋体" w:hAnsi="宋体" w:eastAsia="宋体" w:cs="宋体"/>
          <w:b/>
          <w:color w:val="auto"/>
          <w:kern w:val="0"/>
          <w:sz w:val="24"/>
          <w:szCs w:val="24"/>
          <w:lang w:bidi="ar"/>
        </w:rPr>
        <w:t>：廉洁协议书</w:t>
      </w:r>
      <w:bookmarkEnd w:id="406"/>
    </w:p>
    <w:p w14:paraId="669437C6">
      <w:pPr>
        <w:spacing w:line="360" w:lineRule="auto"/>
        <w:jc w:val="center"/>
        <w:rPr>
          <w:rFonts w:ascii="宋体" w:hAnsi="宋体" w:eastAsia="宋体" w:cs="宋体"/>
          <w:b/>
          <w:bCs/>
          <w:color w:val="auto"/>
          <w:sz w:val="30"/>
          <w:szCs w:val="30"/>
        </w:rPr>
      </w:pPr>
      <w:r>
        <w:rPr>
          <w:rFonts w:hint="eastAsia" w:ascii="宋体" w:hAnsi="宋体" w:eastAsia="宋体" w:cs="宋体"/>
          <w:b/>
          <w:bCs/>
          <w:color w:val="auto"/>
          <w:sz w:val="30"/>
          <w:szCs w:val="30"/>
          <w:lang w:bidi="ar"/>
        </w:rPr>
        <w:t>廉洁协议书</w:t>
      </w:r>
    </w:p>
    <w:p w14:paraId="538B50F4">
      <w:pPr>
        <w:autoSpaceDE w:val="0"/>
        <w:autoSpaceDN w:val="0"/>
        <w:adjustRightInd w:val="0"/>
        <w:spacing w:line="360" w:lineRule="auto"/>
        <w:jc w:val="left"/>
        <w:rPr>
          <w:rFonts w:ascii="宋体" w:hAnsi="宋体" w:eastAsia="宋体" w:cs="宋体"/>
          <w:color w:val="auto"/>
          <w:kern w:val="0"/>
          <w:szCs w:val="21"/>
          <w:u w:val="single"/>
        </w:rPr>
      </w:pPr>
      <w:r>
        <w:rPr>
          <w:rFonts w:hint="eastAsia" w:ascii="宋体" w:hAnsi="宋体" w:eastAsia="宋体" w:cs="宋体"/>
          <w:color w:val="auto"/>
          <w:kern w:val="0"/>
          <w:szCs w:val="21"/>
          <w:lang w:bidi="ar"/>
        </w:rPr>
        <w:t>项目名称：</w:t>
      </w:r>
      <w:r>
        <w:rPr>
          <w:rFonts w:hint="eastAsia" w:ascii="宋体" w:hAnsi="宋体" w:eastAsia="宋体" w:cs="宋体"/>
          <w:color w:val="auto"/>
          <w:kern w:val="0"/>
          <w:szCs w:val="21"/>
          <w:lang w:eastAsia="zh-CN" w:bidi="ar"/>
        </w:rPr>
        <w:t>东莞市水务集团有限公司2025年安全及劳保物资采购项目</w:t>
      </w:r>
      <w:r>
        <w:rPr>
          <w:rFonts w:hint="eastAsia" w:ascii="宋体" w:hAnsi="宋体" w:eastAsia="宋体" w:cs="宋体"/>
          <w:color w:val="auto"/>
          <w:kern w:val="0"/>
          <w:szCs w:val="21"/>
          <w:lang w:bidi="ar"/>
        </w:rPr>
        <w:t>（招标编号：DGDS2024-079）</w:t>
      </w:r>
    </w:p>
    <w:p w14:paraId="4B75194F">
      <w:pPr>
        <w:autoSpaceDE w:val="0"/>
        <w:autoSpaceDN w:val="0"/>
        <w:adjustRightInd w:val="0"/>
        <w:spacing w:line="360" w:lineRule="auto"/>
        <w:jc w:val="left"/>
        <w:rPr>
          <w:rFonts w:hint="eastAsia" w:ascii="宋体" w:hAnsi="宋体" w:eastAsia="宋体" w:cs="Times New Roman"/>
          <w:color w:val="auto"/>
          <w:kern w:val="0"/>
          <w:sz w:val="21"/>
          <w:szCs w:val="21"/>
        </w:rPr>
      </w:pPr>
      <w:r>
        <w:rPr>
          <w:rFonts w:hint="eastAsia" w:ascii="宋体" w:hAnsi="宋体" w:eastAsia="宋体" w:cs="Times New Roman"/>
          <w:color w:val="auto"/>
          <w:kern w:val="0"/>
          <w:sz w:val="21"/>
          <w:szCs w:val="21"/>
        </w:rPr>
        <w:t>甲方（业主单位）：</w:t>
      </w:r>
    </w:p>
    <w:p w14:paraId="69A22747">
      <w:pPr>
        <w:autoSpaceDE w:val="0"/>
        <w:autoSpaceDN w:val="0"/>
        <w:adjustRightInd w:val="0"/>
        <w:spacing w:line="360" w:lineRule="auto"/>
        <w:jc w:val="left"/>
        <w:rPr>
          <w:rFonts w:ascii="宋体" w:hAnsi="宋体" w:eastAsia="宋体" w:cs="宋体"/>
          <w:color w:val="auto"/>
          <w:kern w:val="0"/>
          <w:szCs w:val="21"/>
        </w:rPr>
      </w:pPr>
      <w:r>
        <w:rPr>
          <w:rFonts w:hint="eastAsia" w:ascii="宋体" w:hAnsi="宋体" w:eastAsia="宋体" w:cs="宋体"/>
          <w:color w:val="auto"/>
          <w:kern w:val="0"/>
          <w:szCs w:val="21"/>
          <w:lang w:bidi="ar"/>
        </w:rPr>
        <w:t>乙方：</w:t>
      </w:r>
    </w:p>
    <w:p w14:paraId="227023A9">
      <w:pPr>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lang w:bidi="ar"/>
        </w:rPr>
        <w:t>为规范甲乙双方在订立、履行合同及经济业务往来过程中的行为，保持廉洁自律的工作作风,防止各种违法及不正当行为的发生,确保甲乙双方及其工作人员自觉遵守国家法律、法规及廉洁从业各项规定，特订立本协议。</w:t>
      </w:r>
    </w:p>
    <w:p w14:paraId="2FBE22C0">
      <w:pPr>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lang w:bidi="ar"/>
        </w:rPr>
        <w:t>第一条  甲乙双方的权利和义务</w:t>
      </w:r>
    </w:p>
    <w:p w14:paraId="1A93DF2B">
      <w:pPr>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lang w:bidi="ar"/>
        </w:rPr>
        <w:t>（一）严格遵守党和国家有关法律法规等有关廉洁从业规定。</w:t>
      </w:r>
    </w:p>
    <w:p w14:paraId="4F93DD42">
      <w:pPr>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lang w:bidi="ar"/>
        </w:rPr>
        <w:t>（二）严格执行本项目的合同文件，自觉按合同办事。</w:t>
      </w:r>
    </w:p>
    <w:p w14:paraId="1300B5E6">
      <w:pPr>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lang w:bidi="ar"/>
        </w:rPr>
        <w:t>（三）双方的业务活动坚持公开、公正、诚信、透明的原则（除法律认定的商业秘密和合同文件另有规定之外）不得损害国家和集体利益，违反工程建设管理及其他法律法规规章制度。</w:t>
      </w:r>
    </w:p>
    <w:p w14:paraId="50584C7C">
      <w:pPr>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lang w:bidi="ar"/>
        </w:rPr>
        <w:t>（四）建立健全廉洁制度，开展廉洁教育，设立廉洁监督公示牌，公布举报电话，监督并认真查处违法违纪行为。</w:t>
      </w:r>
    </w:p>
    <w:p w14:paraId="42B24995">
      <w:pPr>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lang w:bidi="ar"/>
        </w:rPr>
        <w:t>（五）发现对方在业务活动中有违反廉洁规定的行为，有及时提醒对方纠正的权利和义务。</w:t>
      </w:r>
    </w:p>
    <w:p w14:paraId="7A8A4B0C">
      <w:pPr>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lang w:bidi="ar"/>
        </w:rPr>
        <w:t>（六）发现对方严重违反本协议义务条款的行为，有向其上级有关部门举报、建议给予处理并要求告知处理结果的权利。</w:t>
      </w:r>
    </w:p>
    <w:p w14:paraId="7086074A">
      <w:pPr>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lang w:bidi="ar"/>
        </w:rPr>
        <w:t>第二条  甲方的义务</w:t>
      </w:r>
    </w:p>
    <w:p w14:paraId="22439806">
      <w:pPr>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lang w:bidi="ar"/>
        </w:rPr>
        <w:t>（一）甲方及其工作人员不得索要或接受乙方的礼金、有价证券和贵重物品，不得在乙方报销任何应由甲方或个人支付的费用。</w:t>
      </w:r>
    </w:p>
    <w:p w14:paraId="1F4EA514">
      <w:pPr>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lang w:bidi="ar"/>
        </w:rPr>
        <w:t>（二）甲方工作人员不得参加乙方安排的高消费宴请和娱乐活动；不得接受乙方提供的通讯工具、交通工具和高档办公用品。</w:t>
      </w:r>
    </w:p>
    <w:p w14:paraId="240E0EF4">
      <w:pPr>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lang w:bidi="ar"/>
        </w:rPr>
        <w:t>（三）甲方及其工作人员不得要求或者接受乙方为其住房装修、婚丧嫁娶活动、家属或亲友的工作安排以及出国出境、旅游等提供方便。</w:t>
      </w:r>
    </w:p>
    <w:p w14:paraId="00F596D7">
      <w:pPr>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lang w:bidi="ar"/>
        </w:rPr>
        <w:t>（四）甲方工作人员不得向乙方介绍其家属或者亲友（包括家属或亲友开办的公司企业）从事于本项目涉及的经济业务活动。</w:t>
      </w:r>
    </w:p>
    <w:p w14:paraId="1193BFDE">
      <w:pPr>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lang w:bidi="ar"/>
        </w:rPr>
        <w:t>（五）甲方及其工作人员不得以任何理由向乙方推荐分包单位，不得要求乙方购买合同规定外的材料和设备。</w:t>
      </w:r>
    </w:p>
    <w:p w14:paraId="233AC451">
      <w:pPr>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lang w:bidi="ar"/>
        </w:rPr>
        <w:t>（六）甲方及其工作人员不得进行违反廉洁规定的其他活动。</w:t>
      </w:r>
    </w:p>
    <w:p w14:paraId="07C0BBA6">
      <w:pPr>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lang w:bidi="ar"/>
        </w:rPr>
        <w:t>（七）甲方应对甲方工作人员进行廉洁监督管理，如甲方工作人员违反本协议第一、第二条，甲方应依据有关法律法规、党纪规定对其进行处理；涉嫌犯罪的，甲方应将其移交司法机关追究刑事责任。</w:t>
      </w:r>
    </w:p>
    <w:p w14:paraId="5D8A0309">
      <w:pPr>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lang w:bidi="ar"/>
        </w:rPr>
        <w:t>第三条  乙方义务</w:t>
      </w:r>
    </w:p>
    <w:p w14:paraId="72F9E1C9">
      <w:pPr>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lang w:bidi="ar"/>
        </w:rPr>
        <w:t>（一）乙方不得以任何理由向甲方及其工作人员馈赠礼金、有价证券、贵重礼品，或报销应由甲方单位或个人支付的任何费用。</w:t>
      </w:r>
    </w:p>
    <w:p w14:paraId="27B20914">
      <w:pPr>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lang w:bidi="ar"/>
        </w:rPr>
        <w:t>（二）乙方及其工作人员不得以考察、参观、洽谈业务、签订合同等的借口邀请甲方及其工作人员参加高消费的宴请、娱乐和健身等活动。</w:t>
      </w:r>
    </w:p>
    <w:p w14:paraId="563EB3A6">
      <w:pPr>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lang w:bidi="ar"/>
        </w:rPr>
        <w:t>（三）乙方不得为甲方单位和个人购置或提供通讯工具、交通工具和高档办公用品等。</w:t>
      </w:r>
    </w:p>
    <w:p w14:paraId="7A162759">
      <w:pPr>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lang w:bidi="ar"/>
        </w:rPr>
        <w:t>（四）乙方及其工作人员不得为甲方工作人员购买、装修、维修私人住房、汽车等。</w:t>
      </w:r>
    </w:p>
    <w:p w14:paraId="3CDD2C89">
      <w:pPr>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lang w:bidi="ar"/>
        </w:rPr>
        <w:t>（五）乙方及其工作人员不得为甲方工作人员的婚丧嫁娶、家属或亲友的工作安排，及出国出境提供方便以及报销任何私人消费的费用。</w:t>
      </w:r>
    </w:p>
    <w:p w14:paraId="56E56B64">
      <w:pPr>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lang w:bidi="ar"/>
        </w:rPr>
        <w:t>（六）乙方及其工作人员不得进行影响甲方及其工作人员公正执行合同和履行职务的其他活动。</w:t>
      </w:r>
    </w:p>
    <w:p w14:paraId="34B0FAA9">
      <w:pPr>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lang w:bidi="ar"/>
        </w:rPr>
        <w:t>（七）乙方应对乙方工作人员进行廉洁监督管理，如乙方工作人员违反本协议第一、第三条，乙方应依据有关法律法规、党纪规定对其进行处理；乙方工作人员涉嫌犯罪的，乙方应将其移交司法机关追究刑事责任。</w:t>
      </w:r>
    </w:p>
    <w:p w14:paraId="3E292820">
      <w:pPr>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lang w:bidi="ar"/>
        </w:rPr>
        <w:t>第四条  违约责任</w:t>
      </w:r>
    </w:p>
    <w:p w14:paraId="1DD894AA">
      <w:pPr>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lang w:bidi="ar"/>
        </w:rPr>
        <w:t>（一）甲方违反本协议第一、第二条给乙方单位造成经济损失的，应予以赔偿。</w:t>
      </w:r>
    </w:p>
    <w:p w14:paraId="33F86979">
      <w:pPr>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lang w:bidi="ar"/>
        </w:rPr>
        <w:t>（二）乙方违反本协议第一、第三条给甲方单位造成经济损失的，应予以赔偿。</w:t>
      </w:r>
    </w:p>
    <w:p w14:paraId="2A98BCA0">
      <w:pPr>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lang w:bidi="ar"/>
        </w:rPr>
        <w:t>第五条  监督检查</w:t>
      </w:r>
    </w:p>
    <w:p w14:paraId="7694B149">
      <w:pPr>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lang w:bidi="ar"/>
        </w:rPr>
        <w:t>甲乙双方的廉洁从业行为由双方或双方上级单位的纪检、监察负责监督，对本协议履行情况进行检查。</w:t>
      </w:r>
    </w:p>
    <w:p w14:paraId="454DFEEC">
      <w:pPr>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lang w:bidi="ar"/>
        </w:rPr>
        <w:t>第六条  举报信访受理</w:t>
      </w:r>
    </w:p>
    <w:p w14:paraId="496DBC1E">
      <w:pPr>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lang w:bidi="ar"/>
        </w:rPr>
        <w:t>( 一) 举报受理部门: 东莞市水务集团有限公司纪检监察部。</w:t>
      </w:r>
    </w:p>
    <w:p w14:paraId="4906807B">
      <w:pPr>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lang w:bidi="ar"/>
        </w:rPr>
        <w:t>(二)举报电话: ( 0769 ) 23076092</w:t>
      </w:r>
    </w:p>
    <w:p w14:paraId="3E944158">
      <w:pPr>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lang w:bidi="ar"/>
        </w:rPr>
        <w:t>(三) 举报邮箱:jcsi@dgswit.cn.</w:t>
      </w:r>
    </w:p>
    <w:p w14:paraId="370CA825">
      <w:pPr>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lang w:bidi="ar"/>
        </w:rPr>
        <w:t xml:space="preserve">( 四) 信访地址: 广东省东莞市东城街道育华路 1 号 </w:t>
      </w:r>
    </w:p>
    <w:p w14:paraId="76331DAC">
      <w:pPr>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lang w:bidi="ar"/>
        </w:rPr>
        <w:t>第七条  其他</w:t>
      </w:r>
    </w:p>
    <w:p w14:paraId="2D230A0E">
      <w:pPr>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lang w:bidi="ar"/>
        </w:rPr>
        <w:t>本协议有效期为甲乙双方法定代表人或负责人签字并盖章之日起至该工程/采购项目竣工验收完毕，质保期/服务期满后止。本协议一式</w:t>
      </w:r>
      <w:r>
        <w:rPr>
          <w:rFonts w:hint="eastAsia" w:ascii="宋体" w:hAnsi="宋体" w:eastAsia="宋体" w:cs="宋体"/>
          <w:color w:val="auto"/>
          <w:kern w:val="0"/>
          <w:szCs w:val="21"/>
          <w:u w:val="single"/>
          <w:lang w:bidi="ar"/>
        </w:rPr>
        <w:t xml:space="preserve">   </w:t>
      </w:r>
      <w:r>
        <w:rPr>
          <w:rFonts w:hint="eastAsia" w:ascii="宋体" w:hAnsi="宋体" w:eastAsia="宋体" w:cs="宋体"/>
          <w:color w:val="auto"/>
          <w:kern w:val="0"/>
          <w:szCs w:val="21"/>
          <w:lang w:bidi="ar"/>
        </w:rPr>
        <w:t>份，甲、乙双方各执</w:t>
      </w:r>
      <w:r>
        <w:rPr>
          <w:rFonts w:hint="eastAsia" w:ascii="宋体" w:hAnsi="宋体" w:eastAsia="宋体" w:cs="宋体"/>
          <w:color w:val="auto"/>
          <w:kern w:val="0"/>
          <w:szCs w:val="21"/>
          <w:u w:val="single"/>
          <w:lang w:bidi="ar"/>
        </w:rPr>
        <w:t xml:space="preserve">   </w:t>
      </w:r>
      <w:r>
        <w:rPr>
          <w:rFonts w:hint="eastAsia" w:ascii="宋体" w:hAnsi="宋体" w:eastAsia="宋体" w:cs="宋体"/>
          <w:color w:val="auto"/>
          <w:kern w:val="0"/>
          <w:szCs w:val="21"/>
          <w:lang w:bidi="ar"/>
        </w:rPr>
        <w:t>份，甲、乙双方上级主管部门各执</w:t>
      </w:r>
      <w:r>
        <w:rPr>
          <w:rFonts w:hint="eastAsia" w:ascii="宋体" w:hAnsi="宋体" w:eastAsia="宋体" w:cs="宋体"/>
          <w:color w:val="auto"/>
          <w:kern w:val="0"/>
          <w:szCs w:val="21"/>
          <w:u w:val="single"/>
          <w:lang w:bidi="ar"/>
        </w:rPr>
        <w:t xml:space="preserve">   </w:t>
      </w:r>
      <w:r>
        <w:rPr>
          <w:rFonts w:hint="eastAsia" w:ascii="宋体" w:hAnsi="宋体" w:eastAsia="宋体" w:cs="宋体"/>
          <w:color w:val="auto"/>
          <w:kern w:val="0"/>
          <w:szCs w:val="21"/>
          <w:lang w:bidi="ar"/>
        </w:rPr>
        <w:t>份。</w:t>
      </w:r>
    </w:p>
    <w:p w14:paraId="4B49AF3D">
      <w:pPr>
        <w:autoSpaceDE w:val="0"/>
        <w:autoSpaceDN w:val="0"/>
        <w:adjustRightInd w:val="0"/>
        <w:spacing w:line="360" w:lineRule="auto"/>
        <w:jc w:val="left"/>
        <w:rPr>
          <w:rFonts w:ascii="宋体" w:hAnsi="宋体" w:eastAsia="宋体" w:cs="Times New Roman"/>
          <w:color w:val="auto"/>
          <w:kern w:val="0"/>
          <w:sz w:val="21"/>
          <w:szCs w:val="21"/>
        </w:rPr>
      </w:pPr>
    </w:p>
    <w:p w14:paraId="34E04A3E">
      <w:pPr>
        <w:autoSpaceDE w:val="0"/>
        <w:autoSpaceDN w:val="0"/>
        <w:adjustRightInd w:val="0"/>
        <w:spacing w:line="360" w:lineRule="auto"/>
        <w:jc w:val="left"/>
        <w:rPr>
          <w:rFonts w:hint="eastAsia" w:ascii="宋体" w:hAnsi="宋体" w:eastAsia="宋体" w:cs="Times New Roman"/>
          <w:color w:val="auto"/>
          <w:kern w:val="0"/>
          <w:sz w:val="21"/>
          <w:szCs w:val="21"/>
        </w:rPr>
      </w:pPr>
      <w:r>
        <w:rPr>
          <w:rFonts w:hint="eastAsia" w:ascii="宋体" w:hAnsi="宋体" w:eastAsia="宋体" w:cs="Times New Roman"/>
          <w:color w:val="auto"/>
          <w:kern w:val="0"/>
          <w:sz w:val="21"/>
          <w:szCs w:val="21"/>
        </w:rPr>
        <w:t>甲方：</w:t>
      </w:r>
    </w:p>
    <w:p w14:paraId="64E4AC00">
      <w:pPr>
        <w:autoSpaceDE w:val="0"/>
        <w:autoSpaceDN w:val="0"/>
        <w:adjustRightInd w:val="0"/>
        <w:spacing w:line="360" w:lineRule="auto"/>
        <w:jc w:val="left"/>
        <w:rPr>
          <w:rFonts w:hint="eastAsia" w:ascii="宋体" w:hAnsi="宋体" w:eastAsia="宋体" w:cs="Times New Roman"/>
          <w:color w:val="auto"/>
          <w:kern w:val="0"/>
          <w:sz w:val="21"/>
          <w:szCs w:val="21"/>
        </w:rPr>
      </w:pPr>
    </w:p>
    <w:p w14:paraId="53A7519F">
      <w:pPr>
        <w:autoSpaceDE w:val="0"/>
        <w:autoSpaceDN w:val="0"/>
        <w:adjustRightInd w:val="0"/>
        <w:spacing w:line="360" w:lineRule="auto"/>
        <w:jc w:val="left"/>
        <w:rPr>
          <w:rFonts w:hint="eastAsia" w:ascii="宋体" w:hAnsi="宋体" w:eastAsia="宋体" w:cs="Times New Roman"/>
          <w:color w:val="auto"/>
          <w:kern w:val="0"/>
          <w:sz w:val="21"/>
          <w:szCs w:val="21"/>
        </w:rPr>
      </w:pPr>
      <w:r>
        <w:rPr>
          <w:rFonts w:hint="eastAsia" w:ascii="宋体" w:hAnsi="宋体" w:eastAsia="宋体" w:cs="Times New Roman"/>
          <w:color w:val="auto"/>
          <w:kern w:val="0"/>
          <w:sz w:val="21"/>
          <w:szCs w:val="21"/>
          <w:lang w:val="en-US" w:eastAsia="zh-CN"/>
        </w:rPr>
        <w:t>单位负责人</w:t>
      </w:r>
      <w:r>
        <w:rPr>
          <w:rFonts w:hint="eastAsia" w:ascii="宋体" w:hAnsi="宋体" w:eastAsia="宋体" w:cs="Times New Roman"/>
          <w:color w:val="auto"/>
          <w:kern w:val="0"/>
          <w:sz w:val="21"/>
          <w:szCs w:val="21"/>
        </w:rPr>
        <w:t>：</w:t>
      </w:r>
    </w:p>
    <w:p w14:paraId="4BB007E4">
      <w:pPr>
        <w:autoSpaceDE w:val="0"/>
        <w:autoSpaceDN w:val="0"/>
        <w:adjustRightInd w:val="0"/>
        <w:spacing w:line="360" w:lineRule="auto"/>
        <w:jc w:val="left"/>
        <w:rPr>
          <w:rFonts w:hint="eastAsia" w:ascii="宋体" w:hAnsi="宋体" w:eastAsia="宋体" w:cs="Times New Roman"/>
          <w:color w:val="auto"/>
          <w:kern w:val="0"/>
          <w:sz w:val="21"/>
          <w:szCs w:val="21"/>
        </w:rPr>
      </w:pPr>
    </w:p>
    <w:p w14:paraId="5826D139">
      <w:pPr>
        <w:autoSpaceDE w:val="0"/>
        <w:autoSpaceDN w:val="0"/>
        <w:adjustRightInd w:val="0"/>
        <w:spacing w:line="360" w:lineRule="auto"/>
        <w:jc w:val="left"/>
        <w:rPr>
          <w:rFonts w:ascii="宋体" w:hAnsi="宋体" w:eastAsia="宋体" w:cs="Times New Roman"/>
          <w:color w:val="auto"/>
          <w:kern w:val="0"/>
          <w:sz w:val="21"/>
          <w:szCs w:val="21"/>
        </w:rPr>
      </w:pPr>
    </w:p>
    <w:p w14:paraId="70C3C32D">
      <w:pPr>
        <w:autoSpaceDE w:val="0"/>
        <w:autoSpaceDN w:val="0"/>
        <w:adjustRightInd w:val="0"/>
        <w:spacing w:line="360" w:lineRule="auto"/>
        <w:jc w:val="left"/>
        <w:rPr>
          <w:rFonts w:ascii="宋体" w:hAnsi="宋体" w:eastAsia="宋体" w:cs="Times New Roman"/>
          <w:color w:val="auto"/>
          <w:kern w:val="0"/>
          <w:sz w:val="21"/>
          <w:szCs w:val="21"/>
        </w:rPr>
      </w:pPr>
      <w:r>
        <w:rPr>
          <w:rFonts w:hint="eastAsia" w:ascii="宋体" w:hAnsi="宋体" w:eastAsia="宋体" w:cs="Times New Roman"/>
          <w:color w:val="auto"/>
          <w:kern w:val="0"/>
          <w:sz w:val="21"/>
          <w:szCs w:val="21"/>
        </w:rPr>
        <w:t>乙方（盖章）：</w:t>
      </w:r>
    </w:p>
    <w:p w14:paraId="56FE4936">
      <w:pPr>
        <w:autoSpaceDE w:val="0"/>
        <w:autoSpaceDN w:val="0"/>
        <w:adjustRightInd w:val="0"/>
        <w:spacing w:line="360" w:lineRule="auto"/>
        <w:jc w:val="left"/>
        <w:rPr>
          <w:rFonts w:hint="eastAsia" w:ascii="宋体" w:hAnsi="宋体" w:eastAsia="宋体" w:cs="Times New Roman"/>
          <w:color w:val="auto"/>
          <w:kern w:val="0"/>
          <w:sz w:val="21"/>
          <w:szCs w:val="21"/>
        </w:rPr>
      </w:pPr>
    </w:p>
    <w:p w14:paraId="74D9B199">
      <w:pPr>
        <w:autoSpaceDE w:val="0"/>
        <w:autoSpaceDN w:val="0"/>
        <w:adjustRightInd w:val="0"/>
        <w:spacing w:line="360" w:lineRule="auto"/>
        <w:jc w:val="left"/>
        <w:rPr>
          <w:rFonts w:ascii="宋体" w:hAnsi="宋体" w:eastAsia="宋体" w:cs="Times New Roman"/>
          <w:color w:val="auto"/>
          <w:kern w:val="0"/>
          <w:sz w:val="21"/>
          <w:szCs w:val="21"/>
        </w:rPr>
      </w:pPr>
      <w:r>
        <w:rPr>
          <w:rFonts w:hint="eastAsia" w:ascii="宋体" w:hAnsi="宋体" w:eastAsia="宋体" w:cs="Times New Roman"/>
          <w:color w:val="auto"/>
          <w:kern w:val="0"/>
          <w:sz w:val="21"/>
          <w:szCs w:val="21"/>
        </w:rPr>
        <w:t>单位负责人：</w:t>
      </w:r>
    </w:p>
    <w:p w14:paraId="2DFBD280">
      <w:pPr>
        <w:autoSpaceDE w:val="0"/>
        <w:autoSpaceDN w:val="0"/>
        <w:adjustRightInd w:val="0"/>
        <w:jc w:val="left"/>
        <w:rPr>
          <w:rFonts w:hint="eastAsia" w:ascii="宋体" w:hAnsi="宋体" w:eastAsia="宋体" w:cs="Times New Roman"/>
          <w:color w:val="auto"/>
          <w:kern w:val="0"/>
          <w:sz w:val="21"/>
          <w:szCs w:val="21"/>
        </w:rPr>
      </w:pPr>
    </w:p>
    <w:p w14:paraId="3B19CBCB">
      <w:pPr>
        <w:autoSpaceDE w:val="0"/>
        <w:autoSpaceDN w:val="0"/>
        <w:adjustRightInd w:val="0"/>
        <w:jc w:val="left"/>
        <w:rPr>
          <w:rFonts w:ascii="宋体" w:hAnsi="Times New Roman" w:eastAsia="宋体" w:cs="Times New Roman"/>
          <w:color w:val="auto"/>
          <w:kern w:val="0"/>
          <w:sz w:val="24"/>
          <w:szCs w:val="24"/>
        </w:rPr>
      </w:pPr>
      <w:r>
        <w:rPr>
          <w:rFonts w:hint="eastAsia" w:ascii="宋体" w:hAnsi="宋体" w:eastAsia="宋体" w:cs="Times New Roman"/>
          <w:color w:val="auto"/>
          <w:kern w:val="0"/>
          <w:sz w:val="21"/>
          <w:szCs w:val="21"/>
        </w:rPr>
        <w:t>签订日期：20</w:t>
      </w:r>
      <w:r>
        <w:rPr>
          <w:rFonts w:hint="eastAsia" w:ascii="宋体" w:hAnsi="宋体" w:eastAsia="宋体" w:cs="Times New Roman"/>
          <w:color w:val="auto"/>
          <w:kern w:val="0"/>
          <w:sz w:val="21"/>
          <w:szCs w:val="21"/>
          <w:lang w:val="en-US" w:eastAsia="zh-CN"/>
        </w:rPr>
        <w:t xml:space="preserve">25 </w:t>
      </w:r>
      <w:r>
        <w:rPr>
          <w:rFonts w:hint="eastAsia" w:ascii="宋体" w:hAnsi="宋体" w:eastAsia="宋体" w:cs="Times New Roman"/>
          <w:color w:val="auto"/>
          <w:kern w:val="0"/>
          <w:sz w:val="21"/>
          <w:szCs w:val="21"/>
        </w:rPr>
        <w:t xml:space="preserve">年  </w:t>
      </w:r>
      <w:r>
        <w:rPr>
          <w:rFonts w:hint="eastAsia" w:ascii="宋体" w:hAnsi="宋体" w:eastAsia="宋体" w:cs="Times New Roman"/>
          <w:color w:val="auto"/>
          <w:kern w:val="0"/>
          <w:sz w:val="21"/>
          <w:szCs w:val="21"/>
          <w:lang w:val="en-US" w:eastAsia="zh-CN"/>
        </w:rPr>
        <w:t xml:space="preserve"> </w:t>
      </w:r>
      <w:r>
        <w:rPr>
          <w:rFonts w:hint="eastAsia" w:ascii="宋体" w:hAnsi="宋体" w:eastAsia="宋体" w:cs="Times New Roman"/>
          <w:color w:val="auto"/>
          <w:kern w:val="0"/>
          <w:sz w:val="21"/>
          <w:szCs w:val="21"/>
        </w:rPr>
        <w:t xml:space="preserve">月  </w:t>
      </w:r>
      <w:r>
        <w:rPr>
          <w:rFonts w:hint="eastAsia" w:ascii="宋体" w:hAnsi="宋体" w:eastAsia="宋体" w:cs="Times New Roman"/>
          <w:color w:val="auto"/>
          <w:kern w:val="0"/>
          <w:sz w:val="21"/>
          <w:szCs w:val="21"/>
          <w:lang w:val="en-US" w:eastAsia="zh-CN"/>
        </w:rPr>
        <w:t xml:space="preserve"> </w:t>
      </w:r>
      <w:r>
        <w:rPr>
          <w:rFonts w:hint="eastAsia" w:ascii="宋体" w:hAnsi="宋体" w:eastAsia="宋体" w:cs="Times New Roman"/>
          <w:color w:val="auto"/>
          <w:kern w:val="0"/>
          <w:sz w:val="21"/>
          <w:szCs w:val="21"/>
        </w:rPr>
        <w:t xml:space="preserve">日       </w:t>
      </w:r>
      <w:r>
        <w:rPr>
          <w:rFonts w:ascii="宋体" w:hAnsi="宋体" w:eastAsia="宋体" w:cs="Times New Roman"/>
          <w:color w:val="auto"/>
          <w:kern w:val="0"/>
          <w:sz w:val="21"/>
          <w:szCs w:val="21"/>
        </w:rPr>
        <w:t xml:space="preserve">       </w:t>
      </w:r>
    </w:p>
    <w:p w14:paraId="47661E50">
      <w:pPr>
        <w:autoSpaceDE w:val="0"/>
        <w:spacing w:before="48" w:beforeLines="20" w:after="48" w:afterLines="20"/>
        <w:ind w:firstLine="420" w:firstLineChars="200"/>
        <w:rPr>
          <w:rFonts w:ascii="宋体" w:hAnsi="宋体" w:eastAsia="宋体" w:cs="宋体"/>
          <w:color w:val="auto"/>
          <w:szCs w:val="21"/>
        </w:rPr>
      </w:pPr>
    </w:p>
    <w:p w14:paraId="12452429">
      <w:pPr>
        <w:spacing w:line="360" w:lineRule="auto"/>
        <w:rPr>
          <w:rFonts w:ascii="宋体" w:hAnsi="宋体" w:eastAsia="宋体" w:cs="宋体"/>
          <w:color w:val="auto"/>
          <w:szCs w:val="21"/>
        </w:rPr>
      </w:pPr>
      <w:r>
        <w:rPr>
          <w:rFonts w:hint="eastAsia" w:ascii="宋体" w:hAnsi="宋体" w:eastAsia="宋体" w:cs="宋体"/>
          <w:color w:val="auto"/>
          <w:szCs w:val="21"/>
          <w:lang w:bidi="ar"/>
        </w:rPr>
        <w:t xml:space="preserve">  </w:t>
      </w:r>
      <w:r>
        <w:rPr>
          <w:rFonts w:hint="eastAsia" w:ascii="宋体" w:hAnsi="宋体" w:eastAsia="宋体" w:cs="宋体"/>
          <w:color w:val="auto"/>
          <w:szCs w:val="21"/>
          <w:lang w:bidi="ar"/>
        </w:rPr>
        <w:br w:type="page"/>
      </w:r>
    </w:p>
    <w:p w14:paraId="4408D854">
      <w:pPr>
        <w:pageBreakBefore w:val="0"/>
        <w:widowControl/>
        <w:autoSpaceDE w:val="0"/>
        <w:autoSpaceDN w:val="0"/>
        <w:adjustRightInd w:val="0"/>
        <w:spacing w:line="360" w:lineRule="auto"/>
        <w:contextualSpacing/>
        <w:jc w:val="left"/>
        <w:outlineLvl w:val="1"/>
        <w:rPr>
          <w:rFonts w:ascii="宋体" w:hAnsi="宋体" w:eastAsia="宋体" w:cs="宋体"/>
          <w:b/>
          <w:color w:val="auto"/>
          <w:kern w:val="0"/>
          <w:sz w:val="24"/>
          <w:szCs w:val="24"/>
          <w:lang w:bidi="ar"/>
        </w:rPr>
      </w:pPr>
      <w:bookmarkStart w:id="407" w:name="_Toc17926"/>
      <w:r>
        <w:rPr>
          <w:rFonts w:hint="eastAsia" w:ascii="宋体" w:hAnsi="宋体" w:eastAsia="宋体" w:cs="宋体"/>
          <w:b/>
          <w:color w:val="auto"/>
          <w:kern w:val="0"/>
          <w:sz w:val="24"/>
          <w:szCs w:val="24"/>
          <w:lang w:bidi="ar"/>
        </w:rPr>
        <w:t>附件</w:t>
      </w:r>
      <w:r>
        <w:rPr>
          <w:rFonts w:hint="eastAsia" w:ascii="宋体" w:hAnsi="宋体" w:eastAsia="宋体" w:cs="宋体"/>
          <w:b/>
          <w:color w:val="auto"/>
          <w:kern w:val="0"/>
          <w:sz w:val="24"/>
          <w:szCs w:val="24"/>
          <w:lang w:val="en-US" w:eastAsia="zh-CN" w:bidi="ar"/>
        </w:rPr>
        <w:t>8</w:t>
      </w:r>
      <w:r>
        <w:rPr>
          <w:rFonts w:hint="eastAsia" w:ascii="宋体" w:hAnsi="宋体" w:eastAsia="宋体" w:cs="宋体"/>
          <w:b/>
          <w:color w:val="auto"/>
          <w:kern w:val="0"/>
          <w:sz w:val="24"/>
          <w:szCs w:val="24"/>
          <w:lang w:bidi="ar"/>
        </w:rPr>
        <w:t>：安全生产管理协议</w:t>
      </w:r>
      <w:bookmarkEnd w:id="407"/>
    </w:p>
    <w:p w14:paraId="585CD30A">
      <w:pPr>
        <w:autoSpaceDE w:val="0"/>
        <w:autoSpaceDN w:val="0"/>
        <w:adjustRightInd w:val="0"/>
        <w:jc w:val="center"/>
        <w:rPr>
          <w:rFonts w:ascii="宋体" w:hAnsi="宋体" w:eastAsia="宋体" w:cs="仿宋"/>
          <w:bCs/>
          <w:color w:val="auto"/>
          <w:kern w:val="0"/>
          <w:sz w:val="28"/>
          <w:szCs w:val="28"/>
        </w:rPr>
      </w:pPr>
      <w:r>
        <w:rPr>
          <w:rFonts w:hint="eastAsia" w:ascii="宋体" w:hAnsi="宋体" w:eastAsia="宋体" w:cs="仿宋"/>
          <w:bCs/>
          <w:color w:val="auto"/>
          <w:kern w:val="0"/>
          <w:sz w:val="28"/>
          <w:szCs w:val="28"/>
          <w:lang w:bidi="ar"/>
        </w:rPr>
        <w:t xml:space="preserve"> </w:t>
      </w:r>
    </w:p>
    <w:p w14:paraId="2463DA7D">
      <w:pPr>
        <w:jc w:val="center"/>
        <w:rPr>
          <w:rFonts w:ascii="宋体" w:hAnsi="宋体" w:eastAsia="宋体" w:cs="仿宋"/>
          <w:b/>
          <w:bCs/>
          <w:color w:val="auto"/>
          <w:sz w:val="30"/>
          <w:szCs w:val="30"/>
        </w:rPr>
      </w:pPr>
      <w:r>
        <w:rPr>
          <w:rFonts w:hint="eastAsia" w:ascii="宋体" w:hAnsi="宋体" w:eastAsia="宋体" w:cs="宋体"/>
          <w:b/>
          <w:bCs/>
          <w:color w:val="auto"/>
          <w:sz w:val="30"/>
          <w:szCs w:val="30"/>
          <w:lang w:bidi="ar"/>
        </w:rPr>
        <w:t>安全生产管理协议</w:t>
      </w:r>
    </w:p>
    <w:p w14:paraId="56566404">
      <w:pPr>
        <w:jc w:val="center"/>
        <w:rPr>
          <w:rFonts w:ascii="宋体" w:hAnsi="宋体" w:eastAsia="宋体" w:cs="仿宋"/>
          <w:bCs/>
          <w:color w:val="auto"/>
          <w:sz w:val="28"/>
          <w:szCs w:val="28"/>
        </w:rPr>
      </w:pPr>
      <w:r>
        <w:rPr>
          <w:rFonts w:hint="eastAsia" w:ascii="宋体" w:hAnsi="宋体" w:eastAsia="宋体" w:cs="仿宋"/>
          <w:bCs/>
          <w:color w:val="auto"/>
          <w:sz w:val="28"/>
          <w:szCs w:val="28"/>
          <w:lang w:bidi="ar"/>
        </w:rPr>
        <w:t xml:space="preserve"> </w:t>
      </w:r>
    </w:p>
    <w:p w14:paraId="316B2DE0">
      <w:pPr>
        <w:spacing w:line="360" w:lineRule="auto"/>
        <w:rPr>
          <w:rFonts w:ascii="宋体" w:hAnsi="宋体" w:eastAsia="宋体" w:cs="仿宋"/>
          <w:color w:val="auto"/>
          <w:szCs w:val="21"/>
        </w:rPr>
      </w:pPr>
      <w:r>
        <w:rPr>
          <w:rFonts w:hint="eastAsia" w:ascii="宋体" w:hAnsi="宋体" w:eastAsia="宋体" w:cs="宋体"/>
          <w:color w:val="auto"/>
          <w:szCs w:val="21"/>
          <w:lang w:bidi="ar"/>
        </w:rPr>
        <w:t>甲方：</w:t>
      </w:r>
    </w:p>
    <w:p w14:paraId="6CD03963">
      <w:pPr>
        <w:spacing w:line="360" w:lineRule="auto"/>
        <w:rPr>
          <w:rFonts w:hint="eastAsia" w:ascii="宋体" w:hAnsi="宋体" w:eastAsia="宋体" w:cs="仿宋"/>
          <w:color w:val="auto"/>
          <w:szCs w:val="21"/>
          <w:lang w:bidi="ar"/>
        </w:rPr>
      </w:pPr>
      <w:r>
        <w:rPr>
          <w:rFonts w:hint="eastAsia" w:ascii="宋体" w:hAnsi="宋体" w:eastAsia="宋体" w:cs="宋体"/>
          <w:color w:val="auto"/>
          <w:szCs w:val="21"/>
          <w:lang w:bidi="ar"/>
        </w:rPr>
        <w:t>地址</w:t>
      </w:r>
      <w:r>
        <w:rPr>
          <w:rFonts w:hint="eastAsia" w:ascii="宋体" w:hAnsi="宋体" w:eastAsia="宋体" w:cs="宋体"/>
          <w:color w:val="auto"/>
          <w:szCs w:val="21"/>
          <w:lang w:eastAsia="zh-CN" w:bidi="ar"/>
        </w:rPr>
        <w:t>：</w:t>
      </w:r>
    </w:p>
    <w:p w14:paraId="1AD5CD7E">
      <w:pPr>
        <w:spacing w:line="360" w:lineRule="auto"/>
        <w:rPr>
          <w:rFonts w:hint="eastAsia" w:ascii="宋体" w:hAnsi="宋体" w:eastAsia="宋体" w:cs="仿宋"/>
          <w:color w:val="auto"/>
          <w:szCs w:val="21"/>
          <w:lang w:bidi="ar"/>
        </w:rPr>
      </w:pPr>
      <w:r>
        <w:rPr>
          <w:rFonts w:hint="eastAsia" w:ascii="宋体" w:hAnsi="宋体" w:eastAsia="宋体" w:cs="宋体"/>
          <w:color w:val="auto"/>
          <w:szCs w:val="21"/>
          <w:lang w:bidi="ar"/>
        </w:rPr>
        <w:t>电话</w:t>
      </w:r>
      <w:r>
        <w:rPr>
          <w:rFonts w:hint="eastAsia" w:ascii="宋体" w:hAnsi="宋体" w:eastAsia="宋体" w:cs="宋体"/>
          <w:color w:val="auto"/>
          <w:szCs w:val="21"/>
          <w:lang w:eastAsia="zh-CN" w:bidi="ar"/>
        </w:rPr>
        <w:t>：</w:t>
      </w:r>
    </w:p>
    <w:p w14:paraId="15E876B4">
      <w:pPr>
        <w:spacing w:line="360" w:lineRule="auto"/>
        <w:rPr>
          <w:rFonts w:hint="eastAsia" w:ascii="宋体" w:hAnsi="宋体" w:eastAsia="宋体" w:cs="宋体"/>
          <w:color w:val="auto"/>
          <w:szCs w:val="21"/>
          <w:lang w:bidi="ar"/>
        </w:rPr>
      </w:pPr>
    </w:p>
    <w:p w14:paraId="1059CCDE">
      <w:pPr>
        <w:spacing w:line="360" w:lineRule="auto"/>
        <w:rPr>
          <w:rFonts w:ascii="宋体" w:hAnsi="宋体" w:eastAsia="宋体" w:cs="仿宋"/>
          <w:color w:val="auto"/>
          <w:szCs w:val="21"/>
        </w:rPr>
      </w:pPr>
      <w:r>
        <w:rPr>
          <w:rFonts w:hint="eastAsia" w:ascii="宋体" w:hAnsi="宋体" w:eastAsia="宋体" w:cs="宋体"/>
          <w:color w:val="auto"/>
          <w:szCs w:val="21"/>
          <w:lang w:bidi="ar"/>
        </w:rPr>
        <w:t>乙方：</w:t>
      </w:r>
    </w:p>
    <w:p w14:paraId="149AB43F">
      <w:pPr>
        <w:spacing w:line="360" w:lineRule="auto"/>
        <w:rPr>
          <w:rFonts w:ascii="宋体" w:hAnsi="宋体" w:eastAsia="宋体" w:cs="仿宋"/>
          <w:color w:val="auto"/>
          <w:szCs w:val="21"/>
        </w:rPr>
      </w:pPr>
      <w:r>
        <w:rPr>
          <w:rFonts w:hint="eastAsia" w:ascii="宋体" w:hAnsi="宋体" w:eastAsia="宋体" w:cs="宋体"/>
          <w:color w:val="auto"/>
          <w:szCs w:val="21"/>
          <w:lang w:bidi="ar"/>
        </w:rPr>
        <w:t>地址：</w:t>
      </w:r>
    </w:p>
    <w:p w14:paraId="455429EF">
      <w:pPr>
        <w:spacing w:line="360" w:lineRule="auto"/>
        <w:rPr>
          <w:rFonts w:ascii="宋体" w:hAnsi="宋体" w:eastAsia="宋体" w:cs="仿宋"/>
          <w:color w:val="auto"/>
          <w:szCs w:val="21"/>
        </w:rPr>
      </w:pPr>
      <w:r>
        <w:rPr>
          <w:rFonts w:hint="eastAsia" w:ascii="宋体" w:hAnsi="宋体" w:eastAsia="宋体" w:cs="宋体"/>
          <w:color w:val="auto"/>
          <w:szCs w:val="21"/>
          <w:lang w:bidi="ar"/>
        </w:rPr>
        <w:t>电话：</w:t>
      </w:r>
    </w:p>
    <w:p w14:paraId="5A62B338">
      <w:pPr>
        <w:spacing w:line="360" w:lineRule="auto"/>
        <w:rPr>
          <w:rFonts w:ascii="宋体" w:hAnsi="宋体" w:eastAsia="宋体" w:cs="仿宋"/>
          <w:color w:val="auto"/>
          <w:szCs w:val="21"/>
        </w:rPr>
      </w:pPr>
      <w:r>
        <w:rPr>
          <w:rFonts w:hint="eastAsia" w:ascii="宋体" w:hAnsi="宋体" w:eastAsia="宋体" w:cs="仿宋"/>
          <w:color w:val="auto"/>
          <w:szCs w:val="21"/>
          <w:lang w:bidi="ar"/>
        </w:rPr>
        <w:t xml:space="preserve"> </w:t>
      </w:r>
    </w:p>
    <w:p w14:paraId="339B4B81">
      <w:pPr>
        <w:spacing w:line="360" w:lineRule="auto"/>
        <w:ind w:firstLine="424" w:firstLineChars="202"/>
        <w:rPr>
          <w:rFonts w:ascii="宋体" w:hAnsi="宋体" w:eastAsia="宋体" w:cs="仿宋"/>
          <w:color w:val="auto"/>
          <w:szCs w:val="21"/>
        </w:rPr>
      </w:pPr>
      <w:r>
        <w:rPr>
          <w:rFonts w:hint="eastAsia" w:ascii="宋体" w:hAnsi="宋体" w:eastAsia="宋体" w:cs="宋体"/>
          <w:color w:val="auto"/>
          <w:szCs w:val="21"/>
          <w:lang w:bidi="ar"/>
        </w:rPr>
        <w:t>根据《中华人民共和国安全生产法》和《建设工程安全生产管理条例》的要求，为加强施工现场的安全管理，落实各自的安全生产职责，进一步加强施工单位和施工（维修）人员的安全管理，杜绝施工单位和施工（维修）人员因安全管理不善而引发的各类安全事故，保证甲、乙双方的财产和员工的人身安全不受侵害，经甲乙双方协商一致，签订协议如下：</w:t>
      </w:r>
    </w:p>
    <w:p w14:paraId="087C1D2D">
      <w:pPr>
        <w:spacing w:line="360" w:lineRule="auto"/>
        <w:ind w:firstLine="424" w:firstLineChars="202"/>
        <w:rPr>
          <w:rFonts w:ascii="宋体" w:hAnsi="宋体" w:eastAsia="宋体" w:cs="仿宋"/>
          <w:color w:val="auto"/>
          <w:szCs w:val="21"/>
        </w:rPr>
      </w:pPr>
      <w:r>
        <w:rPr>
          <w:rFonts w:hint="eastAsia" w:ascii="宋体" w:hAnsi="宋体" w:eastAsia="宋体" w:cs="宋体"/>
          <w:color w:val="auto"/>
          <w:szCs w:val="21"/>
          <w:lang w:bidi="ar"/>
        </w:rPr>
        <w:t>1、进场前乙方应将本企业的营业执照、企业资质等级证书、安全生产许可证、进场人员花名册、进场人员身体检查表、携带进场的机具一览表、特种作业人员及特种作业操作证的复印件报甲方。进场职工必须办好施工所在地所需办理的各种证件，不得使用未成年工、童工、超龄工和安排女工从事禁忌劳动，进场前，乙方必须严格遵守甲方及项目所在地的相关防疫要求。</w:t>
      </w:r>
    </w:p>
    <w:p w14:paraId="0C0DF146">
      <w:pPr>
        <w:spacing w:line="360" w:lineRule="auto"/>
        <w:ind w:firstLine="424" w:firstLineChars="202"/>
        <w:rPr>
          <w:rFonts w:ascii="宋体" w:hAnsi="宋体" w:eastAsia="宋体" w:cs="仿宋"/>
          <w:color w:val="auto"/>
          <w:szCs w:val="21"/>
        </w:rPr>
      </w:pPr>
      <w:r>
        <w:rPr>
          <w:rFonts w:hint="eastAsia" w:ascii="宋体" w:hAnsi="宋体" w:eastAsia="宋体" w:cs="宋体"/>
          <w:color w:val="auto"/>
          <w:szCs w:val="21"/>
          <w:lang w:bidi="ar"/>
        </w:rPr>
        <w:t>2、乙方应设置专职或兼职安全员，对施工进行安全管理，并在施工作业前对所属员工进行安全教育培训，并且进行经常性的安全教育，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p>
    <w:p w14:paraId="0D396099">
      <w:pPr>
        <w:spacing w:line="360" w:lineRule="auto"/>
        <w:ind w:firstLine="424" w:firstLineChars="202"/>
        <w:rPr>
          <w:rFonts w:ascii="宋体" w:hAnsi="宋体" w:eastAsia="宋体" w:cs="仿宋"/>
          <w:color w:val="auto"/>
          <w:szCs w:val="21"/>
        </w:rPr>
      </w:pPr>
      <w:r>
        <w:rPr>
          <w:rFonts w:hint="eastAsia" w:ascii="宋体" w:hAnsi="宋体" w:eastAsia="宋体" w:cs="宋体"/>
          <w:color w:val="auto"/>
          <w:szCs w:val="21"/>
          <w:lang w:bidi="ar"/>
        </w:rPr>
        <w:t>3、乙方使用被派遣劳动者的，应当将被派遣劳动者纳入本单位从业人员统一管理，对被派遣劳动者进行岗位安全操作规程和安全操作技能的教育和培训。</w:t>
      </w:r>
    </w:p>
    <w:p w14:paraId="1D54F8AC">
      <w:pPr>
        <w:spacing w:line="360" w:lineRule="auto"/>
        <w:ind w:firstLine="424" w:firstLineChars="202"/>
        <w:rPr>
          <w:rFonts w:ascii="宋体" w:hAnsi="宋体" w:eastAsia="宋体" w:cs="仿宋"/>
          <w:color w:val="auto"/>
          <w:szCs w:val="21"/>
        </w:rPr>
      </w:pPr>
      <w:r>
        <w:rPr>
          <w:rFonts w:hint="eastAsia" w:ascii="宋体" w:hAnsi="宋体" w:eastAsia="宋体" w:cs="宋体"/>
          <w:color w:val="auto"/>
          <w:szCs w:val="21"/>
          <w:lang w:bidi="ar"/>
        </w:rPr>
        <w:t>4、乙方应当在有较大危险因素的施工场所和有关设施、设备上，设置明显的安全警示标志。乙方应当对安全设备进行经常性维护、保养，并定期检测，保证正常运转。维护、保养、检测应当做好记录，并由乙方安全员或代表签字。</w:t>
      </w:r>
    </w:p>
    <w:p w14:paraId="4CE296BD">
      <w:pPr>
        <w:spacing w:line="360" w:lineRule="auto"/>
        <w:ind w:firstLine="424" w:firstLineChars="202"/>
        <w:rPr>
          <w:rFonts w:ascii="宋体" w:hAnsi="宋体" w:eastAsia="宋体" w:cs="仿宋"/>
          <w:color w:val="auto"/>
          <w:szCs w:val="21"/>
        </w:rPr>
      </w:pPr>
      <w:r>
        <w:rPr>
          <w:rFonts w:hint="eastAsia" w:ascii="宋体" w:hAnsi="宋体" w:eastAsia="宋体" w:cs="宋体"/>
          <w:color w:val="auto"/>
          <w:szCs w:val="21"/>
          <w:lang w:bidi="ar"/>
        </w:rPr>
        <w:t>5、乙方应当教育和督促从业人员严格执行本单位的安全生产规章制度和安全操作规程；并向从业人员如实告知作业场所和工作岗位存在的危险因素、防范措施以及事故应急措施。</w:t>
      </w:r>
    </w:p>
    <w:p w14:paraId="7FB0FB05">
      <w:pPr>
        <w:spacing w:line="360" w:lineRule="auto"/>
        <w:ind w:firstLine="424" w:firstLineChars="202"/>
        <w:rPr>
          <w:rFonts w:ascii="宋体" w:hAnsi="宋体" w:eastAsia="宋体" w:cs="仿宋"/>
          <w:color w:val="auto"/>
          <w:szCs w:val="21"/>
        </w:rPr>
      </w:pPr>
      <w:r>
        <w:rPr>
          <w:rFonts w:hint="eastAsia" w:ascii="宋体" w:hAnsi="宋体" w:eastAsia="宋体" w:cs="宋体"/>
          <w:color w:val="auto"/>
          <w:szCs w:val="21"/>
          <w:lang w:bidi="ar"/>
        </w:rPr>
        <w:t>6、乙方应严格遵守国家、地方政府有关安全生产及劳动保护的法律法规、标准、规定，贯彻执行甲方的各项安全管理规章制度。</w:t>
      </w:r>
    </w:p>
    <w:p w14:paraId="6CA138E2">
      <w:pPr>
        <w:spacing w:line="360" w:lineRule="auto"/>
        <w:ind w:firstLine="424" w:firstLineChars="202"/>
        <w:rPr>
          <w:rFonts w:ascii="宋体" w:hAnsi="宋体" w:eastAsia="宋体" w:cs="仿宋"/>
          <w:color w:val="auto"/>
          <w:szCs w:val="21"/>
        </w:rPr>
      </w:pPr>
      <w:r>
        <w:rPr>
          <w:rFonts w:hint="eastAsia" w:ascii="宋体" w:hAnsi="宋体" w:eastAsia="宋体" w:cs="宋体"/>
          <w:color w:val="auto"/>
          <w:szCs w:val="21"/>
          <w:lang w:bidi="ar"/>
        </w:rPr>
        <w:t>7、乙方依法参加工伤保险，为从业人员缴纳保险费，并应当为从事危险作业的人员办理意外伤害保险。</w:t>
      </w:r>
    </w:p>
    <w:p w14:paraId="39E6EA17">
      <w:pPr>
        <w:spacing w:line="360" w:lineRule="auto"/>
        <w:ind w:firstLine="424" w:firstLineChars="202"/>
        <w:rPr>
          <w:rFonts w:ascii="宋体" w:hAnsi="宋体" w:eastAsia="宋体" w:cs="仿宋"/>
          <w:color w:val="auto"/>
          <w:szCs w:val="21"/>
        </w:rPr>
      </w:pPr>
      <w:r>
        <w:rPr>
          <w:rFonts w:hint="eastAsia" w:ascii="宋体" w:hAnsi="宋体" w:eastAsia="宋体" w:cs="宋体"/>
          <w:color w:val="auto"/>
          <w:szCs w:val="21"/>
          <w:lang w:bidi="ar"/>
        </w:rPr>
        <w:t>8、乙方应当服从甲方的安全管理，保证施工区域的现场文明安全管理达标，现场临时用电、机器设备、安全防护齐全、完好。接受和配合甲方的安全监督检查，乙方现场的所有安全装置、防护设施必须依据经甲方审批后的安全技术施工方案进行搭设、安装，乙方必须无条件保证安全防护设施使用的搭设材料的质量，在用于安全防护的物资进场前将有关物资的材质证明报甲方，经甲方确认后方可使用。</w:t>
      </w:r>
    </w:p>
    <w:p w14:paraId="05FC3893">
      <w:pPr>
        <w:spacing w:line="360" w:lineRule="auto"/>
        <w:ind w:firstLine="424" w:firstLineChars="202"/>
        <w:rPr>
          <w:rFonts w:ascii="宋体" w:hAnsi="宋体" w:eastAsia="宋体" w:cs="仿宋"/>
          <w:color w:val="auto"/>
          <w:szCs w:val="21"/>
        </w:rPr>
      </w:pPr>
      <w:r>
        <w:rPr>
          <w:rFonts w:hint="eastAsia" w:ascii="宋体" w:hAnsi="宋体" w:eastAsia="宋体" w:cs="宋体"/>
          <w:color w:val="auto"/>
          <w:szCs w:val="21"/>
          <w:lang w:bidi="ar"/>
        </w:rPr>
        <w:t>9、乙方携带进场的机器设备、机具必须是合格产品，乙方须对携带进场的机器设备、机具安全负责管理、维护及检查，对甲方和自查发现的安全隐患落实整改措施。对由于乙方使用不合格机器设备、机具造成事故的，由乙方自行承担责任。</w:t>
      </w:r>
    </w:p>
    <w:p w14:paraId="325BC30B">
      <w:pPr>
        <w:spacing w:line="360" w:lineRule="auto"/>
        <w:ind w:firstLine="424" w:firstLineChars="202"/>
        <w:rPr>
          <w:rFonts w:ascii="宋体" w:hAnsi="宋体" w:eastAsia="宋体" w:cs="仿宋"/>
          <w:color w:val="auto"/>
          <w:szCs w:val="21"/>
        </w:rPr>
      </w:pPr>
      <w:r>
        <w:rPr>
          <w:rFonts w:hint="eastAsia" w:ascii="宋体" w:hAnsi="宋体" w:eastAsia="宋体" w:cs="宋体"/>
          <w:color w:val="auto"/>
          <w:szCs w:val="21"/>
          <w:lang w:bidi="ar"/>
        </w:rPr>
        <w:t>10、甲方有权对整个施工现场的安全管理工作进行协调和监督管理。指导、监督、检查乙方的执业健康安全管理工作，对乙方施工中的违章指挥、违章作业和安全隐患提出整改意见，督促、检查乙方的隐患整改落实情况。</w:t>
      </w:r>
    </w:p>
    <w:p w14:paraId="3A3164F6">
      <w:pPr>
        <w:spacing w:line="360" w:lineRule="auto"/>
        <w:ind w:firstLine="424" w:firstLineChars="202"/>
        <w:rPr>
          <w:rFonts w:ascii="宋体" w:hAnsi="宋体" w:eastAsia="宋体" w:cs="仿宋"/>
          <w:color w:val="auto"/>
          <w:szCs w:val="21"/>
        </w:rPr>
      </w:pPr>
      <w:r>
        <w:rPr>
          <w:rFonts w:hint="eastAsia" w:ascii="宋体" w:hAnsi="宋体" w:eastAsia="宋体" w:cs="宋体"/>
          <w:color w:val="auto"/>
          <w:szCs w:val="21"/>
          <w:lang w:bidi="ar"/>
        </w:rPr>
        <w:t>11、乙方在施工过程中违反有关安全管理规定、有违章现象发生、安全问题整改不到位或拒不接受甲方的正常安全管理的，依据有关法律法规规定进行处理。乙方施工中存在重大隐患或险情时，甲方有权要求乙方立即整改直至隐患消除，若乙方整改后仍达不到甲方要求的，甲方有权要求与乙方单方解除合同，并要求乙方清退出场。</w:t>
      </w:r>
    </w:p>
    <w:p w14:paraId="3CD7C7EC">
      <w:pPr>
        <w:spacing w:line="360" w:lineRule="auto"/>
        <w:ind w:firstLine="424" w:firstLineChars="202"/>
        <w:rPr>
          <w:rFonts w:ascii="宋体" w:hAnsi="宋体" w:eastAsia="宋体" w:cs="仿宋"/>
          <w:color w:val="auto"/>
          <w:szCs w:val="21"/>
        </w:rPr>
      </w:pPr>
      <w:r>
        <w:rPr>
          <w:rFonts w:hint="eastAsia" w:ascii="宋体" w:hAnsi="宋体" w:eastAsia="宋体" w:cs="宋体"/>
          <w:color w:val="auto"/>
          <w:szCs w:val="21"/>
          <w:lang w:bidi="ar"/>
        </w:rPr>
        <w:t>12、乙方施工人员未经许可不得随意到施工区域以外的其它工作场所活动，乙方施工人员擅自到施工区域以外的其它工作场所活动，出现人身损伤或伤亡的，由乙方自行负责一切责任。乙方施工人员需动用或施工涉及到甲方所属设备、电器、管线及其他设施等，必须事先征得甲方代表的同意，并采取安全防护措施。</w:t>
      </w:r>
    </w:p>
    <w:p w14:paraId="4EAA25EB">
      <w:pPr>
        <w:spacing w:line="360" w:lineRule="auto"/>
        <w:ind w:firstLine="424" w:firstLineChars="202"/>
        <w:rPr>
          <w:rFonts w:ascii="宋体" w:hAnsi="宋体" w:eastAsia="宋体" w:cs="仿宋"/>
          <w:color w:val="auto"/>
          <w:szCs w:val="21"/>
        </w:rPr>
      </w:pPr>
      <w:r>
        <w:rPr>
          <w:rFonts w:hint="eastAsia" w:ascii="宋体" w:hAnsi="宋体" w:eastAsia="宋体" w:cs="宋体"/>
          <w:color w:val="auto"/>
          <w:szCs w:val="21"/>
          <w:lang w:bidi="ar"/>
        </w:rPr>
        <w:t>13、在施工过程中，需要进行动土、动火、登高、吊装、断路、进入限制性空间等危险性较高的作业时，乙方的施工负责人、专职或兼职安全员必须现场确认，确保安全后，方可开始施工。</w:t>
      </w:r>
    </w:p>
    <w:p w14:paraId="07D2BD0F">
      <w:pPr>
        <w:spacing w:line="360" w:lineRule="auto"/>
        <w:ind w:firstLine="424" w:firstLineChars="202"/>
        <w:rPr>
          <w:rFonts w:ascii="宋体" w:hAnsi="宋体" w:eastAsia="宋体" w:cs="仿宋"/>
          <w:color w:val="auto"/>
          <w:szCs w:val="21"/>
        </w:rPr>
      </w:pPr>
      <w:r>
        <w:rPr>
          <w:rFonts w:hint="eastAsia" w:ascii="宋体" w:hAnsi="宋体" w:eastAsia="宋体" w:cs="宋体"/>
          <w:color w:val="auto"/>
          <w:szCs w:val="21"/>
          <w:lang w:bidi="ar"/>
        </w:rPr>
        <w:t>14、因乙方原因，造成乙方损失，由乙方自负，给甲方造成财产损失和人员伤害，乙方要负全部责任，并全额赔偿甲方。</w:t>
      </w:r>
    </w:p>
    <w:p w14:paraId="02CBF531">
      <w:pPr>
        <w:spacing w:line="360" w:lineRule="auto"/>
        <w:ind w:firstLine="424" w:firstLineChars="202"/>
        <w:rPr>
          <w:rFonts w:ascii="宋体" w:hAnsi="宋体" w:eastAsia="宋体" w:cs="仿宋"/>
          <w:color w:val="auto"/>
          <w:szCs w:val="21"/>
        </w:rPr>
      </w:pPr>
      <w:r>
        <w:rPr>
          <w:rFonts w:hint="eastAsia" w:ascii="宋体" w:hAnsi="宋体" w:eastAsia="宋体" w:cs="宋体"/>
          <w:color w:val="auto"/>
          <w:szCs w:val="21"/>
          <w:lang w:bidi="ar"/>
        </w:rPr>
        <w:t>15、非因甲方原因，造成乙方损失的，甲方不承担任何责任，由乙方自行承担全部责任。</w:t>
      </w:r>
    </w:p>
    <w:p w14:paraId="269384E3">
      <w:pPr>
        <w:spacing w:line="360" w:lineRule="auto"/>
        <w:ind w:firstLine="424" w:firstLineChars="202"/>
        <w:rPr>
          <w:rFonts w:ascii="宋体" w:hAnsi="宋体" w:eastAsia="宋体" w:cs="仿宋"/>
          <w:color w:val="auto"/>
          <w:szCs w:val="21"/>
        </w:rPr>
      </w:pPr>
      <w:r>
        <w:rPr>
          <w:rFonts w:hint="eastAsia" w:ascii="宋体" w:hAnsi="宋体" w:eastAsia="宋体" w:cs="宋体"/>
          <w:color w:val="auto"/>
          <w:szCs w:val="21"/>
          <w:lang w:bidi="ar"/>
        </w:rPr>
        <w:t>16、乙方应严格遵守法律法规以及甲方的安全管理要求，并接受甲方的安全生产工作协调和监督，积极消除安全隐患。安全管理的基本要求包括但不限于以下条款：</w:t>
      </w:r>
    </w:p>
    <w:p w14:paraId="74EB8D04">
      <w:pPr>
        <w:spacing w:line="360" w:lineRule="auto"/>
        <w:ind w:firstLine="424" w:firstLineChars="202"/>
        <w:rPr>
          <w:rFonts w:ascii="宋体" w:hAnsi="宋体" w:eastAsia="宋体" w:cs="仿宋"/>
          <w:color w:val="auto"/>
          <w:szCs w:val="21"/>
        </w:rPr>
      </w:pPr>
      <w:r>
        <w:rPr>
          <w:rFonts w:hint="eastAsia" w:ascii="宋体" w:hAnsi="宋体" w:eastAsia="宋体" w:cs="宋体"/>
          <w:color w:val="auto"/>
          <w:szCs w:val="21"/>
          <w:lang w:bidi="ar"/>
        </w:rPr>
        <w:t>①禁火区内严禁吸烟、动火。有火灾危险的作业区域，乙方必须配置足够的灭火设施。</w:t>
      </w:r>
    </w:p>
    <w:p w14:paraId="7F625F5B">
      <w:pPr>
        <w:spacing w:line="360" w:lineRule="auto"/>
        <w:ind w:firstLine="424" w:firstLineChars="202"/>
        <w:rPr>
          <w:rFonts w:ascii="宋体" w:hAnsi="宋体" w:eastAsia="宋体" w:cs="仿宋"/>
          <w:color w:val="auto"/>
          <w:szCs w:val="21"/>
        </w:rPr>
      </w:pPr>
      <w:r>
        <w:rPr>
          <w:rFonts w:hint="eastAsia" w:ascii="宋体" w:hAnsi="宋体" w:eastAsia="宋体" w:cs="宋体"/>
          <w:color w:val="auto"/>
          <w:szCs w:val="21"/>
          <w:lang w:bidi="ar"/>
        </w:rPr>
        <w:t>②焊接、气割作业时两瓶距离必须达到5M及以上，气瓶距可能产生火花的电器、设备和其它火源的间距必须达到10M及以上。</w:t>
      </w:r>
    </w:p>
    <w:p w14:paraId="7D17F84E">
      <w:pPr>
        <w:spacing w:line="360" w:lineRule="auto"/>
        <w:ind w:firstLine="424" w:firstLineChars="202"/>
        <w:rPr>
          <w:rFonts w:ascii="宋体" w:hAnsi="宋体" w:eastAsia="宋体" w:cs="仿宋"/>
          <w:color w:val="auto"/>
          <w:szCs w:val="21"/>
        </w:rPr>
      </w:pPr>
      <w:r>
        <w:rPr>
          <w:rFonts w:hint="eastAsia" w:ascii="宋体" w:hAnsi="宋体" w:eastAsia="宋体" w:cs="宋体"/>
          <w:color w:val="auto"/>
          <w:szCs w:val="21"/>
          <w:lang w:bidi="ar"/>
        </w:rPr>
        <w:t>③严禁在厂内道路、消防通道内搭建临时建筑或堆放物资。</w:t>
      </w:r>
    </w:p>
    <w:p w14:paraId="23C07186">
      <w:pPr>
        <w:spacing w:line="360" w:lineRule="auto"/>
        <w:ind w:firstLine="424" w:firstLineChars="202"/>
        <w:rPr>
          <w:rFonts w:ascii="宋体" w:hAnsi="宋体" w:eastAsia="宋体" w:cs="仿宋"/>
          <w:color w:val="auto"/>
          <w:szCs w:val="21"/>
        </w:rPr>
      </w:pPr>
      <w:r>
        <w:rPr>
          <w:rFonts w:hint="eastAsia" w:ascii="宋体" w:hAnsi="宋体" w:eastAsia="宋体" w:cs="宋体"/>
          <w:color w:val="auto"/>
          <w:szCs w:val="21"/>
          <w:lang w:bidi="ar"/>
        </w:rPr>
        <w:t>④施工场所的电动工具、电焊机等须有漏电保护器和相应的安全防护装置。</w:t>
      </w:r>
    </w:p>
    <w:p w14:paraId="7EC3E70D">
      <w:pPr>
        <w:spacing w:line="360" w:lineRule="auto"/>
        <w:ind w:firstLine="424" w:firstLineChars="202"/>
        <w:rPr>
          <w:rFonts w:ascii="宋体" w:hAnsi="宋体" w:eastAsia="宋体" w:cs="仿宋"/>
          <w:color w:val="auto"/>
          <w:szCs w:val="21"/>
        </w:rPr>
      </w:pPr>
      <w:r>
        <w:rPr>
          <w:rFonts w:hint="eastAsia" w:ascii="宋体" w:hAnsi="宋体" w:eastAsia="宋体" w:cs="宋体"/>
          <w:color w:val="auto"/>
          <w:szCs w:val="21"/>
          <w:lang w:bidi="ar"/>
        </w:rPr>
        <w:t>⑤施工现场及居住室、办公室内的用电设施必须符合要求，严禁电线乱接、乱拉，刀闸和开关无盖，在电器设施上堆放物品。</w:t>
      </w:r>
    </w:p>
    <w:p w14:paraId="0F25679F">
      <w:pPr>
        <w:spacing w:line="360" w:lineRule="auto"/>
        <w:ind w:firstLine="424" w:firstLineChars="202"/>
        <w:rPr>
          <w:rFonts w:ascii="宋体" w:hAnsi="宋体" w:eastAsia="宋体" w:cs="仿宋"/>
          <w:color w:val="auto"/>
          <w:szCs w:val="21"/>
        </w:rPr>
      </w:pPr>
      <w:r>
        <w:rPr>
          <w:rFonts w:hint="eastAsia" w:ascii="宋体" w:hAnsi="宋体" w:eastAsia="宋体" w:cs="宋体"/>
          <w:color w:val="auto"/>
          <w:szCs w:val="21"/>
          <w:lang w:bidi="ar"/>
        </w:rPr>
        <w:t>⑥防雷、防静电设施及用电设施要有良好接地。</w:t>
      </w:r>
    </w:p>
    <w:p w14:paraId="5642145B">
      <w:pPr>
        <w:spacing w:line="360" w:lineRule="auto"/>
        <w:ind w:firstLine="424" w:firstLineChars="202"/>
        <w:rPr>
          <w:rFonts w:ascii="宋体" w:hAnsi="宋体" w:eastAsia="宋体" w:cs="仿宋"/>
          <w:color w:val="auto"/>
          <w:szCs w:val="21"/>
        </w:rPr>
      </w:pPr>
      <w:r>
        <w:rPr>
          <w:rFonts w:hint="eastAsia" w:ascii="宋体" w:hAnsi="宋体" w:eastAsia="宋体" w:cs="宋体"/>
          <w:color w:val="auto"/>
          <w:szCs w:val="21"/>
          <w:lang w:bidi="ar"/>
        </w:rPr>
        <w:t>⑦施工现场的危险区域，如临边、深坑、土方堆填区等，必须设置围栏和危险标志，夜间要设信号灯。</w:t>
      </w:r>
    </w:p>
    <w:p w14:paraId="680B5EF9">
      <w:pPr>
        <w:spacing w:line="360" w:lineRule="auto"/>
        <w:ind w:firstLine="424" w:firstLineChars="202"/>
        <w:rPr>
          <w:rFonts w:ascii="宋体" w:hAnsi="宋体" w:eastAsia="宋体" w:cs="仿宋"/>
          <w:color w:val="auto"/>
          <w:szCs w:val="21"/>
        </w:rPr>
      </w:pPr>
      <w:r>
        <w:rPr>
          <w:rFonts w:hint="eastAsia" w:ascii="宋体" w:hAnsi="宋体" w:eastAsia="宋体" w:cs="宋体"/>
          <w:color w:val="auto"/>
          <w:szCs w:val="21"/>
          <w:lang w:bidi="ar"/>
        </w:rPr>
        <w:t>⑧乙方应当为从业人员提供符合国家标准或者行业标准的劳动防护用品，并监督、教育从业人员按照使用规则佩戴、使用，防止工伤事故的发生。乙方发生各类工伤事故，严禁隐瞒不报。发生重伤及重伤以上事故，应及时组织抢救、保护好现场，并立即报告甲方主管领导。</w:t>
      </w:r>
    </w:p>
    <w:p w14:paraId="2C64D2A7">
      <w:pPr>
        <w:spacing w:line="360" w:lineRule="auto"/>
        <w:ind w:firstLine="424" w:firstLineChars="202"/>
        <w:rPr>
          <w:rFonts w:ascii="宋体" w:hAnsi="宋体" w:eastAsia="宋体" w:cs="仿宋"/>
          <w:color w:val="auto"/>
          <w:szCs w:val="21"/>
        </w:rPr>
      </w:pPr>
      <w:r>
        <w:rPr>
          <w:rFonts w:hint="eastAsia" w:ascii="宋体" w:hAnsi="宋体" w:eastAsia="宋体" w:cs="宋体"/>
          <w:color w:val="auto"/>
          <w:szCs w:val="21"/>
          <w:lang w:bidi="ar"/>
        </w:rPr>
        <w:t>⑨登高架子、安全防护设施、脚手架搭设完毕必须经乙方安全员或代表验收合格后方可使用，对从甲方接手及自行搭设的安全防护设施、脚手架做好日常维护与管理。安全防护设施、脚手架的拆除必须在接到专业工程师的施工指令后方可拆除，不得私自拆改任何安全防护设施，若因施工必须拆改，须向甲方主管领导报告，经批准后方可拆改，并做好临时防护设施和警戒，在施工完成后须立即恢复该处的安全防护设施。进行受限空间作业前，必须检测氧气、有毒有害气体，确保符合作业条件，做好个人防护和专人监护后，方可进入。</w:t>
      </w:r>
    </w:p>
    <w:p w14:paraId="6221B81F">
      <w:pPr>
        <w:spacing w:line="360" w:lineRule="auto"/>
        <w:ind w:firstLine="424" w:firstLineChars="202"/>
        <w:rPr>
          <w:rFonts w:ascii="宋体" w:hAnsi="宋体" w:eastAsia="宋体" w:cs="仿宋"/>
          <w:color w:val="auto"/>
          <w:szCs w:val="21"/>
        </w:rPr>
      </w:pPr>
      <w:r>
        <w:rPr>
          <w:rFonts w:hint="eastAsia" w:ascii="宋体" w:hAnsi="宋体" w:eastAsia="宋体" w:cs="宋体"/>
          <w:color w:val="auto"/>
          <w:szCs w:val="21"/>
          <w:lang w:bidi="ar"/>
        </w:rPr>
        <w:t>⑩乙方采用新工艺、新技术、新材料或者使用新设备，必须了解、掌握其安全技术特性，采取有效的安全防护措施，并对从业人员进行专门的安全生产教育和培训。乙方的电工、焊工、起重工、高处作业等特种作业人员必须按照国家有关规定经专门的安全作业培训，取得相应资格，方可上岗作业。</w:t>
      </w:r>
    </w:p>
    <w:p w14:paraId="4555F0B7">
      <w:pPr>
        <w:spacing w:line="360" w:lineRule="auto"/>
        <w:ind w:firstLine="424" w:firstLineChars="202"/>
        <w:rPr>
          <w:rFonts w:ascii="宋体" w:hAnsi="宋体" w:eastAsia="宋体" w:cs="Times New Roman"/>
          <w:color w:val="auto"/>
          <w:szCs w:val="21"/>
        </w:rPr>
      </w:pPr>
      <w:r>
        <w:rPr>
          <w:rFonts w:hint="eastAsia" w:ascii="宋体" w:hAnsi="宋体" w:eastAsia="宋体" w:cs="宋体"/>
          <w:color w:val="auto"/>
          <w:szCs w:val="21"/>
          <w:lang w:bidi="ar"/>
        </w:rPr>
        <w:t>17、乙方必须接受甲方的检查与监督，并应主动配合，做好安全工作，凡有违反上述协议的即视为乙方违约，甲方有权视情况从工程结算款/服务价款中扣除（1000-2000）元/次作为违约金。</w:t>
      </w:r>
    </w:p>
    <w:p w14:paraId="621B8D05">
      <w:pPr>
        <w:spacing w:line="360" w:lineRule="auto"/>
        <w:ind w:firstLine="424" w:firstLineChars="202"/>
        <w:rPr>
          <w:rFonts w:ascii="宋体" w:hAnsi="宋体" w:eastAsia="宋体" w:cs="仿宋"/>
          <w:color w:val="auto"/>
          <w:szCs w:val="21"/>
        </w:rPr>
      </w:pPr>
      <w:r>
        <w:rPr>
          <w:rFonts w:hint="eastAsia" w:ascii="宋体" w:hAnsi="宋体" w:eastAsia="宋体" w:cs="宋体"/>
          <w:color w:val="auto"/>
          <w:szCs w:val="21"/>
          <w:lang w:bidi="ar"/>
        </w:rPr>
        <w:t>18、如乙方因违反本条款规定，造成甲方损失或被第三方追偿的，甲方有权向乙方追偿，甲方可直接从应付款项中扣除。同时，乙方应按照合同价的30%向甲方支付违约金，如违约金不足以弥补损失的，甲方可要求乙方继续赔偿损失，并承担由此引起的一切法律责任和费用，包括但不限于甲方为处理纠纷所产生的诉讼仲裁费、鉴定费、担保费、赔偿金、律师费、行政部门的罚款等。乙方仍必须继续履行或采取补救措施，并不得因承担了违约责任，而减少改进及免除继续承担责任的义务。</w:t>
      </w:r>
    </w:p>
    <w:p w14:paraId="22145F9F">
      <w:pPr>
        <w:spacing w:line="360" w:lineRule="auto"/>
        <w:ind w:firstLine="424" w:firstLineChars="202"/>
        <w:rPr>
          <w:rFonts w:ascii="宋体" w:hAnsi="宋体" w:eastAsia="宋体" w:cs="仿宋"/>
          <w:color w:val="auto"/>
          <w:szCs w:val="21"/>
        </w:rPr>
      </w:pPr>
      <w:r>
        <w:rPr>
          <w:rFonts w:hint="eastAsia" w:ascii="宋体" w:hAnsi="宋体" w:eastAsia="宋体" w:cs="宋体"/>
          <w:color w:val="auto"/>
          <w:szCs w:val="21"/>
          <w:lang w:bidi="ar"/>
        </w:rPr>
        <w:t>19、乙方对施工过程中潜在的安全风险不明确的，不可盲目施工，否则，造成的不良后果由乙方独自承担。</w:t>
      </w:r>
    </w:p>
    <w:p w14:paraId="6293898C">
      <w:pPr>
        <w:spacing w:line="360" w:lineRule="auto"/>
        <w:ind w:firstLine="424" w:firstLineChars="202"/>
        <w:rPr>
          <w:rFonts w:ascii="宋体" w:hAnsi="宋体" w:eastAsia="宋体" w:cs="仿宋"/>
          <w:color w:val="auto"/>
          <w:szCs w:val="21"/>
        </w:rPr>
      </w:pPr>
      <w:r>
        <w:rPr>
          <w:rFonts w:hint="eastAsia" w:ascii="宋体" w:hAnsi="宋体" w:eastAsia="宋体" w:cs="宋体"/>
          <w:color w:val="auto"/>
          <w:szCs w:val="21"/>
          <w:lang w:bidi="ar"/>
        </w:rPr>
        <w:t>20、本协议自双方法定代表人或负责人签字并盖章后生效。</w:t>
      </w:r>
    </w:p>
    <w:p w14:paraId="38E396C3">
      <w:pPr>
        <w:spacing w:line="360" w:lineRule="auto"/>
        <w:rPr>
          <w:rFonts w:ascii="宋体" w:hAnsi="宋体" w:eastAsia="宋体" w:cs="仿宋"/>
          <w:b/>
          <w:bCs/>
          <w:color w:val="auto"/>
          <w:szCs w:val="21"/>
        </w:rPr>
      </w:pPr>
      <w:r>
        <w:rPr>
          <w:rFonts w:hint="eastAsia" w:ascii="宋体" w:hAnsi="宋体" w:eastAsia="宋体" w:cs="宋体"/>
          <w:b/>
          <w:bCs/>
          <w:color w:val="auto"/>
          <w:szCs w:val="21"/>
          <w:lang w:bidi="ar"/>
        </w:rPr>
        <w:t>乙方声明：</w:t>
      </w:r>
    </w:p>
    <w:p w14:paraId="53FA1992">
      <w:pPr>
        <w:spacing w:line="360" w:lineRule="auto"/>
        <w:ind w:firstLine="479" w:firstLineChars="227"/>
        <w:rPr>
          <w:rFonts w:ascii="宋体" w:hAnsi="宋体" w:eastAsia="宋体" w:cs="仿宋"/>
          <w:b/>
          <w:bCs/>
          <w:color w:val="auto"/>
          <w:szCs w:val="21"/>
        </w:rPr>
      </w:pPr>
      <w:r>
        <w:rPr>
          <w:rFonts w:hint="eastAsia" w:ascii="宋体" w:hAnsi="宋体" w:eastAsia="宋体" w:cs="宋体"/>
          <w:b/>
          <w:bCs/>
          <w:color w:val="auto"/>
          <w:szCs w:val="21"/>
          <w:lang w:bidi="ar"/>
        </w:rPr>
        <w:t>乙方已认真阅读协议内容，对协议条款、</w:t>
      </w:r>
      <w:r>
        <w:rPr>
          <w:rFonts w:hint="eastAsia" w:ascii="宋体" w:hAnsi="宋体" w:eastAsia="宋体" w:cs="宋体"/>
          <w:b/>
          <w:bCs/>
          <w:color w:val="auto"/>
          <w:szCs w:val="21"/>
          <w:u w:val="single"/>
          <w:lang w:eastAsia="zh-CN" w:bidi="ar"/>
        </w:rPr>
        <w:t>东莞市水务集团有限公司2025年安全及劳保物资采购项目</w:t>
      </w:r>
      <w:r>
        <w:rPr>
          <w:rFonts w:hint="eastAsia" w:ascii="宋体" w:hAnsi="宋体" w:eastAsia="宋体" w:cs="宋体"/>
          <w:b/>
          <w:bCs/>
          <w:color w:val="auto"/>
          <w:szCs w:val="21"/>
          <w:lang w:bidi="ar"/>
        </w:rPr>
        <w:t>的安全管理要求、安全风险充分理解，并自愿承担因违约造成的一切后果。</w:t>
      </w:r>
    </w:p>
    <w:p w14:paraId="53C0A8A1">
      <w:pPr>
        <w:spacing w:line="360" w:lineRule="auto"/>
        <w:ind w:firstLine="420" w:firstLineChars="200"/>
        <w:rPr>
          <w:rFonts w:ascii="宋体" w:hAnsi="宋体" w:eastAsia="宋体" w:cs="仿宋"/>
          <w:color w:val="auto"/>
          <w:szCs w:val="21"/>
        </w:rPr>
      </w:pPr>
      <w:r>
        <w:rPr>
          <w:rFonts w:hint="eastAsia" w:ascii="宋体" w:hAnsi="宋体" w:eastAsia="宋体" w:cs="仿宋"/>
          <w:color w:val="auto"/>
          <w:szCs w:val="21"/>
          <w:lang w:bidi="ar"/>
        </w:rPr>
        <w:t xml:space="preserve"> </w:t>
      </w:r>
    </w:p>
    <w:p w14:paraId="45F85DC3">
      <w:pPr>
        <w:spacing w:line="360" w:lineRule="auto"/>
        <w:ind w:firstLine="476" w:firstLineChars="227"/>
        <w:rPr>
          <w:rFonts w:ascii="宋体" w:hAnsi="宋体" w:eastAsia="宋体" w:cs="仿宋"/>
          <w:color w:val="auto"/>
          <w:szCs w:val="21"/>
        </w:rPr>
      </w:pPr>
      <w:r>
        <w:rPr>
          <w:rFonts w:hint="eastAsia" w:ascii="宋体" w:hAnsi="宋体" w:eastAsia="宋体" w:cs="宋体"/>
          <w:color w:val="auto"/>
          <w:szCs w:val="21"/>
          <w:lang w:bidi="ar"/>
        </w:rPr>
        <w:t>甲方（盖章）：</w:t>
      </w:r>
      <w:r>
        <w:rPr>
          <w:rFonts w:hint="eastAsia" w:ascii="宋体" w:hAnsi="宋体" w:eastAsia="宋体" w:cs="仿宋"/>
          <w:color w:val="auto"/>
          <w:szCs w:val="21"/>
          <w:lang w:bidi="ar"/>
        </w:rPr>
        <w:t xml:space="preserve">                      </w:t>
      </w:r>
      <w:r>
        <w:rPr>
          <w:rFonts w:hint="eastAsia" w:ascii="宋体" w:hAnsi="宋体" w:eastAsia="宋体" w:cs="宋体"/>
          <w:color w:val="auto"/>
          <w:szCs w:val="21"/>
          <w:lang w:bidi="ar"/>
        </w:rPr>
        <w:t>乙方（盖章）：</w:t>
      </w:r>
      <w:r>
        <w:rPr>
          <w:rFonts w:hint="eastAsia" w:ascii="宋体" w:hAnsi="宋体" w:eastAsia="宋体" w:cs="仿宋"/>
          <w:color w:val="auto"/>
          <w:szCs w:val="21"/>
          <w:lang w:bidi="ar"/>
        </w:rPr>
        <w:t xml:space="preserve"> </w:t>
      </w:r>
    </w:p>
    <w:p w14:paraId="2182DF20">
      <w:pPr>
        <w:spacing w:line="360" w:lineRule="auto"/>
        <w:ind w:firstLine="476" w:firstLineChars="227"/>
        <w:rPr>
          <w:rFonts w:ascii="宋体" w:hAnsi="宋体" w:eastAsia="宋体" w:cs="仿宋"/>
          <w:color w:val="auto"/>
          <w:szCs w:val="21"/>
        </w:rPr>
      </w:pPr>
      <w:r>
        <w:rPr>
          <w:rFonts w:hint="eastAsia" w:ascii="宋体" w:hAnsi="宋体" w:eastAsia="宋体" w:cs="宋体"/>
          <w:color w:val="auto"/>
          <w:szCs w:val="21"/>
          <w:lang w:bidi="ar"/>
        </w:rPr>
        <w:t>法定代表人或负责人：</w:t>
      </w:r>
      <w:r>
        <w:rPr>
          <w:rFonts w:hint="eastAsia" w:ascii="宋体" w:hAnsi="宋体" w:eastAsia="宋体" w:cs="仿宋"/>
          <w:color w:val="auto"/>
          <w:szCs w:val="21"/>
          <w:lang w:bidi="ar"/>
        </w:rPr>
        <w:t xml:space="preserve">               </w:t>
      </w:r>
      <w:r>
        <w:rPr>
          <w:rFonts w:hint="eastAsia" w:ascii="宋体" w:hAnsi="宋体" w:eastAsia="宋体" w:cs="宋体"/>
          <w:color w:val="auto"/>
          <w:szCs w:val="21"/>
          <w:lang w:bidi="ar"/>
        </w:rPr>
        <w:t>法定代表人或负责人：</w:t>
      </w:r>
    </w:p>
    <w:p w14:paraId="624B0C42">
      <w:pPr>
        <w:spacing w:line="360" w:lineRule="auto"/>
        <w:ind w:firstLine="476" w:firstLineChars="227"/>
        <w:rPr>
          <w:rFonts w:ascii="宋体" w:hAnsi="宋体" w:eastAsia="宋体" w:cs="仿宋"/>
          <w:color w:val="auto"/>
          <w:szCs w:val="21"/>
        </w:rPr>
      </w:pPr>
      <w:r>
        <w:rPr>
          <w:rFonts w:hint="eastAsia" w:ascii="宋体" w:hAnsi="宋体" w:eastAsia="宋体" w:cs="仿宋"/>
          <w:color w:val="auto"/>
          <w:szCs w:val="21"/>
          <w:lang w:bidi="ar"/>
        </w:rPr>
        <w:t xml:space="preserve">   </w:t>
      </w:r>
    </w:p>
    <w:p w14:paraId="106B5515">
      <w:pPr>
        <w:spacing w:line="360" w:lineRule="auto"/>
        <w:ind w:firstLine="476" w:firstLineChars="227"/>
        <w:rPr>
          <w:rFonts w:ascii="宋体" w:hAnsi="宋体" w:eastAsia="宋体" w:cs="仿宋"/>
          <w:color w:val="auto"/>
          <w:szCs w:val="21"/>
        </w:rPr>
      </w:pPr>
      <w:r>
        <w:rPr>
          <w:rFonts w:hint="eastAsia" w:ascii="宋体" w:hAnsi="宋体" w:eastAsia="宋体" w:cs="宋体"/>
          <w:color w:val="auto"/>
          <w:szCs w:val="21"/>
          <w:lang w:bidi="ar"/>
        </w:rPr>
        <w:t>签订日期：</w:t>
      </w:r>
    </w:p>
    <w:p w14:paraId="657A09FF">
      <w:pPr>
        <w:spacing w:line="360" w:lineRule="auto"/>
        <w:ind w:firstLine="476" w:firstLineChars="227"/>
        <w:rPr>
          <w:rFonts w:ascii="宋体" w:hAnsi="宋体" w:eastAsia="宋体" w:cs="仿宋"/>
          <w:color w:val="auto"/>
          <w:szCs w:val="21"/>
        </w:rPr>
      </w:pPr>
      <w:r>
        <w:rPr>
          <w:rFonts w:hint="eastAsia" w:ascii="宋体" w:hAnsi="宋体" w:eastAsia="宋体" w:cs="宋体"/>
          <w:color w:val="auto"/>
          <w:szCs w:val="21"/>
          <w:lang w:bidi="ar"/>
        </w:rPr>
        <w:t>签订地点：广东省东莞市</w:t>
      </w:r>
    </w:p>
    <w:p w14:paraId="36C60BB5">
      <w:pPr>
        <w:autoSpaceDE w:val="0"/>
        <w:autoSpaceDN w:val="0"/>
        <w:adjustRightInd w:val="0"/>
        <w:spacing w:line="360" w:lineRule="auto"/>
        <w:jc w:val="left"/>
        <w:rPr>
          <w:rFonts w:ascii="宋体" w:hAnsi="宋体" w:eastAsia="宋体" w:cs="Times New Roman"/>
          <w:color w:val="auto"/>
          <w:kern w:val="0"/>
          <w:szCs w:val="21"/>
        </w:rPr>
      </w:pPr>
    </w:p>
    <w:p w14:paraId="54D01C8B">
      <w:pPr>
        <w:pageBreakBefore/>
        <w:spacing w:before="120" w:beforeLines="50" w:after="120" w:afterLines="50" w:line="360" w:lineRule="auto"/>
        <w:ind w:firstLine="640"/>
        <w:jc w:val="center"/>
        <w:outlineLvl w:val="0"/>
        <w:rPr>
          <w:rFonts w:ascii="宋体" w:hAnsi="宋体" w:eastAsia="宋体" w:cs="Times New Roman"/>
          <w:b/>
          <w:bCs/>
          <w:color w:val="auto"/>
          <w:sz w:val="32"/>
          <w:szCs w:val="32"/>
          <w:lang w:val="zh-CN"/>
        </w:rPr>
      </w:pPr>
      <w:bookmarkStart w:id="408" w:name="_Toc24427_WPSOffice_Level1"/>
      <w:bookmarkStart w:id="409" w:name="_Toc22246"/>
      <w:bookmarkStart w:id="410" w:name="_Toc4388"/>
      <w:bookmarkStart w:id="411" w:name="_Toc447044479"/>
      <w:bookmarkStart w:id="412" w:name="_Toc447044603"/>
      <w:bookmarkStart w:id="413" w:name="_Toc173182305"/>
      <w:bookmarkStart w:id="414" w:name="_Toc447045090"/>
      <w:bookmarkStart w:id="415" w:name="_Toc512353083"/>
      <w:bookmarkStart w:id="416" w:name="_Toc142508360"/>
      <w:bookmarkStart w:id="417" w:name="_Toc12641"/>
      <w:r>
        <w:rPr>
          <w:rFonts w:hint="eastAsia" w:ascii="宋体" w:hAnsi="宋体" w:eastAsia="宋体" w:cs="Times New Roman"/>
          <w:b/>
          <w:bCs/>
          <w:color w:val="auto"/>
          <w:sz w:val="32"/>
          <w:szCs w:val="32"/>
          <w:lang w:val="zh-CN"/>
        </w:rPr>
        <w:t>第五篇</w:t>
      </w:r>
      <w:r>
        <w:rPr>
          <w:rFonts w:ascii="宋体" w:hAnsi="宋体" w:eastAsia="宋体" w:cs="Times New Roman"/>
          <w:b/>
          <w:bCs/>
          <w:color w:val="auto"/>
          <w:sz w:val="32"/>
          <w:szCs w:val="32"/>
          <w:lang w:val="zh-CN"/>
        </w:rPr>
        <w:t xml:space="preserve"> </w:t>
      </w:r>
      <w:r>
        <w:rPr>
          <w:rFonts w:hint="eastAsia" w:ascii="宋体" w:hAnsi="宋体" w:eastAsia="宋体" w:cs="Times New Roman"/>
          <w:b/>
          <w:bCs/>
          <w:color w:val="auto"/>
          <w:sz w:val="32"/>
          <w:szCs w:val="32"/>
          <w:lang w:val="zh-CN"/>
        </w:rPr>
        <w:t>相关保函格式</w:t>
      </w:r>
      <w:bookmarkEnd w:id="408"/>
      <w:bookmarkEnd w:id="409"/>
      <w:bookmarkEnd w:id="410"/>
      <w:bookmarkEnd w:id="411"/>
      <w:bookmarkEnd w:id="412"/>
      <w:bookmarkEnd w:id="413"/>
      <w:bookmarkEnd w:id="414"/>
      <w:bookmarkEnd w:id="415"/>
      <w:bookmarkEnd w:id="416"/>
      <w:bookmarkEnd w:id="417"/>
      <w:bookmarkStart w:id="418" w:name="_Toc447044604"/>
      <w:bookmarkStart w:id="419" w:name="_Toc447045091"/>
      <w:bookmarkStart w:id="420" w:name="_Toc447044480"/>
    </w:p>
    <w:p w14:paraId="74786232">
      <w:pPr>
        <w:autoSpaceDE w:val="0"/>
        <w:autoSpaceDN w:val="0"/>
        <w:adjustRightInd w:val="0"/>
        <w:spacing w:after="120" w:afterLines="50" w:line="360" w:lineRule="auto"/>
        <w:jc w:val="left"/>
        <w:rPr>
          <w:rFonts w:ascii="宋体" w:hAnsi="宋体" w:eastAsia="宋体" w:cs="Times New Roman"/>
          <w:b/>
          <w:color w:val="auto"/>
          <w:kern w:val="0"/>
          <w:sz w:val="28"/>
          <w:szCs w:val="28"/>
        </w:rPr>
      </w:pPr>
      <w:bookmarkStart w:id="421" w:name="_Toc26521_WPSOffice_Level2"/>
      <w:r>
        <w:rPr>
          <w:rFonts w:hint="eastAsia" w:ascii="宋体" w:hAnsi="宋体" w:eastAsia="宋体" w:cs="Times New Roman"/>
          <w:b/>
          <w:color w:val="auto"/>
          <w:kern w:val="0"/>
          <w:sz w:val="28"/>
          <w:szCs w:val="28"/>
        </w:rPr>
        <w:t>一、不可撤销银行履约保函格式</w:t>
      </w:r>
      <w:bookmarkEnd w:id="418"/>
      <w:bookmarkEnd w:id="419"/>
      <w:bookmarkEnd w:id="420"/>
      <w:bookmarkEnd w:id="421"/>
    </w:p>
    <w:p w14:paraId="3CE790F1">
      <w:pPr>
        <w:autoSpaceDE w:val="0"/>
        <w:autoSpaceDN w:val="0"/>
        <w:adjustRightInd w:val="0"/>
        <w:jc w:val="center"/>
        <w:rPr>
          <w:rFonts w:ascii="宋体" w:hAnsi="宋体" w:eastAsia="宋体" w:cs="Times New Roman"/>
          <w:b/>
          <w:color w:val="auto"/>
          <w:kern w:val="0"/>
          <w:sz w:val="30"/>
          <w:szCs w:val="30"/>
        </w:rPr>
      </w:pPr>
      <w:r>
        <w:rPr>
          <w:rFonts w:hint="eastAsia" w:ascii="宋体" w:hAnsi="宋体" w:eastAsia="宋体" w:cs="Times New Roman"/>
          <w:b/>
          <w:color w:val="auto"/>
          <w:kern w:val="0"/>
          <w:sz w:val="30"/>
          <w:szCs w:val="30"/>
        </w:rPr>
        <w:t>不可撤销银行履约保函</w:t>
      </w:r>
    </w:p>
    <w:p w14:paraId="660B5056">
      <w:pPr>
        <w:widowControl/>
        <w:autoSpaceDE w:val="0"/>
        <w:autoSpaceDN w:val="0"/>
        <w:adjustRightInd w:val="0"/>
        <w:spacing w:line="360" w:lineRule="auto"/>
        <w:jc w:val="left"/>
        <w:rPr>
          <w:rFonts w:ascii="宋体" w:hAnsi="宋体" w:eastAsia="宋体" w:cs="宋体"/>
          <w:color w:val="auto"/>
          <w:kern w:val="0"/>
          <w:szCs w:val="21"/>
        </w:rPr>
      </w:pPr>
    </w:p>
    <w:p w14:paraId="6E7CCD19">
      <w:pPr>
        <w:autoSpaceDE w:val="0"/>
        <w:autoSpaceDN w:val="0"/>
        <w:adjustRightInd w:val="0"/>
        <w:spacing w:line="360" w:lineRule="auto"/>
        <w:ind w:firstLine="6300"/>
        <w:jc w:val="left"/>
        <w:rPr>
          <w:rFonts w:ascii="宋体" w:hAnsi="宋体" w:eastAsia="宋体" w:cs="Times New Roman"/>
          <w:color w:val="auto"/>
          <w:kern w:val="0"/>
          <w:szCs w:val="21"/>
          <w:u w:val="single"/>
        </w:rPr>
      </w:pPr>
      <w:r>
        <w:rPr>
          <w:rFonts w:ascii="宋体" w:hAnsi="宋体" w:eastAsia="宋体" w:cs="Times New Roman"/>
          <w:color w:val="auto"/>
          <w:kern w:val="0"/>
          <w:szCs w:val="21"/>
        </w:rPr>
        <w:t>银行编号：</w:t>
      </w:r>
    </w:p>
    <w:p w14:paraId="3470593F">
      <w:pPr>
        <w:widowControl/>
        <w:autoSpaceDE w:val="0"/>
        <w:autoSpaceDN w:val="0"/>
        <w:adjustRightInd w:val="0"/>
        <w:spacing w:line="360" w:lineRule="auto"/>
        <w:jc w:val="left"/>
        <w:rPr>
          <w:rFonts w:ascii="宋体" w:hAnsi="宋体" w:eastAsia="宋体" w:cs="宋体"/>
          <w:color w:val="auto"/>
          <w:kern w:val="0"/>
          <w:szCs w:val="21"/>
        </w:rPr>
      </w:pPr>
      <w:r>
        <w:rPr>
          <w:rFonts w:hint="eastAsia" w:ascii="宋体" w:hAnsi="宋体" w:eastAsia="宋体" w:cs="宋体"/>
          <w:color w:val="auto"/>
          <w:kern w:val="0"/>
          <w:szCs w:val="21"/>
        </w:rPr>
        <w:t>致：</w:t>
      </w:r>
      <w:r>
        <w:rPr>
          <w:rFonts w:ascii="宋体" w:hAnsi="宋体" w:eastAsia="宋体" w:cs="宋体"/>
          <w:b/>
          <w:color w:val="auto"/>
          <w:kern w:val="0"/>
          <w:szCs w:val="21"/>
          <w:u w:val="single"/>
        </w:rPr>
        <w:t xml:space="preserve">                    </w:t>
      </w:r>
      <w:r>
        <w:rPr>
          <w:rFonts w:hint="eastAsia" w:ascii="宋体" w:hAnsi="宋体" w:eastAsia="宋体" w:cs="宋体"/>
          <w:color w:val="auto"/>
          <w:kern w:val="0"/>
          <w:szCs w:val="21"/>
        </w:rPr>
        <w:t>（下称“受益人”）</w:t>
      </w:r>
    </w:p>
    <w:p w14:paraId="64107FA8">
      <w:pPr>
        <w:widowControl/>
        <w:autoSpaceDE w:val="0"/>
        <w:autoSpaceDN w:val="0"/>
        <w:adjustRightInd w:val="0"/>
        <w:spacing w:line="360" w:lineRule="auto"/>
        <w:ind w:firstLine="567" w:firstLineChars="270"/>
        <w:jc w:val="left"/>
        <w:rPr>
          <w:rFonts w:ascii="宋体" w:hAnsi="宋体" w:eastAsia="宋体" w:cs="宋体"/>
          <w:color w:val="auto"/>
          <w:kern w:val="0"/>
          <w:szCs w:val="21"/>
        </w:rPr>
      </w:pPr>
      <w:r>
        <w:rPr>
          <w:rFonts w:hint="eastAsia" w:ascii="宋体" w:hAnsi="宋体" w:eastAsia="宋体" w:cs="宋体"/>
          <w:color w:val="auto"/>
          <w:kern w:val="0"/>
          <w:szCs w:val="21"/>
        </w:rPr>
        <w:t>鉴于</w:t>
      </w:r>
      <w:r>
        <w:rPr>
          <w:rFonts w:ascii="宋体" w:hAnsi="宋体" w:eastAsia="宋体" w:cs="宋体"/>
          <w:color w:val="auto"/>
          <w:kern w:val="0"/>
          <w:szCs w:val="21"/>
          <w:u w:val="single"/>
        </w:rPr>
        <w:t xml:space="preserve">  （</w:t>
      </w:r>
      <w:r>
        <w:rPr>
          <w:rFonts w:hint="eastAsia" w:ascii="宋体" w:hAnsi="宋体" w:eastAsia="宋体" w:cs="宋体"/>
          <w:color w:val="auto"/>
          <w:kern w:val="0"/>
          <w:szCs w:val="21"/>
          <w:u w:val="single"/>
        </w:rPr>
        <w:t>申请人</w:t>
      </w:r>
      <w:r>
        <w:rPr>
          <w:rFonts w:ascii="宋体" w:hAnsi="宋体" w:eastAsia="宋体" w:cs="宋体"/>
          <w:color w:val="auto"/>
          <w:kern w:val="0"/>
          <w:szCs w:val="21"/>
          <w:u w:val="single"/>
        </w:rPr>
        <w:t xml:space="preserve">的名称与地址）  </w:t>
      </w:r>
      <w:r>
        <w:rPr>
          <w:rFonts w:hint="eastAsia" w:ascii="宋体" w:hAnsi="宋体" w:eastAsia="宋体" w:cs="宋体"/>
          <w:color w:val="auto"/>
          <w:kern w:val="0"/>
          <w:szCs w:val="21"/>
        </w:rPr>
        <w:t>（下称“申请人”），已保证按拟签订的</w:t>
      </w:r>
      <w:r>
        <w:rPr>
          <w:rFonts w:ascii="宋体" w:hAnsi="宋体" w:eastAsia="宋体" w:cs="宋体"/>
          <w:color w:val="auto"/>
          <w:kern w:val="0"/>
          <w:szCs w:val="21"/>
          <w:u w:val="single"/>
        </w:rPr>
        <w:t xml:space="preserve"> 项目名称       （招标编号：         ）</w:t>
      </w:r>
      <w:r>
        <w:rPr>
          <w:rFonts w:hint="eastAsia" w:ascii="宋体" w:hAnsi="宋体" w:eastAsia="宋体" w:cs="宋体"/>
          <w:color w:val="auto"/>
          <w:kern w:val="0"/>
          <w:szCs w:val="21"/>
        </w:rPr>
        <w:t>合同（招标文件）中规定的义务履行合同。</w:t>
      </w:r>
    </w:p>
    <w:p w14:paraId="7DE7F423">
      <w:pPr>
        <w:widowControl/>
        <w:autoSpaceDE w:val="0"/>
        <w:autoSpaceDN w:val="0"/>
        <w:adjustRightInd w:val="0"/>
        <w:spacing w:line="360" w:lineRule="auto"/>
        <w:ind w:firstLine="567" w:firstLineChars="270"/>
        <w:jc w:val="left"/>
        <w:rPr>
          <w:rFonts w:ascii="宋体" w:hAnsi="宋体" w:eastAsia="宋体" w:cs="宋体"/>
          <w:color w:val="auto"/>
          <w:kern w:val="0"/>
          <w:szCs w:val="21"/>
        </w:rPr>
      </w:pPr>
      <w:r>
        <w:rPr>
          <w:rFonts w:hint="eastAsia" w:ascii="宋体" w:hAnsi="宋体" w:eastAsia="宋体" w:cs="宋体"/>
          <w:color w:val="auto"/>
          <w:kern w:val="0"/>
          <w:szCs w:val="21"/>
        </w:rPr>
        <w:t>根据上述合同（招标文件）规定，申请人应向受益人提供一份金额为人民币（大写）</w:t>
      </w:r>
      <w:r>
        <w:rPr>
          <w:rFonts w:ascii="宋体" w:hAnsi="宋体" w:eastAsia="宋体" w:cs="宋体"/>
          <w:color w:val="auto"/>
          <w:kern w:val="0"/>
          <w:szCs w:val="21"/>
          <w:u w:val="single"/>
        </w:rPr>
        <w:t xml:space="preserve">      （</w:t>
      </w:r>
      <w:r>
        <w:rPr>
          <w:rFonts w:hint="eastAsia" w:ascii="宋体" w:hAnsi="宋体" w:eastAsia="宋体" w:cs="宋体"/>
          <w:color w:val="auto"/>
          <w:kern w:val="0"/>
          <w:szCs w:val="21"/>
          <w:u w:val="single"/>
        </w:rPr>
        <w:t>RMB</w:t>
      </w:r>
      <w:r>
        <w:rPr>
          <w:rFonts w:ascii="宋体" w:hAnsi="宋体" w:eastAsia="宋体" w:cs="宋体"/>
          <w:color w:val="auto"/>
          <w:kern w:val="0"/>
          <w:szCs w:val="21"/>
          <w:u w:val="single"/>
        </w:rPr>
        <w:t>元）</w:t>
      </w:r>
      <w:r>
        <w:rPr>
          <w:rFonts w:hint="eastAsia" w:ascii="宋体" w:hAnsi="宋体" w:eastAsia="宋体" w:cs="宋体"/>
          <w:color w:val="auto"/>
          <w:kern w:val="0"/>
          <w:szCs w:val="21"/>
        </w:rPr>
        <w:t>的无条件、不可撤销银行履约保函，作为申请人履行上述合同的担保。</w:t>
      </w:r>
    </w:p>
    <w:p w14:paraId="304E5932">
      <w:pPr>
        <w:widowControl/>
        <w:autoSpaceDE w:val="0"/>
        <w:autoSpaceDN w:val="0"/>
        <w:adjustRightInd w:val="0"/>
        <w:spacing w:line="360" w:lineRule="auto"/>
        <w:ind w:firstLine="567" w:firstLineChars="270"/>
        <w:jc w:val="left"/>
        <w:rPr>
          <w:rFonts w:ascii="宋体" w:hAnsi="宋体" w:eastAsia="宋体" w:cs="宋体"/>
          <w:color w:val="auto"/>
          <w:kern w:val="0"/>
          <w:szCs w:val="21"/>
        </w:rPr>
      </w:pPr>
      <w:r>
        <w:rPr>
          <w:rFonts w:hint="eastAsia" w:ascii="宋体" w:hAnsi="宋体" w:eastAsia="宋体" w:cs="宋体"/>
          <w:color w:val="auto"/>
          <w:kern w:val="0"/>
          <w:szCs w:val="21"/>
        </w:rPr>
        <w:t>我方</w:t>
      </w:r>
      <w:r>
        <w:rPr>
          <w:rFonts w:ascii="宋体" w:hAnsi="宋体" w:eastAsia="宋体" w:cs="宋体"/>
          <w:color w:val="auto"/>
          <w:kern w:val="0"/>
          <w:szCs w:val="21"/>
          <w:u w:val="single"/>
        </w:rPr>
        <w:t xml:space="preserve">     （银行名称）</w:t>
      </w:r>
      <w:r>
        <w:rPr>
          <w:rFonts w:hint="eastAsia" w:ascii="宋体" w:hAnsi="宋体" w:eastAsia="宋体" w:cs="宋体"/>
          <w:color w:val="auto"/>
          <w:kern w:val="0"/>
          <w:szCs w:val="21"/>
        </w:rPr>
        <w:t>，受申请人的委托，无条件和不可撤销地在受益人出具本保函原件且提出因申请人没有履行上述合同规定，而要求我方承担保证责任后，在保函限额内向受益人支付不超过人民币（大写）_________（¥_______元）的款项。</w:t>
      </w:r>
    </w:p>
    <w:p w14:paraId="0E27CB72">
      <w:pPr>
        <w:widowControl/>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在向我行提出要求前，我行将不坚持要求受益人首先向申请人提出上述款项的索赔。</w:t>
      </w:r>
    </w:p>
    <w:p w14:paraId="313AA28B">
      <w:pPr>
        <w:widowControl/>
        <w:autoSpaceDE w:val="0"/>
        <w:autoSpaceDN w:val="0"/>
        <w:adjustRightInd w:val="0"/>
        <w:spacing w:line="360" w:lineRule="auto"/>
        <w:ind w:firstLine="437"/>
        <w:jc w:val="left"/>
        <w:rPr>
          <w:rFonts w:ascii="宋体" w:hAnsi="宋体" w:eastAsia="宋体" w:cs="宋体"/>
          <w:color w:val="auto"/>
          <w:kern w:val="0"/>
          <w:szCs w:val="21"/>
        </w:rPr>
      </w:pPr>
      <w:r>
        <w:rPr>
          <w:rFonts w:hint="eastAsia" w:ascii="宋体" w:hAnsi="宋体" w:eastAsia="宋体" w:cs="宋体"/>
          <w:color w:val="auto"/>
          <w:kern w:val="0"/>
          <w:szCs w:val="21"/>
        </w:rPr>
        <w:t>我方还同意，任何受益人与申请人之间可能对合同条款的修改、规范或其他合同文件的变动补充，都不能免除我方按本保函所承担的责任。因此，有关上述变动、补充和修改无须通知或征得我方同意。</w:t>
      </w:r>
    </w:p>
    <w:p w14:paraId="55729B49">
      <w:pPr>
        <w:widowControl/>
        <w:autoSpaceDE w:val="0"/>
        <w:autoSpaceDN w:val="0"/>
        <w:adjustRightInd w:val="0"/>
        <w:spacing w:line="360" w:lineRule="auto"/>
        <w:ind w:firstLine="437"/>
        <w:jc w:val="left"/>
        <w:rPr>
          <w:rFonts w:ascii="宋体" w:hAnsi="宋体" w:eastAsia="宋体" w:cs="Times New Roman"/>
          <w:color w:val="auto"/>
          <w:kern w:val="0"/>
          <w:szCs w:val="21"/>
        </w:rPr>
      </w:pPr>
      <w:r>
        <w:rPr>
          <w:rFonts w:hint="eastAsia" w:ascii="宋体" w:hAnsi="宋体" w:eastAsia="宋体" w:cs="Times New Roman"/>
          <w:color w:val="auto"/>
          <w:kern w:val="0"/>
          <w:szCs w:val="21"/>
        </w:rPr>
        <w:t>本保函应从合同签订之日起至合同期限届满并全部货物经最终验收合格、受益人向申请人支付全部货款后二十八（28）日内保持有效。</w:t>
      </w:r>
    </w:p>
    <w:p w14:paraId="52DBB3B1">
      <w:pPr>
        <w:widowControl/>
        <w:autoSpaceDE w:val="0"/>
        <w:autoSpaceDN w:val="0"/>
        <w:adjustRightInd w:val="0"/>
        <w:spacing w:line="360" w:lineRule="auto"/>
        <w:ind w:firstLine="437"/>
        <w:jc w:val="left"/>
        <w:rPr>
          <w:rFonts w:ascii="宋体" w:hAnsi="宋体" w:eastAsia="宋体" w:cs="宋体"/>
          <w:color w:val="auto"/>
          <w:kern w:val="0"/>
          <w:szCs w:val="21"/>
        </w:rPr>
      </w:pPr>
    </w:p>
    <w:p w14:paraId="1707EF73">
      <w:pPr>
        <w:widowControl/>
        <w:autoSpaceDE w:val="0"/>
        <w:autoSpaceDN w:val="0"/>
        <w:adjustRightInd w:val="0"/>
        <w:spacing w:line="360" w:lineRule="auto"/>
        <w:ind w:firstLine="2520" w:firstLineChars="1200"/>
        <w:jc w:val="left"/>
        <w:rPr>
          <w:rFonts w:ascii="宋体" w:hAnsi="宋体" w:eastAsia="宋体" w:cs="宋体"/>
          <w:color w:val="auto"/>
          <w:kern w:val="0"/>
          <w:szCs w:val="21"/>
          <w:u w:val="single"/>
        </w:rPr>
      </w:pPr>
      <w:r>
        <w:rPr>
          <w:rFonts w:hint="eastAsia" w:ascii="宋体" w:hAnsi="宋体" w:eastAsia="宋体" w:cs="宋体"/>
          <w:color w:val="auto"/>
          <w:kern w:val="0"/>
          <w:szCs w:val="21"/>
        </w:rPr>
        <w:t>担</w:t>
      </w:r>
      <w:r>
        <w:rPr>
          <w:rFonts w:ascii="宋体" w:hAnsi="宋体" w:eastAsia="宋体" w:cs="宋体"/>
          <w:color w:val="auto"/>
          <w:kern w:val="0"/>
          <w:szCs w:val="21"/>
        </w:rPr>
        <w:t xml:space="preserve"> </w:t>
      </w:r>
      <w:r>
        <w:rPr>
          <w:rFonts w:hint="eastAsia" w:ascii="宋体" w:hAnsi="宋体" w:eastAsia="宋体" w:cs="宋体"/>
          <w:color w:val="auto"/>
          <w:kern w:val="0"/>
          <w:szCs w:val="21"/>
        </w:rPr>
        <w:t>保</w:t>
      </w:r>
      <w:r>
        <w:rPr>
          <w:rFonts w:ascii="宋体" w:hAnsi="宋体" w:eastAsia="宋体" w:cs="宋体"/>
          <w:color w:val="auto"/>
          <w:kern w:val="0"/>
          <w:szCs w:val="21"/>
        </w:rPr>
        <w:t xml:space="preserve"> </w:t>
      </w:r>
      <w:r>
        <w:rPr>
          <w:rFonts w:hint="eastAsia" w:ascii="宋体" w:hAnsi="宋体" w:eastAsia="宋体" w:cs="宋体"/>
          <w:color w:val="auto"/>
          <w:kern w:val="0"/>
          <w:szCs w:val="21"/>
        </w:rPr>
        <w:t>银</w:t>
      </w:r>
      <w:r>
        <w:rPr>
          <w:rFonts w:ascii="宋体" w:hAnsi="宋体" w:eastAsia="宋体" w:cs="宋体"/>
          <w:color w:val="auto"/>
          <w:kern w:val="0"/>
          <w:szCs w:val="21"/>
        </w:rPr>
        <w:t xml:space="preserve"> </w:t>
      </w:r>
      <w:r>
        <w:rPr>
          <w:rFonts w:hint="eastAsia" w:ascii="宋体" w:hAnsi="宋体" w:eastAsia="宋体" w:cs="宋体"/>
          <w:color w:val="auto"/>
          <w:kern w:val="0"/>
          <w:szCs w:val="21"/>
        </w:rPr>
        <w:t>行：</w:t>
      </w:r>
      <w:r>
        <w:rPr>
          <w:rFonts w:ascii="宋体" w:hAnsi="宋体" w:eastAsia="宋体" w:cs="宋体"/>
          <w:color w:val="auto"/>
          <w:kern w:val="0"/>
          <w:szCs w:val="21"/>
          <w:u w:val="single"/>
        </w:rPr>
        <w:t xml:space="preserve">          银行全称          (盖章)   </w:t>
      </w:r>
    </w:p>
    <w:p w14:paraId="3E9714A2">
      <w:pPr>
        <w:widowControl/>
        <w:autoSpaceDE w:val="0"/>
        <w:autoSpaceDN w:val="0"/>
        <w:adjustRightInd w:val="0"/>
        <w:spacing w:line="360" w:lineRule="auto"/>
        <w:ind w:firstLine="2520" w:firstLineChars="1200"/>
        <w:jc w:val="left"/>
        <w:rPr>
          <w:rFonts w:ascii="宋体" w:hAnsi="宋体" w:eastAsia="宋体" w:cs="宋体"/>
          <w:color w:val="auto"/>
          <w:kern w:val="0"/>
          <w:szCs w:val="21"/>
        </w:rPr>
      </w:pPr>
      <w:r>
        <w:rPr>
          <w:rFonts w:hint="eastAsia" w:ascii="宋体" w:hAnsi="宋体" w:eastAsia="宋体" w:cs="宋体"/>
          <w:color w:val="auto"/>
          <w:kern w:val="0"/>
          <w:szCs w:val="21"/>
        </w:rPr>
        <w:t>法定代表人或其授权的代表人：</w:t>
      </w:r>
      <w:r>
        <w:rPr>
          <w:rFonts w:ascii="宋体" w:hAnsi="宋体" w:eastAsia="宋体" w:cs="宋体"/>
          <w:color w:val="auto"/>
          <w:kern w:val="0"/>
          <w:szCs w:val="21"/>
          <w:u w:val="single"/>
        </w:rPr>
        <w:t xml:space="preserve">       (职务)         </w:t>
      </w:r>
    </w:p>
    <w:p w14:paraId="0F495E5D">
      <w:pPr>
        <w:widowControl/>
        <w:autoSpaceDE w:val="0"/>
        <w:autoSpaceDN w:val="0"/>
        <w:adjustRightInd w:val="0"/>
        <w:spacing w:line="360" w:lineRule="auto"/>
        <w:ind w:firstLine="5502" w:firstLineChars="2620"/>
        <w:jc w:val="left"/>
        <w:rPr>
          <w:rFonts w:ascii="宋体" w:hAnsi="宋体" w:eastAsia="宋体" w:cs="宋体"/>
          <w:color w:val="auto"/>
          <w:kern w:val="0"/>
          <w:szCs w:val="21"/>
          <w:u w:val="single"/>
        </w:rPr>
      </w:pPr>
      <w:r>
        <w:rPr>
          <w:rFonts w:ascii="宋体" w:hAnsi="宋体" w:eastAsia="宋体" w:cs="宋体"/>
          <w:color w:val="auto"/>
          <w:kern w:val="0"/>
          <w:szCs w:val="21"/>
          <w:u w:val="single"/>
        </w:rPr>
        <w:t xml:space="preserve">       (姓名)         </w:t>
      </w:r>
    </w:p>
    <w:p w14:paraId="27A64EAC">
      <w:pPr>
        <w:widowControl/>
        <w:autoSpaceDE w:val="0"/>
        <w:autoSpaceDN w:val="0"/>
        <w:adjustRightInd w:val="0"/>
        <w:spacing w:line="360" w:lineRule="auto"/>
        <w:ind w:firstLine="5502" w:firstLineChars="2620"/>
        <w:jc w:val="left"/>
        <w:rPr>
          <w:rFonts w:ascii="宋体" w:hAnsi="宋体" w:eastAsia="宋体" w:cs="宋体"/>
          <w:color w:val="auto"/>
          <w:kern w:val="0"/>
          <w:szCs w:val="21"/>
          <w:u w:val="single"/>
        </w:rPr>
      </w:pPr>
      <w:r>
        <w:rPr>
          <w:rFonts w:ascii="宋体" w:hAnsi="宋体" w:eastAsia="宋体" w:cs="宋体"/>
          <w:color w:val="auto"/>
          <w:kern w:val="0"/>
          <w:szCs w:val="21"/>
          <w:u w:val="single"/>
        </w:rPr>
        <w:t xml:space="preserve">       (签章)         </w:t>
      </w:r>
    </w:p>
    <w:p w14:paraId="1A03BC2C">
      <w:pPr>
        <w:autoSpaceDE w:val="0"/>
        <w:autoSpaceDN w:val="0"/>
        <w:adjustRightInd w:val="0"/>
        <w:spacing w:line="360" w:lineRule="auto"/>
        <w:ind w:left="840" w:firstLine="420" w:firstLineChars="200"/>
        <w:jc w:val="left"/>
        <w:rPr>
          <w:rFonts w:ascii="宋体" w:hAnsi="宋体" w:eastAsia="宋体" w:cs="宋体"/>
          <w:color w:val="auto"/>
          <w:kern w:val="0"/>
          <w:szCs w:val="21"/>
        </w:rPr>
      </w:pPr>
      <w:r>
        <w:rPr>
          <w:rFonts w:ascii="宋体" w:hAnsi="宋体" w:eastAsia="宋体" w:cs="宋体"/>
          <w:color w:val="auto"/>
          <w:kern w:val="0"/>
          <w:szCs w:val="21"/>
        </w:rPr>
        <w:t xml:space="preserve">                                        </w:t>
      </w:r>
      <w:r>
        <w:rPr>
          <w:rFonts w:ascii="宋体" w:hAnsi="宋体" w:eastAsia="宋体" w:cs="宋体"/>
          <w:color w:val="auto"/>
          <w:kern w:val="0"/>
          <w:szCs w:val="21"/>
          <w:u w:val="single"/>
        </w:rPr>
        <w:t xml:space="preserve">        </w:t>
      </w:r>
      <w:r>
        <w:rPr>
          <w:rFonts w:hint="eastAsia" w:ascii="宋体" w:hAnsi="宋体" w:eastAsia="宋体" w:cs="宋体"/>
          <w:color w:val="auto"/>
          <w:kern w:val="0"/>
          <w:szCs w:val="21"/>
        </w:rPr>
        <w:t>年</w:t>
      </w:r>
      <w:r>
        <w:rPr>
          <w:rFonts w:ascii="宋体" w:hAnsi="宋体" w:eastAsia="宋体" w:cs="宋体"/>
          <w:color w:val="auto"/>
          <w:kern w:val="0"/>
          <w:szCs w:val="21"/>
          <w:u w:val="single"/>
        </w:rPr>
        <w:t xml:space="preserve">     </w:t>
      </w:r>
      <w:r>
        <w:rPr>
          <w:rFonts w:hint="eastAsia" w:ascii="宋体" w:hAnsi="宋体" w:eastAsia="宋体" w:cs="宋体"/>
          <w:color w:val="auto"/>
          <w:kern w:val="0"/>
          <w:szCs w:val="21"/>
        </w:rPr>
        <w:t>月</w:t>
      </w:r>
      <w:r>
        <w:rPr>
          <w:rFonts w:ascii="宋体" w:hAnsi="宋体" w:eastAsia="宋体" w:cs="宋体"/>
          <w:color w:val="auto"/>
          <w:kern w:val="0"/>
          <w:szCs w:val="21"/>
          <w:u w:val="single"/>
        </w:rPr>
        <w:t xml:space="preserve">     </w:t>
      </w:r>
      <w:r>
        <w:rPr>
          <w:rFonts w:hint="eastAsia" w:ascii="宋体" w:hAnsi="宋体" w:eastAsia="宋体" w:cs="宋体"/>
          <w:color w:val="auto"/>
          <w:kern w:val="0"/>
          <w:szCs w:val="21"/>
        </w:rPr>
        <w:t>日</w:t>
      </w:r>
    </w:p>
    <w:p w14:paraId="1C3B6D7D">
      <w:pPr>
        <w:widowControl/>
        <w:autoSpaceDE w:val="0"/>
        <w:autoSpaceDN w:val="0"/>
        <w:adjustRightInd w:val="0"/>
        <w:spacing w:line="360" w:lineRule="auto"/>
        <w:jc w:val="left"/>
        <w:rPr>
          <w:rFonts w:ascii="宋体" w:hAnsi="宋体" w:eastAsia="宋体" w:cs="宋体"/>
          <w:color w:val="auto"/>
          <w:kern w:val="0"/>
          <w:szCs w:val="21"/>
        </w:rPr>
      </w:pPr>
    </w:p>
    <w:p w14:paraId="3A3BAF92">
      <w:pPr>
        <w:widowControl/>
        <w:autoSpaceDE w:val="0"/>
        <w:autoSpaceDN w:val="0"/>
        <w:adjustRightInd w:val="0"/>
        <w:spacing w:line="360" w:lineRule="auto"/>
        <w:jc w:val="left"/>
        <w:rPr>
          <w:rFonts w:ascii="宋体" w:hAnsi="宋体" w:eastAsia="宋体" w:cs="宋体"/>
          <w:color w:val="auto"/>
          <w:kern w:val="0"/>
          <w:szCs w:val="21"/>
        </w:rPr>
      </w:pPr>
    </w:p>
    <w:p w14:paraId="1F3633D9">
      <w:pPr>
        <w:autoSpaceDE w:val="0"/>
        <w:autoSpaceDN w:val="0"/>
        <w:adjustRightInd w:val="0"/>
        <w:spacing w:line="360" w:lineRule="auto"/>
        <w:ind w:right="368" w:rightChars="175"/>
        <w:jc w:val="left"/>
        <w:rPr>
          <w:rFonts w:ascii="宋体" w:hAnsi="宋体" w:eastAsia="宋体" w:cs="Times New Roman"/>
          <w:color w:val="auto"/>
          <w:kern w:val="0"/>
          <w:szCs w:val="21"/>
        </w:rPr>
        <w:sectPr>
          <w:headerReference r:id="rId4" w:type="first"/>
          <w:footerReference r:id="rId6" w:type="first"/>
          <w:headerReference r:id="rId3" w:type="default"/>
          <w:footerReference r:id="rId5" w:type="default"/>
          <w:pgSz w:w="12240" w:h="15840"/>
          <w:pgMar w:top="1191" w:right="1043" w:bottom="1191" w:left="1043" w:header="720" w:footer="720" w:gutter="0"/>
          <w:cols w:space="720" w:num="1"/>
          <w:titlePg/>
          <w:docGrid w:linePitch="326" w:charSpace="0"/>
        </w:sectPr>
      </w:pPr>
    </w:p>
    <w:p w14:paraId="515488D8">
      <w:pPr>
        <w:rPr>
          <w:rFonts w:ascii="宋体" w:hAnsi="宋体" w:eastAsia="宋体" w:cs="Times New Roman"/>
          <w:b/>
          <w:color w:val="auto"/>
          <w:kern w:val="0"/>
          <w:sz w:val="28"/>
          <w:szCs w:val="28"/>
        </w:rPr>
      </w:pPr>
      <w:r>
        <w:rPr>
          <w:rFonts w:hint="eastAsia" w:ascii="宋体" w:hAnsi="宋体" w:eastAsia="宋体" w:cs="Times New Roman"/>
          <w:b/>
          <w:color w:val="auto"/>
          <w:kern w:val="0"/>
          <w:sz w:val="28"/>
          <w:szCs w:val="28"/>
        </w:rPr>
        <w:t>二、履约保证保险凭证格式</w:t>
      </w:r>
    </w:p>
    <w:p w14:paraId="735E4E1C">
      <w:pPr>
        <w:autoSpaceDE w:val="0"/>
        <w:autoSpaceDN w:val="0"/>
        <w:adjustRightInd w:val="0"/>
        <w:jc w:val="center"/>
        <w:rPr>
          <w:rFonts w:ascii="宋体" w:hAnsi="宋体" w:eastAsia="宋体" w:cs="Times New Roman"/>
          <w:b/>
          <w:color w:val="auto"/>
          <w:kern w:val="0"/>
          <w:sz w:val="30"/>
          <w:szCs w:val="30"/>
        </w:rPr>
      </w:pPr>
    </w:p>
    <w:p w14:paraId="13D71E92">
      <w:pPr>
        <w:autoSpaceDE w:val="0"/>
        <w:autoSpaceDN w:val="0"/>
        <w:adjustRightInd w:val="0"/>
        <w:jc w:val="center"/>
        <w:rPr>
          <w:rFonts w:ascii="宋体" w:hAnsi="宋体" w:eastAsia="宋体" w:cs="Times New Roman"/>
          <w:b/>
          <w:color w:val="auto"/>
          <w:kern w:val="0"/>
          <w:sz w:val="30"/>
          <w:szCs w:val="30"/>
        </w:rPr>
      </w:pPr>
      <w:r>
        <w:rPr>
          <w:rFonts w:hint="eastAsia" w:ascii="宋体" w:hAnsi="宋体" w:eastAsia="宋体" w:cs="Times New Roman"/>
          <w:b/>
          <w:color w:val="auto"/>
          <w:kern w:val="0"/>
          <w:sz w:val="30"/>
          <w:szCs w:val="30"/>
        </w:rPr>
        <w:t>履约保证保险凭证</w:t>
      </w:r>
    </w:p>
    <w:p w14:paraId="32D818A3">
      <w:pPr>
        <w:autoSpaceDE w:val="0"/>
        <w:autoSpaceDN w:val="0"/>
        <w:adjustRightInd w:val="0"/>
        <w:spacing w:line="360" w:lineRule="auto"/>
        <w:ind w:firstLine="437"/>
        <w:jc w:val="center"/>
        <w:rPr>
          <w:rFonts w:ascii="宋体" w:hAnsi="宋体" w:eastAsia="宋体" w:cs="宋体"/>
          <w:color w:val="auto"/>
          <w:kern w:val="0"/>
          <w:szCs w:val="21"/>
        </w:rPr>
      </w:pPr>
      <w:r>
        <w:rPr>
          <w:rFonts w:hint="eastAsia" w:ascii="宋体" w:hAnsi="宋体" w:eastAsia="宋体" w:cs="宋体"/>
          <w:color w:val="auto"/>
          <w:kern w:val="0"/>
          <w:szCs w:val="21"/>
        </w:rPr>
        <w:t xml:space="preserve">                                      </w:t>
      </w:r>
    </w:p>
    <w:p w14:paraId="2CF6F449">
      <w:pPr>
        <w:autoSpaceDE w:val="0"/>
        <w:autoSpaceDN w:val="0"/>
        <w:adjustRightInd w:val="0"/>
        <w:spacing w:line="360" w:lineRule="auto"/>
        <w:ind w:firstLine="437"/>
        <w:jc w:val="center"/>
        <w:rPr>
          <w:rFonts w:ascii="宋体" w:hAnsi="宋体" w:eastAsia="宋体" w:cs="宋体"/>
          <w:color w:val="auto"/>
          <w:kern w:val="0"/>
          <w:szCs w:val="21"/>
        </w:rPr>
      </w:pPr>
      <w:r>
        <w:rPr>
          <w:rFonts w:hint="eastAsia" w:ascii="宋体" w:hAnsi="宋体" w:eastAsia="宋体" w:cs="宋体"/>
          <w:color w:val="auto"/>
          <w:kern w:val="0"/>
          <w:szCs w:val="21"/>
        </w:rPr>
        <w:t xml:space="preserve">                               编号：</w:t>
      </w:r>
    </w:p>
    <w:p w14:paraId="0C3AB7AF">
      <w:pPr>
        <w:autoSpaceDE w:val="0"/>
        <w:autoSpaceDN w:val="0"/>
        <w:adjustRightInd w:val="0"/>
        <w:spacing w:line="360" w:lineRule="auto"/>
        <w:jc w:val="left"/>
        <w:rPr>
          <w:rFonts w:ascii="宋体" w:hAnsi="宋体" w:eastAsia="宋体" w:cs="宋体"/>
          <w:color w:val="auto"/>
          <w:kern w:val="0"/>
          <w:szCs w:val="21"/>
        </w:rPr>
      </w:pPr>
      <w:r>
        <w:rPr>
          <w:rFonts w:hint="eastAsia" w:ascii="宋体" w:hAnsi="宋体" w:eastAsia="宋体" w:cs="宋体"/>
          <w:color w:val="auto"/>
          <w:kern w:val="0"/>
          <w:szCs w:val="21"/>
        </w:rPr>
        <w:t>致：</w:t>
      </w:r>
      <w:r>
        <w:rPr>
          <w:rFonts w:hint="eastAsia" w:ascii="宋体" w:hAnsi="宋体" w:eastAsia="宋体" w:cs="宋体"/>
          <w:b/>
          <w:color w:val="auto"/>
          <w:kern w:val="0"/>
          <w:szCs w:val="21"/>
          <w:u w:val="single"/>
        </w:rPr>
        <w:t xml:space="preserve">                    </w:t>
      </w:r>
      <w:r>
        <w:rPr>
          <w:rFonts w:hint="eastAsia" w:ascii="宋体" w:hAnsi="宋体" w:eastAsia="宋体" w:cs="宋体"/>
          <w:color w:val="auto"/>
          <w:kern w:val="0"/>
          <w:szCs w:val="21"/>
        </w:rPr>
        <w:t xml:space="preserve">（下称“受益人”）： </w:t>
      </w:r>
    </w:p>
    <w:p w14:paraId="35AC500C">
      <w:pPr>
        <w:autoSpaceDE w:val="0"/>
        <w:autoSpaceDN w:val="0"/>
        <w:adjustRightInd w:val="0"/>
        <w:spacing w:line="360" w:lineRule="auto"/>
        <w:ind w:firstLine="437"/>
        <w:jc w:val="left"/>
        <w:rPr>
          <w:rFonts w:ascii="宋体" w:hAnsi="宋体" w:eastAsia="宋体" w:cs="宋体"/>
          <w:color w:val="auto"/>
          <w:kern w:val="0"/>
          <w:szCs w:val="21"/>
        </w:rPr>
      </w:pPr>
    </w:p>
    <w:p w14:paraId="4422A215">
      <w:pPr>
        <w:autoSpaceDE w:val="0"/>
        <w:autoSpaceDN w:val="0"/>
        <w:adjustRightInd w:val="0"/>
        <w:spacing w:line="360" w:lineRule="auto"/>
        <w:ind w:firstLine="437"/>
        <w:jc w:val="left"/>
        <w:rPr>
          <w:rFonts w:ascii="宋体" w:hAnsi="宋体" w:eastAsia="宋体" w:cs="宋体"/>
          <w:color w:val="auto"/>
          <w:kern w:val="0"/>
          <w:szCs w:val="21"/>
        </w:rPr>
      </w:pPr>
      <w:r>
        <w:rPr>
          <w:rFonts w:hint="eastAsia" w:ascii="宋体" w:hAnsi="宋体" w:eastAsia="宋体" w:cs="宋体"/>
          <w:color w:val="auto"/>
          <w:kern w:val="0"/>
          <w:szCs w:val="21"/>
        </w:rPr>
        <w:t>鉴于</w:t>
      </w:r>
      <w:r>
        <w:rPr>
          <w:rFonts w:hint="eastAsia" w:ascii="宋体" w:hAnsi="宋体" w:eastAsia="宋体" w:cs="宋体"/>
          <w:b/>
          <w:color w:val="auto"/>
          <w:kern w:val="0"/>
          <w:szCs w:val="21"/>
          <w:u w:val="single"/>
        </w:rPr>
        <w:t xml:space="preserve">                    </w:t>
      </w:r>
      <w:r>
        <w:rPr>
          <w:rFonts w:hint="eastAsia" w:ascii="宋体" w:hAnsi="宋体" w:eastAsia="宋体" w:cs="宋体"/>
          <w:color w:val="auto"/>
          <w:kern w:val="0"/>
          <w:szCs w:val="21"/>
        </w:rPr>
        <w:t>（下称“申请人”）已与贵方签订了</w:t>
      </w:r>
      <w:r>
        <w:rPr>
          <w:rFonts w:ascii="宋体" w:hAnsi="宋体" w:eastAsia="宋体" w:cs="Times New Roman"/>
          <w:color w:val="auto"/>
          <w:kern w:val="0"/>
          <w:szCs w:val="21"/>
          <w:u w:val="single"/>
        </w:rPr>
        <w:t xml:space="preserve"> </w:t>
      </w:r>
      <w:r>
        <w:rPr>
          <w:rFonts w:hint="eastAsia" w:ascii="宋体" w:hAnsi="宋体" w:eastAsia="宋体" w:cs="Times New Roman"/>
          <w:color w:val="auto"/>
          <w:kern w:val="0"/>
          <w:szCs w:val="21"/>
          <w:u w:val="single"/>
        </w:rPr>
        <w:t xml:space="preserve"> </w:t>
      </w:r>
      <w:r>
        <w:rPr>
          <w:rFonts w:ascii="宋体" w:hAnsi="宋体" w:eastAsia="宋体" w:cs="Times New Roman"/>
          <w:color w:val="auto"/>
          <w:kern w:val="0"/>
          <w:szCs w:val="21"/>
          <w:u w:val="single"/>
        </w:rPr>
        <w:t xml:space="preserve">       </w:t>
      </w:r>
      <w:r>
        <w:rPr>
          <w:rFonts w:hint="eastAsia" w:ascii="宋体" w:hAnsi="宋体" w:eastAsia="宋体" w:cs="Times New Roman"/>
          <w:color w:val="auto"/>
          <w:kern w:val="0"/>
          <w:szCs w:val="21"/>
          <w:u w:val="single"/>
        </w:rPr>
        <w:t>项目</w:t>
      </w:r>
      <w:r>
        <w:rPr>
          <w:rFonts w:ascii="宋体" w:hAnsi="宋体" w:eastAsia="宋体" w:cs="Times New Roman"/>
          <w:color w:val="auto"/>
          <w:kern w:val="0"/>
          <w:szCs w:val="21"/>
          <w:u w:val="single"/>
        </w:rPr>
        <w:t>（招标编号：        ）</w:t>
      </w:r>
      <w:r>
        <w:rPr>
          <w:rFonts w:hint="eastAsia" w:ascii="宋体" w:hAnsi="宋体" w:eastAsia="宋体" w:cs="Times New Roman"/>
          <w:color w:val="auto"/>
          <w:kern w:val="0"/>
          <w:szCs w:val="21"/>
        </w:rPr>
        <w:t>合同</w:t>
      </w:r>
      <w:r>
        <w:rPr>
          <w:rFonts w:hint="eastAsia" w:ascii="宋体" w:hAnsi="宋体" w:eastAsia="宋体" w:cs="宋体"/>
          <w:color w:val="auto"/>
          <w:kern w:val="0"/>
          <w:szCs w:val="21"/>
        </w:rPr>
        <w:t>。我方已接受申请人的请求，并出具《履约保证保险》保险单。</w:t>
      </w:r>
      <w:r>
        <w:rPr>
          <w:rFonts w:ascii="宋体" w:hAnsi="宋体" w:eastAsia="宋体" w:cs="宋体"/>
          <w:color w:val="auto"/>
          <w:kern w:val="0"/>
          <w:szCs w:val="21"/>
        </w:rPr>
        <w:t xml:space="preserve"> </w:t>
      </w:r>
    </w:p>
    <w:p w14:paraId="41420C94">
      <w:pPr>
        <w:autoSpaceDE w:val="0"/>
        <w:autoSpaceDN w:val="0"/>
        <w:adjustRightInd w:val="0"/>
        <w:spacing w:line="360" w:lineRule="auto"/>
        <w:ind w:firstLine="437"/>
        <w:jc w:val="left"/>
        <w:rPr>
          <w:rFonts w:ascii="宋体" w:hAnsi="宋体" w:eastAsia="宋体" w:cs="宋体"/>
          <w:color w:val="auto"/>
          <w:kern w:val="0"/>
          <w:szCs w:val="21"/>
        </w:rPr>
      </w:pPr>
      <w:r>
        <w:rPr>
          <w:rFonts w:hint="eastAsia" w:ascii="宋体" w:hAnsi="宋体" w:eastAsia="宋体" w:cs="宋体"/>
          <w:color w:val="auto"/>
          <w:kern w:val="0"/>
          <w:szCs w:val="21"/>
        </w:rPr>
        <w:t xml:space="preserve">一、保证保险金额 </w:t>
      </w:r>
    </w:p>
    <w:p w14:paraId="4D12F915">
      <w:pPr>
        <w:autoSpaceDE w:val="0"/>
        <w:autoSpaceDN w:val="0"/>
        <w:adjustRightInd w:val="0"/>
        <w:spacing w:line="360" w:lineRule="auto"/>
        <w:ind w:firstLine="437"/>
        <w:jc w:val="left"/>
        <w:rPr>
          <w:rFonts w:ascii="宋体" w:hAnsi="宋体" w:eastAsia="宋体" w:cs="宋体"/>
          <w:color w:val="auto"/>
          <w:kern w:val="0"/>
          <w:szCs w:val="21"/>
        </w:rPr>
      </w:pPr>
      <w:r>
        <w:rPr>
          <w:rFonts w:hint="eastAsia" w:ascii="宋体" w:hAnsi="宋体" w:eastAsia="宋体" w:cs="宋体"/>
          <w:color w:val="auto"/>
          <w:kern w:val="0"/>
          <w:szCs w:val="21"/>
        </w:rPr>
        <w:t>我方承担的履约保证保险的保险金额（最高限额）为人民币（大写）</w:t>
      </w:r>
      <w:r>
        <w:rPr>
          <w:rFonts w:hint="eastAsia" w:ascii="宋体" w:hAnsi="宋体" w:eastAsia="宋体" w:cs="宋体"/>
          <w:b/>
          <w:color w:val="auto"/>
          <w:kern w:val="0"/>
          <w:szCs w:val="21"/>
          <w:u w:val="single"/>
        </w:rPr>
        <w:t xml:space="preserve">                </w:t>
      </w:r>
      <w:r>
        <w:rPr>
          <w:rFonts w:hint="eastAsia" w:ascii="宋体" w:hAnsi="宋体" w:eastAsia="宋体" w:cs="宋体"/>
          <w:color w:val="auto"/>
          <w:kern w:val="0"/>
          <w:szCs w:val="21"/>
        </w:rPr>
        <w:t>元 （</w:t>
      </w:r>
      <w:r>
        <w:rPr>
          <w:rFonts w:ascii="宋体" w:hAnsi="宋体" w:eastAsia="宋体" w:cs="宋体"/>
          <w:color w:val="auto"/>
          <w:kern w:val="0"/>
          <w:szCs w:val="21"/>
        </w:rPr>
        <w:t>¥</w:t>
      </w:r>
      <w:r>
        <w:rPr>
          <w:rFonts w:hint="eastAsia" w:ascii="宋体" w:hAnsi="宋体" w:eastAsia="宋体" w:cs="宋体"/>
          <w:b/>
          <w:color w:val="auto"/>
          <w:kern w:val="0"/>
          <w:szCs w:val="21"/>
          <w:u w:val="single"/>
        </w:rPr>
        <w:t xml:space="preserve">               </w:t>
      </w:r>
      <w:r>
        <w:rPr>
          <w:rFonts w:ascii="宋体" w:hAnsi="宋体" w:eastAsia="宋体" w:cs="宋体"/>
          <w:color w:val="auto"/>
          <w:kern w:val="0"/>
          <w:szCs w:val="21"/>
        </w:rPr>
        <w:t xml:space="preserve"> </w:t>
      </w:r>
      <w:r>
        <w:rPr>
          <w:rFonts w:hint="eastAsia" w:ascii="宋体" w:hAnsi="宋体" w:eastAsia="宋体" w:cs="宋体"/>
          <w:color w:val="auto"/>
          <w:kern w:val="0"/>
          <w:szCs w:val="21"/>
        </w:rPr>
        <w:t xml:space="preserve">）。 </w:t>
      </w:r>
    </w:p>
    <w:p w14:paraId="66AEC5D3">
      <w:pPr>
        <w:autoSpaceDE w:val="0"/>
        <w:autoSpaceDN w:val="0"/>
        <w:adjustRightInd w:val="0"/>
        <w:spacing w:line="360" w:lineRule="auto"/>
        <w:ind w:firstLine="437"/>
        <w:jc w:val="left"/>
        <w:rPr>
          <w:rFonts w:ascii="宋体" w:hAnsi="宋体" w:eastAsia="宋体" w:cs="宋体"/>
          <w:color w:val="auto"/>
          <w:kern w:val="0"/>
          <w:szCs w:val="21"/>
        </w:rPr>
      </w:pPr>
      <w:r>
        <w:rPr>
          <w:rFonts w:hint="eastAsia" w:ascii="宋体" w:hAnsi="宋体" w:eastAsia="宋体" w:cs="宋体"/>
          <w:color w:val="auto"/>
          <w:kern w:val="0"/>
          <w:szCs w:val="21"/>
        </w:rPr>
        <w:t xml:space="preserve">二、保证保险的责任范围 </w:t>
      </w:r>
    </w:p>
    <w:p w14:paraId="72D19609">
      <w:pPr>
        <w:autoSpaceDE w:val="0"/>
        <w:autoSpaceDN w:val="0"/>
        <w:adjustRightInd w:val="0"/>
        <w:spacing w:line="360" w:lineRule="auto"/>
        <w:ind w:firstLine="437"/>
        <w:jc w:val="left"/>
        <w:rPr>
          <w:rFonts w:ascii="宋体" w:hAnsi="宋体" w:eastAsia="宋体" w:cs="宋体"/>
          <w:color w:val="auto"/>
          <w:kern w:val="0"/>
          <w:szCs w:val="21"/>
        </w:rPr>
      </w:pPr>
      <w:r>
        <w:rPr>
          <w:rFonts w:hint="eastAsia" w:ascii="宋体" w:hAnsi="宋体" w:eastAsia="宋体" w:cs="宋体"/>
          <w:color w:val="auto"/>
          <w:kern w:val="0"/>
          <w:szCs w:val="21"/>
        </w:rPr>
        <w:t>在保险期间内，申请人因自身原因未按照与贵方签订的</w:t>
      </w:r>
      <w:r>
        <w:rPr>
          <w:rFonts w:ascii="宋体" w:hAnsi="宋体" w:eastAsia="宋体" w:cs="Times New Roman"/>
          <w:color w:val="auto"/>
          <w:kern w:val="0"/>
          <w:szCs w:val="21"/>
          <w:u w:val="single"/>
        </w:rPr>
        <w:t xml:space="preserve"> </w:t>
      </w:r>
      <w:r>
        <w:rPr>
          <w:rFonts w:hint="eastAsia" w:ascii="宋体" w:hAnsi="宋体" w:eastAsia="宋体" w:cs="Times New Roman"/>
          <w:color w:val="auto"/>
          <w:kern w:val="0"/>
          <w:szCs w:val="21"/>
          <w:u w:val="single"/>
        </w:rPr>
        <w:t xml:space="preserve"> </w:t>
      </w:r>
      <w:r>
        <w:rPr>
          <w:rFonts w:ascii="宋体" w:hAnsi="宋体" w:eastAsia="宋体" w:cs="Times New Roman"/>
          <w:color w:val="auto"/>
          <w:kern w:val="0"/>
          <w:szCs w:val="21"/>
          <w:u w:val="single"/>
        </w:rPr>
        <w:t xml:space="preserve">       </w:t>
      </w:r>
      <w:r>
        <w:rPr>
          <w:rFonts w:hint="eastAsia" w:ascii="宋体" w:hAnsi="宋体" w:eastAsia="宋体" w:cs="Times New Roman"/>
          <w:color w:val="auto"/>
          <w:kern w:val="0"/>
          <w:szCs w:val="21"/>
          <w:u w:val="single"/>
        </w:rPr>
        <w:t>项目</w:t>
      </w:r>
      <w:r>
        <w:rPr>
          <w:rFonts w:ascii="宋体" w:hAnsi="宋体" w:eastAsia="宋体" w:cs="Times New Roman"/>
          <w:color w:val="auto"/>
          <w:kern w:val="0"/>
          <w:szCs w:val="21"/>
          <w:u w:val="single"/>
        </w:rPr>
        <w:t>（招标编号：        ）</w:t>
      </w:r>
      <w:r>
        <w:rPr>
          <w:rFonts w:hint="eastAsia" w:ascii="宋体" w:hAnsi="宋体" w:eastAsia="宋体" w:cs="Times New Roman"/>
          <w:color w:val="auto"/>
          <w:kern w:val="0"/>
          <w:szCs w:val="21"/>
        </w:rPr>
        <w:t>合同</w:t>
      </w:r>
      <w:r>
        <w:rPr>
          <w:rFonts w:hint="eastAsia" w:ascii="宋体" w:hAnsi="宋体" w:eastAsia="宋体" w:cs="宋体"/>
          <w:color w:val="auto"/>
          <w:kern w:val="0"/>
          <w:szCs w:val="21"/>
        </w:rPr>
        <w:t xml:space="preserve">履行相关义务，给贵方造成损失的，贵方可向我方提出索赔，我方按照保险合同的约定承担损失赔偿责任。 </w:t>
      </w:r>
    </w:p>
    <w:p w14:paraId="60CDE7D8">
      <w:pPr>
        <w:autoSpaceDE w:val="0"/>
        <w:autoSpaceDN w:val="0"/>
        <w:adjustRightInd w:val="0"/>
        <w:spacing w:line="360" w:lineRule="auto"/>
        <w:ind w:firstLine="437"/>
        <w:jc w:val="left"/>
        <w:rPr>
          <w:rFonts w:ascii="宋体" w:hAnsi="宋体" w:eastAsia="宋体" w:cs="宋体"/>
          <w:color w:val="auto"/>
          <w:kern w:val="0"/>
          <w:szCs w:val="21"/>
        </w:rPr>
      </w:pPr>
      <w:r>
        <w:rPr>
          <w:rFonts w:hint="eastAsia" w:ascii="宋体" w:hAnsi="宋体" w:eastAsia="宋体" w:cs="宋体"/>
          <w:color w:val="auto"/>
          <w:kern w:val="0"/>
          <w:szCs w:val="21"/>
        </w:rPr>
        <w:t xml:space="preserve">三、代偿的安排 </w:t>
      </w:r>
    </w:p>
    <w:p w14:paraId="2A83565E">
      <w:pPr>
        <w:autoSpaceDE w:val="0"/>
        <w:autoSpaceDN w:val="0"/>
        <w:adjustRightInd w:val="0"/>
        <w:spacing w:line="360" w:lineRule="auto"/>
        <w:ind w:firstLine="437"/>
        <w:jc w:val="left"/>
        <w:rPr>
          <w:rFonts w:ascii="宋体" w:hAnsi="宋体" w:eastAsia="宋体" w:cs="宋体"/>
          <w:color w:val="auto"/>
          <w:kern w:val="0"/>
          <w:szCs w:val="21"/>
        </w:rPr>
      </w:pPr>
      <w:r>
        <w:rPr>
          <w:rFonts w:hint="eastAsia" w:ascii="宋体" w:hAnsi="宋体" w:eastAsia="宋体" w:cs="宋体"/>
          <w:color w:val="auto"/>
          <w:kern w:val="0"/>
          <w:szCs w:val="21"/>
        </w:rPr>
        <w:t>贵方要求我方承担保证保险责任的，我方无条件和不可撤销地在贵方出具本履约保证保险原件且提出因申请人没有履行上述合同规定，而要求我方承担保证责任后，在保险限额内向贵方支付不超过人民币（大写）_________（¥_______元）的款项。</w:t>
      </w:r>
    </w:p>
    <w:p w14:paraId="6BFC4D3A">
      <w:pPr>
        <w:autoSpaceDE w:val="0"/>
        <w:autoSpaceDN w:val="0"/>
        <w:adjustRightInd w:val="0"/>
        <w:spacing w:line="360" w:lineRule="auto"/>
        <w:ind w:firstLine="437"/>
        <w:jc w:val="left"/>
        <w:rPr>
          <w:rFonts w:ascii="宋体" w:hAnsi="宋体" w:eastAsia="宋体" w:cs="宋体"/>
          <w:color w:val="auto"/>
          <w:kern w:val="0"/>
          <w:szCs w:val="21"/>
        </w:rPr>
      </w:pPr>
      <w:r>
        <w:rPr>
          <w:rFonts w:hint="eastAsia" w:ascii="宋体" w:hAnsi="宋体" w:eastAsia="宋体" w:cs="宋体"/>
          <w:color w:val="auto"/>
          <w:kern w:val="0"/>
          <w:szCs w:val="21"/>
        </w:rPr>
        <w:t xml:space="preserve">四、生效时间 </w:t>
      </w:r>
    </w:p>
    <w:p w14:paraId="629B5BD5">
      <w:pPr>
        <w:autoSpaceDE w:val="0"/>
        <w:autoSpaceDN w:val="0"/>
        <w:adjustRightInd w:val="0"/>
        <w:spacing w:line="360" w:lineRule="auto"/>
        <w:ind w:firstLine="437"/>
        <w:jc w:val="left"/>
        <w:rPr>
          <w:rFonts w:ascii="宋体" w:hAnsi="宋体" w:eastAsia="宋体" w:cs="宋体"/>
          <w:color w:val="auto"/>
          <w:kern w:val="0"/>
          <w:szCs w:val="21"/>
        </w:rPr>
      </w:pPr>
      <w:r>
        <w:rPr>
          <w:rFonts w:hint="eastAsia" w:ascii="宋体" w:hAnsi="宋体" w:eastAsia="宋体" w:cs="宋体"/>
          <w:color w:val="auto"/>
          <w:kern w:val="0"/>
          <w:szCs w:val="21"/>
        </w:rPr>
        <w:t xml:space="preserve">本保险凭证自我方法定代表人（或其授权代理人）签字并加盖保险承保章之日起生效。 </w:t>
      </w:r>
    </w:p>
    <w:p w14:paraId="109ACBCF">
      <w:pPr>
        <w:autoSpaceDE w:val="0"/>
        <w:autoSpaceDN w:val="0"/>
        <w:adjustRightInd w:val="0"/>
        <w:spacing w:line="360" w:lineRule="auto"/>
        <w:ind w:firstLine="437"/>
        <w:jc w:val="left"/>
        <w:rPr>
          <w:rFonts w:ascii="宋体" w:hAnsi="宋体" w:eastAsia="宋体" w:cs="宋体"/>
          <w:color w:val="auto"/>
          <w:kern w:val="0"/>
          <w:szCs w:val="21"/>
        </w:rPr>
      </w:pPr>
      <w:r>
        <w:rPr>
          <w:rFonts w:hint="eastAsia" w:ascii="宋体" w:hAnsi="宋体" w:eastAsia="宋体" w:cs="宋体"/>
          <w:color w:val="auto"/>
          <w:kern w:val="0"/>
          <w:szCs w:val="21"/>
        </w:rPr>
        <w:t>五、其他</w:t>
      </w:r>
    </w:p>
    <w:p w14:paraId="2C5DC686">
      <w:pPr>
        <w:autoSpaceDE w:val="0"/>
        <w:autoSpaceDN w:val="0"/>
        <w:adjustRightInd w:val="0"/>
        <w:spacing w:line="360" w:lineRule="auto"/>
        <w:ind w:firstLine="437"/>
        <w:jc w:val="left"/>
        <w:rPr>
          <w:rFonts w:ascii="宋体" w:hAnsi="宋体" w:eastAsia="宋体" w:cs="Times New Roman"/>
          <w:color w:val="auto"/>
          <w:kern w:val="0"/>
          <w:szCs w:val="21"/>
        </w:rPr>
      </w:pPr>
      <w:r>
        <w:rPr>
          <w:rFonts w:hint="eastAsia" w:ascii="宋体" w:hAnsi="宋体" w:eastAsia="宋体" w:cs="Times New Roman"/>
          <w:color w:val="auto"/>
          <w:kern w:val="0"/>
          <w:szCs w:val="21"/>
        </w:rPr>
        <w:t>本履约保证保险应从合同签订之日起至合同期限届满并全部货物经最终验收合格、受益人向申请人支付全部货款后二十八（28）日内保持有效。</w:t>
      </w:r>
    </w:p>
    <w:p w14:paraId="3F3E2739">
      <w:pPr>
        <w:autoSpaceDE w:val="0"/>
        <w:autoSpaceDN w:val="0"/>
        <w:adjustRightInd w:val="0"/>
        <w:spacing w:line="360" w:lineRule="auto"/>
        <w:ind w:firstLine="437"/>
        <w:jc w:val="left"/>
        <w:rPr>
          <w:rFonts w:ascii="宋体" w:hAnsi="宋体" w:eastAsia="宋体" w:cs="Times New Roman"/>
          <w:color w:val="auto"/>
          <w:kern w:val="0"/>
          <w:sz w:val="24"/>
          <w:szCs w:val="24"/>
        </w:rPr>
      </w:pPr>
    </w:p>
    <w:p w14:paraId="48ABA3E3">
      <w:pPr>
        <w:autoSpaceDE w:val="0"/>
        <w:autoSpaceDN w:val="0"/>
        <w:adjustRightInd w:val="0"/>
        <w:spacing w:line="360" w:lineRule="auto"/>
        <w:ind w:firstLine="437"/>
        <w:jc w:val="left"/>
        <w:rPr>
          <w:rFonts w:ascii="宋体" w:hAnsi="宋体" w:eastAsia="宋体" w:cs="宋体"/>
          <w:color w:val="auto"/>
          <w:kern w:val="0"/>
          <w:szCs w:val="21"/>
        </w:rPr>
      </w:pPr>
      <w:r>
        <w:rPr>
          <w:rFonts w:hint="eastAsia" w:ascii="宋体" w:hAnsi="宋体" w:eastAsia="宋体" w:cs="宋体"/>
          <w:color w:val="auto"/>
          <w:kern w:val="0"/>
          <w:szCs w:val="21"/>
        </w:rPr>
        <w:t>附：《</w:t>
      </w:r>
      <w:r>
        <w:rPr>
          <w:rFonts w:ascii="宋体" w:hAnsi="宋体" w:eastAsia="宋体" w:cs="宋体"/>
          <w:color w:val="auto"/>
          <w:kern w:val="0"/>
          <w:szCs w:val="21"/>
        </w:rPr>
        <w:t xml:space="preserve">XXX </w:t>
      </w:r>
      <w:r>
        <w:rPr>
          <w:rFonts w:hint="eastAsia" w:ascii="宋体" w:hAnsi="宋体" w:eastAsia="宋体" w:cs="宋体"/>
          <w:color w:val="auto"/>
          <w:kern w:val="0"/>
          <w:szCs w:val="21"/>
        </w:rPr>
        <w:t>保险有限公司履约保证保险（</w:t>
      </w:r>
      <w:r>
        <w:rPr>
          <w:rFonts w:ascii="宋体" w:hAnsi="宋体" w:eastAsia="宋体" w:cs="宋体"/>
          <w:color w:val="auto"/>
          <w:kern w:val="0"/>
          <w:szCs w:val="21"/>
        </w:rPr>
        <w:t xml:space="preserve">X </w:t>
      </w:r>
      <w:r>
        <w:rPr>
          <w:rFonts w:hint="eastAsia" w:ascii="宋体" w:hAnsi="宋体" w:eastAsia="宋体" w:cs="宋体"/>
          <w:color w:val="auto"/>
          <w:kern w:val="0"/>
          <w:szCs w:val="21"/>
        </w:rPr>
        <w:t xml:space="preserve">款）条款》及保单 </w:t>
      </w:r>
    </w:p>
    <w:p w14:paraId="0F773963">
      <w:pPr>
        <w:autoSpaceDE w:val="0"/>
        <w:autoSpaceDN w:val="0"/>
        <w:adjustRightInd w:val="0"/>
        <w:spacing w:line="360" w:lineRule="auto"/>
        <w:ind w:firstLine="437"/>
        <w:jc w:val="center"/>
        <w:rPr>
          <w:rFonts w:ascii="宋体" w:hAnsi="宋体" w:eastAsia="宋体" w:cs="宋体"/>
          <w:color w:val="auto"/>
          <w:kern w:val="0"/>
          <w:szCs w:val="21"/>
        </w:rPr>
      </w:pPr>
      <w:r>
        <w:rPr>
          <w:rFonts w:hint="eastAsia" w:ascii="宋体" w:hAnsi="宋体" w:eastAsia="宋体" w:cs="宋体"/>
          <w:color w:val="auto"/>
          <w:kern w:val="0"/>
          <w:szCs w:val="21"/>
        </w:rPr>
        <w:t xml:space="preserve">                                            </w:t>
      </w:r>
    </w:p>
    <w:p w14:paraId="24691D9D">
      <w:pPr>
        <w:autoSpaceDE w:val="0"/>
        <w:autoSpaceDN w:val="0"/>
        <w:adjustRightInd w:val="0"/>
        <w:spacing w:line="360" w:lineRule="auto"/>
        <w:ind w:firstLine="437"/>
        <w:jc w:val="center"/>
        <w:rPr>
          <w:rFonts w:ascii="宋体" w:hAnsi="宋体" w:eastAsia="宋体" w:cs="宋体"/>
          <w:color w:val="auto"/>
          <w:kern w:val="0"/>
          <w:szCs w:val="21"/>
        </w:rPr>
      </w:pPr>
      <w:r>
        <w:rPr>
          <w:rFonts w:hint="eastAsia" w:ascii="宋体" w:hAnsi="宋体" w:eastAsia="宋体" w:cs="宋体"/>
          <w:color w:val="auto"/>
          <w:kern w:val="0"/>
          <w:szCs w:val="21"/>
        </w:rPr>
        <w:t xml:space="preserve">                                             保险人：（盖章）</w:t>
      </w:r>
    </w:p>
    <w:p w14:paraId="16DDC721">
      <w:pPr>
        <w:autoSpaceDE w:val="0"/>
        <w:autoSpaceDN w:val="0"/>
        <w:adjustRightInd w:val="0"/>
        <w:spacing w:line="360" w:lineRule="auto"/>
        <w:ind w:firstLine="437"/>
        <w:jc w:val="right"/>
        <w:rPr>
          <w:rFonts w:ascii="宋体" w:hAnsi="宋体" w:eastAsia="宋体" w:cs="宋体"/>
          <w:color w:val="auto"/>
          <w:kern w:val="0"/>
          <w:szCs w:val="21"/>
        </w:rPr>
      </w:pPr>
      <w:r>
        <w:rPr>
          <w:rFonts w:hint="eastAsia" w:ascii="宋体" w:hAnsi="宋体" w:eastAsia="宋体" w:cs="宋体"/>
          <w:color w:val="auto"/>
          <w:kern w:val="0"/>
          <w:szCs w:val="21"/>
        </w:rPr>
        <w:t>法定代表人或授权代理人：</w:t>
      </w:r>
      <w:r>
        <w:rPr>
          <w:rFonts w:ascii="宋体" w:hAnsi="宋体" w:eastAsia="宋体" w:cs="宋体"/>
          <w:color w:val="auto"/>
          <w:kern w:val="0"/>
          <w:szCs w:val="21"/>
        </w:rPr>
        <w:t xml:space="preserve">________ </w:t>
      </w:r>
    </w:p>
    <w:p w14:paraId="11A7C03B">
      <w:pPr>
        <w:jc w:val="right"/>
        <w:rPr>
          <w:rFonts w:ascii="宋体" w:hAnsi="宋体" w:eastAsia="宋体" w:cs="Times New Roman"/>
          <w:b/>
          <w:color w:val="auto"/>
          <w:kern w:val="0"/>
          <w:sz w:val="28"/>
          <w:szCs w:val="28"/>
        </w:rPr>
      </w:pPr>
      <w:r>
        <w:rPr>
          <w:rFonts w:hint="eastAsia" w:ascii="宋体" w:hAnsi="宋体" w:eastAsia="宋体" w:cs="宋体"/>
          <w:color w:val="auto"/>
          <w:kern w:val="0"/>
          <w:szCs w:val="21"/>
        </w:rPr>
        <w:t>年</w:t>
      </w:r>
      <w:r>
        <w:rPr>
          <w:rFonts w:ascii="宋体" w:hAnsi="宋体" w:eastAsia="宋体" w:cs="宋体"/>
          <w:color w:val="auto"/>
          <w:kern w:val="0"/>
          <w:szCs w:val="21"/>
        </w:rPr>
        <w:t xml:space="preserve"> </w:t>
      </w:r>
      <w:r>
        <w:rPr>
          <w:rFonts w:hint="eastAsia" w:ascii="宋体" w:hAnsi="宋体" w:eastAsia="宋体" w:cs="宋体"/>
          <w:color w:val="auto"/>
          <w:kern w:val="0"/>
          <w:szCs w:val="21"/>
        </w:rPr>
        <w:t>月</w:t>
      </w:r>
      <w:r>
        <w:rPr>
          <w:rFonts w:ascii="宋体" w:hAnsi="宋体" w:eastAsia="宋体" w:cs="宋体"/>
          <w:color w:val="auto"/>
          <w:kern w:val="0"/>
          <w:szCs w:val="21"/>
        </w:rPr>
        <w:t xml:space="preserve"> </w:t>
      </w:r>
      <w:r>
        <w:rPr>
          <w:rFonts w:hint="eastAsia" w:ascii="宋体" w:hAnsi="宋体" w:eastAsia="宋体" w:cs="宋体"/>
          <w:color w:val="auto"/>
          <w:kern w:val="0"/>
          <w:szCs w:val="21"/>
        </w:rPr>
        <w:t>日</w:t>
      </w:r>
      <w:r>
        <w:rPr>
          <w:rFonts w:hint="eastAsia" w:ascii="宋体" w:hAnsi="宋体" w:eastAsia="宋体" w:cs="Times New Roman"/>
          <w:b/>
          <w:color w:val="auto"/>
          <w:kern w:val="0"/>
          <w:sz w:val="28"/>
          <w:szCs w:val="28"/>
        </w:rPr>
        <w:br w:type="page"/>
      </w:r>
    </w:p>
    <w:p w14:paraId="0FD96431">
      <w:pPr>
        <w:autoSpaceDE w:val="0"/>
        <w:autoSpaceDN w:val="0"/>
        <w:adjustRightInd w:val="0"/>
        <w:spacing w:after="120" w:afterLines="50" w:line="360" w:lineRule="auto"/>
        <w:jc w:val="left"/>
        <w:rPr>
          <w:rFonts w:ascii="宋体" w:hAnsi="宋体" w:eastAsia="宋体" w:cs="Times New Roman"/>
          <w:b/>
          <w:color w:val="auto"/>
          <w:kern w:val="0"/>
          <w:sz w:val="28"/>
          <w:szCs w:val="28"/>
        </w:rPr>
      </w:pPr>
      <w:r>
        <w:rPr>
          <w:rFonts w:hint="eastAsia" w:ascii="宋体" w:hAnsi="宋体" w:eastAsia="宋体" w:cs="Times New Roman"/>
          <w:b/>
          <w:color w:val="auto"/>
          <w:kern w:val="0"/>
          <w:sz w:val="28"/>
          <w:szCs w:val="28"/>
        </w:rPr>
        <w:t>三、担保公司履约担保书格式</w:t>
      </w:r>
    </w:p>
    <w:p w14:paraId="3EE32A29">
      <w:pPr>
        <w:autoSpaceDE w:val="0"/>
        <w:autoSpaceDN w:val="0"/>
        <w:adjustRightInd w:val="0"/>
        <w:jc w:val="center"/>
        <w:rPr>
          <w:rFonts w:ascii="宋体" w:hAnsi="宋体" w:eastAsia="宋体" w:cs="Times New Roman"/>
          <w:b/>
          <w:color w:val="auto"/>
          <w:kern w:val="0"/>
          <w:sz w:val="30"/>
          <w:szCs w:val="30"/>
        </w:rPr>
      </w:pPr>
      <w:r>
        <w:rPr>
          <w:rFonts w:hint="eastAsia" w:ascii="宋体" w:hAnsi="宋体" w:eastAsia="宋体" w:cs="Times New Roman"/>
          <w:b/>
          <w:color w:val="auto"/>
          <w:kern w:val="0"/>
          <w:sz w:val="30"/>
          <w:szCs w:val="30"/>
        </w:rPr>
        <w:t>担保公司履约担保书</w:t>
      </w:r>
    </w:p>
    <w:p w14:paraId="4C222ED5">
      <w:pPr>
        <w:widowControl/>
        <w:autoSpaceDE w:val="0"/>
        <w:autoSpaceDN w:val="0"/>
        <w:adjustRightInd w:val="0"/>
        <w:spacing w:before="100" w:beforeAutospacing="1" w:after="100" w:afterAutospacing="1" w:line="360" w:lineRule="auto"/>
        <w:jc w:val="left"/>
        <w:rPr>
          <w:rFonts w:ascii="宋体" w:hAnsi="宋体" w:eastAsia="宋体" w:cs="宋体"/>
          <w:color w:val="auto"/>
          <w:kern w:val="0"/>
          <w:szCs w:val="21"/>
        </w:rPr>
      </w:pPr>
      <w:r>
        <w:rPr>
          <w:rFonts w:hint="eastAsia" w:ascii="宋体" w:hAnsi="宋体" w:eastAsia="宋体" w:cs="宋体"/>
          <w:color w:val="auto"/>
          <w:kern w:val="0"/>
          <w:szCs w:val="21"/>
        </w:rPr>
        <w:t>致：</w:t>
      </w:r>
      <w:r>
        <w:rPr>
          <w:rFonts w:hint="eastAsia" w:ascii="宋体" w:hAnsi="宋体" w:eastAsia="宋体" w:cs="宋体"/>
          <w:b/>
          <w:color w:val="auto"/>
          <w:kern w:val="0"/>
          <w:szCs w:val="21"/>
          <w:u w:val="single"/>
        </w:rPr>
        <w:t xml:space="preserve">                    </w:t>
      </w:r>
      <w:r>
        <w:rPr>
          <w:rFonts w:hint="eastAsia" w:ascii="宋体" w:hAnsi="宋体" w:eastAsia="宋体" w:cs="宋体"/>
          <w:color w:val="auto"/>
          <w:kern w:val="0"/>
          <w:szCs w:val="21"/>
        </w:rPr>
        <w:t>（下称“受益人”）</w:t>
      </w:r>
    </w:p>
    <w:p w14:paraId="0447CAAA">
      <w:pPr>
        <w:autoSpaceDE w:val="0"/>
        <w:autoSpaceDN w:val="0"/>
        <w:adjustRightInd w:val="0"/>
        <w:spacing w:line="360" w:lineRule="auto"/>
        <w:ind w:firstLine="437"/>
        <w:jc w:val="left"/>
        <w:rPr>
          <w:rFonts w:ascii="宋体" w:hAnsi="宋体" w:eastAsia="宋体" w:cs="Times New Roman"/>
          <w:color w:val="auto"/>
          <w:kern w:val="0"/>
          <w:szCs w:val="21"/>
        </w:rPr>
      </w:pPr>
      <w:r>
        <w:rPr>
          <w:rFonts w:ascii="宋体" w:hAnsi="宋体" w:eastAsia="宋体" w:cs="Times New Roman"/>
          <w:color w:val="auto"/>
          <w:kern w:val="0"/>
          <w:szCs w:val="21"/>
        </w:rPr>
        <w:t>鉴于</w:t>
      </w:r>
      <w:r>
        <w:rPr>
          <w:rFonts w:ascii="宋体" w:hAnsi="宋体" w:eastAsia="宋体" w:cs="Times New Roman"/>
          <w:color w:val="auto"/>
          <w:kern w:val="0"/>
          <w:szCs w:val="21"/>
          <w:u w:val="single"/>
        </w:rPr>
        <w:t xml:space="preserve">  （</w:t>
      </w:r>
      <w:r>
        <w:rPr>
          <w:rFonts w:hint="eastAsia" w:ascii="宋体" w:hAnsi="宋体" w:eastAsia="宋体" w:cs="Times New Roman"/>
          <w:color w:val="auto"/>
          <w:kern w:val="0"/>
          <w:szCs w:val="21"/>
          <w:u w:val="single"/>
        </w:rPr>
        <w:t>申请人</w:t>
      </w:r>
      <w:r>
        <w:rPr>
          <w:rFonts w:ascii="宋体" w:hAnsi="宋体" w:eastAsia="宋体" w:cs="Times New Roman"/>
          <w:color w:val="auto"/>
          <w:kern w:val="0"/>
          <w:szCs w:val="21"/>
          <w:u w:val="single"/>
        </w:rPr>
        <w:t xml:space="preserve">的名称与地址）  </w:t>
      </w:r>
      <w:r>
        <w:rPr>
          <w:rFonts w:ascii="宋体" w:hAnsi="宋体" w:eastAsia="宋体" w:cs="Times New Roman"/>
          <w:color w:val="auto"/>
          <w:kern w:val="0"/>
          <w:szCs w:val="21"/>
        </w:rPr>
        <w:t>（下称“</w:t>
      </w:r>
      <w:r>
        <w:rPr>
          <w:rFonts w:hint="eastAsia" w:ascii="宋体" w:hAnsi="宋体" w:eastAsia="宋体" w:cs="Times New Roman"/>
          <w:color w:val="auto"/>
          <w:kern w:val="0"/>
          <w:szCs w:val="21"/>
        </w:rPr>
        <w:t>申请人</w:t>
      </w:r>
      <w:r>
        <w:rPr>
          <w:rFonts w:ascii="宋体" w:hAnsi="宋体" w:eastAsia="宋体" w:cs="Times New Roman"/>
          <w:color w:val="auto"/>
          <w:kern w:val="0"/>
          <w:szCs w:val="21"/>
        </w:rPr>
        <w:t>”），已保证按</w:t>
      </w:r>
      <w:r>
        <w:rPr>
          <w:rFonts w:hint="eastAsia" w:ascii="宋体" w:hAnsi="宋体" w:eastAsia="宋体" w:cs="宋体"/>
          <w:color w:val="auto"/>
          <w:kern w:val="0"/>
          <w:szCs w:val="21"/>
        </w:rPr>
        <w:t>拟签订的</w:t>
      </w:r>
      <w:r>
        <w:rPr>
          <w:rFonts w:ascii="宋体" w:hAnsi="宋体" w:eastAsia="宋体" w:cs="Times New Roman"/>
          <w:color w:val="auto"/>
          <w:kern w:val="0"/>
          <w:szCs w:val="21"/>
          <w:u w:val="single"/>
        </w:rPr>
        <w:t xml:space="preserve">  </w:t>
      </w:r>
      <w:r>
        <w:rPr>
          <w:rFonts w:hint="eastAsia" w:ascii="宋体" w:hAnsi="宋体" w:eastAsia="宋体" w:cs="Times New Roman"/>
          <w:color w:val="auto"/>
          <w:kern w:val="0"/>
          <w:szCs w:val="21"/>
          <w:u w:val="single"/>
        </w:rPr>
        <w:t xml:space="preserve"> </w:t>
      </w:r>
      <w:r>
        <w:rPr>
          <w:rFonts w:ascii="宋体" w:hAnsi="宋体" w:eastAsia="宋体" w:cs="Times New Roman"/>
          <w:color w:val="auto"/>
          <w:kern w:val="0"/>
          <w:szCs w:val="21"/>
          <w:u w:val="single"/>
        </w:rPr>
        <w:t xml:space="preserve">       </w:t>
      </w:r>
      <w:r>
        <w:rPr>
          <w:rFonts w:hint="eastAsia" w:ascii="宋体" w:hAnsi="宋体" w:eastAsia="宋体" w:cs="Times New Roman"/>
          <w:color w:val="auto"/>
          <w:kern w:val="0"/>
          <w:szCs w:val="21"/>
          <w:u w:val="single"/>
        </w:rPr>
        <w:t>项目</w:t>
      </w:r>
      <w:r>
        <w:rPr>
          <w:rFonts w:ascii="宋体" w:hAnsi="宋体" w:eastAsia="宋体" w:cs="Times New Roman"/>
          <w:color w:val="auto"/>
          <w:kern w:val="0"/>
          <w:szCs w:val="21"/>
          <w:u w:val="single"/>
        </w:rPr>
        <w:t>（招标编号：        ）</w:t>
      </w:r>
      <w:r>
        <w:rPr>
          <w:rFonts w:hint="eastAsia" w:ascii="宋体" w:hAnsi="宋体" w:eastAsia="宋体" w:cs="Times New Roman"/>
          <w:color w:val="auto"/>
          <w:kern w:val="0"/>
          <w:szCs w:val="21"/>
        </w:rPr>
        <w:t>合同（招标文件）</w:t>
      </w:r>
      <w:r>
        <w:rPr>
          <w:rFonts w:ascii="宋体" w:hAnsi="宋体" w:eastAsia="宋体" w:cs="Times New Roman"/>
          <w:color w:val="auto"/>
          <w:kern w:val="0"/>
          <w:szCs w:val="21"/>
        </w:rPr>
        <w:t>中规定的义务履行合同。</w:t>
      </w:r>
    </w:p>
    <w:p w14:paraId="27B586A1">
      <w:pPr>
        <w:widowControl/>
        <w:autoSpaceDE w:val="0"/>
        <w:autoSpaceDN w:val="0"/>
        <w:adjustRightInd w:val="0"/>
        <w:spacing w:line="360" w:lineRule="auto"/>
        <w:ind w:firstLine="567" w:firstLineChars="270"/>
        <w:jc w:val="left"/>
        <w:rPr>
          <w:rFonts w:ascii="宋体" w:hAnsi="宋体" w:eastAsia="宋体" w:cs="Times New Roman"/>
          <w:color w:val="auto"/>
          <w:kern w:val="0"/>
          <w:szCs w:val="21"/>
        </w:rPr>
      </w:pPr>
      <w:r>
        <w:rPr>
          <w:rFonts w:ascii="宋体" w:hAnsi="宋体" w:eastAsia="宋体" w:cs="Times New Roman"/>
          <w:color w:val="auto"/>
          <w:kern w:val="0"/>
          <w:szCs w:val="21"/>
        </w:rPr>
        <w:t>根据上述合同（招标文件）规定，</w:t>
      </w:r>
      <w:r>
        <w:rPr>
          <w:rFonts w:hint="eastAsia" w:ascii="宋体" w:hAnsi="宋体" w:eastAsia="宋体" w:cs="Times New Roman"/>
          <w:color w:val="auto"/>
          <w:kern w:val="0"/>
          <w:szCs w:val="21"/>
        </w:rPr>
        <w:t>申请人</w:t>
      </w:r>
      <w:r>
        <w:rPr>
          <w:rFonts w:ascii="宋体" w:hAnsi="宋体" w:eastAsia="宋体" w:cs="Times New Roman"/>
          <w:color w:val="auto"/>
          <w:kern w:val="0"/>
          <w:szCs w:val="21"/>
        </w:rPr>
        <w:t>应向受益人提供一份金额为人民币</w:t>
      </w:r>
      <w:r>
        <w:rPr>
          <w:rFonts w:hint="eastAsia" w:ascii="宋体" w:hAnsi="宋体" w:eastAsia="宋体" w:cs="宋体"/>
          <w:color w:val="auto"/>
          <w:kern w:val="0"/>
          <w:szCs w:val="21"/>
        </w:rPr>
        <w:t>（大写）</w:t>
      </w:r>
      <w:r>
        <w:rPr>
          <w:rFonts w:ascii="宋体" w:hAnsi="宋体" w:eastAsia="宋体" w:cs="Times New Roman"/>
          <w:color w:val="auto"/>
          <w:kern w:val="0"/>
          <w:szCs w:val="21"/>
          <w:u w:val="single"/>
        </w:rPr>
        <w:t xml:space="preserve">     （RMB元）</w:t>
      </w:r>
      <w:r>
        <w:rPr>
          <w:rFonts w:ascii="宋体" w:hAnsi="宋体" w:eastAsia="宋体" w:cs="Times New Roman"/>
          <w:color w:val="auto"/>
          <w:kern w:val="0"/>
          <w:szCs w:val="21"/>
        </w:rPr>
        <w:t>的</w:t>
      </w:r>
      <w:r>
        <w:rPr>
          <w:rFonts w:hint="eastAsia" w:ascii="宋体" w:hAnsi="宋体" w:eastAsia="宋体" w:cs="Times New Roman"/>
          <w:color w:val="auto"/>
          <w:kern w:val="0"/>
          <w:szCs w:val="21"/>
        </w:rPr>
        <w:t>无条件、</w:t>
      </w:r>
      <w:r>
        <w:rPr>
          <w:rFonts w:ascii="宋体" w:hAnsi="宋体" w:eastAsia="宋体" w:cs="Times New Roman"/>
          <w:bCs/>
          <w:color w:val="auto"/>
          <w:kern w:val="0"/>
          <w:szCs w:val="21"/>
        </w:rPr>
        <w:t>不可撤销</w:t>
      </w:r>
      <w:r>
        <w:rPr>
          <w:rFonts w:ascii="宋体" w:hAnsi="宋体" w:eastAsia="宋体" w:cs="Times New Roman"/>
          <w:color w:val="auto"/>
          <w:kern w:val="0"/>
          <w:szCs w:val="21"/>
        </w:rPr>
        <w:t>履约</w:t>
      </w:r>
      <w:r>
        <w:rPr>
          <w:rFonts w:hint="eastAsia" w:ascii="宋体" w:hAnsi="宋体" w:eastAsia="宋体" w:cs="Times New Roman"/>
          <w:color w:val="auto"/>
          <w:kern w:val="0"/>
          <w:szCs w:val="21"/>
        </w:rPr>
        <w:t>担保</w:t>
      </w:r>
      <w:r>
        <w:rPr>
          <w:rFonts w:ascii="宋体" w:hAnsi="宋体" w:eastAsia="宋体" w:cs="Times New Roman"/>
          <w:color w:val="auto"/>
          <w:kern w:val="0"/>
          <w:szCs w:val="21"/>
        </w:rPr>
        <w:t>，作为</w:t>
      </w:r>
      <w:r>
        <w:rPr>
          <w:rFonts w:hint="eastAsia" w:ascii="宋体" w:hAnsi="宋体" w:eastAsia="宋体" w:cs="Times New Roman"/>
          <w:color w:val="auto"/>
          <w:kern w:val="0"/>
          <w:szCs w:val="21"/>
        </w:rPr>
        <w:t>申请人</w:t>
      </w:r>
      <w:r>
        <w:rPr>
          <w:rFonts w:ascii="宋体" w:hAnsi="宋体" w:eastAsia="宋体" w:cs="Times New Roman"/>
          <w:color w:val="auto"/>
          <w:kern w:val="0"/>
          <w:szCs w:val="21"/>
        </w:rPr>
        <w:t>履行上述合同的担保</w:t>
      </w:r>
      <w:r>
        <w:rPr>
          <w:rFonts w:ascii="宋体" w:hAnsi="宋体" w:eastAsia="宋体" w:cs="宋体"/>
          <w:color w:val="auto"/>
          <w:kern w:val="0"/>
          <w:szCs w:val="21"/>
        </w:rPr>
        <w:t>，</w:t>
      </w:r>
      <w:r>
        <w:rPr>
          <w:rFonts w:hint="eastAsia" w:ascii="宋体" w:hAnsi="宋体" w:eastAsia="宋体" w:cs="宋体"/>
          <w:color w:val="auto"/>
          <w:kern w:val="0"/>
          <w:szCs w:val="21"/>
          <w:lang w:eastAsia="zh-Hans"/>
        </w:rPr>
        <w:t>我方</w:t>
      </w:r>
      <w:r>
        <w:rPr>
          <w:rFonts w:ascii="宋体" w:hAnsi="宋体" w:eastAsia="宋体" w:cs="宋体"/>
          <w:color w:val="auto"/>
          <w:kern w:val="0"/>
          <w:szCs w:val="21"/>
          <w:u w:val="single"/>
        </w:rPr>
        <w:t xml:space="preserve">  </w:t>
      </w:r>
      <w:r>
        <w:rPr>
          <w:rFonts w:ascii="宋体" w:hAnsi="宋体" w:eastAsia="宋体" w:cs="Times New Roman"/>
          <w:color w:val="auto"/>
          <w:kern w:val="0"/>
          <w:szCs w:val="21"/>
          <w:u w:val="single"/>
        </w:rPr>
        <w:t>（</w:t>
      </w:r>
      <w:r>
        <w:rPr>
          <w:rFonts w:hint="eastAsia" w:ascii="宋体" w:hAnsi="宋体" w:eastAsia="宋体" w:cs="Times New Roman"/>
          <w:color w:val="auto"/>
          <w:kern w:val="0"/>
          <w:szCs w:val="21"/>
          <w:u w:val="single"/>
        </w:rPr>
        <w:t>担保公司</w:t>
      </w:r>
      <w:r>
        <w:rPr>
          <w:rFonts w:ascii="宋体" w:hAnsi="宋体" w:eastAsia="宋体" w:cs="Times New Roman"/>
          <w:color w:val="auto"/>
          <w:kern w:val="0"/>
          <w:szCs w:val="21"/>
          <w:u w:val="single"/>
        </w:rPr>
        <w:t>名称）</w:t>
      </w:r>
      <w:r>
        <w:rPr>
          <w:rFonts w:hint="eastAsia" w:ascii="宋体" w:hAnsi="宋体" w:eastAsia="宋体" w:cs="Times New Roman"/>
          <w:color w:val="auto"/>
          <w:kern w:val="0"/>
          <w:szCs w:val="21"/>
          <w:u w:val="single"/>
        </w:rPr>
        <w:t xml:space="preserve">  </w:t>
      </w:r>
      <w:r>
        <w:rPr>
          <w:rFonts w:hint="eastAsia" w:ascii="宋体" w:hAnsi="宋体" w:eastAsia="宋体" w:cs="宋体"/>
          <w:color w:val="auto"/>
          <w:kern w:val="0"/>
          <w:szCs w:val="21"/>
        </w:rPr>
        <w:t>在</w:t>
      </w:r>
      <w:r>
        <w:rPr>
          <w:rFonts w:hint="eastAsia" w:ascii="宋体" w:hAnsi="宋体" w:eastAsia="宋体" w:cs="宋体"/>
          <w:color w:val="auto"/>
          <w:kern w:val="0"/>
          <w:szCs w:val="21"/>
          <w:lang w:eastAsia="zh-Hans"/>
        </w:rPr>
        <w:t>本合同项下的保证责任为连带责任保证</w:t>
      </w:r>
      <w:r>
        <w:rPr>
          <w:rFonts w:hint="eastAsia" w:ascii="宋体" w:hAnsi="宋体" w:eastAsia="宋体" w:cs="宋体"/>
          <w:color w:val="auto"/>
          <w:kern w:val="0"/>
          <w:szCs w:val="21"/>
        </w:rPr>
        <w:t>。</w:t>
      </w:r>
    </w:p>
    <w:p w14:paraId="7BB1B4E8">
      <w:pPr>
        <w:autoSpaceDE w:val="0"/>
        <w:autoSpaceDN w:val="0"/>
        <w:adjustRightInd w:val="0"/>
        <w:spacing w:line="360" w:lineRule="auto"/>
        <w:ind w:firstLine="437"/>
        <w:jc w:val="left"/>
        <w:rPr>
          <w:rFonts w:ascii="宋体" w:hAnsi="宋体" w:eastAsia="宋体" w:cs="宋体"/>
          <w:color w:val="auto"/>
          <w:kern w:val="0"/>
          <w:szCs w:val="21"/>
        </w:rPr>
      </w:pPr>
      <w:r>
        <w:rPr>
          <w:rFonts w:ascii="宋体" w:hAnsi="宋体" w:eastAsia="宋体" w:cs="Times New Roman"/>
          <w:color w:val="auto"/>
          <w:kern w:val="0"/>
          <w:szCs w:val="21"/>
        </w:rPr>
        <w:t>我方</w:t>
      </w:r>
      <w:r>
        <w:rPr>
          <w:rFonts w:ascii="宋体" w:hAnsi="宋体" w:eastAsia="宋体" w:cs="Times New Roman"/>
          <w:color w:val="auto"/>
          <w:kern w:val="0"/>
          <w:szCs w:val="21"/>
          <w:u w:val="single"/>
        </w:rPr>
        <w:t xml:space="preserve">  （</w:t>
      </w:r>
      <w:r>
        <w:rPr>
          <w:rFonts w:hint="eastAsia" w:ascii="宋体" w:hAnsi="宋体" w:eastAsia="宋体" w:cs="Times New Roman"/>
          <w:color w:val="auto"/>
          <w:kern w:val="0"/>
          <w:szCs w:val="21"/>
          <w:u w:val="single"/>
        </w:rPr>
        <w:t>担保公司</w:t>
      </w:r>
      <w:r>
        <w:rPr>
          <w:rFonts w:ascii="宋体" w:hAnsi="宋体" w:eastAsia="宋体" w:cs="Times New Roman"/>
          <w:color w:val="auto"/>
          <w:kern w:val="0"/>
          <w:szCs w:val="21"/>
          <w:u w:val="single"/>
        </w:rPr>
        <w:t xml:space="preserve">名称）  </w:t>
      </w:r>
      <w:r>
        <w:rPr>
          <w:rFonts w:ascii="宋体" w:hAnsi="宋体" w:eastAsia="宋体" w:cs="Times New Roman"/>
          <w:color w:val="auto"/>
          <w:kern w:val="0"/>
          <w:szCs w:val="21"/>
        </w:rPr>
        <w:t>，受</w:t>
      </w:r>
      <w:r>
        <w:rPr>
          <w:rFonts w:hint="eastAsia" w:ascii="宋体" w:hAnsi="宋体" w:eastAsia="宋体" w:cs="Times New Roman"/>
          <w:color w:val="auto"/>
          <w:kern w:val="0"/>
          <w:szCs w:val="21"/>
        </w:rPr>
        <w:t>申请人</w:t>
      </w:r>
      <w:r>
        <w:rPr>
          <w:rFonts w:ascii="宋体" w:hAnsi="宋体" w:eastAsia="宋体" w:cs="Times New Roman"/>
          <w:color w:val="auto"/>
          <w:kern w:val="0"/>
          <w:szCs w:val="21"/>
        </w:rPr>
        <w:t>的委托，</w:t>
      </w:r>
      <w:r>
        <w:rPr>
          <w:rFonts w:hint="eastAsia" w:ascii="宋体" w:hAnsi="宋体" w:eastAsia="宋体" w:cs="宋体"/>
          <w:color w:val="auto"/>
          <w:kern w:val="0"/>
          <w:szCs w:val="21"/>
        </w:rPr>
        <w:t>无条件和不可撤销地在受益人出具本担保书原件且提出因申请人没有履行上述合同规定，在担保书限额内向受益人支付不超过人民币（大写）_________（¥</w:t>
      </w:r>
      <w:r>
        <w:rPr>
          <w:rFonts w:ascii="宋体" w:hAnsi="宋体" w:eastAsia="宋体" w:cs="宋体"/>
          <w:color w:val="auto"/>
          <w:kern w:val="0"/>
          <w:szCs w:val="21"/>
        </w:rPr>
        <w:t>_______元）</w:t>
      </w:r>
      <w:r>
        <w:rPr>
          <w:rFonts w:hint="eastAsia" w:ascii="宋体" w:hAnsi="宋体" w:eastAsia="宋体" w:cs="宋体"/>
          <w:color w:val="auto"/>
          <w:kern w:val="0"/>
          <w:szCs w:val="21"/>
        </w:rPr>
        <w:t>的款项。</w:t>
      </w:r>
    </w:p>
    <w:p w14:paraId="218DC8B7">
      <w:pPr>
        <w:autoSpaceDE w:val="0"/>
        <w:autoSpaceDN w:val="0"/>
        <w:adjustRightInd w:val="0"/>
        <w:spacing w:line="360" w:lineRule="auto"/>
        <w:ind w:firstLine="437"/>
        <w:jc w:val="left"/>
        <w:rPr>
          <w:rFonts w:ascii="宋体" w:hAnsi="宋体" w:eastAsia="宋体" w:cs="Times New Roman"/>
          <w:color w:val="auto"/>
          <w:kern w:val="0"/>
          <w:szCs w:val="21"/>
        </w:rPr>
      </w:pPr>
      <w:r>
        <w:rPr>
          <w:rFonts w:ascii="宋体" w:hAnsi="宋体" w:eastAsia="宋体" w:cs="Times New Roman"/>
          <w:color w:val="auto"/>
          <w:kern w:val="0"/>
          <w:szCs w:val="21"/>
        </w:rPr>
        <w:t>我方还同意，任何受益人与</w:t>
      </w:r>
      <w:r>
        <w:rPr>
          <w:rFonts w:hint="eastAsia" w:ascii="宋体" w:hAnsi="宋体" w:eastAsia="宋体" w:cs="Times New Roman"/>
          <w:color w:val="auto"/>
          <w:kern w:val="0"/>
          <w:szCs w:val="21"/>
        </w:rPr>
        <w:t>申请人</w:t>
      </w:r>
      <w:r>
        <w:rPr>
          <w:rFonts w:ascii="宋体" w:hAnsi="宋体" w:eastAsia="宋体" w:cs="Times New Roman"/>
          <w:color w:val="auto"/>
          <w:kern w:val="0"/>
          <w:szCs w:val="21"/>
        </w:rPr>
        <w:t>之间可能对合同条款的修改、规范或其他合同文件的变动补充，都不能免除我方按本</w:t>
      </w:r>
      <w:r>
        <w:rPr>
          <w:rFonts w:hint="eastAsia" w:ascii="宋体" w:hAnsi="宋体" w:eastAsia="宋体" w:cs="Times New Roman"/>
          <w:color w:val="auto"/>
          <w:kern w:val="0"/>
          <w:szCs w:val="21"/>
        </w:rPr>
        <w:t>担保</w:t>
      </w:r>
      <w:r>
        <w:rPr>
          <w:rFonts w:ascii="宋体" w:hAnsi="宋体" w:eastAsia="宋体" w:cs="Times New Roman"/>
          <w:color w:val="auto"/>
          <w:kern w:val="0"/>
          <w:szCs w:val="21"/>
        </w:rPr>
        <w:t>函所承担的责任。因此，有关上述变动、补充和修改无须通知</w:t>
      </w:r>
      <w:r>
        <w:rPr>
          <w:rFonts w:hint="eastAsia" w:ascii="宋体" w:hAnsi="宋体" w:eastAsia="宋体" w:cs="Times New Roman"/>
          <w:color w:val="auto"/>
          <w:kern w:val="0"/>
          <w:szCs w:val="21"/>
        </w:rPr>
        <w:t>或征得</w:t>
      </w:r>
      <w:r>
        <w:rPr>
          <w:rFonts w:ascii="宋体" w:hAnsi="宋体" w:eastAsia="宋体" w:cs="Times New Roman"/>
          <w:color w:val="auto"/>
          <w:kern w:val="0"/>
          <w:szCs w:val="21"/>
        </w:rPr>
        <w:t>我方</w:t>
      </w:r>
      <w:r>
        <w:rPr>
          <w:rFonts w:hint="eastAsia" w:ascii="宋体" w:hAnsi="宋体" w:eastAsia="宋体" w:cs="Times New Roman"/>
          <w:color w:val="auto"/>
          <w:kern w:val="0"/>
          <w:szCs w:val="21"/>
        </w:rPr>
        <w:t>同意</w:t>
      </w:r>
      <w:r>
        <w:rPr>
          <w:rFonts w:ascii="宋体" w:hAnsi="宋体" w:eastAsia="宋体" w:cs="Times New Roman"/>
          <w:color w:val="auto"/>
          <w:kern w:val="0"/>
          <w:szCs w:val="21"/>
        </w:rPr>
        <w:t>。</w:t>
      </w:r>
    </w:p>
    <w:p w14:paraId="5321F54D">
      <w:pPr>
        <w:autoSpaceDE w:val="0"/>
        <w:autoSpaceDN w:val="0"/>
        <w:adjustRightInd w:val="0"/>
        <w:spacing w:line="360" w:lineRule="auto"/>
        <w:ind w:firstLine="437"/>
        <w:jc w:val="left"/>
        <w:rPr>
          <w:rFonts w:ascii="宋体" w:hAnsi="宋体" w:eastAsia="宋体" w:cs="Times New Roman"/>
          <w:color w:val="auto"/>
          <w:kern w:val="0"/>
          <w:szCs w:val="21"/>
        </w:rPr>
      </w:pPr>
      <w:r>
        <w:rPr>
          <w:rFonts w:hint="eastAsia" w:ascii="宋体" w:hAnsi="宋体" w:eastAsia="宋体" w:cs="Times New Roman"/>
          <w:color w:val="auto"/>
          <w:kern w:val="0"/>
          <w:szCs w:val="21"/>
        </w:rPr>
        <w:t>本保函应从合同签订之日起至合同期限届满并全部货物经最终验收合格、受益人向申请人支付全部货款后二十八（28）日内保持有效。</w:t>
      </w:r>
    </w:p>
    <w:p w14:paraId="76A14C72">
      <w:pPr>
        <w:autoSpaceDE w:val="0"/>
        <w:autoSpaceDN w:val="0"/>
        <w:adjustRightInd w:val="0"/>
        <w:spacing w:line="360" w:lineRule="auto"/>
        <w:jc w:val="left"/>
        <w:rPr>
          <w:rFonts w:ascii="宋体" w:hAnsi="宋体" w:eastAsia="宋体" w:cs="Times New Roman"/>
          <w:color w:val="auto"/>
          <w:kern w:val="0"/>
          <w:szCs w:val="21"/>
        </w:rPr>
      </w:pPr>
    </w:p>
    <w:p w14:paraId="2C0C0871">
      <w:pPr>
        <w:autoSpaceDE w:val="0"/>
        <w:autoSpaceDN w:val="0"/>
        <w:adjustRightInd w:val="0"/>
        <w:spacing w:line="360" w:lineRule="auto"/>
        <w:ind w:firstLine="3990" w:firstLineChars="1900"/>
        <w:jc w:val="left"/>
        <w:rPr>
          <w:rFonts w:ascii="宋体" w:hAnsi="宋体" w:eastAsia="宋体" w:cs="Times New Roman"/>
          <w:color w:val="auto"/>
          <w:kern w:val="0"/>
          <w:szCs w:val="21"/>
        </w:rPr>
      </w:pPr>
      <w:r>
        <w:rPr>
          <w:rFonts w:hint="eastAsia" w:ascii="宋体" w:hAnsi="宋体" w:eastAsia="宋体" w:cs="Times New Roman"/>
          <w:color w:val="auto"/>
          <w:kern w:val="0"/>
          <w:szCs w:val="21"/>
        </w:rPr>
        <w:t>法定代表人或其授权的代理人：（签字或盖私章）</w:t>
      </w:r>
    </w:p>
    <w:p w14:paraId="1F26610D">
      <w:pPr>
        <w:autoSpaceDE w:val="0"/>
        <w:autoSpaceDN w:val="0"/>
        <w:adjustRightInd w:val="0"/>
        <w:spacing w:line="360" w:lineRule="auto"/>
        <w:ind w:firstLine="3990" w:firstLineChars="1900"/>
        <w:jc w:val="left"/>
        <w:rPr>
          <w:rFonts w:ascii="宋体" w:hAnsi="宋体" w:eastAsia="宋体" w:cs="Times New Roman"/>
          <w:color w:val="auto"/>
          <w:kern w:val="0"/>
          <w:szCs w:val="21"/>
        </w:rPr>
      </w:pPr>
      <w:r>
        <w:rPr>
          <w:rFonts w:hint="eastAsia" w:ascii="宋体" w:hAnsi="宋体" w:eastAsia="宋体" w:cs="Times New Roman"/>
          <w:color w:val="auto"/>
          <w:kern w:val="0"/>
          <w:szCs w:val="21"/>
        </w:rPr>
        <w:t>担保公司盖章：</w:t>
      </w:r>
    </w:p>
    <w:p w14:paraId="65CE3857">
      <w:pPr>
        <w:autoSpaceDE w:val="0"/>
        <w:autoSpaceDN w:val="0"/>
        <w:adjustRightInd w:val="0"/>
        <w:spacing w:line="360" w:lineRule="auto"/>
        <w:ind w:firstLine="3990" w:firstLineChars="1900"/>
        <w:jc w:val="left"/>
        <w:rPr>
          <w:rFonts w:ascii="宋体" w:hAnsi="宋体" w:eastAsia="宋体" w:cs="Times New Roman"/>
          <w:color w:val="auto"/>
          <w:kern w:val="0"/>
          <w:szCs w:val="21"/>
        </w:rPr>
      </w:pPr>
      <w:r>
        <w:rPr>
          <w:rFonts w:hint="eastAsia" w:ascii="宋体" w:hAnsi="宋体" w:eastAsia="宋体" w:cs="Times New Roman"/>
          <w:color w:val="auto"/>
          <w:kern w:val="0"/>
          <w:szCs w:val="21"/>
        </w:rPr>
        <w:t>联系电话：</w:t>
      </w:r>
    </w:p>
    <w:p w14:paraId="601A3F49">
      <w:pPr>
        <w:autoSpaceDE w:val="0"/>
        <w:autoSpaceDN w:val="0"/>
        <w:adjustRightInd w:val="0"/>
        <w:spacing w:line="360" w:lineRule="auto"/>
        <w:ind w:firstLine="3990" w:firstLineChars="1900"/>
        <w:jc w:val="left"/>
        <w:rPr>
          <w:rFonts w:ascii="宋体" w:hAnsi="宋体" w:eastAsia="宋体" w:cs="Times New Roman"/>
          <w:color w:val="auto"/>
          <w:kern w:val="0"/>
          <w:szCs w:val="21"/>
        </w:rPr>
      </w:pPr>
      <w:r>
        <w:rPr>
          <w:rFonts w:hint="eastAsia" w:ascii="宋体" w:hAnsi="宋体" w:eastAsia="宋体" w:cs="Times New Roman"/>
          <w:color w:val="auto"/>
          <w:kern w:val="0"/>
          <w:szCs w:val="21"/>
        </w:rPr>
        <w:t>地址：</w:t>
      </w:r>
    </w:p>
    <w:p w14:paraId="16781493">
      <w:pPr>
        <w:autoSpaceDE w:val="0"/>
        <w:autoSpaceDN w:val="0"/>
        <w:adjustRightInd w:val="0"/>
        <w:spacing w:line="360" w:lineRule="auto"/>
        <w:ind w:firstLine="3990" w:firstLineChars="1900"/>
        <w:jc w:val="left"/>
        <w:rPr>
          <w:rFonts w:ascii="宋体" w:hAnsi="宋体" w:eastAsia="宋体" w:cs="Times New Roman"/>
          <w:color w:val="auto"/>
          <w:kern w:val="0"/>
          <w:szCs w:val="21"/>
        </w:rPr>
      </w:pPr>
      <w:r>
        <w:rPr>
          <w:rFonts w:hint="eastAsia" w:ascii="宋体" w:hAnsi="宋体" w:eastAsia="宋体" w:cs="Times New Roman"/>
          <w:color w:val="auto"/>
          <w:kern w:val="0"/>
          <w:szCs w:val="21"/>
        </w:rPr>
        <w:t>日期：    年   月   日</w:t>
      </w:r>
    </w:p>
    <w:p w14:paraId="193888B0">
      <w:pPr>
        <w:autoSpaceDE w:val="0"/>
        <w:autoSpaceDN w:val="0"/>
        <w:adjustRightInd w:val="0"/>
        <w:spacing w:line="360" w:lineRule="auto"/>
        <w:ind w:right="368" w:rightChars="175"/>
        <w:jc w:val="left"/>
        <w:rPr>
          <w:rFonts w:ascii="宋体" w:hAnsi="宋体" w:eastAsia="宋体" w:cs="Times New Roman"/>
          <w:color w:val="auto"/>
          <w:kern w:val="0"/>
          <w:szCs w:val="21"/>
        </w:rPr>
      </w:pPr>
    </w:p>
    <w:p w14:paraId="7C10152A">
      <w:pPr>
        <w:autoSpaceDE w:val="0"/>
        <w:autoSpaceDN w:val="0"/>
        <w:adjustRightInd w:val="0"/>
        <w:spacing w:line="360" w:lineRule="auto"/>
        <w:ind w:right="368" w:rightChars="175"/>
        <w:jc w:val="left"/>
        <w:rPr>
          <w:rFonts w:ascii="宋体" w:hAnsi="宋体" w:eastAsia="宋体" w:cs="Times New Roman"/>
          <w:color w:val="auto"/>
          <w:kern w:val="0"/>
          <w:szCs w:val="21"/>
        </w:rPr>
      </w:pPr>
    </w:p>
    <w:p w14:paraId="55D71E73">
      <w:pPr>
        <w:rPr>
          <w:rFonts w:ascii="宋体" w:hAnsi="宋体" w:eastAsia="宋体" w:cs="Times New Roman"/>
          <w:color w:val="auto"/>
        </w:rPr>
      </w:pPr>
    </w:p>
    <w:p w14:paraId="0C200DEB">
      <w:pPr>
        <w:widowControl/>
        <w:jc w:val="left"/>
        <w:rPr>
          <w:rFonts w:ascii="宋体" w:hAnsi="宋体" w:eastAsia="宋体" w:cs="Times New Roman"/>
          <w:b/>
          <w:color w:val="auto"/>
          <w:szCs w:val="21"/>
        </w:rPr>
      </w:pPr>
    </w:p>
    <w:p w14:paraId="61121FAD">
      <w:pPr>
        <w:snapToGrid w:val="0"/>
        <w:spacing w:line="360" w:lineRule="auto"/>
        <w:ind w:firstLine="420" w:firstLineChars="200"/>
        <w:rPr>
          <w:rFonts w:ascii="宋体" w:hAnsi="宋体" w:eastAsia="宋体" w:cs="Times New Roman"/>
          <w:color w:val="auto"/>
          <w:szCs w:val="21"/>
        </w:rPr>
      </w:pPr>
    </w:p>
    <w:p w14:paraId="6605C9BE">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kern w:val="44"/>
          <w:sz w:val="32"/>
          <w:szCs w:val="32"/>
        </w:rPr>
      </w:pPr>
      <w:bookmarkStart w:id="422" w:name="_Toc173182306"/>
      <w:bookmarkStart w:id="423" w:name="_Toc27867"/>
      <w:r>
        <w:rPr>
          <w:rFonts w:hint="eastAsia" w:ascii="宋体" w:hAnsi="宋体" w:eastAsia="宋体" w:cs="宋体"/>
          <w:b/>
          <w:bCs/>
          <w:color w:val="auto"/>
          <w:kern w:val="44"/>
          <w:sz w:val="32"/>
          <w:szCs w:val="32"/>
          <w:lang w:val="zh-CN"/>
        </w:rPr>
        <w:t>第六篇 投标文件格式</w:t>
      </w:r>
      <w:bookmarkEnd w:id="377"/>
      <w:bookmarkEnd w:id="378"/>
      <w:bookmarkEnd w:id="379"/>
      <w:bookmarkEnd w:id="380"/>
      <w:bookmarkEnd w:id="381"/>
      <w:bookmarkEnd w:id="422"/>
      <w:bookmarkEnd w:id="423"/>
    </w:p>
    <w:p w14:paraId="493373CF">
      <w:pPr>
        <w:spacing w:line="360" w:lineRule="auto"/>
        <w:ind w:left="567" w:leftChars="270"/>
        <w:jc w:val="center"/>
        <w:rPr>
          <w:rFonts w:ascii="宋体" w:hAnsi="宋体" w:eastAsia="宋体" w:cs="宋体"/>
          <w:b/>
          <w:color w:val="auto"/>
          <w:kern w:val="0"/>
          <w:sz w:val="32"/>
          <w:szCs w:val="32"/>
        </w:rPr>
      </w:pPr>
      <w:bookmarkStart w:id="424" w:name="_Toc140596921"/>
      <w:bookmarkStart w:id="425" w:name="_Toc533708121"/>
      <w:bookmarkStart w:id="426" w:name="_Toc21133_WPSOffice_Level2"/>
      <w:bookmarkStart w:id="427" w:name="_Toc486167709"/>
      <w:bookmarkStart w:id="428" w:name="_Toc94107202"/>
      <w:bookmarkStart w:id="429" w:name="_Toc104991868"/>
      <w:bookmarkStart w:id="430" w:name="_Toc102860411"/>
      <w:bookmarkStart w:id="431" w:name="_Toc142508362"/>
      <w:bookmarkStart w:id="432" w:name="_Toc1977721"/>
      <w:bookmarkStart w:id="433" w:name="_Toc102860067"/>
    </w:p>
    <w:p w14:paraId="740BE002">
      <w:pPr>
        <w:spacing w:line="360" w:lineRule="auto"/>
        <w:ind w:left="567" w:leftChars="270"/>
        <w:jc w:val="center"/>
        <w:rPr>
          <w:rFonts w:ascii="宋体" w:hAnsi="宋体" w:eastAsia="宋体" w:cs="宋体"/>
          <w:b/>
          <w:color w:val="auto"/>
          <w:kern w:val="0"/>
          <w:sz w:val="32"/>
          <w:szCs w:val="32"/>
        </w:rPr>
      </w:pPr>
    </w:p>
    <w:p w14:paraId="2EA9858E">
      <w:pPr>
        <w:spacing w:line="360" w:lineRule="auto"/>
        <w:ind w:left="567" w:leftChars="270"/>
        <w:jc w:val="center"/>
        <w:rPr>
          <w:rFonts w:ascii="宋体" w:hAnsi="宋体" w:eastAsia="宋体" w:cs="宋体"/>
          <w:b/>
          <w:color w:val="auto"/>
          <w:kern w:val="0"/>
          <w:sz w:val="32"/>
          <w:szCs w:val="32"/>
        </w:rPr>
      </w:pPr>
    </w:p>
    <w:p w14:paraId="514295E1">
      <w:pPr>
        <w:spacing w:line="360" w:lineRule="auto"/>
        <w:ind w:left="567" w:leftChars="270"/>
        <w:jc w:val="center"/>
        <w:rPr>
          <w:rFonts w:ascii="宋体" w:hAnsi="宋体" w:eastAsia="宋体" w:cs="宋体"/>
          <w:color w:val="auto"/>
          <w:sz w:val="84"/>
          <w:szCs w:val="20"/>
        </w:rPr>
      </w:pPr>
    </w:p>
    <w:p w14:paraId="32FBBEC5">
      <w:pPr>
        <w:spacing w:line="360" w:lineRule="auto"/>
        <w:ind w:left="567" w:leftChars="270"/>
        <w:jc w:val="center"/>
        <w:rPr>
          <w:rFonts w:ascii="宋体" w:hAnsi="宋体" w:eastAsia="宋体" w:cs="宋体"/>
          <w:color w:val="auto"/>
          <w:sz w:val="84"/>
          <w:szCs w:val="20"/>
        </w:rPr>
      </w:pPr>
      <w:r>
        <w:rPr>
          <w:rFonts w:hint="eastAsia" w:ascii="宋体" w:hAnsi="宋体" w:eastAsia="宋体" w:cs="宋体"/>
          <w:color w:val="auto"/>
          <w:sz w:val="84"/>
          <w:szCs w:val="20"/>
        </w:rPr>
        <w:t>投 标 文 件</w:t>
      </w:r>
    </w:p>
    <w:p w14:paraId="0FB4C9FE">
      <w:pPr>
        <w:spacing w:line="360" w:lineRule="auto"/>
        <w:ind w:left="567" w:leftChars="270"/>
        <w:rPr>
          <w:rFonts w:ascii="宋体" w:hAnsi="宋体" w:eastAsia="宋体" w:cs="宋体"/>
          <w:color w:val="auto"/>
          <w:szCs w:val="20"/>
        </w:rPr>
      </w:pPr>
    </w:p>
    <w:p w14:paraId="764A2A35">
      <w:pPr>
        <w:spacing w:line="360" w:lineRule="auto"/>
        <w:ind w:left="567" w:leftChars="270"/>
        <w:rPr>
          <w:rFonts w:ascii="宋体" w:hAnsi="宋体" w:eastAsia="宋体" w:cs="宋体"/>
          <w:color w:val="auto"/>
          <w:szCs w:val="20"/>
        </w:rPr>
      </w:pPr>
    </w:p>
    <w:p w14:paraId="358914D0">
      <w:pPr>
        <w:spacing w:line="360" w:lineRule="auto"/>
        <w:ind w:left="567" w:leftChars="270"/>
        <w:rPr>
          <w:rFonts w:ascii="宋体" w:hAnsi="宋体" w:eastAsia="宋体" w:cs="宋体"/>
          <w:color w:val="auto"/>
          <w:szCs w:val="20"/>
        </w:rPr>
      </w:pPr>
    </w:p>
    <w:p w14:paraId="3A5808B8">
      <w:pPr>
        <w:spacing w:line="360" w:lineRule="auto"/>
        <w:ind w:left="567" w:leftChars="270"/>
        <w:rPr>
          <w:rFonts w:ascii="宋体" w:hAnsi="宋体" w:eastAsia="宋体" w:cs="宋体"/>
          <w:color w:val="auto"/>
          <w:szCs w:val="20"/>
        </w:rPr>
      </w:pPr>
    </w:p>
    <w:p w14:paraId="267DE79F">
      <w:pPr>
        <w:spacing w:line="360" w:lineRule="auto"/>
        <w:ind w:left="567" w:leftChars="270"/>
        <w:rPr>
          <w:rFonts w:ascii="宋体" w:hAnsi="宋体" w:eastAsia="宋体" w:cs="宋体"/>
          <w:color w:val="auto"/>
          <w:szCs w:val="20"/>
        </w:rPr>
      </w:pPr>
    </w:p>
    <w:p w14:paraId="3FB13E1C">
      <w:pPr>
        <w:spacing w:line="360" w:lineRule="auto"/>
        <w:ind w:left="567" w:leftChars="270"/>
        <w:rPr>
          <w:rFonts w:ascii="宋体" w:hAnsi="宋体" w:eastAsia="宋体" w:cs="宋体"/>
          <w:color w:val="auto"/>
          <w:szCs w:val="20"/>
        </w:rPr>
      </w:pPr>
    </w:p>
    <w:p w14:paraId="2EAF12D0">
      <w:pPr>
        <w:spacing w:line="360" w:lineRule="auto"/>
        <w:ind w:left="567" w:leftChars="270" w:firstLine="1875" w:firstLineChars="625"/>
        <w:rPr>
          <w:rFonts w:ascii="宋体" w:hAnsi="宋体" w:eastAsia="宋体" w:cs="宋体"/>
          <w:color w:val="auto"/>
          <w:sz w:val="30"/>
          <w:szCs w:val="20"/>
        </w:rPr>
      </w:pPr>
      <w:r>
        <w:rPr>
          <w:rFonts w:hint="eastAsia" w:ascii="宋体" w:hAnsi="宋体" w:eastAsia="宋体" w:cs="宋体"/>
          <w:color w:val="auto"/>
          <w:sz w:val="30"/>
          <w:szCs w:val="20"/>
        </w:rPr>
        <w:t>招标编号：</w:t>
      </w:r>
      <w:r>
        <w:rPr>
          <w:rFonts w:hint="eastAsia" w:ascii="宋体" w:hAnsi="宋体" w:eastAsia="宋体" w:cs="宋体"/>
          <w:color w:val="auto"/>
          <w:sz w:val="30"/>
          <w:szCs w:val="20"/>
          <w:u w:val="single"/>
        </w:rPr>
        <w:t xml:space="preserve">                      </w:t>
      </w:r>
    </w:p>
    <w:p w14:paraId="533A9761">
      <w:pPr>
        <w:spacing w:line="360" w:lineRule="auto"/>
        <w:ind w:left="567" w:leftChars="270" w:firstLine="1875" w:firstLineChars="625"/>
        <w:rPr>
          <w:rFonts w:ascii="宋体" w:hAnsi="宋体" w:eastAsia="宋体" w:cs="宋体"/>
          <w:color w:val="auto"/>
          <w:sz w:val="30"/>
          <w:szCs w:val="20"/>
          <w:u w:val="single"/>
        </w:rPr>
      </w:pPr>
      <w:r>
        <w:rPr>
          <w:rFonts w:hint="eastAsia" w:ascii="宋体" w:hAnsi="宋体" w:eastAsia="宋体" w:cs="宋体"/>
          <w:color w:val="auto"/>
          <w:sz w:val="30"/>
          <w:szCs w:val="20"/>
        </w:rPr>
        <w:t>项目名称：</w:t>
      </w:r>
      <w:r>
        <w:rPr>
          <w:rFonts w:hint="eastAsia" w:ascii="宋体" w:hAnsi="宋体" w:eastAsia="宋体" w:cs="宋体"/>
          <w:color w:val="auto"/>
          <w:sz w:val="30"/>
          <w:szCs w:val="20"/>
          <w:u w:val="single"/>
        </w:rPr>
        <w:t xml:space="preserve">                      </w:t>
      </w:r>
    </w:p>
    <w:p w14:paraId="5C6D54B3">
      <w:pPr>
        <w:spacing w:line="360" w:lineRule="auto"/>
        <w:ind w:left="567" w:leftChars="270" w:firstLine="1875" w:firstLineChars="625"/>
        <w:rPr>
          <w:rFonts w:ascii="宋体" w:hAnsi="宋体" w:eastAsia="宋体" w:cs="宋体"/>
          <w:color w:val="auto"/>
          <w:sz w:val="30"/>
          <w:szCs w:val="20"/>
          <w:u w:val="single"/>
        </w:rPr>
      </w:pPr>
      <w:r>
        <w:rPr>
          <w:rFonts w:hint="eastAsia" w:ascii="宋体" w:hAnsi="宋体" w:eastAsia="宋体" w:cs="宋体"/>
          <w:color w:val="auto"/>
          <w:sz w:val="30"/>
          <w:szCs w:val="20"/>
        </w:rPr>
        <w:t>投标文件内容：</w:t>
      </w:r>
      <w:r>
        <w:rPr>
          <w:rFonts w:hint="eastAsia" w:ascii="宋体" w:hAnsi="宋体" w:eastAsia="宋体" w:cs="宋体"/>
          <w:color w:val="auto"/>
          <w:sz w:val="30"/>
          <w:szCs w:val="20"/>
          <w:u w:val="single"/>
        </w:rPr>
        <w:t xml:space="preserve"> 投标文件商务部分 </w:t>
      </w:r>
    </w:p>
    <w:p w14:paraId="1978C694">
      <w:pPr>
        <w:spacing w:line="360" w:lineRule="auto"/>
        <w:ind w:left="567" w:leftChars="270" w:firstLine="1875" w:firstLineChars="625"/>
        <w:rPr>
          <w:rFonts w:ascii="宋体" w:hAnsi="宋体" w:eastAsia="宋体" w:cs="宋体"/>
          <w:color w:val="auto"/>
          <w:sz w:val="30"/>
          <w:szCs w:val="20"/>
        </w:rPr>
      </w:pPr>
      <w:r>
        <w:rPr>
          <w:rFonts w:hint="eastAsia" w:ascii="宋体" w:hAnsi="宋体" w:eastAsia="宋体" w:cs="宋体"/>
          <w:color w:val="auto"/>
          <w:sz w:val="30"/>
          <w:szCs w:val="20"/>
        </w:rPr>
        <w:t>招标人：</w:t>
      </w:r>
      <w:r>
        <w:rPr>
          <w:rFonts w:hint="eastAsia" w:ascii="宋体" w:hAnsi="宋体" w:eastAsia="宋体" w:cs="宋体"/>
          <w:color w:val="auto"/>
          <w:sz w:val="30"/>
          <w:szCs w:val="20"/>
          <w:u w:val="single"/>
        </w:rPr>
        <w:t xml:space="preserve">                        </w:t>
      </w:r>
    </w:p>
    <w:p w14:paraId="399FBCE1">
      <w:pPr>
        <w:spacing w:line="360" w:lineRule="auto"/>
        <w:ind w:left="567" w:leftChars="270" w:firstLine="1875" w:firstLineChars="625"/>
        <w:rPr>
          <w:rFonts w:ascii="宋体" w:hAnsi="宋体" w:eastAsia="宋体" w:cs="宋体"/>
          <w:color w:val="auto"/>
          <w:sz w:val="30"/>
          <w:szCs w:val="20"/>
          <w:u w:val="single"/>
        </w:rPr>
      </w:pPr>
      <w:r>
        <w:rPr>
          <w:rFonts w:hint="eastAsia" w:ascii="宋体" w:hAnsi="宋体" w:eastAsia="宋体" w:cs="宋体"/>
          <w:color w:val="auto"/>
          <w:sz w:val="30"/>
          <w:szCs w:val="20"/>
        </w:rPr>
        <w:t>投标人：</w:t>
      </w:r>
      <w:r>
        <w:rPr>
          <w:rFonts w:hint="eastAsia" w:ascii="宋体" w:hAnsi="宋体" w:eastAsia="宋体" w:cs="宋体"/>
          <w:color w:val="auto"/>
          <w:sz w:val="30"/>
          <w:szCs w:val="20"/>
          <w:u w:val="single"/>
        </w:rPr>
        <w:t xml:space="preserve">                        </w:t>
      </w:r>
    </w:p>
    <w:p w14:paraId="6F1D0702">
      <w:pPr>
        <w:spacing w:line="360" w:lineRule="auto"/>
        <w:ind w:left="567" w:leftChars="270" w:firstLine="1875" w:firstLineChars="625"/>
        <w:rPr>
          <w:rFonts w:ascii="宋体" w:hAnsi="宋体" w:eastAsia="宋体" w:cs="宋体"/>
          <w:color w:val="auto"/>
          <w:sz w:val="30"/>
          <w:szCs w:val="20"/>
        </w:rPr>
      </w:pPr>
      <w:r>
        <w:rPr>
          <w:rFonts w:hint="eastAsia" w:ascii="宋体" w:hAnsi="宋体" w:eastAsia="宋体" w:cs="宋体"/>
          <w:color w:val="auto"/>
          <w:sz w:val="30"/>
          <w:szCs w:val="20"/>
        </w:rPr>
        <w:t>日  期：</w:t>
      </w:r>
      <w:r>
        <w:rPr>
          <w:rFonts w:hint="eastAsia" w:ascii="宋体" w:hAnsi="宋体" w:eastAsia="宋体" w:cs="宋体"/>
          <w:color w:val="auto"/>
          <w:sz w:val="30"/>
          <w:szCs w:val="20"/>
          <w:u w:val="single"/>
        </w:rPr>
        <w:t xml:space="preserve">     </w:t>
      </w:r>
      <w:r>
        <w:rPr>
          <w:rFonts w:hint="eastAsia" w:ascii="宋体" w:hAnsi="宋体" w:eastAsia="宋体" w:cs="宋体"/>
          <w:color w:val="auto"/>
          <w:sz w:val="30"/>
          <w:szCs w:val="20"/>
        </w:rPr>
        <w:t>年</w:t>
      </w:r>
      <w:r>
        <w:rPr>
          <w:rFonts w:hint="eastAsia" w:ascii="宋体" w:hAnsi="宋体" w:eastAsia="宋体" w:cs="宋体"/>
          <w:color w:val="auto"/>
          <w:sz w:val="30"/>
          <w:szCs w:val="20"/>
          <w:u w:val="single"/>
        </w:rPr>
        <w:t xml:space="preserve">    </w:t>
      </w:r>
      <w:r>
        <w:rPr>
          <w:rFonts w:hint="eastAsia" w:ascii="宋体" w:hAnsi="宋体" w:eastAsia="宋体" w:cs="宋体"/>
          <w:color w:val="auto"/>
          <w:sz w:val="30"/>
          <w:szCs w:val="20"/>
        </w:rPr>
        <w:t>月</w:t>
      </w:r>
      <w:r>
        <w:rPr>
          <w:rFonts w:hint="eastAsia" w:ascii="宋体" w:hAnsi="宋体" w:eastAsia="宋体" w:cs="宋体"/>
          <w:color w:val="auto"/>
          <w:sz w:val="30"/>
          <w:szCs w:val="20"/>
          <w:u w:val="single"/>
        </w:rPr>
        <w:t xml:space="preserve">    </w:t>
      </w:r>
      <w:r>
        <w:rPr>
          <w:rFonts w:hint="eastAsia" w:ascii="宋体" w:hAnsi="宋体" w:eastAsia="宋体" w:cs="宋体"/>
          <w:color w:val="auto"/>
          <w:sz w:val="30"/>
          <w:szCs w:val="20"/>
        </w:rPr>
        <w:t>日</w:t>
      </w:r>
    </w:p>
    <w:p w14:paraId="2C857BFA">
      <w:pPr>
        <w:spacing w:line="360" w:lineRule="auto"/>
        <w:ind w:left="567" w:leftChars="270"/>
        <w:rPr>
          <w:rFonts w:ascii="宋体" w:hAnsi="宋体" w:eastAsia="宋体" w:cs="宋体"/>
          <w:color w:val="auto"/>
          <w:szCs w:val="20"/>
        </w:rPr>
      </w:pPr>
    </w:p>
    <w:p w14:paraId="4BD87778">
      <w:pPr>
        <w:spacing w:line="360" w:lineRule="auto"/>
        <w:ind w:left="567" w:leftChars="270"/>
        <w:rPr>
          <w:rFonts w:ascii="宋体" w:hAnsi="宋体" w:eastAsia="宋体" w:cs="宋体"/>
          <w:color w:val="auto"/>
          <w:szCs w:val="20"/>
        </w:rPr>
      </w:pPr>
      <w:r>
        <w:rPr>
          <w:rFonts w:hint="eastAsia" w:ascii="宋体" w:hAnsi="宋体" w:eastAsia="宋体" w:cs="宋体"/>
          <w:color w:val="auto"/>
          <w:szCs w:val="20"/>
        </w:rPr>
        <w:br w:type="page"/>
      </w:r>
    </w:p>
    <w:p w14:paraId="7DEEC429">
      <w:pPr>
        <w:spacing w:line="360" w:lineRule="auto"/>
        <w:ind w:left="567" w:leftChars="270"/>
        <w:rPr>
          <w:rFonts w:ascii="宋体" w:hAnsi="宋体" w:eastAsia="宋体" w:cs="宋体"/>
          <w:color w:val="auto"/>
          <w:szCs w:val="20"/>
        </w:rPr>
      </w:pPr>
    </w:p>
    <w:p w14:paraId="1A82E413">
      <w:pPr>
        <w:pBdr>
          <w:bottom w:val="single" w:color="auto" w:sz="6" w:space="0"/>
        </w:pBdr>
        <w:spacing w:line="480" w:lineRule="auto"/>
        <w:ind w:firstLine="472" w:firstLineChars="224"/>
        <w:jc w:val="center"/>
        <w:rPr>
          <w:rFonts w:ascii="宋体" w:hAnsi="宋体" w:eastAsia="宋体" w:cs="宋体"/>
          <w:b/>
          <w:bCs/>
          <w:color w:val="auto"/>
          <w:szCs w:val="21"/>
        </w:rPr>
      </w:pPr>
      <w:r>
        <w:rPr>
          <w:rFonts w:hint="eastAsia" w:ascii="宋体" w:hAnsi="宋体" w:eastAsia="宋体" w:cs="宋体"/>
          <w:b/>
          <w:bCs/>
          <w:color w:val="auto"/>
          <w:szCs w:val="21"/>
        </w:rPr>
        <w:t>投标文件商务评审部分索引表</w:t>
      </w:r>
    </w:p>
    <w:tbl>
      <w:tblPr>
        <w:tblStyle w:val="45"/>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79"/>
        <w:gridCol w:w="2773"/>
        <w:gridCol w:w="1786"/>
        <w:gridCol w:w="4430"/>
      </w:tblGrid>
      <w:tr w14:paraId="01529BE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65" w:type="pct"/>
            <w:vAlign w:val="center"/>
          </w:tcPr>
          <w:p w14:paraId="01867367">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Cs/>
                <w:color w:val="auto"/>
                <w:szCs w:val="21"/>
              </w:rPr>
            </w:pPr>
            <w:r>
              <w:rPr>
                <w:rFonts w:hint="eastAsia" w:ascii="宋体" w:hAnsi="宋体" w:eastAsia="宋体" w:cs="宋体"/>
                <w:bCs/>
                <w:color w:val="auto"/>
                <w:szCs w:val="21"/>
              </w:rPr>
              <w:t>序号</w:t>
            </w:r>
          </w:p>
        </w:tc>
        <w:tc>
          <w:tcPr>
            <w:tcW w:w="1337" w:type="pct"/>
            <w:vAlign w:val="center"/>
          </w:tcPr>
          <w:p w14:paraId="63F5BD76">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Cs/>
                <w:color w:val="auto"/>
                <w:szCs w:val="21"/>
              </w:rPr>
            </w:pPr>
            <w:r>
              <w:rPr>
                <w:rFonts w:hint="eastAsia" w:ascii="宋体" w:hAnsi="宋体" w:eastAsia="宋体" w:cs="宋体"/>
                <w:bCs/>
                <w:color w:val="auto"/>
                <w:szCs w:val="21"/>
              </w:rPr>
              <w:t>评标项目</w:t>
            </w:r>
          </w:p>
        </w:tc>
        <w:tc>
          <w:tcPr>
            <w:tcW w:w="861" w:type="pct"/>
            <w:vAlign w:val="center"/>
          </w:tcPr>
          <w:p w14:paraId="393E6BBB">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Cs/>
                <w:color w:val="auto"/>
                <w:szCs w:val="21"/>
              </w:rPr>
            </w:pPr>
            <w:r>
              <w:rPr>
                <w:rFonts w:hint="eastAsia" w:ascii="宋体" w:hAnsi="宋体" w:eastAsia="宋体" w:cs="宋体"/>
                <w:bCs/>
                <w:color w:val="auto"/>
                <w:szCs w:val="21"/>
              </w:rPr>
              <w:t>招标文件上的满分值</w:t>
            </w:r>
          </w:p>
        </w:tc>
        <w:tc>
          <w:tcPr>
            <w:tcW w:w="2136" w:type="pct"/>
            <w:tcBorders>
              <w:left w:val="single" w:color="auto" w:sz="4" w:space="0"/>
            </w:tcBorders>
            <w:vAlign w:val="center"/>
          </w:tcPr>
          <w:p w14:paraId="4FD55B81">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Cs/>
                <w:color w:val="auto"/>
                <w:szCs w:val="21"/>
              </w:rPr>
            </w:pPr>
            <w:r>
              <w:rPr>
                <w:rFonts w:hint="eastAsia" w:ascii="宋体" w:hAnsi="宋体" w:eastAsia="宋体" w:cs="宋体"/>
                <w:bCs/>
                <w:color w:val="auto"/>
                <w:szCs w:val="21"/>
              </w:rPr>
              <w:t>页码索引</w:t>
            </w:r>
          </w:p>
        </w:tc>
      </w:tr>
      <w:tr w14:paraId="79AFFA7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65" w:type="pct"/>
            <w:vAlign w:val="center"/>
          </w:tcPr>
          <w:p w14:paraId="451BFA98">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Cs/>
                <w:color w:val="auto"/>
                <w:szCs w:val="21"/>
              </w:rPr>
            </w:pPr>
          </w:p>
        </w:tc>
        <w:tc>
          <w:tcPr>
            <w:tcW w:w="1337" w:type="pct"/>
            <w:vAlign w:val="center"/>
          </w:tcPr>
          <w:p w14:paraId="4BDFF700">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Cs/>
                <w:color w:val="auto"/>
                <w:szCs w:val="21"/>
              </w:rPr>
            </w:pPr>
          </w:p>
        </w:tc>
        <w:tc>
          <w:tcPr>
            <w:tcW w:w="861" w:type="pct"/>
            <w:vAlign w:val="center"/>
          </w:tcPr>
          <w:p w14:paraId="27B81B31">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Cs/>
                <w:color w:val="auto"/>
                <w:szCs w:val="21"/>
              </w:rPr>
            </w:pPr>
          </w:p>
        </w:tc>
        <w:tc>
          <w:tcPr>
            <w:tcW w:w="2136" w:type="pct"/>
            <w:tcBorders>
              <w:left w:val="single" w:color="auto" w:sz="4" w:space="0"/>
            </w:tcBorders>
            <w:vAlign w:val="center"/>
          </w:tcPr>
          <w:p w14:paraId="7C229283">
            <w:pPr>
              <w:keepNext w:val="0"/>
              <w:keepLines w:val="0"/>
              <w:suppressLineNumbers w:val="0"/>
              <w:adjustRightInd w:val="0"/>
              <w:snapToGrid w:val="0"/>
              <w:spacing w:before="0" w:beforeAutospacing="0" w:after="0" w:afterAutospacing="0" w:line="360" w:lineRule="auto"/>
              <w:ind w:left="0" w:right="0"/>
              <w:rPr>
                <w:rFonts w:hint="default" w:ascii="宋体" w:hAnsi="宋体" w:eastAsia="宋体" w:cs="宋体"/>
                <w:bCs/>
                <w:color w:val="auto"/>
                <w:szCs w:val="21"/>
              </w:rPr>
            </w:pPr>
          </w:p>
        </w:tc>
      </w:tr>
      <w:tr w14:paraId="00109AD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65" w:type="pct"/>
            <w:vAlign w:val="center"/>
          </w:tcPr>
          <w:p w14:paraId="0AB710B1">
            <w:pPr>
              <w:keepNext w:val="0"/>
              <w:keepLines w:val="0"/>
              <w:suppressLineNumbers w:val="0"/>
              <w:spacing w:before="0" w:beforeAutospacing="0" w:after="0" w:afterAutospacing="0"/>
              <w:ind w:left="0" w:right="0"/>
              <w:rPr>
                <w:rFonts w:hint="default" w:ascii="宋体" w:hAnsi="宋体" w:eastAsia="宋体" w:cs="宋体"/>
                <w:bCs/>
                <w:color w:val="auto"/>
                <w:szCs w:val="21"/>
              </w:rPr>
            </w:pPr>
          </w:p>
        </w:tc>
        <w:tc>
          <w:tcPr>
            <w:tcW w:w="1337" w:type="pct"/>
            <w:vAlign w:val="center"/>
          </w:tcPr>
          <w:p w14:paraId="662F80DA">
            <w:pPr>
              <w:keepNext w:val="0"/>
              <w:keepLines w:val="0"/>
              <w:suppressLineNumbers w:val="0"/>
              <w:spacing w:before="0" w:beforeAutospacing="0" w:after="0" w:afterAutospacing="0"/>
              <w:ind w:left="0" w:right="0"/>
              <w:rPr>
                <w:rFonts w:hint="default" w:ascii="宋体" w:hAnsi="宋体" w:eastAsia="宋体" w:cs="宋体"/>
                <w:bCs/>
                <w:color w:val="auto"/>
                <w:szCs w:val="21"/>
              </w:rPr>
            </w:pPr>
          </w:p>
        </w:tc>
        <w:tc>
          <w:tcPr>
            <w:tcW w:w="861" w:type="pct"/>
            <w:vAlign w:val="center"/>
          </w:tcPr>
          <w:p w14:paraId="7C5747EF">
            <w:pPr>
              <w:keepNext w:val="0"/>
              <w:keepLines w:val="0"/>
              <w:suppressLineNumbers w:val="0"/>
              <w:spacing w:before="0" w:beforeAutospacing="0" w:after="0" w:afterAutospacing="0"/>
              <w:ind w:left="0" w:right="0"/>
              <w:rPr>
                <w:rFonts w:hint="default" w:ascii="宋体" w:hAnsi="宋体" w:eastAsia="宋体" w:cs="宋体"/>
                <w:bCs/>
                <w:color w:val="auto"/>
                <w:szCs w:val="21"/>
              </w:rPr>
            </w:pPr>
          </w:p>
        </w:tc>
        <w:tc>
          <w:tcPr>
            <w:tcW w:w="2136" w:type="pct"/>
            <w:tcBorders>
              <w:left w:val="single" w:color="auto" w:sz="4" w:space="0"/>
            </w:tcBorders>
            <w:vAlign w:val="center"/>
          </w:tcPr>
          <w:p w14:paraId="3B1D4A5F">
            <w:pPr>
              <w:keepNext w:val="0"/>
              <w:keepLines w:val="0"/>
              <w:suppressLineNumbers w:val="0"/>
              <w:adjustRightInd w:val="0"/>
              <w:snapToGrid w:val="0"/>
              <w:spacing w:before="0" w:beforeAutospacing="0" w:after="0" w:afterAutospacing="0" w:line="360" w:lineRule="auto"/>
              <w:ind w:left="0" w:right="0" w:firstLine="105" w:firstLineChars="50"/>
              <w:rPr>
                <w:rFonts w:hint="default" w:ascii="宋体" w:hAnsi="宋体" w:eastAsia="宋体" w:cs="宋体"/>
                <w:bCs/>
                <w:color w:val="auto"/>
                <w:szCs w:val="21"/>
              </w:rPr>
            </w:pPr>
          </w:p>
        </w:tc>
      </w:tr>
      <w:tr w14:paraId="5C06B43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65" w:type="pct"/>
            <w:vAlign w:val="center"/>
          </w:tcPr>
          <w:p w14:paraId="3F563A75">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Cs/>
                <w:color w:val="auto"/>
                <w:szCs w:val="21"/>
              </w:rPr>
            </w:pPr>
          </w:p>
        </w:tc>
        <w:tc>
          <w:tcPr>
            <w:tcW w:w="1337" w:type="pct"/>
            <w:vAlign w:val="center"/>
          </w:tcPr>
          <w:p w14:paraId="56F921AF">
            <w:pPr>
              <w:keepNext w:val="0"/>
              <w:keepLines w:val="0"/>
              <w:suppressLineNumbers w:val="0"/>
              <w:adjustRightInd w:val="0"/>
              <w:snapToGrid w:val="0"/>
              <w:spacing w:before="0" w:beforeAutospacing="0" w:after="0" w:afterAutospacing="0" w:line="360" w:lineRule="auto"/>
              <w:ind w:left="0" w:right="0"/>
              <w:rPr>
                <w:rFonts w:hint="default" w:ascii="宋体" w:hAnsi="宋体" w:eastAsia="宋体" w:cs="宋体"/>
                <w:bCs/>
                <w:color w:val="auto"/>
                <w:szCs w:val="21"/>
              </w:rPr>
            </w:pPr>
          </w:p>
        </w:tc>
        <w:tc>
          <w:tcPr>
            <w:tcW w:w="861" w:type="pct"/>
            <w:vAlign w:val="center"/>
          </w:tcPr>
          <w:p w14:paraId="490506D8">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Cs/>
                <w:color w:val="auto"/>
                <w:szCs w:val="21"/>
              </w:rPr>
            </w:pPr>
          </w:p>
        </w:tc>
        <w:tc>
          <w:tcPr>
            <w:tcW w:w="2136" w:type="pct"/>
            <w:tcBorders>
              <w:left w:val="single" w:color="auto" w:sz="4" w:space="0"/>
            </w:tcBorders>
            <w:vAlign w:val="center"/>
          </w:tcPr>
          <w:p w14:paraId="6D76C737">
            <w:pPr>
              <w:keepNext w:val="0"/>
              <w:keepLines w:val="0"/>
              <w:suppressLineNumbers w:val="0"/>
              <w:spacing w:before="0" w:beforeAutospacing="0" w:after="0" w:afterAutospacing="0" w:line="360" w:lineRule="auto"/>
              <w:ind w:left="0" w:right="0" w:firstLine="8" w:firstLineChars="4"/>
              <w:rPr>
                <w:rFonts w:hint="default" w:ascii="宋体" w:hAnsi="宋体" w:eastAsia="宋体" w:cs="宋体"/>
                <w:bCs/>
                <w:color w:val="auto"/>
                <w:szCs w:val="21"/>
              </w:rPr>
            </w:pPr>
          </w:p>
        </w:tc>
      </w:tr>
      <w:tr w14:paraId="274394E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65" w:type="pct"/>
            <w:tcBorders>
              <w:top w:val="single" w:color="auto" w:sz="6" w:space="0"/>
              <w:left w:val="single" w:color="auto" w:sz="4" w:space="0"/>
              <w:bottom w:val="outset" w:color="808080" w:sz="6" w:space="0"/>
              <w:right w:val="single" w:color="auto" w:sz="6" w:space="0"/>
            </w:tcBorders>
            <w:vAlign w:val="center"/>
          </w:tcPr>
          <w:p w14:paraId="7EAE824A">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Cs/>
                <w:color w:val="auto"/>
                <w:szCs w:val="21"/>
              </w:rPr>
            </w:pPr>
          </w:p>
        </w:tc>
        <w:tc>
          <w:tcPr>
            <w:tcW w:w="1337" w:type="pct"/>
            <w:tcBorders>
              <w:top w:val="single" w:color="auto" w:sz="6" w:space="0"/>
              <w:left w:val="single" w:color="auto" w:sz="6" w:space="0"/>
              <w:bottom w:val="outset" w:color="808080" w:sz="6" w:space="0"/>
              <w:right w:val="single" w:color="auto" w:sz="6" w:space="0"/>
            </w:tcBorders>
            <w:vAlign w:val="center"/>
          </w:tcPr>
          <w:p w14:paraId="0262A3B0">
            <w:pPr>
              <w:keepNext w:val="0"/>
              <w:keepLines w:val="0"/>
              <w:suppressLineNumbers w:val="0"/>
              <w:adjustRightInd w:val="0"/>
              <w:snapToGrid w:val="0"/>
              <w:spacing w:before="0" w:beforeAutospacing="0" w:after="0" w:afterAutospacing="0" w:line="360" w:lineRule="auto"/>
              <w:ind w:left="0" w:right="0"/>
              <w:rPr>
                <w:rFonts w:hint="default" w:ascii="宋体" w:hAnsi="宋体" w:eastAsia="宋体" w:cs="宋体"/>
                <w:bCs/>
                <w:color w:val="auto"/>
                <w:szCs w:val="21"/>
              </w:rPr>
            </w:pPr>
          </w:p>
        </w:tc>
        <w:tc>
          <w:tcPr>
            <w:tcW w:w="861" w:type="pct"/>
            <w:tcBorders>
              <w:top w:val="single" w:color="auto" w:sz="6" w:space="0"/>
              <w:left w:val="single" w:color="auto" w:sz="6" w:space="0"/>
              <w:bottom w:val="outset" w:color="808080" w:sz="6" w:space="0"/>
              <w:right w:val="single" w:color="auto" w:sz="6" w:space="0"/>
            </w:tcBorders>
            <w:vAlign w:val="center"/>
          </w:tcPr>
          <w:p w14:paraId="5727E611">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Cs/>
                <w:color w:val="auto"/>
                <w:szCs w:val="21"/>
              </w:rPr>
            </w:pPr>
          </w:p>
        </w:tc>
        <w:tc>
          <w:tcPr>
            <w:tcW w:w="2136" w:type="pct"/>
            <w:tcBorders>
              <w:top w:val="single" w:color="auto" w:sz="6" w:space="0"/>
              <w:left w:val="single" w:color="auto" w:sz="4" w:space="0"/>
              <w:bottom w:val="outset" w:color="808080" w:sz="6" w:space="0"/>
              <w:right w:val="single" w:color="auto" w:sz="6" w:space="0"/>
            </w:tcBorders>
            <w:vAlign w:val="center"/>
          </w:tcPr>
          <w:p w14:paraId="6A02BB89">
            <w:pPr>
              <w:keepNext w:val="0"/>
              <w:keepLines w:val="0"/>
              <w:suppressLineNumbers w:val="0"/>
              <w:adjustRightInd w:val="0"/>
              <w:snapToGrid w:val="0"/>
              <w:spacing w:before="0" w:beforeAutospacing="0" w:after="0" w:afterAutospacing="0" w:line="360" w:lineRule="auto"/>
              <w:ind w:left="0" w:right="0"/>
              <w:rPr>
                <w:rFonts w:hint="default" w:ascii="宋体" w:hAnsi="宋体" w:eastAsia="宋体" w:cs="宋体"/>
                <w:bCs/>
                <w:color w:val="auto"/>
                <w:szCs w:val="21"/>
              </w:rPr>
            </w:pPr>
          </w:p>
        </w:tc>
      </w:tr>
      <w:tr w14:paraId="75C2AB1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02" w:type="pct"/>
            <w:gridSpan w:val="2"/>
            <w:tcBorders>
              <w:bottom w:val="single" w:color="auto" w:sz="4" w:space="0"/>
            </w:tcBorders>
            <w:vAlign w:val="center"/>
          </w:tcPr>
          <w:p w14:paraId="6B834F5A">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Cs/>
                <w:color w:val="auto"/>
                <w:szCs w:val="21"/>
              </w:rPr>
            </w:pPr>
            <w:r>
              <w:rPr>
                <w:rFonts w:hint="eastAsia" w:ascii="宋体" w:hAnsi="宋体" w:eastAsia="宋体" w:cs="宋体"/>
                <w:bCs/>
                <w:color w:val="auto"/>
                <w:szCs w:val="21"/>
              </w:rPr>
              <w:t>合计</w:t>
            </w:r>
          </w:p>
        </w:tc>
        <w:tc>
          <w:tcPr>
            <w:tcW w:w="861" w:type="pct"/>
            <w:tcBorders>
              <w:bottom w:val="single" w:color="auto" w:sz="4" w:space="0"/>
            </w:tcBorders>
            <w:vAlign w:val="center"/>
          </w:tcPr>
          <w:p w14:paraId="13374695">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Cs/>
                <w:color w:val="auto"/>
                <w:szCs w:val="21"/>
              </w:rPr>
            </w:pPr>
          </w:p>
        </w:tc>
        <w:tc>
          <w:tcPr>
            <w:tcW w:w="2136" w:type="pct"/>
            <w:tcBorders>
              <w:left w:val="single" w:color="auto" w:sz="4" w:space="0"/>
              <w:bottom w:val="single" w:color="auto" w:sz="4" w:space="0"/>
            </w:tcBorders>
            <w:vAlign w:val="center"/>
          </w:tcPr>
          <w:p w14:paraId="39BD1A53">
            <w:pPr>
              <w:keepNext w:val="0"/>
              <w:keepLines w:val="0"/>
              <w:suppressLineNumbers w:val="0"/>
              <w:spacing w:before="0" w:beforeAutospacing="0" w:after="0" w:afterAutospacing="0" w:line="360" w:lineRule="auto"/>
              <w:ind w:left="0" w:right="0"/>
              <w:jc w:val="center"/>
              <w:rPr>
                <w:rFonts w:hint="default" w:ascii="宋体" w:hAnsi="宋体" w:eastAsia="宋体" w:cs="宋体"/>
                <w:bCs/>
                <w:color w:val="auto"/>
                <w:szCs w:val="21"/>
              </w:rPr>
            </w:pPr>
          </w:p>
        </w:tc>
      </w:tr>
    </w:tbl>
    <w:p w14:paraId="7B039400">
      <w:pPr>
        <w:spacing w:line="360" w:lineRule="auto"/>
        <w:ind w:left="567" w:leftChars="270"/>
        <w:rPr>
          <w:rFonts w:ascii="宋体" w:hAnsi="宋体" w:eastAsia="宋体" w:cs="宋体"/>
          <w:color w:val="auto"/>
          <w:szCs w:val="20"/>
        </w:rPr>
      </w:pPr>
    </w:p>
    <w:p w14:paraId="17897504">
      <w:pPr>
        <w:spacing w:line="360" w:lineRule="auto"/>
        <w:ind w:left="567" w:leftChars="270"/>
        <w:rPr>
          <w:rFonts w:ascii="宋体" w:hAnsi="宋体" w:eastAsia="宋体" w:cs="宋体"/>
          <w:color w:val="auto"/>
          <w:szCs w:val="20"/>
        </w:rPr>
      </w:pPr>
    </w:p>
    <w:p w14:paraId="594E3A1C">
      <w:pPr>
        <w:widowControl/>
        <w:jc w:val="left"/>
        <w:rPr>
          <w:rFonts w:ascii="宋体" w:hAnsi="宋体" w:eastAsia="宋体" w:cs="宋体"/>
          <w:b/>
          <w:color w:val="auto"/>
          <w:kern w:val="0"/>
          <w:sz w:val="32"/>
          <w:szCs w:val="32"/>
        </w:rPr>
      </w:pPr>
      <w:r>
        <w:rPr>
          <w:rFonts w:hint="eastAsia" w:ascii="宋体" w:hAnsi="宋体" w:eastAsia="宋体" w:cs="宋体"/>
          <w:color w:val="auto"/>
        </w:rPr>
        <w:br w:type="page"/>
      </w:r>
    </w:p>
    <w:p w14:paraId="5E98DC37">
      <w:pPr>
        <w:pageBreakBefore/>
        <w:autoSpaceDE w:val="0"/>
        <w:autoSpaceDN w:val="0"/>
        <w:adjustRightInd w:val="0"/>
        <w:spacing w:line="360" w:lineRule="auto"/>
        <w:jc w:val="left"/>
        <w:rPr>
          <w:rFonts w:ascii="宋体" w:hAnsi="宋体" w:eastAsia="宋体" w:cs="宋体"/>
          <w:b/>
          <w:color w:val="auto"/>
          <w:kern w:val="44"/>
          <w:sz w:val="32"/>
          <w:szCs w:val="32"/>
        </w:rPr>
      </w:pPr>
      <w:bookmarkStart w:id="434" w:name="_Toc18706"/>
      <w:bookmarkStart w:id="435" w:name="_Toc13331"/>
      <w:r>
        <w:rPr>
          <w:rFonts w:hint="eastAsia" w:ascii="宋体" w:hAnsi="宋体" w:eastAsia="宋体" w:cs="宋体"/>
          <w:b/>
          <w:color w:val="auto"/>
          <w:kern w:val="44"/>
          <w:sz w:val="32"/>
          <w:szCs w:val="32"/>
        </w:rPr>
        <w:t>一、投标函格式</w:t>
      </w:r>
      <w:bookmarkEnd w:id="424"/>
      <w:bookmarkEnd w:id="425"/>
      <w:bookmarkEnd w:id="426"/>
      <w:bookmarkEnd w:id="427"/>
      <w:bookmarkEnd w:id="428"/>
      <w:bookmarkEnd w:id="429"/>
      <w:bookmarkEnd w:id="430"/>
      <w:bookmarkEnd w:id="431"/>
      <w:bookmarkEnd w:id="432"/>
      <w:bookmarkEnd w:id="433"/>
      <w:bookmarkEnd w:id="434"/>
      <w:bookmarkEnd w:id="435"/>
    </w:p>
    <w:p w14:paraId="16D56F09">
      <w:pPr>
        <w:autoSpaceDE w:val="0"/>
        <w:autoSpaceDN w:val="0"/>
        <w:adjustRightInd w:val="0"/>
        <w:spacing w:line="360" w:lineRule="auto"/>
        <w:jc w:val="center"/>
        <w:rPr>
          <w:rFonts w:ascii="宋体" w:hAnsi="宋体" w:eastAsia="宋体" w:cs="宋体"/>
          <w:b/>
          <w:bCs/>
          <w:color w:val="auto"/>
          <w:sz w:val="30"/>
          <w:szCs w:val="30"/>
        </w:rPr>
      </w:pPr>
      <w:bookmarkStart w:id="436" w:name="_Toc16695_WPSOffice_Level3"/>
      <w:r>
        <w:rPr>
          <w:rFonts w:hint="eastAsia" w:ascii="宋体" w:hAnsi="宋体" w:eastAsia="宋体" w:cs="宋体"/>
          <w:b/>
          <w:bCs/>
          <w:color w:val="auto"/>
          <w:sz w:val="30"/>
          <w:szCs w:val="30"/>
          <w:lang w:val="zh-CN"/>
        </w:rPr>
        <w:t>投 标 函</w:t>
      </w:r>
      <w:bookmarkEnd w:id="436"/>
    </w:p>
    <w:p w14:paraId="5F30EDA8">
      <w:pPr>
        <w:autoSpaceDE w:val="0"/>
        <w:autoSpaceDN w:val="0"/>
        <w:adjustRightInd w:val="0"/>
        <w:spacing w:line="360" w:lineRule="auto"/>
        <w:rPr>
          <w:rFonts w:ascii="宋体" w:hAnsi="宋体" w:eastAsia="宋体" w:cs="宋体"/>
          <w:color w:val="auto"/>
          <w:szCs w:val="21"/>
          <w:lang w:val="zh-CN"/>
        </w:rPr>
      </w:pPr>
    </w:p>
    <w:p w14:paraId="5CDC9360">
      <w:pPr>
        <w:autoSpaceDE w:val="0"/>
        <w:autoSpaceDN w:val="0"/>
        <w:adjustRightInd w:val="0"/>
        <w:spacing w:line="360" w:lineRule="auto"/>
        <w:rPr>
          <w:rFonts w:ascii="宋体" w:hAnsi="宋体" w:eastAsia="宋体" w:cs="宋体"/>
          <w:color w:val="auto"/>
          <w:szCs w:val="21"/>
          <w:lang w:val="zh-CN"/>
        </w:rPr>
      </w:pPr>
      <w:r>
        <w:rPr>
          <w:rFonts w:hint="eastAsia" w:ascii="宋体" w:hAnsi="宋体" w:eastAsia="宋体" w:cs="宋体"/>
          <w:color w:val="auto"/>
          <w:szCs w:val="21"/>
          <w:lang w:val="zh-CN"/>
        </w:rPr>
        <w:t>致：</w:t>
      </w:r>
      <w:r>
        <w:rPr>
          <w:rFonts w:hint="eastAsia" w:ascii="宋体" w:hAnsi="宋体" w:eastAsia="宋体" w:cs="宋体"/>
          <w:color w:val="auto"/>
          <w:kern w:val="0"/>
          <w:szCs w:val="21"/>
          <w:u w:val="single"/>
        </w:rPr>
        <w:t>东莞市水务集团有限公司</w:t>
      </w:r>
    </w:p>
    <w:p w14:paraId="4A154E86">
      <w:pPr>
        <w:autoSpaceDE w:val="0"/>
        <w:autoSpaceDN w:val="0"/>
        <w:adjustRightInd w:val="0"/>
        <w:spacing w:line="360" w:lineRule="auto"/>
        <w:rPr>
          <w:rFonts w:ascii="宋体" w:hAnsi="宋体" w:eastAsia="宋体" w:cs="宋体"/>
          <w:color w:val="auto"/>
          <w:szCs w:val="21"/>
        </w:rPr>
      </w:pPr>
    </w:p>
    <w:p w14:paraId="71E8A6F0">
      <w:pPr>
        <w:wordWrap w:val="0"/>
        <w:autoSpaceDE w:val="0"/>
        <w:autoSpaceDN w:val="0"/>
        <w:adjustRightInd w:val="0"/>
        <w:spacing w:line="360" w:lineRule="auto"/>
        <w:ind w:firstLine="420"/>
        <w:rPr>
          <w:rFonts w:ascii="宋体" w:hAnsi="宋体" w:eastAsia="宋体" w:cs="宋体"/>
          <w:color w:val="auto"/>
          <w:szCs w:val="21"/>
          <w:lang w:val="zh-CN"/>
        </w:rPr>
      </w:pPr>
      <w:r>
        <w:rPr>
          <w:rFonts w:hint="eastAsia" w:ascii="宋体" w:hAnsi="宋体" w:eastAsia="宋体" w:cs="宋体"/>
          <w:color w:val="auto"/>
          <w:szCs w:val="21"/>
          <w:lang w:val="zh-CN"/>
        </w:rPr>
        <w:t>根据贵方为</w:t>
      </w:r>
      <w:r>
        <w:rPr>
          <w:rFonts w:hint="eastAsia" w:ascii="宋体" w:hAnsi="宋体" w:eastAsia="宋体" w:cs="宋体"/>
          <w:color w:val="auto"/>
          <w:kern w:val="0"/>
          <w:szCs w:val="21"/>
          <w:u w:val="single"/>
          <w:lang w:eastAsia="zh-CN"/>
        </w:rPr>
        <w:t>东莞市水务集团有限公司2025年安全及劳保物资采购项目</w:t>
      </w:r>
      <w:r>
        <w:rPr>
          <w:rFonts w:hint="eastAsia" w:ascii="宋体" w:hAnsi="宋体" w:eastAsia="宋体" w:cs="宋体"/>
          <w:color w:val="auto"/>
          <w:szCs w:val="21"/>
          <w:lang w:val="zh-CN"/>
        </w:rPr>
        <w:t>(招标编号：</w:t>
      </w:r>
      <w:r>
        <w:rPr>
          <w:rFonts w:hint="eastAsia" w:ascii="宋体" w:hAnsi="宋体" w:eastAsia="宋体" w:cs="宋体"/>
          <w:color w:val="auto"/>
          <w:szCs w:val="21"/>
          <w:u w:val="single"/>
          <w:lang w:val="zh-CN"/>
        </w:rPr>
        <w:t>DGDS2024-079</w:t>
      </w:r>
      <w:r>
        <w:rPr>
          <w:rFonts w:hint="eastAsia" w:ascii="宋体" w:hAnsi="宋体" w:eastAsia="宋体" w:cs="宋体"/>
          <w:color w:val="auto"/>
          <w:szCs w:val="21"/>
          <w:lang w:val="zh-CN"/>
        </w:rPr>
        <w:t>)的投标邀请，我方（投标人名称）作为投标人正式授权</w:t>
      </w:r>
      <w:r>
        <w:rPr>
          <w:rFonts w:hint="eastAsia" w:ascii="宋体" w:hAnsi="宋体" w:eastAsia="宋体" w:cs="宋体"/>
          <w:color w:val="auto"/>
          <w:szCs w:val="21"/>
          <w:u w:val="single"/>
          <w:lang w:val="zh-CN"/>
        </w:rPr>
        <w:t>　   　（</w:t>
      </w:r>
      <w:r>
        <w:rPr>
          <w:rFonts w:hint="eastAsia" w:ascii="宋体" w:hAnsi="宋体" w:eastAsia="宋体" w:cs="宋体"/>
          <w:color w:val="auto"/>
          <w:szCs w:val="21"/>
          <w:lang w:val="zh-CN"/>
        </w:rPr>
        <w:t>授权代表全名，职务）代表我方进行有关本次投标的一切事宜。</w:t>
      </w:r>
    </w:p>
    <w:p w14:paraId="4EB15C78">
      <w:pPr>
        <w:autoSpaceDE w:val="0"/>
        <w:autoSpaceDN w:val="0"/>
        <w:adjustRightInd w:val="0"/>
        <w:spacing w:line="360" w:lineRule="auto"/>
        <w:ind w:firstLine="420"/>
        <w:rPr>
          <w:rFonts w:ascii="宋体" w:hAnsi="宋体" w:eastAsia="宋体" w:cs="宋体"/>
          <w:color w:val="auto"/>
          <w:szCs w:val="21"/>
          <w:lang w:val="zh-CN"/>
        </w:rPr>
      </w:pPr>
      <w:r>
        <w:rPr>
          <w:rFonts w:hint="eastAsia" w:ascii="宋体" w:hAnsi="宋体" w:eastAsia="宋体" w:cs="宋体"/>
          <w:color w:val="auto"/>
          <w:szCs w:val="21"/>
          <w:lang w:val="zh-CN"/>
        </w:rPr>
        <w:t>在此提交的投标文件，包括如下等内容，并已单独密封封装：</w:t>
      </w:r>
    </w:p>
    <w:p w14:paraId="61079A4B">
      <w:pPr>
        <w:autoSpaceDE w:val="0"/>
        <w:autoSpaceDN w:val="0"/>
        <w:adjustRightInd w:val="0"/>
        <w:spacing w:line="360" w:lineRule="auto"/>
        <w:ind w:firstLine="315" w:firstLineChars="150"/>
        <w:rPr>
          <w:rFonts w:ascii="宋体" w:hAnsi="宋体" w:eastAsia="宋体" w:cs="Times New Roman"/>
          <w:color w:val="auto"/>
          <w:szCs w:val="21"/>
          <w:lang w:val="zh-CN"/>
        </w:rPr>
      </w:pPr>
      <w:r>
        <w:rPr>
          <w:rFonts w:hint="eastAsia" w:ascii="宋体" w:hAnsi="宋体" w:eastAsia="宋体" w:cs="Times New Roman"/>
          <w:color w:val="auto"/>
          <w:szCs w:val="21"/>
          <w:lang w:val="zh-CN"/>
        </w:rPr>
        <w:t>（</w:t>
      </w:r>
      <w:r>
        <w:rPr>
          <w:rFonts w:ascii="宋体" w:hAnsi="宋体" w:eastAsia="宋体" w:cs="Times New Roman"/>
          <w:color w:val="auto"/>
          <w:szCs w:val="21"/>
          <w:lang w:val="zh-CN"/>
        </w:rPr>
        <w:t>—</w:t>
      </w:r>
      <w:r>
        <w:rPr>
          <w:rFonts w:hint="eastAsia" w:ascii="宋体" w:hAnsi="宋体" w:eastAsia="宋体" w:cs="Times New Roman"/>
          <w:color w:val="auto"/>
          <w:szCs w:val="21"/>
          <w:lang w:val="zh-CN"/>
        </w:rPr>
        <w:t>）唱标信封【</w:t>
      </w:r>
      <w:r>
        <w:rPr>
          <w:rFonts w:hint="eastAsia" w:ascii="宋体" w:hAnsi="宋体" w:eastAsia="宋体" w:cs="Times New Roman"/>
          <w:color w:val="auto"/>
          <w:szCs w:val="21"/>
          <w:u w:val="single"/>
          <w:lang w:val="zh-CN"/>
        </w:rPr>
        <w:t xml:space="preserve">        </w:t>
      </w:r>
      <w:r>
        <w:rPr>
          <w:rFonts w:hint="eastAsia" w:ascii="宋体" w:hAnsi="宋体" w:eastAsia="宋体" w:cs="Times New Roman"/>
          <w:color w:val="auto"/>
          <w:szCs w:val="21"/>
          <w:lang w:val="zh-CN"/>
        </w:rPr>
        <w:t>份】（含投标文件电子文件）；</w:t>
      </w:r>
    </w:p>
    <w:p w14:paraId="1E12BE0F">
      <w:pPr>
        <w:autoSpaceDE w:val="0"/>
        <w:autoSpaceDN w:val="0"/>
        <w:adjustRightInd w:val="0"/>
        <w:spacing w:line="360" w:lineRule="auto"/>
        <w:ind w:firstLine="315" w:firstLineChars="150"/>
        <w:rPr>
          <w:rFonts w:ascii="宋体" w:hAnsi="宋体" w:eastAsia="宋体" w:cs="Times New Roman"/>
          <w:color w:val="auto"/>
          <w:szCs w:val="21"/>
          <w:lang w:val="zh-CN"/>
        </w:rPr>
      </w:pPr>
      <w:r>
        <w:rPr>
          <w:rFonts w:hint="eastAsia" w:ascii="宋体" w:hAnsi="宋体" w:eastAsia="宋体" w:cs="Times New Roman"/>
          <w:color w:val="auto"/>
          <w:szCs w:val="21"/>
          <w:lang w:val="zh-CN"/>
        </w:rPr>
        <w:t>（二）投标文件【正本</w:t>
      </w:r>
      <w:r>
        <w:rPr>
          <w:rFonts w:hint="eastAsia" w:ascii="宋体" w:hAnsi="宋体" w:eastAsia="宋体" w:cs="Times New Roman"/>
          <w:color w:val="auto"/>
          <w:szCs w:val="21"/>
          <w:u w:val="single"/>
          <w:lang w:val="zh-CN"/>
        </w:rPr>
        <w:t xml:space="preserve">        </w:t>
      </w:r>
      <w:r>
        <w:rPr>
          <w:rFonts w:hint="eastAsia" w:ascii="宋体" w:hAnsi="宋体" w:eastAsia="宋体" w:cs="Times New Roman"/>
          <w:color w:val="auto"/>
          <w:szCs w:val="21"/>
          <w:lang w:val="zh-CN"/>
        </w:rPr>
        <w:t>份，副本</w:t>
      </w:r>
      <w:r>
        <w:rPr>
          <w:rFonts w:hint="eastAsia" w:ascii="宋体" w:hAnsi="宋体" w:eastAsia="宋体" w:cs="Times New Roman"/>
          <w:color w:val="auto"/>
          <w:szCs w:val="21"/>
          <w:u w:val="single"/>
          <w:lang w:val="zh-CN"/>
        </w:rPr>
        <w:t xml:space="preserve">        </w:t>
      </w:r>
      <w:r>
        <w:rPr>
          <w:rFonts w:hint="eastAsia" w:ascii="宋体" w:hAnsi="宋体" w:eastAsia="宋体" w:cs="Times New Roman"/>
          <w:color w:val="auto"/>
          <w:szCs w:val="21"/>
          <w:lang w:val="zh-CN"/>
        </w:rPr>
        <w:t>份】。</w:t>
      </w:r>
    </w:p>
    <w:p w14:paraId="5926696C">
      <w:pPr>
        <w:autoSpaceDE w:val="0"/>
        <w:autoSpaceDN w:val="0"/>
        <w:adjustRightInd w:val="0"/>
        <w:spacing w:line="360" w:lineRule="auto"/>
        <w:ind w:firstLine="420"/>
        <w:rPr>
          <w:rFonts w:ascii="宋体" w:hAnsi="宋体" w:eastAsia="宋体" w:cs="宋体"/>
          <w:color w:val="auto"/>
          <w:szCs w:val="21"/>
          <w:lang w:val="zh-CN"/>
        </w:rPr>
      </w:pPr>
      <w:r>
        <w:rPr>
          <w:rFonts w:hint="eastAsia" w:ascii="宋体" w:hAnsi="宋体" w:eastAsia="宋体" w:cs="宋体"/>
          <w:color w:val="auto"/>
          <w:szCs w:val="21"/>
          <w:lang w:val="zh-CN"/>
        </w:rPr>
        <w:t>我方已完全明白招标文件的所有条款要求，并重申以下几点：</w:t>
      </w:r>
    </w:p>
    <w:p w14:paraId="64C9F73B">
      <w:pPr>
        <w:autoSpaceDE w:val="0"/>
        <w:autoSpaceDN w:val="0"/>
        <w:adjustRightInd w:val="0"/>
        <w:spacing w:line="360" w:lineRule="auto"/>
        <w:ind w:firstLine="315" w:firstLineChars="150"/>
        <w:rPr>
          <w:rFonts w:ascii="宋体" w:hAnsi="宋体" w:eastAsia="宋体" w:cs="宋体"/>
          <w:color w:val="auto"/>
          <w:szCs w:val="21"/>
          <w:lang w:val="zh-CN"/>
        </w:rPr>
      </w:pPr>
      <w:r>
        <w:rPr>
          <w:rFonts w:hint="eastAsia" w:ascii="宋体" w:hAnsi="宋体" w:eastAsia="宋体" w:cs="宋体"/>
          <w:color w:val="auto"/>
          <w:szCs w:val="21"/>
          <w:lang w:val="zh-CN"/>
        </w:rPr>
        <w:t>（—）我方</w:t>
      </w:r>
      <w:r>
        <w:rPr>
          <w:rFonts w:hint="eastAsia" w:ascii="宋体" w:hAnsi="宋体" w:eastAsia="宋体" w:cs="Times New Roman"/>
          <w:color w:val="auto"/>
          <w:szCs w:val="21"/>
          <w:lang w:val="zh-CN"/>
        </w:rPr>
        <w:t>决定</w:t>
      </w:r>
      <w:r>
        <w:rPr>
          <w:rFonts w:hint="eastAsia" w:ascii="宋体" w:hAnsi="宋体" w:eastAsia="宋体" w:cs="宋体"/>
          <w:color w:val="auto"/>
          <w:szCs w:val="21"/>
          <w:lang w:val="zh-CN"/>
        </w:rPr>
        <w:t>参加招标编号为</w:t>
      </w:r>
      <w:r>
        <w:rPr>
          <w:rFonts w:hint="eastAsia" w:ascii="宋体" w:hAnsi="宋体" w:eastAsia="宋体" w:cs="宋体"/>
          <w:color w:val="auto"/>
          <w:szCs w:val="21"/>
          <w:u w:val="single"/>
          <w:lang w:val="zh-CN"/>
        </w:rPr>
        <w:t>DGDS2024-079</w:t>
      </w:r>
      <w:r>
        <w:rPr>
          <w:rFonts w:hint="eastAsia" w:ascii="宋体" w:hAnsi="宋体" w:eastAsia="宋体" w:cs="宋体"/>
          <w:color w:val="auto"/>
          <w:szCs w:val="21"/>
          <w:lang w:val="zh-CN"/>
        </w:rPr>
        <w:t>的投标；</w:t>
      </w:r>
    </w:p>
    <w:p w14:paraId="02D2D481">
      <w:pPr>
        <w:autoSpaceDE w:val="0"/>
        <w:autoSpaceDN w:val="0"/>
        <w:adjustRightInd w:val="0"/>
        <w:spacing w:line="360" w:lineRule="auto"/>
        <w:ind w:firstLine="315" w:firstLineChars="150"/>
        <w:rPr>
          <w:rFonts w:ascii="宋体" w:hAnsi="宋体" w:eastAsia="宋体" w:cs="宋体"/>
          <w:color w:val="auto"/>
          <w:szCs w:val="21"/>
          <w:lang w:val="zh-CN"/>
        </w:rPr>
      </w:pPr>
      <w:r>
        <w:rPr>
          <w:rFonts w:hint="eastAsia" w:ascii="宋体" w:hAnsi="宋体" w:eastAsia="宋体" w:cs="宋体"/>
          <w:color w:val="auto"/>
          <w:szCs w:val="21"/>
          <w:lang w:val="zh-CN"/>
        </w:rPr>
        <w:t>（二）本投标文件的有效期自递交投标文件截止时间届满后90日有效，如中标，有效期将延至合同终止日为止；</w:t>
      </w:r>
    </w:p>
    <w:p w14:paraId="4B9779A9">
      <w:pPr>
        <w:autoSpaceDE w:val="0"/>
        <w:autoSpaceDN w:val="0"/>
        <w:adjustRightInd w:val="0"/>
        <w:spacing w:line="360" w:lineRule="auto"/>
        <w:ind w:firstLine="315" w:firstLineChars="150"/>
        <w:rPr>
          <w:rFonts w:ascii="宋体" w:hAnsi="宋体" w:eastAsia="宋体" w:cs="宋体"/>
          <w:color w:val="auto"/>
          <w:szCs w:val="21"/>
          <w:lang w:val="zh-CN"/>
        </w:rPr>
      </w:pPr>
      <w:r>
        <w:rPr>
          <w:rFonts w:hint="eastAsia" w:ascii="宋体" w:hAnsi="宋体" w:eastAsia="宋体" w:cs="宋体"/>
          <w:color w:val="auto"/>
          <w:szCs w:val="21"/>
          <w:lang w:val="zh-CN"/>
        </w:rPr>
        <w:t>（三）我方已详细研究了招标文件的所有内容包括修正文（如有）和所有已提供的参考资料以及有关附件并完全明白，我方放弃在此方面提出含糊意见或误解的一切权力；</w:t>
      </w:r>
    </w:p>
    <w:p w14:paraId="57EAB61F">
      <w:pPr>
        <w:autoSpaceDE w:val="0"/>
        <w:autoSpaceDN w:val="0"/>
        <w:adjustRightInd w:val="0"/>
        <w:spacing w:line="360" w:lineRule="auto"/>
        <w:ind w:firstLine="315" w:firstLineChars="150"/>
        <w:rPr>
          <w:rFonts w:ascii="宋体" w:hAnsi="宋体" w:eastAsia="宋体" w:cs="宋体"/>
          <w:color w:val="auto"/>
          <w:szCs w:val="21"/>
          <w:lang w:val="zh-CN"/>
        </w:rPr>
      </w:pPr>
      <w:r>
        <w:rPr>
          <w:rFonts w:hint="eastAsia" w:ascii="宋体" w:hAnsi="宋体" w:eastAsia="宋体" w:cs="宋体"/>
          <w:color w:val="auto"/>
          <w:szCs w:val="21"/>
          <w:lang w:val="zh-CN"/>
        </w:rPr>
        <w:t>（四）我方明白并愿意在规定的递交投标文件截止时间和日期之后，投标有效期之内撤回投标，则不予退还我方投标保证金；</w:t>
      </w:r>
    </w:p>
    <w:p w14:paraId="4A388473">
      <w:pPr>
        <w:autoSpaceDE w:val="0"/>
        <w:autoSpaceDN w:val="0"/>
        <w:adjustRightInd w:val="0"/>
        <w:spacing w:line="360" w:lineRule="auto"/>
        <w:ind w:firstLine="315" w:firstLineChars="150"/>
        <w:rPr>
          <w:rFonts w:ascii="宋体" w:hAnsi="宋体" w:eastAsia="宋体" w:cs="宋体"/>
          <w:color w:val="auto"/>
          <w:szCs w:val="21"/>
          <w:lang w:val="zh-CN"/>
        </w:rPr>
      </w:pPr>
      <w:r>
        <w:rPr>
          <w:rFonts w:hint="eastAsia" w:ascii="宋体" w:hAnsi="宋体" w:eastAsia="宋体" w:cs="宋体"/>
          <w:color w:val="auto"/>
          <w:szCs w:val="21"/>
          <w:lang w:val="zh-CN"/>
        </w:rPr>
        <w:t>（五）我方同意按照贵方可能提出的要求而提供与投标有关的任何其它数据或信息；</w:t>
      </w:r>
    </w:p>
    <w:p w14:paraId="2CFDF9C1">
      <w:pPr>
        <w:autoSpaceDE w:val="0"/>
        <w:autoSpaceDN w:val="0"/>
        <w:adjustRightInd w:val="0"/>
        <w:spacing w:line="360" w:lineRule="auto"/>
        <w:ind w:firstLine="315" w:firstLineChars="150"/>
        <w:rPr>
          <w:rFonts w:ascii="宋体" w:hAnsi="宋体" w:eastAsia="宋体" w:cs="宋体"/>
          <w:color w:val="auto"/>
          <w:szCs w:val="21"/>
          <w:lang w:val="zh-CN"/>
        </w:rPr>
      </w:pPr>
      <w:r>
        <w:rPr>
          <w:rFonts w:hint="eastAsia" w:ascii="宋体" w:hAnsi="宋体" w:eastAsia="宋体" w:cs="宋体"/>
          <w:color w:val="auto"/>
          <w:szCs w:val="21"/>
          <w:lang w:val="zh-CN"/>
        </w:rPr>
        <w:t>（六）我方理解贵方不一定接受最低报价或任何贵方可能收到的报价；</w:t>
      </w:r>
    </w:p>
    <w:p w14:paraId="74264153">
      <w:pPr>
        <w:autoSpaceDE w:val="0"/>
        <w:autoSpaceDN w:val="0"/>
        <w:adjustRightInd w:val="0"/>
        <w:spacing w:line="360" w:lineRule="auto"/>
        <w:ind w:firstLine="315" w:firstLineChars="150"/>
        <w:rPr>
          <w:rFonts w:ascii="宋体" w:hAnsi="宋体" w:eastAsia="宋体" w:cs="宋体"/>
          <w:color w:val="auto"/>
          <w:szCs w:val="21"/>
          <w:lang w:val="zh-CN"/>
        </w:rPr>
      </w:pPr>
      <w:r>
        <w:rPr>
          <w:rFonts w:hint="eastAsia" w:ascii="宋体" w:hAnsi="宋体" w:eastAsia="宋体" w:cs="宋体"/>
          <w:color w:val="auto"/>
          <w:szCs w:val="21"/>
          <w:lang w:val="zh-CN"/>
        </w:rPr>
        <w:t>（七）我方如果中标，将保证履行招标文件以及招标文件修改书（如有）中的全部责任和义务，按质、按量、按期完成《合同书》中的全部任务；</w:t>
      </w:r>
    </w:p>
    <w:p w14:paraId="2744D1C7">
      <w:pPr>
        <w:autoSpaceDE w:val="0"/>
        <w:autoSpaceDN w:val="0"/>
        <w:adjustRightInd w:val="0"/>
        <w:spacing w:line="360" w:lineRule="auto"/>
        <w:ind w:firstLine="315" w:firstLineChars="150"/>
        <w:rPr>
          <w:rFonts w:ascii="宋体" w:hAnsi="宋体" w:eastAsia="宋体" w:cs="宋体"/>
          <w:color w:val="auto"/>
          <w:szCs w:val="21"/>
          <w:lang w:val="zh-CN"/>
        </w:rPr>
      </w:pPr>
      <w:r>
        <w:rPr>
          <w:rFonts w:hint="eastAsia" w:ascii="宋体" w:hAnsi="宋体" w:eastAsia="宋体" w:cs="宋体"/>
          <w:color w:val="auto"/>
          <w:szCs w:val="21"/>
          <w:lang w:val="zh-CN"/>
        </w:rPr>
        <w:t>（八）保证投标文件中所有资料均真实有效，否则按无效投标处理或可取消中标资格，并愿意接受按弄虚作假骗取中标的有关规定进行处理，并不予退还我方投标保证金；</w:t>
      </w:r>
    </w:p>
    <w:p w14:paraId="158F9971">
      <w:pPr>
        <w:autoSpaceDE w:val="0"/>
        <w:autoSpaceDN w:val="0"/>
        <w:adjustRightInd w:val="0"/>
        <w:spacing w:line="360" w:lineRule="auto"/>
        <w:ind w:firstLine="315" w:firstLineChars="150"/>
        <w:rPr>
          <w:rFonts w:ascii="宋体" w:hAnsi="宋体" w:eastAsia="宋体" w:cs="宋体"/>
          <w:color w:val="auto"/>
          <w:szCs w:val="21"/>
          <w:lang w:val="zh-CN"/>
        </w:rPr>
      </w:pPr>
      <w:r>
        <w:rPr>
          <w:rFonts w:hint="eastAsia" w:ascii="宋体" w:hAnsi="宋体" w:eastAsia="宋体" w:cs="宋体"/>
          <w:color w:val="auto"/>
          <w:szCs w:val="21"/>
          <w:lang w:val="zh-CN"/>
        </w:rPr>
        <w:t>（九）若我方中标后，我方一定按照招标文件的要求和投标文件的承诺签订和履行合同，否则贵方可取消我方中标资格，并依法不予退还我方投标保证金或履约担保，我方愿意接受违约处罚；</w:t>
      </w:r>
    </w:p>
    <w:p w14:paraId="03BA834F">
      <w:pPr>
        <w:autoSpaceDE w:val="0"/>
        <w:autoSpaceDN w:val="0"/>
        <w:adjustRightInd w:val="0"/>
        <w:spacing w:line="360" w:lineRule="auto"/>
        <w:ind w:firstLine="315" w:firstLineChars="150"/>
        <w:rPr>
          <w:rFonts w:ascii="宋体" w:hAnsi="宋体" w:eastAsia="宋体" w:cs="宋体"/>
          <w:color w:val="auto"/>
          <w:szCs w:val="21"/>
          <w:lang w:val="zh-CN"/>
        </w:rPr>
      </w:pPr>
      <w:r>
        <w:rPr>
          <w:rFonts w:hint="eastAsia" w:ascii="宋体" w:hAnsi="宋体" w:eastAsia="宋体" w:cs="宋体"/>
          <w:color w:val="auto"/>
          <w:szCs w:val="21"/>
          <w:lang w:val="zh-CN"/>
        </w:rPr>
        <w:t>（十）若我方中标后，核查出投标文件内容前后不一致，我方愿按最高标准的承诺履约义务；</w:t>
      </w:r>
    </w:p>
    <w:p w14:paraId="73CC9DEE">
      <w:pPr>
        <w:autoSpaceDE w:val="0"/>
        <w:autoSpaceDN w:val="0"/>
        <w:adjustRightInd w:val="0"/>
        <w:spacing w:line="360" w:lineRule="auto"/>
        <w:ind w:firstLine="315" w:firstLineChars="150"/>
        <w:rPr>
          <w:rFonts w:ascii="宋体" w:hAnsi="宋体" w:eastAsia="宋体" w:cs="宋体"/>
          <w:color w:val="auto"/>
          <w:szCs w:val="21"/>
          <w:lang w:val="zh-CN"/>
        </w:rPr>
      </w:pPr>
      <w:r>
        <w:rPr>
          <w:rFonts w:hint="eastAsia" w:ascii="宋体" w:hAnsi="宋体" w:eastAsia="宋体" w:cs="宋体"/>
          <w:color w:val="auto"/>
          <w:szCs w:val="21"/>
          <w:lang w:val="zh-CN"/>
        </w:rPr>
        <w:t>（十一）所有与本投标有关的函件请发往下列地址：</w:t>
      </w:r>
    </w:p>
    <w:p w14:paraId="4C38E99F">
      <w:pPr>
        <w:autoSpaceDE w:val="0"/>
        <w:autoSpaceDN w:val="0"/>
        <w:adjustRightInd w:val="0"/>
        <w:spacing w:line="360" w:lineRule="auto"/>
        <w:ind w:left="395" w:leftChars="-12" w:hanging="420" w:hangingChars="200"/>
        <w:rPr>
          <w:rFonts w:ascii="宋体" w:hAnsi="宋体" w:eastAsia="宋体" w:cs="宋体"/>
          <w:color w:val="auto"/>
          <w:szCs w:val="21"/>
          <w:u w:val="single"/>
          <w:lang w:val="zh-CN"/>
        </w:rPr>
      </w:pPr>
    </w:p>
    <w:p w14:paraId="067B27B8">
      <w:pPr>
        <w:autoSpaceDE w:val="0"/>
        <w:autoSpaceDN w:val="0"/>
        <w:adjustRightInd w:val="0"/>
        <w:spacing w:line="360" w:lineRule="auto"/>
        <w:ind w:firstLine="420" w:firstLineChars="200"/>
        <w:rPr>
          <w:rFonts w:ascii="宋体" w:hAnsi="宋体" w:eastAsia="宋体" w:cs="宋体"/>
          <w:color w:val="auto"/>
          <w:szCs w:val="21"/>
          <w:u w:val="single"/>
          <w:lang w:val="zh-CN"/>
        </w:rPr>
      </w:pPr>
      <w:r>
        <w:rPr>
          <w:rFonts w:hint="eastAsia" w:ascii="宋体" w:hAnsi="宋体" w:eastAsia="宋体" w:cs="宋体"/>
          <w:color w:val="auto"/>
          <w:szCs w:val="21"/>
          <w:lang w:val="zh-CN"/>
        </w:rPr>
        <w:t>地  　址：</w:t>
      </w:r>
      <w:r>
        <w:rPr>
          <w:rFonts w:hint="eastAsia" w:ascii="宋体" w:hAnsi="宋体" w:eastAsia="宋体" w:cs="宋体"/>
          <w:color w:val="auto"/>
          <w:szCs w:val="21"/>
          <w:u w:val="single"/>
          <w:lang w:val="zh-CN"/>
        </w:rPr>
        <w:t>　　　　　　　　　　　</w:t>
      </w:r>
      <w:r>
        <w:rPr>
          <w:rFonts w:hint="eastAsia" w:ascii="宋体" w:hAnsi="宋体" w:eastAsia="宋体" w:cs="宋体"/>
          <w:color w:val="auto"/>
          <w:szCs w:val="21"/>
          <w:lang w:val="zh-CN"/>
        </w:rPr>
        <w:tab/>
      </w:r>
      <w:r>
        <w:rPr>
          <w:rFonts w:hint="eastAsia" w:ascii="宋体" w:hAnsi="宋体" w:eastAsia="宋体" w:cs="宋体"/>
          <w:color w:val="auto"/>
          <w:szCs w:val="21"/>
          <w:lang w:val="zh-CN"/>
        </w:rPr>
        <w:tab/>
      </w:r>
      <w:r>
        <w:rPr>
          <w:rFonts w:hint="eastAsia" w:ascii="宋体" w:hAnsi="宋体" w:eastAsia="宋体" w:cs="宋体"/>
          <w:color w:val="auto"/>
          <w:szCs w:val="21"/>
          <w:lang w:val="zh-CN"/>
        </w:rPr>
        <w:t>邮政编码：</w:t>
      </w:r>
      <w:r>
        <w:rPr>
          <w:rFonts w:hint="eastAsia" w:ascii="宋体" w:hAnsi="宋体" w:eastAsia="宋体" w:cs="宋体"/>
          <w:color w:val="auto"/>
          <w:szCs w:val="21"/>
          <w:u w:val="single"/>
          <w:lang w:val="zh-CN"/>
        </w:rPr>
        <w:t xml:space="preserve">　　　　　　　　　　 </w:t>
      </w:r>
    </w:p>
    <w:p w14:paraId="59B70BE0">
      <w:pPr>
        <w:autoSpaceDE w:val="0"/>
        <w:autoSpaceDN w:val="0"/>
        <w:adjustRightInd w:val="0"/>
        <w:spacing w:line="360" w:lineRule="auto"/>
        <w:ind w:firstLine="420" w:firstLineChars="200"/>
        <w:rPr>
          <w:rFonts w:ascii="宋体" w:hAnsi="宋体" w:eastAsia="宋体" w:cs="宋体"/>
          <w:color w:val="auto"/>
          <w:szCs w:val="21"/>
          <w:lang w:val="zh-CN"/>
        </w:rPr>
      </w:pPr>
      <w:r>
        <w:rPr>
          <w:rFonts w:hint="eastAsia" w:ascii="宋体" w:hAnsi="宋体" w:eastAsia="宋体" w:cs="宋体"/>
          <w:color w:val="auto"/>
          <w:szCs w:val="21"/>
          <w:lang w:val="zh-CN"/>
        </w:rPr>
        <w:t>电　　话：</w:t>
      </w:r>
      <w:r>
        <w:rPr>
          <w:rFonts w:hint="eastAsia" w:ascii="宋体" w:hAnsi="宋体" w:eastAsia="宋体" w:cs="宋体"/>
          <w:color w:val="auto"/>
          <w:szCs w:val="21"/>
          <w:u w:val="single"/>
          <w:lang w:val="zh-CN"/>
        </w:rPr>
        <w:t>　　　　　　　　　　　</w:t>
      </w:r>
      <w:r>
        <w:rPr>
          <w:rFonts w:hint="eastAsia" w:ascii="宋体" w:hAnsi="宋体" w:eastAsia="宋体" w:cs="宋体"/>
          <w:color w:val="auto"/>
          <w:szCs w:val="21"/>
          <w:lang w:val="zh-CN"/>
        </w:rPr>
        <w:tab/>
      </w:r>
      <w:r>
        <w:rPr>
          <w:rFonts w:hint="eastAsia" w:ascii="宋体" w:hAnsi="宋体" w:eastAsia="宋体" w:cs="宋体"/>
          <w:color w:val="auto"/>
          <w:szCs w:val="21"/>
          <w:lang w:val="zh-CN"/>
        </w:rPr>
        <w:tab/>
      </w:r>
      <w:r>
        <w:rPr>
          <w:rFonts w:hint="eastAsia" w:ascii="宋体" w:hAnsi="宋体" w:eastAsia="宋体" w:cs="宋体"/>
          <w:color w:val="auto"/>
          <w:szCs w:val="21"/>
          <w:lang w:val="zh-CN"/>
        </w:rPr>
        <w:t>代表姓名：</w:t>
      </w:r>
      <w:r>
        <w:rPr>
          <w:rFonts w:hint="eastAsia" w:ascii="宋体" w:hAnsi="宋体" w:eastAsia="宋体" w:cs="宋体"/>
          <w:color w:val="auto"/>
          <w:szCs w:val="21"/>
          <w:u w:val="single"/>
          <w:lang w:val="zh-CN"/>
        </w:rPr>
        <w:t>　　　　　　　　　　　</w:t>
      </w:r>
    </w:p>
    <w:p w14:paraId="679EE3A7">
      <w:pPr>
        <w:autoSpaceDE w:val="0"/>
        <w:autoSpaceDN w:val="0"/>
        <w:adjustRightInd w:val="0"/>
        <w:spacing w:line="360" w:lineRule="auto"/>
        <w:ind w:firstLine="420" w:firstLineChars="200"/>
        <w:rPr>
          <w:rFonts w:ascii="宋体" w:hAnsi="宋体" w:eastAsia="宋体" w:cs="宋体"/>
          <w:color w:val="auto"/>
          <w:szCs w:val="21"/>
          <w:lang w:val="zh-CN"/>
        </w:rPr>
      </w:pPr>
      <w:r>
        <w:rPr>
          <w:rFonts w:hint="eastAsia" w:ascii="宋体" w:hAnsi="宋体" w:eastAsia="宋体" w:cs="宋体"/>
          <w:color w:val="auto"/>
          <w:szCs w:val="21"/>
          <w:lang w:val="zh-CN"/>
        </w:rPr>
        <w:t>传　　真：</w:t>
      </w:r>
      <w:r>
        <w:rPr>
          <w:rFonts w:hint="eastAsia" w:ascii="宋体" w:hAnsi="宋体" w:eastAsia="宋体" w:cs="宋体"/>
          <w:color w:val="auto"/>
          <w:szCs w:val="21"/>
          <w:u w:val="single"/>
          <w:lang w:val="zh-CN"/>
        </w:rPr>
        <w:t>　　　　　　　　　　　</w:t>
      </w:r>
      <w:r>
        <w:rPr>
          <w:rFonts w:hint="eastAsia" w:ascii="宋体" w:hAnsi="宋体" w:eastAsia="宋体" w:cs="宋体"/>
          <w:color w:val="auto"/>
          <w:szCs w:val="21"/>
          <w:lang w:val="zh-CN"/>
        </w:rPr>
        <w:t xml:space="preserve">        职　　务：</w:t>
      </w:r>
      <w:r>
        <w:rPr>
          <w:rFonts w:hint="eastAsia" w:ascii="宋体" w:hAnsi="宋体" w:eastAsia="宋体" w:cs="宋体"/>
          <w:color w:val="auto"/>
          <w:szCs w:val="21"/>
          <w:u w:val="single"/>
          <w:lang w:val="zh-CN"/>
        </w:rPr>
        <w:t xml:space="preserve">　　　　　　　　　　 </w:t>
      </w:r>
    </w:p>
    <w:p w14:paraId="6173B00F">
      <w:pPr>
        <w:autoSpaceDE w:val="0"/>
        <w:autoSpaceDN w:val="0"/>
        <w:adjustRightInd w:val="0"/>
        <w:spacing w:line="360" w:lineRule="auto"/>
        <w:rPr>
          <w:rFonts w:ascii="宋体" w:hAnsi="宋体" w:eastAsia="宋体" w:cs="宋体"/>
          <w:color w:val="auto"/>
          <w:szCs w:val="21"/>
          <w:lang w:val="zh-CN"/>
        </w:rPr>
      </w:pPr>
      <w:r>
        <w:rPr>
          <w:rFonts w:hint="eastAsia" w:ascii="宋体" w:hAnsi="宋体" w:eastAsia="宋体" w:cs="宋体"/>
          <w:color w:val="auto"/>
          <w:szCs w:val="21"/>
          <w:lang w:val="zh-CN"/>
        </w:rPr>
        <w:tab/>
      </w:r>
      <w:r>
        <w:rPr>
          <w:rFonts w:hint="eastAsia" w:ascii="宋体" w:hAnsi="宋体" w:eastAsia="宋体" w:cs="宋体"/>
          <w:color w:val="auto"/>
          <w:szCs w:val="21"/>
        </w:rPr>
        <w:t>电子邮箱：</w:t>
      </w:r>
      <w:r>
        <w:rPr>
          <w:rFonts w:hint="eastAsia" w:ascii="宋体" w:hAnsi="宋体" w:eastAsia="宋体" w:cs="宋体"/>
          <w:color w:val="auto"/>
          <w:szCs w:val="21"/>
          <w:u w:val="single"/>
          <w:lang w:val="zh-CN"/>
        </w:rPr>
        <w:t>　　　　　　　　　　　</w:t>
      </w:r>
      <w:r>
        <w:rPr>
          <w:rFonts w:hint="eastAsia" w:ascii="宋体" w:hAnsi="宋体" w:eastAsia="宋体" w:cs="宋体"/>
          <w:color w:val="auto"/>
          <w:szCs w:val="21"/>
          <w:lang w:val="zh-CN"/>
        </w:rPr>
        <w:tab/>
      </w:r>
    </w:p>
    <w:p w14:paraId="3BAEC2CE">
      <w:pPr>
        <w:autoSpaceDE w:val="0"/>
        <w:autoSpaceDN w:val="0"/>
        <w:adjustRightInd w:val="0"/>
        <w:spacing w:line="360" w:lineRule="auto"/>
        <w:ind w:firstLine="4960" w:firstLineChars="2362"/>
        <w:rPr>
          <w:rFonts w:ascii="宋体" w:hAnsi="宋体" w:eastAsia="宋体" w:cs="宋体"/>
          <w:color w:val="auto"/>
          <w:szCs w:val="21"/>
          <w:lang w:val="zh-CN"/>
        </w:rPr>
      </w:pPr>
      <w:r>
        <w:rPr>
          <w:rFonts w:hint="eastAsia" w:ascii="宋体" w:hAnsi="宋体" w:eastAsia="宋体" w:cs="宋体"/>
          <w:color w:val="auto"/>
          <w:szCs w:val="21"/>
          <w:lang w:val="zh-CN"/>
        </w:rPr>
        <w:t>投标人：（</w:t>
      </w:r>
      <w:r>
        <w:rPr>
          <w:rFonts w:hint="eastAsia" w:ascii="宋体" w:hAnsi="宋体" w:eastAsia="宋体" w:cs="宋体"/>
          <w:color w:val="auto"/>
          <w:szCs w:val="24"/>
          <w:lang w:val="zh-CN"/>
        </w:rPr>
        <w:t>加盖投标人法人公章</w:t>
      </w:r>
      <w:r>
        <w:rPr>
          <w:rFonts w:hint="eastAsia" w:ascii="宋体" w:hAnsi="宋体" w:eastAsia="宋体" w:cs="宋体"/>
          <w:color w:val="auto"/>
          <w:szCs w:val="21"/>
          <w:lang w:val="zh-CN"/>
        </w:rPr>
        <w:t>）</w:t>
      </w:r>
    </w:p>
    <w:p w14:paraId="2E8AC1A4">
      <w:pPr>
        <w:autoSpaceDE w:val="0"/>
        <w:autoSpaceDN w:val="0"/>
        <w:adjustRightInd w:val="0"/>
        <w:spacing w:line="360" w:lineRule="auto"/>
        <w:ind w:firstLine="4960" w:firstLineChars="2362"/>
        <w:rPr>
          <w:rFonts w:ascii="宋体" w:hAnsi="宋体" w:eastAsia="宋体" w:cs="宋体"/>
          <w:color w:val="auto"/>
          <w:szCs w:val="21"/>
          <w:lang w:val="zh-CN"/>
        </w:rPr>
      </w:pPr>
      <w:r>
        <w:rPr>
          <w:rFonts w:hint="eastAsia" w:ascii="宋体" w:hAnsi="宋体" w:eastAsia="宋体" w:cs="宋体"/>
          <w:color w:val="auto"/>
          <w:szCs w:val="21"/>
          <w:lang w:val="zh-CN"/>
        </w:rPr>
        <w:t>法定代表人或其授权代表签名（或盖私章）：</w:t>
      </w:r>
    </w:p>
    <w:p w14:paraId="564538ED">
      <w:pPr>
        <w:autoSpaceDE w:val="0"/>
        <w:autoSpaceDN w:val="0"/>
        <w:adjustRightInd w:val="0"/>
        <w:spacing w:line="360" w:lineRule="auto"/>
        <w:ind w:firstLine="4960" w:firstLineChars="2362"/>
        <w:rPr>
          <w:rFonts w:ascii="宋体" w:hAnsi="宋体" w:eastAsia="宋体" w:cs="Times New Roman"/>
          <w:color w:val="auto"/>
          <w:sz w:val="24"/>
          <w:szCs w:val="24"/>
          <w:lang w:val="zh-CN"/>
        </w:rPr>
      </w:pPr>
      <w:r>
        <w:rPr>
          <w:rFonts w:hint="eastAsia" w:ascii="宋体" w:hAnsi="宋体" w:eastAsia="宋体" w:cs="宋体"/>
          <w:color w:val="auto"/>
          <w:szCs w:val="21"/>
          <w:lang w:val="zh-CN"/>
        </w:rPr>
        <w:t>日</w:t>
      </w:r>
      <w:r>
        <w:rPr>
          <w:rFonts w:hint="eastAsia" w:ascii="宋体" w:hAnsi="宋体" w:eastAsia="宋体" w:cs="Times New Roman"/>
          <w:color w:val="auto"/>
          <w:szCs w:val="24"/>
          <w:lang w:val="zh-CN"/>
        </w:rPr>
        <w:t>期：   年   月   日</w:t>
      </w:r>
    </w:p>
    <w:p w14:paraId="4D331EB7">
      <w:pPr>
        <w:pageBreakBefore/>
        <w:autoSpaceDE w:val="0"/>
        <w:autoSpaceDN w:val="0"/>
        <w:adjustRightInd w:val="0"/>
        <w:spacing w:line="360" w:lineRule="auto"/>
        <w:jc w:val="left"/>
        <w:rPr>
          <w:rFonts w:ascii="宋体" w:hAnsi="宋体" w:eastAsia="宋体" w:cs="宋体"/>
          <w:b/>
          <w:color w:val="auto"/>
          <w:kern w:val="44"/>
          <w:sz w:val="32"/>
          <w:szCs w:val="32"/>
        </w:rPr>
      </w:pPr>
      <w:bookmarkStart w:id="437" w:name="_Toc102860412"/>
      <w:bookmarkStart w:id="438" w:name="_Toc533708122"/>
      <w:bookmarkStart w:id="439" w:name="_Toc94107203"/>
      <w:bookmarkStart w:id="440" w:name="_Toc142508363"/>
      <w:bookmarkStart w:id="441" w:name="_Toc102860068"/>
      <w:bookmarkStart w:id="442" w:name="_Toc28613_WPSOffice_Level2"/>
      <w:bookmarkStart w:id="443" w:name="_Toc8696"/>
      <w:bookmarkStart w:id="444" w:name="_Toc486167710"/>
      <w:bookmarkStart w:id="445" w:name="_Toc104991869"/>
      <w:bookmarkStart w:id="446" w:name="_Toc26795"/>
      <w:bookmarkStart w:id="447" w:name="_Toc140596922"/>
      <w:bookmarkStart w:id="448" w:name="_Toc1977722"/>
      <w:r>
        <w:rPr>
          <w:rFonts w:hint="eastAsia" w:ascii="宋体" w:hAnsi="宋体" w:eastAsia="宋体" w:cs="宋体"/>
          <w:b/>
          <w:color w:val="auto"/>
          <w:kern w:val="44"/>
          <w:sz w:val="32"/>
          <w:szCs w:val="32"/>
        </w:rPr>
        <w:t>二、投标承诺书格式</w:t>
      </w:r>
      <w:bookmarkEnd w:id="437"/>
      <w:bookmarkEnd w:id="438"/>
      <w:bookmarkEnd w:id="439"/>
      <w:bookmarkEnd w:id="440"/>
      <w:bookmarkEnd w:id="441"/>
      <w:bookmarkEnd w:id="442"/>
      <w:bookmarkEnd w:id="443"/>
      <w:bookmarkEnd w:id="444"/>
      <w:bookmarkEnd w:id="445"/>
      <w:bookmarkEnd w:id="446"/>
      <w:bookmarkEnd w:id="447"/>
      <w:bookmarkEnd w:id="448"/>
    </w:p>
    <w:p w14:paraId="294C889A">
      <w:pPr>
        <w:autoSpaceDE w:val="0"/>
        <w:autoSpaceDN w:val="0"/>
        <w:adjustRightInd w:val="0"/>
        <w:spacing w:line="360" w:lineRule="auto"/>
        <w:jc w:val="center"/>
        <w:rPr>
          <w:rFonts w:ascii="宋体" w:hAnsi="宋体" w:eastAsia="宋体" w:cs="Times New Roman"/>
          <w:b/>
          <w:bCs/>
          <w:color w:val="auto"/>
          <w:sz w:val="30"/>
          <w:szCs w:val="30"/>
          <w:lang w:val="zh-CN"/>
        </w:rPr>
      </w:pPr>
      <w:r>
        <w:rPr>
          <w:rFonts w:hint="eastAsia" w:ascii="宋体" w:hAnsi="宋体" w:eastAsia="宋体" w:cs="Times New Roman"/>
          <w:b/>
          <w:bCs/>
          <w:color w:val="auto"/>
          <w:sz w:val="30"/>
          <w:szCs w:val="30"/>
          <w:lang w:val="zh-CN"/>
        </w:rPr>
        <w:t>投标承诺书</w:t>
      </w:r>
    </w:p>
    <w:p w14:paraId="72FE4770">
      <w:pPr>
        <w:widowControl/>
        <w:autoSpaceDE w:val="0"/>
        <w:autoSpaceDN w:val="0"/>
        <w:adjustRightInd w:val="0"/>
        <w:spacing w:line="360" w:lineRule="auto"/>
        <w:ind w:firstLine="420" w:firstLineChars="200"/>
        <w:jc w:val="left"/>
        <w:rPr>
          <w:rFonts w:ascii="宋体" w:hAnsi="宋体" w:eastAsia="宋体" w:cs="Times New Roman"/>
          <w:color w:val="auto"/>
          <w:kern w:val="0"/>
          <w:szCs w:val="21"/>
        </w:rPr>
      </w:pPr>
    </w:p>
    <w:p w14:paraId="037D5A7D">
      <w:pPr>
        <w:widowControl/>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Times New Roman"/>
          <w:color w:val="auto"/>
          <w:kern w:val="0"/>
          <w:szCs w:val="21"/>
        </w:rPr>
        <w:t>我方</w:t>
      </w:r>
      <w:r>
        <w:rPr>
          <w:rFonts w:hint="eastAsia" w:ascii="宋体" w:hAnsi="宋体" w:eastAsia="宋体" w:cs="Times New Roman"/>
          <w:color w:val="auto"/>
          <w:kern w:val="0"/>
          <w:szCs w:val="21"/>
          <w:u w:val="single"/>
        </w:rPr>
        <w:t xml:space="preserve">           </w:t>
      </w:r>
      <w:r>
        <w:rPr>
          <w:rFonts w:hint="eastAsia" w:ascii="宋体" w:hAnsi="宋体" w:eastAsia="宋体" w:cs="Times New Roman"/>
          <w:color w:val="auto"/>
          <w:kern w:val="0"/>
          <w:szCs w:val="21"/>
        </w:rPr>
        <w:t>（投标人名称）已完整阅读了</w:t>
      </w:r>
      <w:r>
        <w:rPr>
          <w:rFonts w:hint="eastAsia" w:ascii="宋体" w:hAnsi="宋体" w:eastAsia="宋体" w:cs="Times New Roman"/>
          <w:color w:val="auto"/>
          <w:kern w:val="0"/>
          <w:szCs w:val="21"/>
          <w:u w:val="single"/>
          <w:lang w:eastAsia="zh-CN"/>
        </w:rPr>
        <w:t>东莞市水务集团有限公司2025年安全及劳保物资采购项目</w:t>
      </w:r>
      <w:r>
        <w:rPr>
          <w:rFonts w:hint="eastAsia" w:ascii="宋体" w:hAnsi="宋体" w:eastAsia="宋体" w:cs="Times New Roman"/>
          <w:color w:val="auto"/>
          <w:kern w:val="0"/>
          <w:szCs w:val="21"/>
        </w:rPr>
        <w:t>（招标编号：DGDS2024-079）招标文件的所有内容（包括澄清，以及所有已提供的参考资料和有关附件），并完全理解上述文件所表达的意思，该项目递交投标文件时间截止后，我方承诺不再对上述文件内容进行询问或异议。</w:t>
      </w:r>
      <w:r>
        <w:rPr>
          <w:rFonts w:hint="eastAsia" w:ascii="宋体" w:hAnsi="宋体" w:eastAsia="宋体" w:cs="Times New Roman"/>
          <w:color w:val="auto"/>
          <w:kern w:val="0"/>
          <w:szCs w:val="21"/>
        </w:rPr>
        <w:cr/>
      </w:r>
      <w:r>
        <w:rPr>
          <w:rFonts w:ascii="宋体" w:hAnsi="宋体" w:eastAsia="宋体" w:cs="Times New Roman"/>
          <w:color w:val="auto"/>
          <w:kern w:val="0"/>
          <w:szCs w:val="21"/>
        </w:rPr>
        <w:t xml:space="preserve">    </w:t>
      </w:r>
      <w:r>
        <w:rPr>
          <w:rFonts w:hint="eastAsia" w:ascii="宋体" w:hAnsi="宋体" w:eastAsia="宋体" w:cs="Times New Roman"/>
          <w:color w:val="auto"/>
          <w:kern w:val="0"/>
          <w:szCs w:val="21"/>
        </w:rPr>
        <w:t>我方</w:t>
      </w:r>
      <w:r>
        <w:rPr>
          <w:rFonts w:hint="eastAsia" w:ascii="宋体" w:hAnsi="宋体" w:eastAsia="宋体" w:cs="宋体"/>
          <w:color w:val="auto"/>
          <w:kern w:val="0"/>
          <w:szCs w:val="21"/>
        </w:rPr>
        <w:t>承诺，若我方存在通过弄虚作假、虚假响应招标文件要求等手段骗取中标的，招标人有权或协助主管部门认定我方严重失信的不良行为，纳入相关</w:t>
      </w:r>
      <w:r>
        <w:rPr>
          <w:rFonts w:ascii="宋体" w:hAnsi="宋体" w:eastAsia="宋体" w:cs="宋体"/>
          <w:color w:val="auto"/>
          <w:kern w:val="0"/>
          <w:szCs w:val="21"/>
        </w:rPr>
        <w:t>企业信用“黑名单”</w:t>
      </w:r>
      <w:r>
        <w:rPr>
          <w:rFonts w:hint="eastAsia" w:ascii="宋体" w:hAnsi="宋体" w:eastAsia="宋体" w:cs="宋体"/>
          <w:color w:val="auto"/>
          <w:kern w:val="0"/>
          <w:szCs w:val="21"/>
        </w:rPr>
        <w:t>，限制我方参与依法必须招标项目的投标，并</w:t>
      </w:r>
      <w:r>
        <w:rPr>
          <w:rFonts w:ascii="宋体" w:hAnsi="宋体" w:eastAsia="宋体" w:cs="宋体"/>
          <w:color w:val="auto"/>
          <w:kern w:val="0"/>
          <w:szCs w:val="21"/>
        </w:rPr>
        <w:t>向</w:t>
      </w:r>
      <w:r>
        <w:rPr>
          <w:rFonts w:hint="eastAsia" w:ascii="宋体" w:hAnsi="宋体" w:eastAsia="宋体" w:cs="宋体"/>
          <w:color w:val="auto"/>
          <w:kern w:val="0"/>
          <w:szCs w:val="21"/>
        </w:rPr>
        <w:t>行政主管部门报送</w:t>
      </w:r>
      <w:r>
        <w:rPr>
          <w:rFonts w:ascii="宋体" w:hAnsi="宋体" w:eastAsia="宋体" w:cs="宋体"/>
          <w:color w:val="auto"/>
          <w:kern w:val="0"/>
          <w:szCs w:val="21"/>
        </w:rPr>
        <w:t>结果。</w:t>
      </w:r>
      <w:r>
        <w:rPr>
          <w:rFonts w:hint="eastAsia" w:ascii="宋体" w:hAnsi="宋体" w:eastAsia="宋体" w:cs="宋体"/>
          <w:color w:val="auto"/>
          <w:kern w:val="0"/>
          <w:szCs w:val="21"/>
        </w:rPr>
        <w:t>同时，招标人有权根据《关于对环境保护领域失信生产经营单位及其有关人员开展联合惩戒的合作备忘录》等规定，通过“信用中国”网站向社会公示我方的失信行为，实现“一处失信、处处受限”。</w:t>
      </w:r>
    </w:p>
    <w:p w14:paraId="4D761375">
      <w:pPr>
        <w:widowControl/>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若我方在投标或履行本合同过程中存在提供虚假材料、虚假响应招标文件要求等弄虚作假行为，或未能根据招标文件投标人须知第2</w:t>
      </w:r>
      <w:r>
        <w:rPr>
          <w:rFonts w:ascii="宋体" w:hAnsi="宋体" w:eastAsia="宋体" w:cs="宋体"/>
          <w:color w:val="auto"/>
          <w:kern w:val="0"/>
          <w:szCs w:val="21"/>
        </w:rPr>
        <w:t>9.2</w:t>
      </w:r>
      <w:r>
        <w:rPr>
          <w:rFonts w:hint="eastAsia" w:ascii="宋体" w:hAnsi="宋体" w:eastAsia="宋体" w:cs="宋体"/>
          <w:color w:val="auto"/>
          <w:kern w:val="0"/>
          <w:szCs w:val="21"/>
        </w:rPr>
        <w:t>款约定按时提供原件核查的，因此导致我方无法参与东莞市水务集团有限公司相关招标采购活动的，由我方自行承担全部后果。</w:t>
      </w:r>
    </w:p>
    <w:p w14:paraId="7AB24F45">
      <w:pPr>
        <w:autoSpaceDE w:val="0"/>
        <w:autoSpaceDN w:val="0"/>
        <w:adjustRightInd w:val="0"/>
        <w:spacing w:line="360" w:lineRule="auto"/>
        <w:ind w:firstLine="420" w:firstLineChars="200"/>
        <w:jc w:val="left"/>
        <w:rPr>
          <w:rFonts w:ascii="宋体" w:hAnsi="宋体" w:eastAsia="宋体" w:cs="Times New Roman"/>
          <w:color w:val="auto"/>
          <w:kern w:val="0"/>
          <w:szCs w:val="21"/>
        </w:rPr>
      </w:pPr>
    </w:p>
    <w:p w14:paraId="50ADE78B">
      <w:pPr>
        <w:autoSpaceDE w:val="0"/>
        <w:autoSpaceDN w:val="0"/>
        <w:adjustRightInd w:val="0"/>
        <w:spacing w:line="360" w:lineRule="auto"/>
        <w:jc w:val="left"/>
        <w:rPr>
          <w:rFonts w:ascii="宋体" w:hAnsi="宋体" w:eastAsia="宋体" w:cs="Times New Roman"/>
          <w:color w:val="auto"/>
          <w:kern w:val="0"/>
          <w:sz w:val="24"/>
          <w:szCs w:val="24"/>
        </w:rPr>
      </w:pPr>
    </w:p>
    <w:p w14:paraId="516C2230">
      <w:pPr>
        <w:autoSpaceDE w:val="0"/>
        <w:autoSpaceDN w:val="0"/>
        <w:adjustRightInd w:val="0"/>
        <w:spacing w:line="360" w:lineRule="auto"/>
        <w:jc w:val="left"/>
        <w:rPr>
          <w:rFonts w:ascii="宋体" w:hAnsi="宋体" w:eastAsia="宋体" w:cs="Times New Roman"/>
          <w:color w:val="auto"/>
          <w:kern w:val="0"/>
          <w:sz w:val="24"/>
          <w:szCs w:val="24"/>
        </w:rPr>
      </w:pPr>
    </w:p>
    <w:p w14:paraId="42673A88">
      <w:pPr>
        <w:autoSpaceDE w:val="0"/>
        <w:autoSpaceDN w:val="0"/>
        <w:adjustRightInd w:val="0"/>
        <w:spacing w:line="360" w:lineRule="auto"/>
        <w:ind w:firstLine="5040"/>
        <w:rPr>
          <w:rFonts w:ascii="宋体" w:hAnsi="宋体" w:eastAsia="宋体" w:cs="Times New Roman"/>
          <w:color w:val="auto"/>
          <w:szCs w:val="24"/>
        </w:rPr>
      </w:pPr>
      <w:r>
        <w:rPr>
          <w:rFonts w:hint="eastAsia" w:ascii="宋体" w:hAnsi="宋体" w:eastAsia="宋体" w:cs="Times New Roman"/>
          <w:color w:val="auto"/>
          <w:szCs w:val="24"/>
          <w:lang w:val="zh-CN"/>
        </w:rPr>
        <w:t>投标人：（加盖投标人法人公章）</w:t>
      </w:r>
    </w:p>
    <w:p w14:paraId="236A3C75">
      <w:pPr>
        <w:autoSpaceDE w:val="0"/>
        <w:autoSpaceDN w:val="0"/>
        <w:adjustRightInd w:val="0"/>
        <w:spacing w:line="360" w:lineRule="auto"/>
        <w:ind w:firstLine="5040"/>
        <w:rPr>
          <w:rFonts w:ascii="宋体" w:hAnsi="宋体" w:eastAsia="宋体" w:cs="Times New Roman"/>
          <w:color w:val="auto"/>
          <w:szCs w:val="24"/>
          <w:lang w:val="zh-CN"/>
        </w:rPr>
      </w:pPr>
      <w:r>
        <w:rPr>
          <w:rFonts w:hint="eastAsia" w:ascii="宋体" w:hAnsi="宋体" w:eastAsia="宋体" w:cs="Times New Roman"/>
          <w:color w:val="auto"/>
          <w:szCs w:val="24"/>
          <w:lang w:val="zh-CN"/>
        </w:rPr>
        <w:t>法定代表人或其授权代表签名（或盖私章）：</w:t>
      </w:r>
    </w:p>
    <w:p w14:paraId="2CCE4D2B">
      <w:pPr>
        <w:autoSpaceDE w:val="0"/>
        <w:autoSpaceDN w:val="0"/>
        <w:adjustRightInd w:val="0"/>
        <w:spacing w:line="360" w:lineRule="auto"/>
        <w:ind w:firstLine="5040"/>
        <w:rPr>
          <w:rFonts w:ascii="宋体" w:hAnsi="宋体" w:eastAsia="宋体" w:cs="Times New Roman"/>
          <w:color w:val="auto"/>
          <w:sz w:val="24"/>
          <w:szCs w:val="24"/>
          <w:lang w:val="zh-CN"/>
        </w:rPr>
      </w:pPr>
      <w:r>
        <w:rPr>
          <w:rFonts w:hint="eastAsia" w:ascii="宋体" w:hAnsi="宋体" w:eastAsia="宋体" w:cs="Times New Roman"/>
          <w:color w:val="auto"/>
          <w:szCs w:val="24"/>
          <w:lang w:val="zh-CN"/>
        </w:rPr>
        <w:t>日期：   年   月   日</w:t>
      </w:r>
    </w:p>
    <w:p w14:paraId="561673EA">
      <w:pPr>
        <w:autoSpaceDE w:val="0"/>
        <w:autoSpaceDN w:val="0"/>
        <w:adjustRightInd w:val="0"/>
        <w:spacing w:line="360" w:lineRule="auto"/>
        <w:ind w:firstLine="480" w:firstLineChars="200"/>
        <w:jc w:val="left"/>
        <w:rPr>
          <w:rFonts w:ascii="宋体" w:hAnsi="宋体" w:eastAsia="宋体" w:cs="宋体"/>
          <w:color w:val="auto"/>
          <w:kern w:val="0"/>
          <w:sz w:val="24"/>
          <w:szCs w:val="24"/>
        </w:rPr>
      </w:pPr>
    </w:p>
    <w:p w14:paraId="384F45D3">
      <w:pPr>
        <w:autoSpaceDE w:val="0"/>
        <w:autoSpaceDN w:val="0"/>
        <w:adjustRightInd w:val="0"/>
        <w:spacing w:line="360" w:lineRule="auto"/>
        <w:jc w:val="left"/>
        <w:rPr>
          <w:rFonts w:ascii="宋体" w:hAnsi="宋体" w:eastAsia="宋体" w:cs="宋体"/>
          <w:color w:val="auto"/>
          <w:kern w:val="0"/>
          <w:sz w:val="24"/>
          <w:szCs w:val="24"/>
        </w:rPr>
      </w:pPr>
    </w:p>
    <w:p w14:paraId="26AE0CE1">
      <w:pPr>
        <w:autoSpaceDE w:val="0"/>
        <w:autoSpaceDN w:val="0"/>
        <w:adjustRightInd w:val="0"/>
        <w:spacing w:line="360" w:lineRule="auto"/>
        <w:jc w:val="left"/>
        <w:rPr>
          <w:rFonts w:ascii="宋体" w:hAnsi="宋体" w:eastAsia="宋体" w:cs="宋体"/>
          <w:color w:val="auto"/>
          <w:kern w:val="0"/>
          <w:sz w:val="24"/>
          <w:szCs w:val="24"/>
        </w:rPr>
      </w:pPr>
      <w:bookmarkStart w:id="449" w:name="_Toc316896755"/>
      <w:bookmarkStart w:id="450" w:name="_Toc311032584"/>
      <w:bookmarkStart w:id="451" w:name="_Toc326768876"/>
    </w:p>
    <w:p w14:paraId="3661D77E">
      <w:pPr>
        <w:pageBreakBefore/>
        <w:autoSpaceDE w:val="0"/>
        <w:autoSpaceDN w:val="0"/>
        <w:adjustRightInd w:val="0"/>
        <w:spacing w:line="360" w:lineRule="auto"/>
        <w:jc w:val="left"/>
        <w:rPr>
          <w:rFonts w:ascii="宋体" w:hAnsi="宋体" w:eastAsia="宋体" w:cs="宋体"/>
          <w:b/>
          <w:color w:val="auto"/>
          <w:kern w:val="44"/>
          <w:sz w:val="32"/>
          <w:szCs w:val="32"/>
        </w:rPr>
      </w:pPr>
      <w:bookmarkStart w:id="452" w:name="_Toc94107204"/>
      <w:bookmarkStart w:id="453" w:name="_Toc102860069"/>
      <w:bookmarkStart w:id="454" w:name="_Toc9778"/>
      <w:bookmarkStart w:id="455" w:name="_Toc140596923"/>
      <w:bookmarkStart w:id="456" w:name="_Toc104991870"/>
      <w:bookmarkStart w:id="457" w:name="_Toc82182546"/>
      <w:bookmarkStart w:id="458" w:name="_Toc142508364"/>
      <w:bookmarkStart w:id="459" w:name="_Toc86764083"/>
      <w:bookmarkStart w:id="460" w:name="_Toc12590"/>
      <w:bookmarkStart w:id="461" w:name="_Toc102860413"/>
      <w:bookmarkStart w:id="462" w:name="_Toc1977723"/>
      <w:bookmarkStart w:id="463" w:name="_Toc7024_WPSOffice_Level2"/>
      <w:bookmarkStart w:id="464" w:name="_Toc486167711"/>
      <w:bookmarkStart w:id="465" w:name="_Toc533708123"/>
      <w:r>
        <w:rPr>
          <w:rFonts w:hint="eastAsia" w:ascii="宋体" w:hAnsi="宋体" w:eastAsia="宋体" w:cs="宋体"/>
          <w:b/>
          <w:color w:val="auto"/>
          <w:kern w:val="44"/>
          <w:sz w:val="32"/>
          <w:szCs w:val="32"/>
        </w:rPr>
        <w:t>三、供货及/或提供服务过程承诺函格式</w:t>
      </w:r>
      <w:bookmarkEnd w:id="452"/>
      <w:bookmarkEnd w:id="453"/>
      <w:bookmarkEnd w:id="454"/>
      <w:bookmarkEnd w:id="455"/>
      <w:bookmarkEnd w:id="456"/>
      <w:bookmarkEnd w:id="457"/>
      <w:bookmarkEnd w:id="458"/>
      <w:bookmarkEnd w:id="459"/>
      <w:bookmarkEnd w:id="460"/>
      <w:bookmarkEnd w:id="461"/>
    </w:p>
    <w:p w14:paraId="5FD17851">
      <w:pPr>
        <w:autoSpaceDE w:val="0"/>
        <w:autoSpaceDN w:val="0"/>
        <w:adjustRightInd w:val="0"/>
        <w:spacing w:line="360" w:lineRule="auto"/>
        <w:jc w:val="center"/>
        <w:rPr>
          <w:rFonts w:ascii="宋体" w:hAnsi="宋体" w:eastAsia="宋体" w:cs="宋体"/>
          <w:b/>
          <w:color w:val="auto"/>
          <w:kern w:val="44"/>
          <w:sz w:val="30"/>
          <w:szCs w:val="30"/>
        </w:rPr>
      </w:pPr>
      <w:r>
        <w:rPr>
          <w:rFonts w:hint="eastAsia" w:ascii="宋体" w:hAnsi="宋体" w:eastAsia="宋体" w:cs="宋体"/>
          <w:b/>
          <w:color w:val="auto"/>
          <w:kern w:val="44"/>
          <w:sz w:val="30"/>
          <w:szCs w:val="30"/>
        </w:rPr>
        <w:t>供货及/或提供服务过程承诺函</w:t>
      </w:r>
    </w:p>
    <w:p w14:paraId="0F1C3791">
      <w:pPr>
        <w:autoSpaceDE w:val="0"/>
        <w:autoSpaceDN w:val="0"/>
        <w:adjustRightInd w:val="0"/>
        <w:spacing w:line="360" w:lineRule="auto"/>
        <w:jc w:val="left"/>
        <w:rPr>
          <w:rFonts w:ascii="宋体" w:hAnsi="宋体" w:eastAsia="宋体" w:cs="宋体"/>
          <w:color w:val="auto"/>
          <w:kern w:val="0"/>
          <w:szCs w:val="21"/>
        </w:rPr>
      </w:pPr>
      <w:r>
        <w:rPr>
          <w:rFonts w:hint="eastAsia" w:ascii="宋体" w:hAnsi="宋体" w:eastAsia="宋体" w:cs="宋体"/>
          <w:color w:val="auto"/>
          <w:kern w:val="0"/>
          <w:szCs w:val="21"/>
        </w:rPr>
        <w:t>致东莞市水务集团有限公司：</w:t>
      </w:r>
    </w:p>
    <w:p w14:paraId="29B43E5C">
      <w:pPr>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我方</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（投标人名称）为招标人公开招标的</w:t>
      </w:r>
      <w:r>
        <w:rPr>
          <w:rFonts w:hint="eastAsia" w:ascii="宋体" w:hAnsi="宋体" w:eastAsia="宋体" w:cs="Times New Roman"/>
          <w:color w:val="auto"/>
          <w:kern w:val="0"/>
          <w:szCs w:val="21"/>
          <w:lang w:eastAsia="zh-CN"/>
        </w:rPr>
        <w:t>东莞市水务集团有限公司2025年安全及劳保物资采购项目</w:t>
      </w:r>
      <w:r>
        <w:rPr>
          <w:rFonts w:hint="eastAsia" w:ascii="宋体" w:hAnsi="宋体" w:eastAsia="宋体" w:cs="宋体"/>
          <w:color w:val="auto"/>
          <w:kern w:val="0"/>
          <w:szCs w:val="21"/>
        </w:rPr>
        <w:t>(招标编号：</w:t>
      </w:r>
      <w:r>
        <w:rPr>
          <w:rFonts w:hint="eastAsia" w:ascii="宋体" w:hAnsi="宋体" w:eastAsia="宋体" w:cs="Times New Roman"/>
          <w:color w:val="auto"/>
          <w:szCs w:val="21"/>
          <w:lang w:val="zh-CN"/>
        </w:rPr>
        <w:t>DGDS2024-079</w:t>
      </w:r>
      <w:r>
        <w:rPr>
          <w:rFonts w:hint="eastAsia" w:ascii="宋体" w:hAnsi="宋体" w:eastAsia="宋体" w:cs="宋体"/>
          <w:color w:val="auto"/>
          <w:kern w:val="0"/>
          <w:szCs w:val="21"/>
        </w:rPr>
        <w:t>)的投标单位，为确保供货及/或提供服务过程中的人身、财产安全，我方承诺，如我方获得中标资格，将严格按照下列要求开展工作。</w:t>
      </w:r>
    </w:p>
    <w:p w14:paraId="446339AB">
      <w:pPr>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1、我方承诺将严格遵守国家、地方政府有关安全生产及劳动保护的法律法规、标准、规定，贯彻执行招标人的各项安全管理规章制度。</w:t>
      </w:r>
    </w:p>
    <w:p w14:paraId="1EDBEC2D">
      <w:pPr>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2、我方承诺将依法参加工伤保险，为安排至招标人从事本项目的工作人员缴纳保险费，并为从事危险作业的人员办理意外伤害保险。</w:t>
      </w:r>
    </w:p>
    <w:p w14:paraId="2B2CFEDA">
      <w:pPr>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3、我方承诺服从招标人的安全管理，保证作业区域的现场文明安全管理达标，现场临时用电、机器设备、安全防护齐全、完好，并接受和配合招标人的安全监督检查，我方提供到招标人现场作业的所有安全装置、防护设施必须依据经招标人审批后的安全技术方案进行搭设、安装，同时我方无条件保证安全防护设施使用的搭设材料的质量安全，在用于安全防护的物资进场前将有关物资的材质证明报招标人，经招标人确认后方可使用。</w:t>
      </w:r>
    </w:p>
    <w:p w14:paraId="4F0838C8">
      <w:pPr>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4、我方承诺携带进场的机器设备、机具必须是合格产品，并对携带进场的机器设备、机具安全负责管理、维护及检查，对招标人和自查发现的安全隐患落实整改措施。如我方使用不合格机器设备、机具造成事故的，由我方自行承担责任。</w:t>
      </w:r>
    </w:p>
    <w:p w14:paraId="4F341CCA">
      <w:pPr>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5、我方人员未经许可不随意到作业区域以外的其它工作场所活动，我方作业人员擅自到作业区域以外的其它工作场所活动，出现人身损害或财产损失的，由我方自行负责一切责任。我方作业人员如需动用或作业涉及到招标人所属设备、电器、管线及其他设施等，承诺事先征得招标人代表的同意，并采取安全防护措施。</w:t>
      </w:r>
    </w:p>
    <w:p w14:paraId="07C44086">
      <w:pPr>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6、我方承诺在进行卸货等工作时，严格遵守相关劳动安全规定，并按要求佩戴相关安全劳动防护用具。我方承诺做好安全防护措施，在工作过程中出现的安全事故由我方自行处理并承担全部责任。我方承诺我方人员在招标人场所遵守招标人的一切规章制度和安全条例，服从招标人的监督。我方在提供服务过程中，如因违反招标人相关规章制度、安全条例，或因不服从招标人监督而发生安全事故的，其结果与责任均由我方负责，招标人无须承担任何结果与责任。</w:t>
      </w:r>
    </w:p>
    <w:p w14:paraId="13BF1F6B">
      <w:pPr>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7、我方承诺协助和指导招标人进行货物的储存，对招标人的储存方式、方法、储存数量、仓库的安全设施设备、安全生产规章制度等是否符合国家标准或者国家有关规定提出合理的建议，并进行技术指导。</w:t>
      </w:r>
    </w:p>
    <w:p w14:paraId="5B8DFF66">
      <w:pPr>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8、我方车辆在招标人场所行驶时，将严格遵守厂区道路限行，限速和限重要求，如因我方未遵守前述要求，对厂区/招标人（含其人员）、我方人员、第三方造成损失的，由我方承担赔偿责任。</w:t>
      </w:r>
    </w:p>
    <w:p w14:paraId="7C79E32D">
      <w:pPr>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9、如我方开展服务项目需进行外出调研或现场作业的，由我方派人负责安全保卫工作，按国家有关规定，对作业的现场人员进行安全防护、劳动保护等，并承担相应的费用。若发生工作人员或第三人人身伤害等事故的，由我方全部承担责任。</w:t>
      </w:r>
    </w:p>
    <w:p w14:paraId="11263322">
      <w:pPr>
        <w:autoSpaceDE w:val="0"/>
        <w:autoSpaceDN w:val="0"/>
        <w:adjustRightInd w:val="0"/>
        <w:spacing w:line="360" w:lineRule="auto"/>
        <w:ind w:firstLine="420" w:firstLineChars="200"/>
        <w:jc w:val="left"/>
        <w:rPr>
          <w:rFonts w:ascii="宋体" w:hAnsi="宋体" w:eastAsia="宋体" w:cs="宋体"/>
          <w:color w:val="auto"/>
          <w:kern w:val="0"/>
          <w:szCs w:val="21"/>
        </w:rPr>
      </w:pPr>
      <w:r>
        <w:rPr>
          <w:rFonts w:ascii="宋体" w:hAnsi="宋体" w:eastAsia="宋体" w:cs="宋体"/>
          <w:color w:val="auto"/>
          <w:kern w:val="0"/>
          <w:szCs w:val="21"/>
        </w:rPr>
        <w:t>1</w:t>
      </w:r>
      <w:r>
        <w:rPr>
          <w:rFonts w:hint="eastAsia" w:ascii="宋体" w:hAnsi="宋体" w:eastAsia="宋体" w:cs="宋体"/>
          <w:color w:val="auto"/>
          <w:kern w:val="0"/>
          <w:szCs w:val="21"/>
        </w:rPr>
        <w:t>0、因我方原因，造成我方损失，由我方自负，给招标人造成财产损失和人员伤害，我方承担全部责任，并全额赔偿招标人。</w:t>
      </w:r>
    </w:p>
    <w:p w14:paraId="5B57100B">
      <w:pPr>
        <w:autoSpaceDE w:val="0"/>
        <w:autoSpaceDN w:val="0"/>
        <w:adjustRightInd w:val="0"/>
        <w:spacing w:line="360" w:lineRule="auto"/>
        <w:ind w:firstLine="420" w:firstLineChars="200"/>
        <w:jc w:val="left"/>
        <w:rPr>
          <w:rFonts w:ascii="宋体" w:hAnsi="宋体" w:eastAsia="宋体" w:cs="宋体"/>
          <w:color w:val="auto"/>
          <w:kern w:val="0"/>
          <w:szCs w:val="21"/>
        </w:rPr>
      </w:pPr>
      <w:r>
        <w:rPr>
          <w:rFonts w:ascii="宋体" w:hAnsi="宋体" w:eastAsia="宋体" w:cs="宋体"/>
          <w:color w:val="auto"/>
          <w:kern w:val="0"/>
          <w:szCs w:val="21"/>
        </w:rPr>
        <w:t>1</w:t>
      </w:r>
      <w:r>
        <w:rPr>
          <w:rFonts w:hint="eastAsia" w:ascii="宋体" w:hAnsi="宋体" w:eastAsia="宋体" w:cs="宋体"/>
          <w:color w:val="auto"/>
          <w:kern w:val="0"/>
          <w:szCs w:val="21"/>
        </w:rPr>
        <w:t>1、非因招标人原因，造成我方损失的，招标人无需承担任何责任，由我方自行承担全部责任。</w:t>
      </w:r>
    </w:p>
    <w:p w14:paraId="3840B37D">
      <w:pPr>
        <w:autoSpaceDE w:val="0"/>
        <w:autoSpaceDN w:val="0"/>
        <w:adjustRightInd w:val="0"/>
        <w:spacing w:line="360" w:lineRule="auto"/>
        <w:ind w:firstLine="420" w:firstLineChars="200"/>
        <w:jc w:val="left"/>
        <w:rPr>
          <w:rFonts w:ascii="宋体" w:hAnsi="宋体" w:eastAsia="宋体" w:cs="宋体"/>
          <w:color w:val="auto"/>
          <w:kern w:val="0"/>
          <w:szCs w:val="21"/>
        </w:rPr>
      </w:pPr>
      <w:r>
        <w:rPr>
          <w:rFonts w:ascii="宋体" w:hAnsi="宋体" w:eastAsia="宋体" w:cs="宋体"/>
          <w:color w:val="auto"/>
          <w:kern w:val="0"/>
          <w:szCs w:val="21"/>
        </w:rPr>
        <w:t>1</w:t>
      </w:r>
      <w:r>
        <w:rPr>
          <w:rFonts w:hint="eastAsia" w:ascii="宋体" w:hAnsi="宋体" w:eastAsia="宋体" w:cs="宋体"/>
          <w:color w:val="auto"/>
          <w:kern w:val="0"/>
          <w:szCs w:val="21"/>
        </w:rPr>
        <w:t>2、我方承诺严格遵守法律法规以及招标人的安全管理要求，并接受招标人的安全生产工作协调和监督，积极消除安全隐患。安全管理的基本要求包括但不限于以下条款：</w:t>
      </w:r>
    </w:p>
    <w:p w14:paraId="02807183">
      <w:pPr>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①禁火区内严禁吸烟、动火。有火灾危险的作业区域，我方承诺配置足够的灭火设施。</w:t>
      </w:r>
    </w:p>
    <w:p w14:paraId="2324E88B">
      <w:pPr>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②我方承诺焊接、气割作业时两瓶距离必须达到5M及以上，气瓶距可能产生火花的电器、设备和其它火源的间距必须达到10M及以上。</w:t>
      </w:r>
    </w:p>
    <w:p w14:paraId="14354132">
      <w:pPr>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③我方承诺不在厂内道路、消防通道内搭建临时建筑或堆放物资。</w:t>
      </w:r>
    </w:p>
    <w:p w14:paraId="271BC4EB">
      <w:pPr>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④我方承诺电动工具、电焊机等均具有漏电保护器和相应的安全防护装置。</w:t>
      </w:r>
    </w:p>
    <w:p w14:paraId="19C92F33">
      <w:pPr>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⑤我方承诺用电设施符合要求，杜绝电线乱接、乱拉，刀闸和开关无盖，在电器设施上堆放物品等行为。</w:t>
      </w:r>
    </w:p>
    <w:p w14:paraId="02778C62">
      <w:pPr>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⑥我方承诺防雷、防静电设施及用电设施有良好接地。</w:t>
      </w:r>
    </w:p>
    <w:p w14:paraId="49771A47">
      <w:pPr>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招标人主管领导。</w:t>
      </w:r>
    </w:p>
    <w:p w14:paraId="188CBD53">
      <w:pPr>
        <w:autoSpaceDE w:val="0"/>
        <w:autoSpaceDN w:val="0"/>
        <w:adjustRightInd w:val="0"/>
        <w:spacing w:line="360" w:lineRule="auto"/>
        <w:ind w:firstLine="420" w:firstLineChars="200"/>
        <w:jc w:val="left"/>
        <w:rPr>
          <w:rFonts w:ascii="宋体" w:hAnsi="宋体" w:eastAsia="宋体" w:cs="宋体"/>
          <w:color w:val="auto"/>
          <w:kern w:val="0"/>
          <w:szCs w:val="21"/>
        </w:rPr>
      </w:pPr>
      <w:r>
        <w:rPr>
          <w:rFonts w:ascii="宋体" w:hAnsi="宋体" w:eastAsia="宋体" w:cs="宋体"/>
          <w:color w:val="auto"/>
          <w:kern w:val="0"/>
          <w:szCs w:val="21"/>
        </w:rPr>
        <w:t>1</w:t>
      </w:r>
      <w:r>
        <w:rPr>
          <w:rFonts w:hint="eastAsia" w:ascii="宋体" w:hAnsi="宋体" w:eastAsia="宋体" w:cs="宋体"/>
          <w:color w:val="auto"/>
          <w:kern w:val="0"/>
          <w:szCs w:val="21"/>
        </w:rPr>
        <w:t>3、我方承诺接受招标人的检查与监督，并主动配合，做好安全工作，凡有违反上述条款的即视为我方违约，招标人有权视情况从货物/服务价款中扣除（1000-2000）元/次作为违约金。</w:t>
      </w:r>
    </w:p>
    <w:p w14:paraId="1FE29F3E">
      <w:pPr>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如因我方违反上述条款造成安全生产事故的，我方将承担由此引发的一切责任与后果，如造成招标人损失的，我方将予以足额赔偿，同时，招标人有权没收我方提交的履约担保。</w:t>
      </w:r>
    </w:p>
    <w:p w14:paraId="5E002003">
      <w:pPr>
        <w:autoSpaceDE w:val="0"/>
        <w:autoSpaceDN w:val="0"/>
        <w:adjustRightInd w:val="0"/>
        <w:spacing w:line="360" w:lineRule="auto"/>
        <w:ind w:firstLine="5040"/>
        <w:rPr>
          <w:rFonts w:ascii="宋体" w:hAnsi="宋体" w:eastAsia="宋体" w:cs="宋体"/>
          <w:color w:val="auto"/>
          <w:kern w:val="0"/>
          <w:szCs w:val="21"/>
        </w:rPr>
      </w:pPr>
      <w:r>
        <w:rPr>
          <w:rFonts w:hint="eastAsia" w:ascii="宋体" w:hAnsi="宋体" w:eastAsia="宋体" w:cs="宋体"/>
          <w:color w:val="auto"/>
          <w:kern w:val="0"/>
          <w:szCs w:val="21"/>
        </w:rPr>
        <w:t xml:space="preserve">                                 </w:t>
      </w:r>
    </w:p>
    <w:p w14:paraId="63F04141">
      <w:pPr>
        <w:autoSpaceDE w:val="0"/>
        <w:autoSpaceDN w:val="0"/>
        <w:adjustRightInd w:val="0"/>
        <w:spacing w:line="360" w:lineRule="auto"/>
        <w:ind w:firstLine="5040"/>
        <w:rPr>
          <w:rFonts w:ascii="宋体" w:hAnsi="宋体" w:eastAsia="宋体" w:cs="宋体"/>
          <w:color w:val="auto"/>
          <w:szCs w:val="24"/>
        </w:rPr>
      </w:pPr>
      <w:r>
        <w:rPr>
          <w:rFonts w:hint="eastAsia" w:ascii="宋体" w:hAnsi="宋体" w:eastAsia="宋体" w:cs="宋体"/>
          <w:color w:val="auto"/>
          <w:szCs w:val="24"/>
          <w:lang w:val="zh-CN"/>
        </w:rPr>
        <w:t>投标人：（加盖投标人法人公章）</w:t>
      </w:r>
    </w:p>
    <w:p w14:paraId="0FA755A4">
      <w:pPr>
        <w:autoSpaceDE w:val="0"/>
        <w:autoSpaceDN w:val="0"/>
        <w:adjustRightInd w:val="0"/>
        <w:spacing w:line="360" w:lineRule="auto"/>
        <w:ind w:firstLine="5040"/>
        <w:rPr>
          <w:rFonts w:ascii="宋体" w:hAnsi="宋体" w:eastAsia="宋体" w:cs="宋体"/>
          <w:color w:val="auto"/>
          <w:szCs w:val="24"/>
          <w:lang w:val="zh-CN"/>
        </w:rPr>
      </w:pPr>
      <w:r>
        <w:rPr>
          <w:rFonts w:hint="eastAsia" w:ascii="宋体" w:hAnsi="宋体" w:eastAsia="宋体" w:cs="宋体"/>
          <w:color w:val="auto"/>
          <w:szCs w:val="24"/>
          <w:lang w:val="zh-CN"/>
        </w:rPr>
        <w:t>法定代表人或其授权代表签名（或盖私章）：</w:t>
      </w:r>
    </w:p>
    <w:p w14:paraId="20E180B7">
      <w:pPr>
        <w:autoSpaceDE w:val="0"/>
        <w:autoSpaceDN w:val="0"/>
        <w:adjustRightInd w:val="0"/>
        <w:spacing w:line="360" w:lineRule="auto"/>
        <w:ind w:right="420" w:firstLine="5040" w:firstLineChars="2400"/>
        <w:jc w:val="left"/>
        <w:rPr>
          <w:rFonts w:ascii="宋体" w:hAnsi="宋体" w:eastAsia="宋体" w:cs="宋体"/>
          <w:color w:val="auto"/>
          <w:szCs w:val="24"/>
          <w:lang w:val="zh-CN"/>
        </w:rPr>
      </w:pPr>
      <w:r>
        <w:rPr>
          <w:rFonts w:hint="eastAsia" w:ascii="宋体" w:hAnsi="宋体" w:eastAsia="宋体" w:cs="宋体"/>
          <w:color w:val="auto"/>
          <w:szCs w:val="24"/>
          <w:lang w:val="zh-CN"/>
        </w:rPr>
        <w:t>日期：   年   月   日</w:t>
      </w:r>
    </w:p>
    <w:p w14:paraId="434671CD">
      <w:pPr>
        <w:rPr>
          <w:rFonts w:ascii="宋体" w:hAnsi="宋体" w:eastAsia="宋体" w:cs="宋体"/>
          <w:b/>
          <w:color w:val="auto"/>
          <w:kern w:val="44"/>
          <w:sz w:val="32"/>
          <w:szCs w:val="32"/>
        </w:rPr>
      </w:pPr>
      <w:bookmarkStart w:id="466" w:name="_Toc112145267"/>
      <w:bookmarkStart w:id="467" w:name="_Toc146625419"/>
      <w:r>
        <w:rPr>
          <w:rFonts w:hint="eastAsia" w:ascii="宋体" w:hAnsi="宋体" w:eastAsia="宋体" w:cs="宋体"/>
          <w:b/>
          <w:color w:val="auto"/>
          <w:kern w:val="44"/>
          <w:sz w:val="32"/>
          <w:szCs w:val="32"/>
        </w:rPr>
        <w:br w:type="page"/>
      </w:r>
    </w:p>
    <w:bookmarkEnd w:id="466"/>
    <w:bookmarkEnd w:id="467"/>
    <w:p w14:paraId="7E9F663F">
      <w:pPr>
        <w:pageBreakBefore/>
        <w:autoSpaceDE w:val="0"/>
        <w:autoSpaceDN w:val="0"/>
        <w:adjustRightInd w:val="0"/>
        <w:spacing w:line="360" w:lineRule="auto"/>
        <w:jc w:val="left"/>
        <w:rPr>
          <w:rFonts w:ascii="宋体" w:hAnsi="宋体" w:eastAsia="宋体" w:cs="宋体"/>
          <w:b/>
          <w:color w:val="auto"/>
          <w:kern w:val="0"/>
          <w:sz w:val="32"/>
          <w:szCs w:val="32"/>
        </w:rPr>
      </w:pPr>
      <w:bookmarkStart w:id="468" w:name="_Toc104991872"/>
      <w:bookmarkStart w:id="469" w:name="_Toc142508366"/>
      <w:bookmarkStart w:id="470" w:name="_Toc102860071"/>
      <w:bookmarkStart w:id="471" w:name="_Toc102860415"/>
      <w:bookmarkStart w:id="472" w:name="_Toc3993"/>
      <w:bookmarkStart w:id="473" w:name="_Toc140596925"/>
      <w:bookmarkStart w:id="474" w:name="_Toc6287"/>
      <w:bookmarkStart w:id="475" w:name="_Toc94107206"/>
      <w:r>
        <w:rPr>
          <w:rFonts w:hint="eastAsia" w:ascii="宋体" w:hAnsi="宋体" w:eastAsia="宋体" w:cs="宋体"/>
          <w:b/>
          <w:color w:val="auto"/>
          <w:kern w:val="0"/>
          <w:sz w:val="32"/>
          <w:szCs w:val="32"/>
        </w:rPr>
        <w:t>四、投标报价表格式</w:t>
      </w:r>
      <w:bookmarkEnd w:id="462"/>
      <w:bookmarkEnd w:id="463"/>
      <w:bookmarkEnd w:id="464"/>
      <w:bookmarkEnd w:id="465"/>
      <w:bookmarkEnd w:id="468"/>
      <w:bookmarkEnd w:id="469"/>
      <w:bookmarkEnd w:id="470"/>
      <w:bookmarkEnd w:id="471"/>
      <w:bookmarkEnd w:id="472"/>
      <w:bookmarkEnd w:id="473"/>
      <w:bookmarkEnd w:id="474"/>
      <w:bookmarkEnd w:id="475"/>
    </w:p>
    <w:p w14:paraId="2A8F4D33">
      <w:pPr>
        <w:tabs>
          <w:tab w:val="left" w:pos="567"/>
        </w:tabs>
        <w:autoSpaceDE w:val="0"/>
        <w:autoSpaceDN w:val="0"/>
        <w:adjustRightInd w:val="0"/>
        <w:spacing w:line="360" w:lineRule="auto"/>
        <w:jc w:val="left"/>
        <w:rPr>
          <w:rFonts w:ascii="宋体" w:hAnsi="宋体" w:eastAsia="宋体" w:cs="宋体"/>
          <w:b/>
          <w:color w:val="auto"/>
          <w:kern w:val="0"/>
          <w:sz w:val="30"/>
          <w:szCs w:val="30"/>
        </w:rPr>
      </w:pPr>
      <w:bookmarkStart w:id="476" w:name="_Toc140596926"/>
      <w:bookmarkStart w:id="477" w:name="_Toc18589"/>
      <w:bookmarkStart w:id="478" w:name="_Toc94107207"/>
      <w:bookmarkStart w:id="479" w:name="_Toc104991873"/>
      <w:bookmarkStart w:id="480" w:name="_Toc1105"/>
      <w:bookmarkStart w:id="481" w:name="_Toc102860416"/>
      <w:bookmarkStart w:id="482" w:name="_Toc102860072"/>
      <w:bookmarkStart w:id="483" w:name="_Toc2395_WPSOffice_Level3"/>
      <w:bookmarkStart w:id="484" w:name="_Toc142508367"/>
      <w:r>
        <w:rPr>
          <w:rFonts w:hint="eastAsia" w:ascii="宋体" w:hAnsi="宋体" w:eastAsia="宋体" w:cs="宋体"/>
          <w:b/>
          <w:color w:val="auto"/>
          <w:kern w:val="0"/>
          <w:sz w:val="30"/>
          <w:szCs w:val="30"/>
        </w:rPr>
        <w:t>4</w:t>
      </w:r>
      <w:r>
        <w:rPr>
          <w:rFonts w:ascii="宋体" w:hAnsi="宋体" w:eastAsia="宋体" w:cs="宋体"/>
          <w:b/>
          <w:color w:val="auto"/>
          <w:kern w:val="0"/>
          <w:sz w:val="30"/>
          <w:szCs w:val="30"/>
        </w:rPr>
        <w:t xml:space="preserve">.1 </w:t>
      </w:r>
      <w:r>
        <w:rPr>
          <w:rFonts w:hint="eastAsia" w:ascii="宋体" w:hAnsi="宋体" w:eastAsia="宋体" w:cs="宋体"/>
          <w:b/>
          <w:color w:val="auto"/>
          <w:kern w:val="0"/>
          <w:sz w:val="30"/>
          <w:szCs w:val="30"/>
        </w:rPr>
        <w:t>投标报价表</w:t>
      </w:r>
      <w:bookmarkEnd w:id="476"/>
      <w:bookmarkEnd w:id="477"/>
      <w:bookmarkEnd w:id="478"/>
      <w:bookmarkEnd w:id="479"/>
      <w:bookmarkEnd w:id="480"/>
      <w:bookmarkEnd w:id="481"/>
      <w:bookmarkEnd w:id="482"/>
      <w:bookmarkEnd w:id="483"/>
      <w:bookmarkEnd w:id="484"/>
    </w:p>
    <w:p w14:paraId="5402BB28">
      <w:pPr>
        <w:spacing w:line="360" w:lineRule="auto"/>
        <w:jc w:val="center"/>
        <w:rPr>
          <w:rFonts w:ascii="宋体" w:hAnsi="宋体" w:eastAsia="宋体" w:cs="宋体"/>
          <w:b/>
          <w:bCs/>
          <w:color w:val="auto"/>
          <w:kern w:val="0"/>
          <w:szCs w:val="21"/>
        </w:rPr>
      </w:pPr>
      <w:r>
        <w:rPr>
          <w:rFonts w:hint="eastAsia" w:ascii="宋体" w:hAnsi="宋体" w:eastAsia="宋体" w:cs="宋体"/>
          <w:b/>
          <w:bCs/>
          <w:color w:val="auto"/>
          <w:sz w:val="30"/>
          <w:szCs w:val="30"/>
          <w:lang w:val="zh-CN"/>
        </w:rPr>
        <w:t>投标报价表</w:t>
      </w:r>
    </w:p>
    <w:p w14:paraId="0646CED2">
      <w:pPr>
        <w:spacing w:line="360" w:lineRule="auto"/>
        <w:rPr>
          <w:rFonts w:hint="eastAsia" w:ascii="宋体" w:hAnsi="宋体" w:eastAsia="宋体" w:cs="宋体"/>
          <w:b/>
          <w:bCs/>
          <w:color w:val="auto"/>
          <w:kern w:val="0"/>
          <w:szCs w:val="21"/>
        </w:rPr>
      </w:pPr>
      <w:r>
        <w:rPr>
          <w:rFonts w:hint="eastAsia" w:ascii="宋体" w:hAnsi="宋体" w:eastAsia="宋体" w:cs="宋体"/>
          <w:b/>
          <w:bCs/>
          <w:color w:val="auto"/>
          <w:kern w:val="0"/>
          <w:szCs w:val="21"/>
        </w:rPr>
        <w:t>项目名称：</w:t>
      </w:r>
      <w:r>
        <w:rPr>
          <w:rFonts w:hint="eastAsia" w:ascii="宋体" w:hAnsi="宋体" w:eastAsia="宋体" w:cs="宋体"/>
          <w:color w:val="auto"/>
          <w:kern w:val="0"/>
          <w:szCs w:val="21"/>
          <w:u w:val="single"/>
          <w:lang w:eastAsia="zh-CN"/>
        </w:rPr>
        <w:t>东莞市水务集团有限公司2025年安全及劳保物资采购项目</w:t>
      </w:r>
    </w:p>
    <w:p w14:paraId="0DF0C1BC">
      <w:pPr>
        <w:spacing w:line="360" w:lineRule="auto"/>
        <w:rPr>
          <w:rFonts w:ascii="宋体" w:hAnsi="宋体" w:eastAsia="宋体" w:cs="宋体"/>
          <w:color w:val="auto"/>
          <w:kern w:val="0"/>
          <w:szCs w:val="21"/>
          <w:u w:val="single"/>
        </w:rPr>
      </w:pPr>
      <w:r>
        <w:rPr>
          <w:rFonts w:hint="eastAsia" w:ascii="宋体" w:hAnsi="宋体" w:eastAsia="宋体" w:cs="宋体"/>
          <w:b/>
          <w:color w:val="auto"/>
          <w:kern w:val="0"/>
          <w:szCs w:val="21"/>
        </w:rPr>
        <w:t>招标编号：</w:t>
      </w:r>
      <w:r>
        <w:rPr>
          <w:rFonts w:hint="eastAsia" w:ascii="宋体" w:hAnsi="宋体" w:eastAsia="宋体" w:cs="宋体"/>
          <w:color w:val="auto"/>
          <w:kern w:val="0"/>
          <w:szCs w:val="21"/>
          <w:u w:val="single"/>
        </w:rPr>
        <w:t>DGDS2024-079</w:t>
      </w:r>
    </w:p>
    <w:tbl>
      <w:tblPr>
        <w:tblStyle w:val="45"/>
        <w:tblW w:w="4904"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22"/>
        <w:gridCol w:w="4626"/>
        <w:gridCol w:w="4066"/>
        <w:gridCol w:w="657"/>
      </w:tblGrid>
      <w:tr w14:paraId="2A9B80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404" w:type="pct"/>
            <w:tcBorders>
              <w:bottom w:val="single" w:color="auto" w:sz="4" w:space="0"/>
              <w:right w:val="single" w:color="auto" w:sz="4" w:space="0"/>
            </w:tcBorders>
            <w:vAlign w:val="center"/>
          </w:tcPr>
          <w:p w14:paraId="49FEE7FF">
            <w:pPr>
              <w:keepNext w:val="0"/>
              <w:keepLines w:val="0"/>
              <w:suppressLineNumbers w:val="0"/>
              <w:autoSpaceDE w:val="0"/>
              <w:autoSpaceDN w:val="0"/>
              <w:spacing w:before="0" w:beforeAutospacing="0" w:after="0" w:afterAutospacing="0"/>
              <w:ind w:left="0" w:right="0"/>
              <w:jc w:val="center"/>
              <w:rPr>
                <w:rFonts w:hint="default" w:ascii="宋体" w:hAnsi="宋体" w:eastAsia="宋体" w:cs="Times New Roman"/>
                <w:b/>
                <w:color w:val="auto"/>
                <w:kern w:val="0"/>
                <w:szCs w:val="21"/>
              </w:rPr>
            </w:pPr>
            <w:r>
              <w:rPr>
                <w:rFonts w:hint="eastAsia" w:ascii="宋体" w:hAnsi="宋体" w:eastAsia="宋体" w:cs="Times New Roman"/>
                <w:b/>
                <w:color w:val="auto"/>
                <w:kern w:val="0"/>
                <w:szCs w:val="21"/>
              </w:rPr>
              <w:t>序号</w:t>
            </w:r>
          </w:p>
        </w:tc>
        <w:tc>
          <w:tcPr>
            <w:tcW w:w="2273" w:type="pct"/>
            <w:tcBorders>
              <w:left w:val="single" w:color="auto" w:sz="4" w:space="0"/>
              <w:bottom w:val="single" w:color="auto" w:sz="4" w:space="0"/>
              <w:right w:val="single" w:color="auto" w:sz="4" w:space="0"/>
            </w:tcBorders>
            <w:vAlign w:val="center"/>
          </w:tcPr>
          <w:p w14:paraId="34179BB4">
            <w:pPr>
              <w:keepNext w:val="0"/>
              <w:keepLines w:val="0"/>
              <w:suppressLineNumbers w:val="0"/>
              <w:autoSpaceDE w:val="0"/>
              <w:autoSpaceDN w:val="0"/>
              <w:spacing w:before="0" w:beforeAutospacing="0" w:after="0" w:afterAutospacing="0"/>
              <w:ind w:left="0" w:right="0"/>
              <w:jc w:val="center"/>
              <w:rPr>
                <w:rFonts w:hint="default" w:ascii="宋体" w:hAnsi="宋体" w:eastAsia="宋体" w:cs="Times New Roman"/>
                <w:b/>
                <w:color w:val="auto"/>
                <w:kern w:val="0"/>
                <w:szCs w:val="21"/>
              </w:rPr>
            </w:pPr>
            <w:r>
              <w:rPr>
                <w:rFonts w:hint="eastAsia" w:ascii="宋体" w:hAnsi="宋体" w:eastAsia="宋体" w:cs="Times New Roman"/>
                <w:b/>
                <w:color w:val="auto"/>
                <w:kern w:val="0"/>
                <w:szCs w:val="21"/>
              </w:rPr>
              <w:t>名称</w:t>
            </w:r>
          </w:p>
        </w:tc>
        <w:tc>
          <w:tcPr>
            <w:tcW w:w="1998" w:type="pct"/>
            <w:tcBorders>
              <w:left w:val="single" w:color="auto" w:sz="4" w:space="0"/>
              <w:bottom w:val="single" w:color="auto" w:sz="4" w:space="0"/>
              <w:right w:val="single" w:color="auto" w:sz="4" w:space="0"/>
            </w:tcBorders>
            <w:vAlign w:val="center"/>
          </w:tcPr>
          <w:p w14:paraId="6AADC796">
            <w:pPr>
              <w:keepNext w:val="0"/>
              <w:keepLines w:val="0"/>
              <w:suppressLineNumbers w:val="0"/>
              <w:autoSpaceDE w:val="0"/>
              <w:autoSpaceDN w:val="0"/>
              <w:spacing w:before="0" w:beforeAutospacing="0" w:after="0" w:afterAutospacing="0"/>
              <w:ind w:left="0" w:right="0"/>
              <w:jc w:val="center"/>
              <w:rPr>
                <w:rFonts w:hint="default" w:ascii="宋体" w:hAnsi="宋体" w:eastAsia="宋体" w:cs="Times New Roman"/>
                <w:b/>
                <w:color w:val="auto"/>
                <w:kern w:val="0"/>
                <w:szCs w:val="21"/>
              </w:rPr>
            </w:pPr>
            <w:r>
              <w:rPr>
                <w:rFonts w:hint="eastAsia" w:ascii="宋体" w:hAnsi="宋体" w:eastAsia="宋体" w:cs="Times New Roman"/>
                <w:b/>
                <w:color w:val="auto"/>
                <w:kern w:val="0"/>
                <w:szCs w:val="21"/>
              </w:rPr>
              <w:t>投标折扣系数</w:t>
            </w:r>
          </w:p>
        </w:tc>
        <w:tc>
          <w:tcPr>
            <w:tcW w:w="323" w:type="pct"/>
            <w:tcBorders>
              <w:left w:val="single" w:color="auto" w:sz="4" w:space="0"/>
              <w:bottom w:val="single" w:color="auto" w:sz="4" w:space="0"/>
            </w:tcBorders>
            <w:vAlign w:val="center"/>
          </w:tcPr>
          <w:p w14:paraId="056703B6">
            <w:pPr>
              <w:keepNext w:val="0"/>
              <w:keepLines w:val="0"/>
              <w:suppressLineNumbers w:val="0"/>
              <w:autoSpaceDE w:val="0"/>
              <w:autoSpaceDN w:val="0"/>
              <w:spacing w:before="0" w:beforeAutospacing="0" w:after="0" w:afterAutospacing="0"/>
              <w:ind w:left="0" w:right="0"/>
              <w:jc w:val="center"/>
              <w:rPr>
                <w:rFonts w:hint="default" w:ascii="宋体" w:hAnsi="宋体" w:eastAsia="宋体" w:cs="Times New Roman"/>
                <w:b/>
                <w:color w:val="auto"/>
                <w:kern w:val="0"/>
                <w:szCs w:val="21"/>
              </w:rPr>
            </w:pPr>
            <w:r>
              <w:rPr>
                <w:rFonts w:hint="eastAsia" w:ascii="宋体" w:hAnsi="宋体" w:eastAsia="宋体" w:cs="Times New Roman"/>
                <w:b/>
                <w:color w:val="auto"/>
                <w:kern w:val="0"/>
                <w:szCs w:val="21"/>
              </w:rPr>
              <w:t>备注</w:t>
            </w:r>
          </w:p>
        </w:tc>
      </w:tr>
      <w:tr w14:paraId="48D37D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57" w:hRule="atLeast"/>
          <w:jc w:val="center"/>
        </w:trPr>
        <w:tc>
          <w:tcPr>
            <w:tcW w:w="404" w:type="pct"/>
            <w:tcBorders>
              <w:top w:val="single" w:color="auto" w:sz="4" w:space="0"/>
              <w:right w:val="single" w:color="auto" w:sz="4" w:space="0"/>
            </w:tcBorders>
            <w:vAlign w:val="center"/>
          </w:tcPr>
          <w:p w14:paraId="271A54ED">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Times New Roman"/>
                <w:color w:val="auto"/>
                <w:kern w:val="0"/>
                <w:szCs w:val="21"/>
              </w:rPr>
            </w:pPr>
            <w:r>
              <w:rPr>
                <w:rFonts w:hint="eastAsia" w:ascii="宋体" w:hAnsi="宋体" w:eastAsia="宋体" w:cs="Times New Roman"/>
                <w:color w:val="auto"/>
                <w:kern w:val="0"/>
                <w:szCs w:val="21"/>
              </w:rPr>
              <w:t>1</w:t>
            </w:r>
          </w:p>
        </w:tc>
        <w:tc>
          <w:tcPr>
            <w:tcW w:w="2273" w:type="pct"/>
            <w:tcBorders>
              <w:top w:val="single" w:color="auto" w:sz="4" w:space="0"/>
              <w:left w:val="single" w:color="auto" w:sz="4" w:space="0"/>
              <w:right w:val="single" w:color="auto" w:sz="4" w:space="0"/>
            </w:tcBorders>
            <w:vAlign w:val="center"/>
          </w:tcPr>
          <w:p w14:paraId="5472E892">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Times New Roman"/>
                <w:color w:val="auto"/>
                <w:kern w:val="0"/>
                <w:szCs w:val="21"/>
              </w:rPr>
            </w:pPr>
            <w:r>
              <w:rPr>
                <w:rFonts w:hint="eastAsia" w:ascii="宋体" w:hAnsi="宋体" w:eastAsia="宋体" w:cs="Times New Roman"/>
                <w:color w:val="auto"/>
                <w:szCs w:val="21"/>
                <w:lang w:val="zh-CN"/>
              </w:rPr>
              <w:t>东莞市水务集团有限公司2025年安全及劳保物资采购项目</w:t>
            </w:r>
          </w:p>
        </w:tc>
        <w:tc>
          <w:tcPr>
            <w:tcW w:w="1998" w:type="pct"/>
            <w:tcBorders>
              <w:top w:val="single" w:color="auto" w:sz="4" w:space="0"/>
              <w:left w:val="single" w:color="auto" w:sz="4" w:space="0"/>
              <w:right w:val="single" w:color="auto" w:sz="4" w:space="0"/>
            </w:tcBorders>
            <w:vAlign w:val="center"/>
          </w:tcPr>
          <w:p w14:paraId="216AE02A">
            <w:pPr>
              <w:keepNext w:val="0"/>
              <w:keepLines w:val="0"/>
              <w:suppressLineNumbers w:val="0"/>
              <w:spacing w:before="240" w:beforeLines="100" w:beforeAutospacing="0" w:after="0" w:afterAutospacing="0" w:line="360" w:lineRule="auto"/>
              <w:ind w:left="0" w:right="0"/>
              <w:rPr>
                <w:rFonts w:hint="default" w:ascii="宋体" w:hAnsi="宋体" w:eastAsia="宋体" w:cs="Times New Roman"/>
                <w:color w:val="auto"/>
                <w:kern w:val="0"/>
                <w:szCs w:val="21"/>
                <w:u w:val="single"/>
              </w:rPr>
            </w:pPr>
            <w:r>
              <w:rPr>
                <w:rFonts w:hint="eastAsia" w:ascii="宋体" w:hAnsi="宋体" w:eastAsia="宋体" w:cs="Times New Roman"/>
                <w:color w:val="auto"/>
                <w:kern w:val="0"/>
                <w:szCs w:val="21"/>
                <w:lang w:bidi="ar"/>
              </w:rPr>
              <w:t xml:space="preserve">      </w:t>
            </w:r>
            <w:r>
              <w:rPr>
                <w:rFonts w:hint="eastAsia" w:ascii="宋体" w:hAnsi="宋体" w:eastAsia="宋体" w:cs="Times New Roman"/>
                <w:color w:val="auto"/>
                <w:kern w:val="0"/>
                <w:szCs w:val="21"/>
                <w:u w:val="single"/>
                <w:lang w:bidi="ar"/>
              </w:rPr>
              <w:t xml:space="preserve">                       </w:t>
            </w:r>
          </w:p>
          <w:p w14:paraId="195E44D5">
            <w:pPr>
              <w:keepNext w:val="0"/>
              <w:keepLines w:val="0"/>
              <w:suppressLineNumbers w:val="0"/>
              <w:spacing w:before="0" w:beforeAutospacing="0" w:after="0" w:afterAutospacing="0"/>
              <w:ind w:left="0" w:right="0"/>
              <w:rPr>
                <w:rFonts w:hint="default" w:ascii="宋体" w:hAnsi="宋体" w:eastAsia="宋体" w:cs="Times New Roman"/>
                <w:color w:val="auto"/>
                <w:kern w:val="0"/>
                <w:szCs w:val="21"/>
              </w:rPr>
            </w:pPr>
            <w:r>
              <w:rPr>
                <w:rFonts w:hint="eastAsia" w:ascii="宋体" w:hAnsi="宋体" w:eastAsia="宋体" w:cs="宋体"/>
                <w:b/>
                <w:bCs/>
                <w:color w:val="auto"/>
                <w:kern w:val="0"/>
                <w:szCs w:val="21"/>
                <w:lang w:bidi="ar"/>
              </w:rPr>
              <w:t>[折扣系数报价不得超过1.00，且不能为0.00或负数]</w:t>
            </w:r>
          </w:p>
        </w:tc>
        <w:tc>
          <w:tcPr>
            <w:tcW w:w="323" w:type="pct"/>
            <w:tcBorders>
              <w:top w:val="single" w:color="auto" w:sz="4" w:space="0"/>
              <w:left w:val="single" w:color="auto" w:sz="4" w:space="0"/>
            </w:tcBorders>
            <w:vAlign w:val="center"/>
          </w:tcPr>
          <w:p w14:paraId="2A94B917">
            <w:pPr>
              <w:keepNext w:val="0"/>
              <w:keepLines w:val="0"/>
              <w:suppressLineNumbers w:val="0"/>
              <w:tabs>
                <w:tab w:val="left" w:pos="8610"/>
              </w:tabs>
              <w:spacing w:before="0" w:beforeAutospacing="0" w:after="0" w:afterAutospacing="0" w:line="360" w:lineRule="auto"/>
              <w:ind w:left="0" w:right="0"/>
              <w:jc w:val="center"/>
              <w:rPr>
                <w:rFonts w:hint="default" w:ascii="宋体" w:hAnsi="宋体" w:eastAsia="宋体" w:cs="Times New Roman"/>
                <w:color w:val="auto"/>
                <w:kern w:val="0"/>
                <w:szCs w:val="21"/>
              </w:rPr>
            </w:pPr>
          </w:p>
        </w:tc>
      </w:tr>
    </w:tbl>
    <w:p w14:paraId="5EF0AC98">
      <w:pPr>
        <w:autoSpaceDE w:val="0"/>
        <w:autoSpaceDN w:val="0"/>
        <w:adjustRightInd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备注：</w:t>
      </w:r>
    </w:p>
    <w:p w14:paraId="126C00C2">
      <w:pPr>
        <w:numPr>
          <w:ilvl w:val="0"/>
          <w:numId w:val="3"/>
        </w:numPr>
        <w:autoSpaceDE w:val="0"/>
        <w:autoSpaceDN w:val="0"/>
        <w:adjustRightInd w:val="0"/>
        <w:snapToGrid w:val="0"/>
        <w:spacing w:line="360" w:lineRule="auto"/>
        <w:ind w:left="607" w:leftChars="18" w:hanging="569" w:hangingChars="270"/>
        <w:jc w:val="left"/>
        <w:rPr>
          <w:rFonts w:ascii="宋体" w:hAnsi="宋体" w:eastAsia="宋体" w:cs="Times New Roman"/>
          <w:color w:val="auto"/>
          <w:kern w:val="0"/>
          <w:szCs w:val="21"/>
        </w:rPr>
      </w:pPr>
      <w:r>
        <w:rPr>
          <w:rFonts w:hint="eastAsia" w:ascii="宋体" w:hAnsi="宋体" w:eastAsia="宋体" w:cs="Times New Roman"/>
          <w:b/>
          <w:color w:val="auto"/>
          <w:kern w:val="0"/>
          <w:szCs w:val="21"/>
          <w:u w:val="single"/>
        </w:rPr>
        <w:t>本项目投标报价为不含税价，即为《中华人民共和国增值税暂行条例》（国务院令第6</w:t>
      </w:r>
      <w:r>
        <w:rPr>
          <w:rFonts w:ascii="宋体" w:hAnsi="宋体" w:eastAsia="宋体" w:cs="Times New Roman"/>
          <w:b/>
          <w:color w:val="auto"/>
          <w:kern w:val="0"/>
          <w:szCs w:val="21"/>
          <w:u w:val="single"/>
        </w:rPr>
        <w:t>91</w:t>
      </w:r>
      <w:r>
        <w:rPr>
          <w:rFonts w:hint="eastAsia" w:ascii="宋体" w:hAnsi="宋体" w:eastAsia="宋体" w:cs="Times New Roman"/>
          <w:b/>
          <w:color w:val="auto"/>
          <w:kern w:val="0"/>
          <w:szCs w:val="21"/>
          <w:u w:val="single"/>
        </w:rPr>
        <w:t>号修订版）规定的销售额</w:t>
      </w:r>
      <w:r>
        <w:rPr>
          <w:rFonts w:hint="eastAsia" w:ascii="宋体" w:hAnsi="宋体" w:eastAsia="宋体" w:cs="Times New Roman"/>
          <w:b/>
          <w:bCs/>
          <w:color w:val="auto"/>
          <w:kern w:val="0"/>
          <w:szCs w:val="21"/>
        </w:rPr>
        <w:t>。本项目的投标报价采用统一折扣系数报价</w:t>
      </w:r>
      <w:r>
        <w:rPr>
          <w:rFonts w:hint="eastAsia" w:ascii="宋体" w:hAnsi="宋体" w:eastAsia="宋体" w:cs="Times New Roman"/>
          <w:color w:val="auto"/>
          <w:kern w:val="0"/>
          <w:szCs w:val="21"/>
        </w:rPr>
        <w:t>，合同履约过程中以实际供货数量进行结算，采购清单中安全及劳保物资不含税中标综合单价按以下方式计算：不含税中标综合单价=不含税预算综合单价×中标折扣系数，不含税中标综合单价出现小数点，保留小数点后两位，从小数点后第3位四舍五入。</w:t>
      </w:r>
    </w:p>
    <w:p w14:paraId="082D1C6A">
      <w:pPr>
        <w:autoSpaceDE w:val="0"/>
        <w:autoSpaceDN w:val="0"/>
        <w:adjustRightInd w:val="0"/>
        <w:snapToGrid w:val="0"/>
        <w:spacing w:line="360" w:lineRule="auto"/>
        <w:ind w:left="605" w:leftChars="18" w:hanging="567" w:hangingChars="270"/>
        <w:jc w:val="left"/>
        <w:rPr>
          <w:rFonts w:ascii="宋体" w:hAnsi="宋体" w:eastAsia="宋体" w:cs="Times New Roman"/>
          <w:b/>
          <w:bCs/>
          <w:color w:val="auto"/>
          <w:kern w:val="0"/>
          <w:szCs w:val="21"/>
        </w:rPr>
      </w:pPr>
      <w:r>
        <w:rPr>
          <w:rFonts w:hint="eastAsia" w:ascii="宋体" w:hAnsi="宋体" w:eastAsia="宋体" w:cs="Times New Roman"/>
          <w:color w:val="auto"/>
          <w:kern w:val="0"/>
          <w:szCs w:val="21"/>
        </w:rPr>
        <w:t>（2）</w:t>
      </w:r>
      <w:r>
        <w:rPr>
          <w:rFonts w:hint="eastAsia" w:ascii="宋体" w:hAnsi="宋体" w:eastAsia="宋体" w:cs="Times New Roman"/>
          <w:b/>
          <w:bCs/>
          <w:color w:val="auto"/>
          <w:kern w:val="0"/>
          <w:szCs w:val="21"/>
        </w:rPr>
        <w:t>投标人的折扣系数报价不得超过1.00，且不能为0.00或负数</w:t>
      </w:r>
      <w:r>
        <w:rPr>
          <w:rFonts w:hint="eastAsia" w:ascii="宋体" w:hAnsi="宋体" w:eastAsia="宋体" w:cs="Times New Roman"/>
          <w:b/>
          <w:bCs/>
          <w:color w:val="auto"/>
          <w:kern w:val="0"/>
          <w:szCs w:val="21"/>
          <w:lang w:eastAsia="zh-CN"/>
        </w:rPr>
        <w:t>，</w:t>
      </w:r>
      <w:r>
        <w:rPr>
          <w:rFonts w:hint="eastAsia" w:ascii="宋体" w:hAnsi="宋体" w:eastAsia="宋体" w:cs="Times New Roman"/>
          <w:b/>
          <w:bCs/>
          <w:color w:val="auto"/>
          <w:kern w:val="0"/>
          <w:szCs w:val="21"/>
        </w:rPr>
        <w:t>投标人未按招标文件要求进行折扣系数报价的，该投标人的投标文件将被视为无效投标。</w:t>
      </w:r>
      <w:r>
        <w:rPr>
          <w:rFonts w:hint="eastAsia" w:ascii="宋体" w:hAnsi="宋体" w:eastAsia="宋体" w:cs="Times New Roman"/>
          <w:b/>
          <w:bCs/>
          <w:color w:val="auto"/>
          <w:kern w:val="0"/>
          <w:szCs w:val="21"/>
          <w:lang w:eastAsia="zh-CN"/>
        </w:rPr>
        <w:t>折扣系数报价需保留小数点后两位，否则评标委员会按去“尾”或补“零”的方式进行修正为保留小数点后两位，投标人须接受被修正后的报价（例：如投标折扣系数为0.789，则被修正为0.78；如投标折扣系数为0.7，则被修正为0.70）。</w:t>
      </w:r>
    </w:p>
    <w:p w14:paraId="34FEFF70">
      <w:pPr>
        <w:autoSpaceDE w:val="0"/>
        <w:autoSpaceDN w:val="0"/>
        <w:adjustRightInd w:val="0"/>
        <w:snapToGrid w:val="0"/>
        <w:spacing w:line="360" w:lineRule="auto"/>
        <w:ind w:left="605" w:leftChars="18" w:hanging="567" w:hangingChars="270"/>
        <w:jc w:val="left"/>
        <w:rPr>
          <w:rFonts w:ascii="宋体" w:hAnsi="宋体" w:eastAsia="宋体" w:cs="Times New Roman"/>
          <w:b/>
          <w:bCs/>
          <w:color w:val="auto"/>
          <w:kern w:val="0"/>
          <w:szCs w:val="21"/>
          <w:lang w:val="zh-CN"/>
        </w:rPr>
      </w:pPr>
      <w:r>
        <w:rPr>
          <w:rFonts w:hint="eastAsia" w:ascii="宋体" w:hAnsi="宋体" w:eastAsia="宋体" w:cs="Times New Roman"/>
          <w:color w:val="auto"/>
          <w:kern w:val="0"/>
          <w:szCs w:val="21"/>
        </w:rPr>
        <w:t>（3）</w:t>
      </w:r>
      <w:r>
        <w:rPr>
          <w:rFonts w:hint="eastAsia" w:ascii="宋体" w:hAnsi="宋体" w:eastAsia="宋体" w:cs="Times New Roman"/>
          <w:b/>
          <w:bCs/>
          <w:color w:val="auto"/>
          <w:kern w:val="0"/>
          <w:szCs w:val="21"/>
          <w:u w:val="single"/>
          <w:lang w:val="zh-CN"/>
        </w:rPr>
        <w:t>本表一式二份，一份随唱标信封一起提交，一份编入投标文件商务文件</w:t>
      </w:r>
      <w:r>
        <w:rPr>
          <w:rFonts w:hint="eastAsia" w:ascii="宋体" w:hAnsi="宋体" w:eastAsia="宋体" w:cs="Times New Roman"/>
          <w:b/>
          <w:bCs/>
          <w:color w:val="auto"/>
          <w:kern w:val="0"/>
          <w:szCs w:val="21"/>
          <w:lang w:val="zh-CN"/>
        </w:rPr>
        <w:t>。</w:t>
      </w:r>
    </w:p>
    <w:p w14:paraId="5648EB3D">
      <w:pPr>
        <w:autoSpaceDE w:val="0"/>
        <w:autoSpaceDN w:val="0"/>
        <w:adjustRightInd w:val="0"/>
        <w:snapToGrid w:val="0"/>
        <w:spacing w:line="360" w:lineRule="auto"/>
        <w:ind w:left="605" w:leftChars="18" w:hanging="567" w:hangingChars="270"/>
        <w:jc w:val="left"/>
        <w:rPr>
          <w:rFonts w:ascii="宋体" w:hAnsi="宋体" w:eastAsia="宋体" w:cs="Times New Roman"/>
          <w:bCs/>
          <w:color w:val="auto"/>
          <w:kern w:val="0"/>
          <w:szCs w:val="21"/>
          <w:lang w:val="zh-CN"/>
        </w:rPr>
      </w:pPr>
    </w:p>
    <w:p w14:paraId="432E933D">
      <w:pPr>
        <w:autoSpaceDE w:val="0"/>
        <w:autoSpaceDN w:val="0"/>
        <w:adjustRightInd w:val="0"/>
        <w:spacing w:line="360" w:lineRule="auto"/>
        <w:ind w:firstLine="4960" w:firstLineChars="2362"/>
        <w:rPr>
          <w:rFonts w:ascii="宋体" w:hAnsi="宋体" w:eastAsia="宋体" w:cs="宋体"/>
          <w:color w:val="auto"/>
          <w:szCs w:val="21"/>
          <w:lang w:val="zh-CN"/>
        </w:rPr>
      </w:pPr>
      <w:r>
        <w:rPr>
          <w:rFonts w:hint="eastAsia" w:ascii="宋体" w:hAnsi="宋体" w:eastAsia="宋体" w:cs="宋体"/>
          <w:color w:val="auto"/>
          <w:szCs w:val="21"/>
          <w:lang w:val="zh-CN"/>
        </w:rPr>
        <w:t>投标人：（</w:t>
      </w:r>
      <w:r>
        <w:rPr>
          <w:rFonts w:hint="eastAsia" w:ascii="宋体" w:hAnsi="宋体" w:eastAsia="宋体" w:cs="宋体"/>
          <w:color w:val="auto"/>
          <w:szCs w:val="24"/>
          <w:lang w:val="zh-CN"/>
        </w:rPr>
        <w:t>加盖投标人法人公章</w:t>
      </w:r>
      <w:r>
        <w:rPr>
          <w:rFonts w:hint="eastAsia" w:ascii="宋体" w:hAnsi="宋体" w:eastAsia="宋体" w:cs="宋体"/>
          <w:color w:val="auto"/>
          <w:szCs w:val="21"/>
          <w:lang w:val="zh-CN"/>
        </w:rPr>
        <w:t>）</w:t>
      </w:r>
    </w:p>
    <w:p w14:paraId="6B31AA87">
      <w:pPr>
        <w:autoSpaceDE w:val="0"/>
        <w:autoSpaceDN w:val="0"/>
        <w:adjustRightInd w:val="0"/>
        <w:spacing w:line="360" w:lineRule="auto"/>
        <w:ind w:firstLine="4960" w:firstLineChars="2362"/>
        <w:rPr>
          <w:rFonts w:ascii="宋体" w:hAnsi="宋体" w:eastAsia="宋体" w:cs="宋体"/>
          <w:color w:val="auto"/>
          <w:szCs w:val="21"/>
          <w:lang w:val="zh-CN"/>
        </w:rPr>
      </w:pPr>
      <w:r>
        <w:rPr>
          <w:rFonts w:hint="eastAsia" w:ascii="宋体" w:hAnsi="宋体" w:eastAsia="宋体" w:cs="宋体"/>
          <w:color w:val="auto"/>
          <w:szCs w:val="21"/>
          <w:lang w:val="zh-CN"/>
        </w:rPr>
        <w:t>法定代表人或其授权代表签名（或盖私章）：</w:t>
      </w:r>
    </w:p>
    <w:p w14:paraId="5140822E">
      <w:pPr>
        <w:autoSpaceDE w:val="0"/>
        <w:autoSpaceDN w:val="0"/>
        <w:adjustRightInd w:val="0"/>
        <w:spacing w:line="360" w:lineRule="auto"/>
        <w:ind w:firstLine="4960" w:firstLineChars="2362"/>
        <w:rPr>
          <w:rFonts w:ascii="宋体" w:hAnsi="宋体" w:eastAsia="宋体" w:cs="Times New Roman"/>
          <w:color w:val="auto"/>
          <w:szCs w:val="24"/>
          <w:lang w:val="zh-CN"/>
        </w:rPr>
      </w:pPr>
      <w:r>
        <w:rPr>
          <w:rFonts w:hint="eastAsia" w:ascii="宋体" w:hAnsi="宋体" w:eastAsia="宋体" w:cs="宋体"/>
          <w:color w:val="auto"/>
          <w:szCs w:val="21"/>
          <w:lang w:val="zh-CN"/>
        </w:rPr>
        <w:t>日</w:t>
      </w:r>
      <w:r>
        <w:rPr>
          <w:rFonts w:hint="eastAsia" w:ascii="宋体" w:hAnsi="宋体" w:eastAsia="宋体" w:cs="Times New Roman"/>
          <w:color w:val="auto"/>
          <w:szCs w:val="24"/>
          <w:lang w:val="zh-CN"/>
        </w:rPr>
        <w:t>期：   年   月   日</w:t>
      </w:r>
    </w:p>
    <w:p w14:paraId="3442D234">
      <w:pPr>
        <w:rPr>
          <w:rFonts w:ascii="Times New Roman" w:hAnsi="Times New Roman" w:eastAsia="宋体" w:cs="Times New Roman"/>
          <w:b/>
          <w:bCs/>
          <w:color w:val="auto"/>
          <w:sz w:val="30"/>
          <w:szCs w:val="30"/>
        </w:rPr>
      </w:pPr>
    </w:p>
    <w:p w14:paraId="15DCFBD6">
      <w:pPr>
        <w:autoSpaceDE w:val="0"/>
        <w:autoSpaceDN w:val="0"/>
        <w:adjustRightInd w:val="0"/>
        <w:spacing w:line="360" w:lineRule="auto"/>
        <w:ind w:firstLine="5668" w:firstLineChars="2362"/>
        <w:rPr>
          <w:rFonts w:ascii="宋体" w:hAnsi="宋体" w:eastAsia="宋体" w:cs="Times New Roman"/>
          <w:color w:val="auto"/>
          <w:sz w:val="24"/>
          <w:szCs w:val="24"/>
        </w:rPr>
      </w:pPr>
      <w:r>
        <w:rPr>
          <w:rFonts w:ascii="宋体" w:hAnsi="宋体" w:eastAsia="宋体" w:cs="Times New Roman"/>
          <w:color w:val="auto"/>
          <w:sz w:val="24"/>
          <w:szCs w:val="24"/>
          <w:lang w:val="zh-CN"/>
        </w:rPr>
        <w:br w:type="page"/>
      </w:r>
    </w:p>
    <w:p w14:paraId="6F15D2E6">
      <w:pPr>
        <w:tabs>
          <w:tab w:val="left" w:pos="567"/>
        </w:tabs>
        <w:autoSpaceDE w:val="0"/>
        <w:autoSpaceDN w:val="0"/>
        <w:adjustRightInd w:val="0"/>
        <w:spacing w:line="360" w:lineRule="auto"/>
        <w:ind w:left="758" w:hanging="758" w:hangingChars="236"/>
        <w:jc w:val="left"/>
        <w:rPr>
          <w:rFonts w:ascii="宋体" w:hAnsi="宋体" w:eastAsia="宋体" w:cs="宋体"/>
          <w:b/>
          <w:color w:val="auto"/>
          <w:kern w:val="0"/>
          <w:sz w:val="32"/>
          <w:szCs w:val="32"/>
        </w:rPr>
      </w:pPr>
      <w:bookmarkStart w:id="485" w:name="_Toc140596928"/>
      <w:bookmarkStart w:id="486" w:name="_Toc104991875"/>
      <w:bookmarkStart w:id="487" w:name="_Toc102860074"/>
      <w:bookmarkStart w:id="488" w:name="_Toc1977725"/>
      <w:bookmarkStart w:id="489" w:name="_Toc24015"/>
      <w:bookmarkStart w:id="490" w:name="_Toc102860418"/>
      <w:bookmarkStart w:id="491" w:name="_Toc18828"/>
      <w:bookmarkStart w:id="492" w:name="_Toc142508369"/>
      <w:bookmarkStart w:id="493" w:name="_Toc94107209"/>
      <w:bookmarkStart w:id="494" w:name="_Toc533708124"/>
      <w:bookmarkStart w:id="495" w:name="_Toc20759_WPSOffice_Level2"/>
      <w:bookmarkStart w:id="496" w:name="_Toc486167712"/>
      <w:r>
        <w:rPr>
          <w:rFonts w:hint="eastAsia" w:ascii="宋体" w:hAnsi="宋体" w:eastAsia="宋体" w:cs="宋体"/>
          <w:b/>
          <w:color w:val="auto"/>
          <w:kern w:val="0"/>
          <w:sz w:val="32"/>
          <w:szCs w:val="32"/>
        </w:rPr>
        <w:t>五、投标人资格证明文件</w:t>
      </w:r>
      <w:bookmarkEnd w:id="485"/>
      <w:bookmarkEnd w:id="486"/>
      <w:bookmarkEnd w:id="487"/>
      <w:bookmarkEnd w:id="488"/>
      <w:bookmarkEnd w:id="489"/>
      <w:bookmarkEnd w:id="490"/>
      <w:bookmarkEnd w:id="491"/>
      <w:bookmarkEnd w:id="492"/>
      <w:bookmarkEnd w:id="493"/>
    </w:p>
    <w:p w14:paraId="11301AEE">
      <w:pPr>
        <w:tabs>
          <w:tab w:val="left" w:pos="567"/>
        </w:tabs>
        <w:autoSpaceDE w:val="0"/>
        <w:autoSpaceDN w:val="0"/>
        <w:adjustRightInd w:val="0"/>
        <w:spacing w:line="360" w:lineRule="auto"/>
        <w:jc w:val="left"/>
        <w:rPr>
          <w:rFonts w:ascii="宋体" w:hAnsi="宋体" w:eastAsia="宋体" w:cs="宋体"/>
          <w:b/>
          <w:color w:val="auto"/>
          <w:kern w:val="0"/>
          <w:sz w:val="30"/>
          <w:szCs w:val="30"/>
        </w:rPr>
      </w:pPr>
      <w:bookmarkStart w:id="497" w:name="_Toc104991876"/>
      <w:bookmarkStart w:id="498" w:name="_Toc94107210"/>
      <w:bookmarkStart w:id="499" w:name="_Toc140596929"/>
      <w:bookmarkStart w:id="500" w:name="_Toc31420"/>
      <w:bookmarkStart w:id="501" w:name="_Toc28382"/>
      <w:bookmarkStart w:id="502" w:name="_Toc102860075"/>
      <w:bookmarkStart w:id="503" w:name="_Toc142508370"/>
      <w:bookmarkStart w:id="504" w:name="_Toc102860419"/>
      <w:bookmarkStart w:id="505" w:name="_Toc1977726"/>
      <w:r>
        <w:rPr>
          <w:rFonts w:hint="eastAsia" w:ascii="宋体" w:hAnsi="宋体" w:eastAsia="宋体" w:cs="宋体"/>
          <w:b/>
          <w:color w:val="auto"/>
          <w:kern w:val="0"/>
          <w:sz w:val="30"/>
          <w:szCs w:val="30"/>
        </w:rPr>
        <w:t>5.1 多证合一营业执照（或事业单位法人证书）复印件</w:t>
      </w:r>
      <w:bookmarkEnd w:id="497"/>
      <w:bookmarkEnd w:id="498"/>
      <w:bookmarkEnd w:id="499"/>
      <w:bookmarkEnd w:id="500"/>
      <w:bookmarkEnd w:id="501"/>
      <w:bookmarkEnd w:id="502"/>
      <w:bookmarkEnd w:id="503"/>
      <w:bookmarkEnd w:id="504"/>
    </w:p>
    <w:p w14:paraId="7644A9A0">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rPr>
      </w:pPr>
    </w:p>
    <w:p w14:paraId="2B105F2B">
      <w:pPr>
        <w:tabs>
          <w:tab w:val="left" w:pos="567"/>
        </w:tabs>
        <w:autoSpaceDE w:val="0"/>
        <w:autoSpaceDN w:val="0"/>
        <w:adjustRightInd w:val="0"/>
        <w:spacing w:line="360" w:lineRule="auto"/>
        <w:ind w:firstLine="316" w:firstLineChars="150"/>
        <w:jc w:val="left"/>
        <w:outlineLvl w:val="2"/>
        <w:rPr>
          <w:rFonts w:ascii="宋体" w:hAnsi="宋体" w:eastAsia="宋体" w:cs="宋体"/>
          <w:b/>
          <w:color w:val="auto"/>
          <w:kern w:val="0"/>
          <w:szCs w:val="21"/>
        </w:rPr>
        <w:sectPr>
          <w:footerReference r:id="rId8" w:type="first"/>
          <w:footerReference r:id="rId7" w:type="default"/>
          <w:pgSz w:w="12240" w:h="15840"/>
          <w:pgMar w:top="1191" w:right="1043" w:bottom="1191" w:left="1043" w:header="720" w:footer="720" w:gutter="0"/>
          <w:cols w:space="720" w:num="1"/>
          <w:titlePg/>
          <w:docGrid w:linePitch="326" w:charSpace="0"/>
        </w:sectPr>
      </w:pPr>
    </w:p>
    <w:p w14:paraId="27A70A20">
      <w:pPr>
        <w:tabs>
          <w:tab w:val="left" w:pos="567"/>
        </w:tabs>
        <w:autoSpaceDE w:val="0"/>
        <w:autoSpaceDN w:val="0"/>
        <w:adjustRightInd w:val="0"/>
        <w:spacing w:line="360" w:lineRule="auto"/>
        <w:jc w:val="left"/>
        <w:rPr>
          <w:rFonts w:ascii="宋体" w:hAnsi="宋体" w:eastAsia="宋体" w:cs="宋体"/>
          <w:b/>
          <w:color w:val="auto"/>
          <w:kern w:val="0"/>
          <w:sz w:val="30"/>
          <w:szCs w:val="30"/>
        </w:rPr>
      </w:pPr>
      <w:bookmarkStart w:id="506" w:name="_Toc9489"/>
      <w:bookmarkStart w:id="507" w:name="_Toc26345"/>
      <w:bookmarkStart w:id="508" w:name="_Toc102860420"/>
      <w:bookmarkStart w:id="509" w:name="_Toc142508371"/>
      <w:bookmarkStart w:id="510" w:name="_Toc102860076"/>
      <w:bookmarkStart w:id="511" w:name="_Toc140596930"/>
      <w:bookmarkStart w:id="512" w:name="_Toc94107211"/>
      <w:bookmarkStart w:id="513" w:name="_Toc104991877"/>
      <w:r>
        <w:rPr>
          <w:rFonts w:hint="eastAsia" w:ascii="宋体" w:hAnsi="宋体" w:eastAsia="宋体" w:cs="宋体"/>
          <w:b/>
          <w:color w:val="auto"/>
          <w:kern w:val="0"/>
          <w:sz w:val="30"/>
          <w:szCs w:val="30"/>
        </w:rPr>
        <w:t>5.2 开户许可证复印件（基本存款账户），如投标人企业银行账户开户所在地区已取消企业银行账户许可，投标人应提供基本存款账户开户名称、开户银行、账号、编号等信息及相关备案证明（如有）或其他能证明其为基本存款账户的资料复印件</w:t>
      </w:r>
      <w:bookmarkEnd w:id="506"/>
      <w:bookmarkEnd w:id="507"/>
      <w:bookmarkEnd w:id="508"/>
      <w:bookmarkEnd w:id="509"/>
      <w:bookmarkEnd w:id="510"/>
      <w:bookmarkEnd w:id="511"/>
      <w:bookmarkEnd w:id="512"/>
      <w:bookmarkEnd w:id="513"/>
    </w:p>
    <w:p w14:paraId="1CF6440A">
      <w:pPr>
        <w:tabs>
          <w:tab w:val="left" w:pos="567"/>
        </w:tabs>
        <w:autoSpaceDE w:val="0"/>
        <w:autoSpaceDN w:val="0"/>
        <w:adjustRightInd w:val="0"/>
        <w:spacing w:line="360" w:lineRule="auto"/>
        <w:jc w:val="left"/>
        <w:rPr>
          <w:rFonts w:ascii="宋体" w:hAnsi="宋体" w:eastAsia="宋体" w:cs="宋体"/>
          <w:b/>
          <w:color w:val="auto"/>
          <w:kern w:val="0"/>
          <w:sz w:val="30"/>
          <w:szCs w:val="30"/>
        </w:rPr>
      </w:pPr>
      <w:r>
        <w:rPr>
          <w:rFonts w:ascii="宋体" w:hAnsi="宋体" w:eastAsia="宋体" w:cs="宋体"/>
          <w:b/>
          <w:color w:val="auto"/>
          <w:kern w:val="0"/>
          <w:sz w:val="30"/>
          <w:szCs w:val="30"/>
        </w:rPr>
        <w:br w:type="page"/>
      </w:r>
      <w:bookmarkStart w:id="514" w:name="_Toc104991878"/>
      <w:bookmarkStart w:id="515" w:name="_Toc102860421"/>
      <w:bookmarkStart w:id="516" w:name="_Toc140596931"/>
      <w:bookmarkStart w:id="517" w:name="_Toc94107212"/>
      <w:bookmarkStart w:id="518" w:name="_Toc102860077"/>
      <w:bookmarkStart w:id="519" w:name="_Toc644"/>
      <w:bookmarkStart w:id="520" w:name="_Toc21657"/>
      <w:bookmarkStart w:id="521" w:name="_Toc142508372"/>
    </w:p>
    <w:p w14:paraId="2CB8B5FF">
      <w:pPr>
        <w:tabs>
          <w:tab w:val="left" w:pos="567"/>
        </w:tabs>
        <w:autoSpaceDE w:val="0"/>
        <w:autoSpaceDN w:val="0"/>
        <w:adjustRightInd w:val="0"/>
        <w:spacing w:line="360" w:lineRule="auto"/>
        <w:jc w:val="left"/>
        <w:rPr>
          <w:rFonts w:ascii="宋体" w:hAnsi="宋体" w:eastAsia="宋体" w:cs="宋体"/>
          <w:b/>
          <w:color w:val="auto"/>
          <w:kern w:val="0"/>
          <w:sz w:val="30"/>
          <w:szCs w:val="30"/>
        </w:rPr>
      </w:pPr>
      <w:r>
        <w:rPr>
          <w:rFonts w:hint="eastAsia" w:ascii="宋体" w:hAnsi="宋体" w:eastAsia="宋体" w:cs="宋体"/>
          <w:b/>
          <w:color w:val="auto"/>
          <w:kern w:val="0"/>
          <w:sz w:val="30"/>
          <w:szCs w:val="30"/>
        </w:rPr>
        <w:t>5</w:t>
      </w:r>
      <w:r>
        <w:rPr>
          <w:rFonts w:ascii="宋体" w:hAnsi="宋体" w:eastAsia="宋体" w:cs="宋体"/>
          <w:b/>
          <w:color w:val="auto"/>
          <w:kern w:val="0"/>
          <w:sz w:val="30"/>
          <w:szCs w:val="30"/>
        </w:rPr>
        <w:t>.3</w:t>
      </w:r>
      <w:r>
        <w:rPr>
          <w:rFonts w:hint="eastAsia" w:ascii="宋体" w:hAnsi="宋体" w:eastAsia="宋体" w:cs="宋体"/>
          <w:b/>
          <w:color w:val="auto"/>
          <w:kern w:val="0"/>
          <w:sz w:val="30"/>
          <w:szCs w:val="30"/>
        </w:rPr>
        <w:t xml:space="preserve"> 法定代表人身份证明书原件、法定代表人授权书原件格式（法定代表人投标时只需提供法定代表人身份证明书，委托他人为投标代表或签署投标文件时需同时提供法定代表人授权书）</w:t>
      </w:r>
      <w:bookmarkEnd w:id="514"/>
      <w:bookmarkEnd w:id="515"/>
      <w:bookmarkEnd w:id="516"/>
      <w:bookmarkEnd w:id="517"/>
      <w:bookmarkEnd w:id="518"/>
      <w:bookmarkEnd w:id="519"/>
      <w:bookmarkEnd w:id="520"/>
      <w:bookmarkEnd w:id="521"/>
    </w:p>
    <w:p w14:paraId="706313CA">
      <w:pPr>
        <w:spacing w:before="120" w:after="120" w:line="360" w:lineRule="auto"/>
        <w:ind w:firstLine="426" w:firstLineChars="202"/>
        <w:rPr>
          <w:rFonts w:ascii="宋体" w:hAnsi="宋体" w:eastAsia="宋体" w:cs="宋体"/>
          <w:b/>
          <w:color w:val="auto"/>
          <w:szCs w:val="24"/>
        </w:rPr>
      </w:pPr>
      <w:r>
        <w:rPr>
          <w:rFonts w:hint="eastAsia" w:ascii="宋体" w:hAnsi="宋体" w:eastAsia="宋体" w:cs="宋体"/>
          <w:b/>
          <w:color w:val="auto"/>
          <w:szCs w:val="24"/>
        </w:rPr>
        <w:t>（1）法定代表人身份证明书格式</w:t>
      </w:r>
      <w:bookmarkEnd w:id="494"/>
      <w:bookmarkEnd w:id="495"/>
      <w:bookmarkEnd w:id="496"/>
      <w:bookmarkEnd w:id="505"/>
    </w:p>
    <w:p w14:paraId="435E5835">
      <w:pPr>
        <w:spacing w:before="120" w:after="120" w:line="360" w:lineRule="auto"/>
        <w:ind w:firstLine="608" w:firstLineChars="202"/>
        <w:jc w:val="center"/>
        <w:rPr>
          <w:rFonts w:ascii="宋体" w:hAnsi="宋体" w:eastAsia="宋体" w:cs="宋体"/>
          <w:b/>
          <w:color w:val="auto"/>
          <w:sz w:val="30"/>
          <w:szCs w:val="30"/>
        </w:rPr>
      </w:pPr>
    </w:p>
    <w:p w14:paraId="3AB2EBB1">
      <w:pPr>
        <w:spacing w:before="120" w:after="120" w:line="360" w:lineRule="auto"/>
        <w:ind w:firstLine="608" w:firstLineChars="202"/>
        <w:jc w:val="center"/>
        <w:rPr>
          <w:rFonts w:ascii="宋体" w:hAnsi="宋体" w:eastAsia="宋体" w:cs="宋体"/>
          <w:b/>
          <w:bCs/>
          <w:color w:val="auto"/>
          <w:sz w:val="30"/>
          <w:szCs w:val="30"/>
        </w:rPr>
      </w:pPr>
      <w:bookmarkStart w:id="522" w:name="_Toc11033_WPSOffice_Level3"/>
      <w:r>
        <w:rPr>
          <w:rFonts w:hint="eastAsia" w:ascii="宋体" w:hAnsi="宋体" w:eastAsia="宋体" w:cs="宋体"/>
          <w:b/>
          <w:color w:val="auto"/>
          <w:sz w:val="30"/>
          <w:szCs w:val="30"/>
        </w:rPr>
        <w:t>法定代</w:t>
      </w:r>
      <w:bookmarkStart w:id="523" w:name="_Toc36971359"/>
      <w:bookmarkStart w:id="524" w:name="_Toc45995270"/>
      <w:r>
        <w:rPr>
          <w:rFonts w:hint="eastAsia" w:ascii="宋体" w:hAnsi="宋体" w:eastAsia="宋体" w:cs="宋体"/>
          <w:b/>
          <w:color w:val="auto"/>
          <w:sz w:val="30"/>
          <w:szCs w:val="30"/>
        </w:rPr>
        <w:t>表人身份证明书</w:t>
      </w:r>
      <w:bookmarkEnd w:id="522"/>
    </w:p>
    <w:bookmarkEnd w:id="523"/>
    <w:bookmarkEnd w:id="524"/>
    <w:p w14:paraId="2FE9BE60">
      <w:pPr>
        <w:spacing w:before="120" w:after="120" w:line="360" w:lineRule="auto"/>
        <w:ind w:firstLine="420" w:firstLineChars="200"/>
        <w:rPr>
          <w:rFonts w:ascii="宋体" w:hAnsi="宋体" w:eastAsia="宋体" w:cs="宋体"/>
          <w:color w:val="auto"/>
          <w:szCs w:val="24"/>
        </w:rPr>
      </w:pPr>
      <w:r>
        <w:rPr>
          <w:rFonts w:hint="eastAsia" w:ascii="宋体" w:hAnsi="宋体" w:eastAsia="宋体" w:cs="宋体"/>
          <w:color w:val="auto"/>
          <w:szCs w:val="24"/>
          <w:u w:val="single"/>
        </w:rPr>
        <w:t xml:space="preserve">            </w:t>
      </w:r>
      <w:r>
        <w:rPr>
          <w:rFonts w:hint="eastAsia" w:ascii="宋体" w:hAnsi="宋体" w:eastAsia="宋体" w:cs="宋体"/>
          <w:color w:val="auto"/>
          <w:szCs w:val="24"/>
        </w:rPr>
        <w:t>先生／女士：现任我单位</w:t>
      </w:r>
      <w:r>
        <w:rPr>
          <w:rFonts w:hint="eastAsia" w:ascii="宋体" w:hAnsi="宋体" w:eastAsia="宋体" w:cs="宋体"/>
          <w:color w:val="auto"/>
          <w:szCs w:val="24"/>
          <w:u w:val="single"/>
        </w:rPr>
        <w:t xml:space="preserve">            </w:t>
      </w:r>
      <w:r>
        <w:rPr>
          <w:rFonts w:hint="eastAsia" w:ascii="宋体" w:hAnsi="宋体" w:eastAsia="宋体" w:cs="宋体"/>
          <w:color w:val="auto"/>
          <w:szCs w:val="24"/>
        </w:rPr>
        <w:t>职务，为法定代表人，特此证明。</w:t>
      </w:r>
    </w:p>
    <w:p w14:paraId="65B9EAAE">
      <w:pPr>
        <w:spacing w:before="120" w:after="120" w:line="360" w:lineRule="auto"/>
        <w:ind w:firstLine="424" w:firstLineChars="202"/>
        <w:rPr>
          <w:rFonts w:ascii="宋体" w:hAnsi="宋体" w:eastAsia="宋体" w:cs="宋体"/>
          <w:color w:val="auto"/>
          <w:szCs w:val="24"/>
        </w:rPr>
      </w:pPr>
      <w:r>
        <w:rPr>
          <w:rFonts w:hint="eastAsia" w:ascii="宋体" w:hAnsi="宋体" w:eastAsia="宋体" w:cs="宋体"/>
          <w:color w:val="auto"/>
          <w:szCs w:val="24"/>
        </w:rPr>
        <w:t>有效日期：</w:t>
      </w:r>
      <w:r>
        <w:rPr>
          <w:rFonts w:hint="eastAsia" w:ascii="宋体" w:hAnsi="宋体" w:eastAsia="宋体" w:cs="宋体"/>
          <w:color w:val="auto"/>
          <w:szCs w:val="24"/>
          <w:u w:val="single"/>
        </w:rPr>
        <w:t xml:space="preserve">          </w:t>
      </w:r>
      <w:r>
        <w:rPr>
          <w:rFonts w:hint="eastAsia" w:ascii="宋体" w:hAnsi="宋体" w:eastAsia="宋体" w:cs="宋体"/>
          <w:color w:val="auto"/>
          <w:szCs w:val="24"/>
        </w:rPr>
        <w:t>签发日期：</w:t>
      </w:r>
      <w:r>
        <w:rPr>
          <w:rFonts w:hint="eastAsia" w:ascii="宋体" w:hAnsi="宋体" w:eastAsia="宋体" w:cs="宋体"/>
          <w:color w:val="auto"/>
          <w:szCs w:val="24"/>
          <w:u w:val="single"/>
        </w:rPr>
        <w:t xml:space="preserve">           </w:t>
      </w:r>
    </w:p>
    <w:p w14:paraId="3D964416">
      <w:pPr>
        <w:spacing w:before="120" w:after="120" w:line="360" w:lineRule="auto"/>
        <w:ind w:firstLine="424" w:firstLineChars="202"/>
        <w:rPr>
          <w:rFonts w:ascii="宋体" w:hAnsi="宋体" w:eastAsia="宋体" w:cs="宋体"/>
          <w:color w:val="auto"/>
          <w:szCs w:val="24"/>
          <w:u w:val="single"/>
        </w:rPr>
      </w:pPr>
      <w:r>
        <w:rPr>
          <w:rFonts w:hint="eastAsia" w:ascii="宋体" w:hAnsi="宋体" w:eastAsia="宋体" w:cs="宋体"/>
          <w:color w:val="auto"/>
          <w:szCs w:val="24"/>
        </w:rPr>
        <w:t>附：代表人性别：</w:t>
      </w:r>
      <w:r>
        <w:rPr>
          <w:rFonts w:hint="eastAsia" w:ascii="宋体" w:hAnsi="宋体" w:eastAsia="宋体" w:cs="宋体"/>
          <w:color w:val="auto"/>
          <w:szCs w:val="24"/>
          <w:u w:val="single"/>
        </w:rPr>
        <w:t xml:space="preserve">      </w:t>
      </w:r>
      <w:r>
        <w:rPr>
          <w:rFonts w:hint="eastAsia" w:ascii="宋体" w:hAnsi="宋体" w:eastAsia="宋体" w:cs="宋体"/>
          <w:color w:val="auto"/>
          <w:szCs w:val="24"/>
        </w:rPr>
        <w:t xml:space="preserve"> 年龄：</w:t>
      </w:r>
      <w:r>
        <w:rPr>
          <w:rFonts w:hint="eastAsia" w:ascii="宋体" w:hAnsi="宋体" w:eastAsia="宋体" w:cs="宋体"/>
          <w:color w:val="auto"/>
          <w:szCs w:val="24"/>
          <w:u w:val="single"/>
        </w:rPr>
        <w:t xml:space="preserve">         </w:t>
      </w:r>
      <w:r>
        <w:rPr>
          <w:rFonts w:hint="eastAsia" w:ascii="宋体" w:hAnsi="宋体" w:eastAsia="宋体" w:cs="宋体"/>
          <w:color w:val="auto"/>
          <w:szCs w:val="24"/>
        </w:rPr>
        <w:t>身份证号码：</w:t>
      </w:r>
      <w:r>
        <w:rPr>
          <w:rFonts w:hint="eastAsia" w:ascii="宋体" w:hAnsi="宋体" w:eastAsia="宋体" w:cs="宋体"/>
          <w:color w:val="auto"/>
          <w:szCs w:val="24"/>
          <w:u w:val="single"/>
        </w:rPr>
        <w:t xml:space="preserve">            </w:t>
      </w:r>
    </w:p>
    <w:p w14:paraId="53597676">
      <w:pPr>
        <w:spacing w:before="120" w:after="120" w:line="360" w:lineRule="auto"/>
        <w:ind w:firstLine="424" w:firstLineChars="202"/>
        <w:rPr>
          <w:rFonts w:ascii="宋体" w:hAnsi="宋体" w:eastAsia="宋体" w:cs="宋体"/>
          <w:color w:val="auto"/>
          <w:szCs w:val="24"/>
        </w:rPr>
      </w:pPr>
      <w:r>
        <w:rPr>
          <w:rFonts w:hint="eastAsia" w:ascii="宋体" w:hAnsi="宋体" w:eastAsia="宋体" w:cs="宋体"/>
          <w:color w:val="auto"/>
          <w:szCs w:val="24"/>
        </w:rPr>
        <w:t>营业执照号码：</w:t>
      </w:r>
      <w:r>
        <w:rPr>
          <w:rFonts w:hint="eastAsia" w:ascii="宋体" w:hAnsi="宋体" w:eastAsia="宋体" w:cs="宋体"/>
          <w:color w:val="auto"/>
          <w:szCs w:val="24"/>
          <w:u w:val="single"/>
        </w:rPr>
        <w:t xml:space="preserve">           </w:t>
      </w:r>
      <w:r>
        <w:rPr>
          <w:rFonts w:hint="eastAsia" w:ascii="宋体" w:hAnsi="宋体" w:eastAsia="宋体" w:cs="宋体"/>
          <w:color w:val="auto"/>
          <w:szCs w:val="24"/>
        </w:rPr>
        <w:t xml:space="preserve">经济性质： </w:t>
      </w:r>
    </w:p>
    <w:p w14:paraId="5E43909B">
      <w:pPr>
        <w:spacing w:before="120" w:after="120" w:line="360" w:lineRule="auto"/>
        <w:ind w:firstLine="424" w:firstLineChars="202"/>
        <w:rPr>
          <w:rFonts w:ascii="宋体" w:hAnsi="宋体" w:eastAsia="宋体" w:cs="宋体"/>
          <w:color w:val="auto"/>
          <w:szCs w:val="24"/>
          <w:u w:val="single"/>
        </w:rPr>
      </w:pPr>
      <w:r>
        <w:rPr>
          <w:rFonts w:hint="eastAsia" w:ascii="宋体" w:hAnsi="宋体" w:eastAsia="宋体" w:cs="宋体"/>
          <w:color w:val="auto"/>
          <w:szCs w:val="24"/>
        </w:rPr>
        <w:t>主营（产）：</w:t>
      </w:r>
    </w:p>
    <w:p w14:paraId="4FFA8001">
      <w:pPr>
        <w:spacing w:before="120" w:after="120" w:line="360" w:lineRule="auto"/>
        <w:ind w:firstLine="424" w:firstLineChars="202"/>
        <w:rPr>
          <w:rFonts w:ascii="宋体" w:hAnsi="宋体" w:eastAsia="宋体" w:cs="宋体"/>
          <w:color w:val="auto"/>
          <w:szCs w:val="24"/>
          <w:u w:val="single"/>
        </w:rPr>
      </w:pPr>
      <w:r>
        <w:rPr>
          <w:rFonts w:hint="eastAsia" w:ascii="宋体" w:hAnsi="宋体" w:eastAsia="宋体" w:cs="宋体"/>
          <w:color w:val="auto"/>
          <w:szCs w:val="24"/>
        </w:rPr>
        <w:t>兼营（产）：</w:t>
      </w:r>
    </w:p>
    <w:p w14:paraId="5F647DFF">
      <w:pPr>
        <w:spacing w:before="120" w:after="120" w:line="360" w:lineRule="auto"/>
        <w:ind w:firstLine="424" w:firstLineChars="202"/>
        <w:rPr>
          <w:rFonts w:ascii="宋体" w:hAnsi="宋体" w:eastAsia="宋体" w:cs="宋体"/>
          <w:color w:val="auto"/>
          <w:szCs w:val="24"/>
        </w:rPr>
      </w:pPr>
      <w:r>
        <w:rPr>
          <w:rFonts w:hint="eastAsia" w:ascii="宋体" w:hAnsi="宋体" w:eastAsia="宋体" w:cs="宋体"/>
          <w:color w:val="auto"/>
          <w:szCs w:val="24"/>
        </w:rPr>
        <w:t xml:space="preserve">附 法定代表人身份证复印件 </w:t>
      </w:r>
    </w:p>
    <w:p w14:paraId="579C7506">
      <w:pPr>
        <w:spacing w:before="120" w:after="120" w:line="360" w:lineRule="auto"/>
        <w:ind w:left="340" w:leftChars="162" w:firstLine="4740"/>
        <w:rPr>
          <w:rFonts w:ascii="宋体" w:hAnsi="宋体" w:eastAsia="宋体" w:cs="宋体"/>
          <w:color w:val="auto"/>
          <w:szCs w:val="21"/>
        </w:rPr>
      </w:pPr>
      <w:r>
        <w:rPr>
          <w:rFonts w:hint="eastAsia" w:ascii="宋体" w:hAnsi="宋体" w:eastAsia="宋体" w:cs="宋体"/>
          <w:color w:val="auto"/>
          <w:szCs w:val="21"/>
          <w:lang w:val="zh-CN"/>
        </w:rPr>
        <w:t>投标人：（加盖投标人法人公章）</w:t>
      </w:r>
    </w:p>
    <w:p w14:paraId="77C2182D">
      <w:pPr>
        <w:autoSpaceDE w:val="0"/>
        <w:autoSpaceDN w:val="0"/>
        <w:adjustRightInd w:val="0"/>
        <w:spacing w:line="360" w:lineRule="auto"/>
        <w:ind w:right="1010" w:rightChars="481" w:firstLine="6090" w:firstLineChars="2900"/>
        <w:jc w:val="left"/>
        <w:rPr>
          <w:rFonts w:ascii="宋体" w:hAnsi="宋体" w:eastAsia="宋体" w:cs="宋体"/>
          <w:color w:val="auto"/>
          <w:kern w:val="0"/>
          <w:szCs w:val="21"/>
        </w:rPr>
      </w:pPr>
      <w:r>
        <w:rPr>
          <w:rFonts w:hint="eastAsia" w:ascii="宋体" w:hAnsi="宋体" w:eastAsia="宋体" w:cs="宋体"/>
          <w:color w:val="auto"/>
          <w:kern w:val="0"/>
          <w:szCs w:val="21"/>
        </w:rPr>
        <w:t>日期：   年   月   日</w:t>
      </w:r>
    </w:p>
    <w:p w14:paraId="110B74C6">
      <w:pPr>
        <w:autoSpaceDE w:val="0"/>
        <w:autoSpaceDN w:val="0"/>
        <w:adjustRightInd w:val="0"/>
        <w:jc w:val="left"/>
        <w:rPr>
          <w:rFonts w:ascii="宋体" w:hAnsi="宋体" w:eastAsia="宋体" w:cs="宋体"/>
          <w:color w:val="auto"/>
          <w:kern w:val="0"/>
          <w:sz w:val="24"/>
          <w:szCs w:val="24"/>
        </w:rPr>
      </w:pPr>
      <w:r>
        <w:rPr>
          <w:rFonts w:ascii="宋体" w:hAnsi="宋体" w:eastAsia="宋体" w:cs="宋体"/>
          <w:color w:val="auto"/>
          <w:kern w:val="0"/>
          <w:sz w:val="24"/>
          <w:szCs w:val="24"/>
        </w:rPr>
        <mc:AlternateContent>
          <mc:Choice Requires="wps">
            <w:drawing>
              <wp:anchor distT="0" distB="0" distL="114300" distR="114300" simplePos="0" relativeHeight="251661312"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0E14C0A0"/>
                          <w:p w14:paraId="53D3700F"/>
                          <w:p w14:paraId="33E567D1"/>
                          <w:p w14:paraId="4B8BCB3E"/>
                          <w:p w14:paraId="0199C9E0">
                            <w:pPr>
                              <w:jc w:val="center"/>
                              <w:rPr>
                                <w:szCs w:val="21"/>
                              </w:rPr>
                            </w:pPr>
                            <w:r>
                              <w:rPr>
                                <w:rFonts w:hint="eastAsia"/>
                                <w:szCs w:val="21"/>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1312;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Fj1YWXYAAAACAEAAA8AAAAAAAAAAQAgAAAAIgAA&#10;AGRycy9kb3ducmV2LnhtbFBLAQIUABQAAAAIAIdO4kD5BGLAQQIAAIgEAAAOAAAAAAAAAAEAIAAA&#10;ACcBAABkcnMvZTJvRG9jLnhtbFBLBQYAAAAABgAGAFkBAADaBQAAAAA=&#10;">
                <v:fill on="t" focussize="0,0"/>
                <v:stroke color="#000000" miterlimit="8" joinstyle="miter"/>
                <v:imagedata o:title=""/>
                <o:lock v:ext="edit" aspectratio="f"/>
                <v:textbox>
                  <w:txbxContent>
                    <w:p w14:paraId="0E14C0A0"/>
                    <w:p w14:paraId="53D3700F"/>
                    <w:p w14:paraId="33E567D1"/>
                    <w:p w14:paraId="4B8BCB3E"/>
                    <w:p w14:paraId="0199C9E0">
                      <w:pPr>
                        <w:jc w:val="center"/>
                        <w:rPr>
                          <w:szCs w:val="21"/>
                        </w:rPr>
                      </w:pPr>
                      <w:r>
                        <w:rPr>
                          <w:rFonts w:hint="eastAsia"/>
                          <w:szCs w:val="21"/>
                        </w:rPr>
                        <w:t>法定代表人身份证正面</w:t>
                      </w:r>
                    </w:p>
                  </w:txbxContent>
                </v:textbox>
              </v:shape>
            </w:pict>
          </mc:Fallback>
        </mc:AlternateContent>
      </w:r>
      <w:r>
        <w:rPr>
          <w:rFonts w:ascii="宋体" w:hAnsi="宋体" w:eastAsia="宋体" w:cs="宋体"/>
          <w:color w:val="auto"/>
          <w:kern w:val="0"/>
          <w:sz w:val="24"/>
          <w:szCs w:val="24"/>
        </w:rPr>
        <mc:AlternateContent>
          <mc:Choice Requires="wps">
            <w:drawing>
              <wp:anchor distT="0" distB="0" distL="114300" distR="114300" simplePos="0" relativeHeight="251660288" behindDoc="0" locked="0" layoutInCell="1" allowOverlap="1">
                <wp:simplePos x="0" y="0"/>
                <wp:positionH relativeFrom="column">
                  <wp:posOffset>3128645</wp:posOffset>
                </wp:positionH>
                <wp:positionV relativeFrom="paragraph">
                  <wp:posOffset>109220</wp:posOffset>
                </wp:positionV>
                <wp:extent cx="2790825" cy="1962150"/>
                <wp:effectExtent l="9525" t="6985" r="9525" b="1206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65E8A7DD"/>
                          <w:p w14:paraId="4F06CC52"/>
                          <w:p w14:paraId="0B8F73F8"/>
                          <w:p w14:paraId="1F5F331F"/>
                          <w:p w14:paraId="778A938B">
                            <w:pPr>
                              <w:jc w:val="center"/>
                              <w:rPr>
                                <w:szCs w:val="21"/>
                              </w:rPr>
                            </w:pPr>
                            <w:r>
                              <w:rPr>
                                <w:rFonts w:hint="eastAsia"/>
                                <w:szCs w:val="21"/>
                              </w:rPr>
                              <w:t>法定代表人身份证反面</w:t>
                            </w:r>
                          </w:p>
                          <w:p w14:paraId="6883C7D0">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6.35pt;margin-top:8.6pt;height:154.5pt;width:219.75pt;z-index:251660288;mso-width-relative:page;mso-height-relative:page;" fillcolor="#FFFFFF" filled="t" stroked="t" coordsize="21600,21600" o:gfxdata="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UEWTR2QAAAAoBAAAPAAAAAAAAAAEAIAAAACIA&#10;AABkcnMvZG93bnJldi54bWxQSwECFAAUAAAACACHTuJADlLddUECAACIBAAADgAAAAAAAAABACAA&#10;AAAoAQAAZHJzL2Uyb0RvYy54bWxQSwUGAAAAAAYABgBZAQAA2wUAAAAA&#10;">
                <v:fill on="t" focussize="0,0"/>
                <v:stroke color="#000000" miterlimit="8" joinstyle="miter"/>
                <v:imagedata o:title=""/>
                <o:lock v:ext="edit" aspectratio="f"/>
                <v:textbox>
                  <w:txbxContent>
                    <w:p w14:paraId="65E8A7DD"/>
                    <w:p w14:paraId="4F06CC52"/>
                    <w:p w14:paraId="0B8F73F8"/>
                    <w:p w14:paraId="1F5F331F"/>
                    <w:p w14:paraId="778A938B">
                      <w:pPr>
                        <w:jc w:val="center"/>
                        <w:rPr>
                          <w:szCs w:val="21"/>
                        </w:rPr>
                      </w:pPr>
                      <w:r>
                        <w:rPr>
                          <w:rFonts w:hint="eastAsia"/>
                          <w:szCs w:val="21"/>
                        </w:rPr>
                        <w:t>法定代表人身份证反面</w:t>
                      </w:r>
                    </w:p>
                    <w:p w14:paraId="6883C7D0">
                      <w:pPr>
                        <w:jc w:val="center"/>
                        <w:rPr>
                          <w:szCs w:val="21"/>
                        </w:rPr>
                      </w:pPr>
                    </w:p>
                  </w:txbxContent>
                </v:textbox>
              </v:shape>
            </w:pict>
          </mc:Fallback>
        </mc:AlternateContent>
      </w:r>
      <w:r>
        <w:rPr>
          <w:rFonts w:ascii="宋体" w:hAnsi="宋体" w:eastAsia="宋体" w:cs="宋体"/>
          <w:color w:val="auto"/>
          <w:kern w:val="0"/>
          <w:sz w:val="24"/>
          <w:szCs w:val="24"/>
        </w:rPr>
        <mc:AlternateContent>
          <mc:Choice Requires="wps">
            <w:drawing>
              <wp:anchor distT="0" distB="0" distL="114300" distR="114300" simplePos="0" relativeHeight="251659264"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61E80761"/>
                          <w:p w14:paraId="3A9EA683"/>
                          <w:p w14:paraId="6431330C"/>
                          <w:p w14:paraId="69A99FB4"/>
                          <w:p w14:paraId="657CC87A">
                            <w:pPr>
                              <w:jc w:val="center"/>
                            </w:pPr>
                            <w:r>
                              <w:rPr>
                                <w:rFonts w:hint="eastAsia"/>
                              </w:rPr>
                              <w:t>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59264;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WPVhZdgAAAAIAQAADwAAAAAAAAABACAAAAAiAAAA&#10;ZHJzL2Rvd25yZXYueG1sUEsBAhQAFAAAAAgAh07iQFavbXBAAgAAiAQAAA4AAAAAAAAAAQAgAAAA&#10;JwEAAGRycy9lMm9Eb2MueG1sUEsFBgAAAAAGAAYAWQEAANkFAAAAAA==&#10;">
                <v:fill on="t" focussize="0,0"/>
                <v:stroke color="#000000" miterlimit="8" joinstyle="miter"/>
                <v:imagedata o:title=""/>
                <o:lock v:ext="edit" aspectratio="f"/>
                <v:textbox>
                  <w:txbxContent>
                    <w:p w14:paraId="61E80761"/>
                    <w:p w14:paraId="3A9EA683"/>
                    <w:p w14:paraId="6431330C"/>
                    <w:p w14:paraId="69A99FB4"/>
                    <w:p w14:paraId="657CC87A">
                      <w:pPr>
                        <w:jc w:val="center"/>
                      </w:pPr>
                      <w:r>
                        <w:rPr>
                          <w:rFonts w:hint="eastAsia"/>
                        </w:rPr>
                        <w:t>身份证正面</w:t>
                      </w:r>
                    </w:p>
                  </w:txbxContent>
                </v:textbox>
              </v:shape>
            </w:pict>
          </mc:Fallback>
        </mc:AlternateContent>
      </w:r>
    </w:p>
    <w:p w14:paraId="1D555A7F">
      <w:pPr>
        <w:autoSpaceDE w:val="0"/>
        <w:autoSpaceDN w:val="0"/>
        <w:adjustRightInd w:val="0"/>
        <w:jc w:val="left"/>
        <w:rPr>
          <w:rFonts w:ascii="宋体" w:hAnsi="宋体" w:eastAsia="宋体" w:cs="宋体"/>
          <w:color w:val="auto"/>
          <w:kern w:val="0"/>
          <w:sz w:val="24"/>
          <w:szCs w:val="24"/>
        </w:rPr>
      </w:pPr>
    </w:p>
    <w:p w14:paraId="0F20E4E2">
      <w:pPr>
        <w:autoSpaceDE w:val="0"/>
        <w:autoSpaceDN w:val="0"/>
        <w:adjustRightInd w:val="0"/>
        <w:jc w:val="left"/>
        <w:rPr>
          <w:rFonts w:ascii="宋体" w:hAnsi="宋体" w:eastAsia="宋体" w:cs="宋体"/>
          <w:color w:val="auto"/>
          <w:kern w:val="0"/>
          <w:sz w:val="24"/>
          <w:szCs w:val="24"/>
        </w:rPr>
      </w:pPr>
    </w:p>
    <w:p w14:paraId="3BCAE452">
      <w:pPr>
        <w:autoSpaceDE w:val="0"/>
        <w:autoSpaceDN w:val="0"/>
        <w:adjustRightInd w:val="0"/>
        <w:jc w:val="left"/>
        <w:rPr>
          <w:rFonts w:ascii="宋体" w:hAnsi="宋体" w:eastAsia="宋体" w:cs="宋体"/>
          <w:color w:val="auto"/>
          <w:kern w:val="0"/>
          <w:sz w:val="24"/>
          <w:szCs w:val="24"/>
        </w:rPr>
      </w:pPr>
    </w:p>
    <w:p w14:paraId="18ACD7A5">
      <w:pPr>
        <w:autoSpaceDE w:val="0"/>
        <w:autoSpaceDN w:val="0"/>
        <w:adjustRightInd w:val="0"/>
        <w:jc w:val="left"/>
        <w:rPr>
          <w:rFonts w:ascii="宋体" w:hAnsi="宋体" w:eastAsia="宋体" w:cs="宋体"/>
          <w:color w:val="auto"/>
          <w:kern w:val="0"/>
          <w:sz w:val="24"/>
          <w:szCs w:val="24"/>
        </w:rPr>
      </w:pPr>
    </w:p>
    <w:p w14:paraId="080265A3">
      <w:pPr>
        <w:autoSpaceDE w:val="0"/>
        <w:autoSpaceDN w:val="0"/>
        <w:adjustRightInd w:val="0"/>
        <w:jc w:val="left"/>
        <w:rPr>
          <w:rFonts w:ascii="宋体" w:hAnsi="宋体" w:eastAsia="宋体" w:cs="宋体"/>
          <w:color w:val="auto"/>
          <w:kern w:val="0"/>
          <w:sz w:val="24"/>
          <w:szCs w:val="24"/>
        </w:rPr>
      </w:pPr>
    </w:p>
    <w:p w14:paraId="11154A46">
      <w:pPr>
        <w:autoSpaceDE w:val="0"/>
        <w:autoSpaceDN w:val="0"/>
        <w:adjustRightInd w:val="0"/>
        <w:jc w:val="left"/>
        <w:rPr>
          <w:rFonts w:ascii="宋体" w:hAnsi="宋体" w:eastAsia="宋体" w:cs="宋体"/>
          <w:color w:val="auto"/>
          <w:kern w:val="0"/>
          <w:sz w:val="24"/>
          <w:szCs w:val="24"/>
        </w:rPr>
      </w:pPr>
    </w:p>
    <w:p w14:paraId="0F8F7F16">
      <w:pPr>
        <w:autoSpaceDE w:val="0"/>
        <w:autoSpaceDN w:val="0"/>
        <w:adjustRightInd w:val="0"/>
        <w:jc w:val="left"/>
        <w:rPr>
          <w:rFonts w:ascii="宋体" w:hAnsi="宋体" w:eastAsia="宋体" w:cs="宋体"/>
          <w:color w:val="auto"/>
          <w:kern w:val="0"/>
          <w:sz w:val="24"/>
          <w:szCs w:val="24"/>
        </w:rPr>
      </w:pPr>
    </w:p>
    <w:p w14:paraId="0933D5C6">
      <w:pPr>
        <w:autoSpaceDE w:val="0"/>
        <w:autoSpaceDN w:val="0"/>
        <w:adjustRightInd w:val="0"/>
        <w:jc w:val="left"/>
        <w:rPr>
          <w:rFonts w:ascii="宋体" w:hAnsi="宋体" w:eastAsia="宋体" w:cs="宋体"/>
          <w:color w:val="auto"/>
          <w:kern w:val="0"/>
          <w:sz w:val="24"/>
          <w:szCs w:val="24"/>
        </w:rPr>
      </w:pPr>
    </w:p>
    <w:p w14:paraId="31E960CB">
      <w:pPr>
        <w:autoSpaceDE w:val="0"/>
        <w:autoSpaceDN w:val="0"/>
        <w:adjustRightInd w:val="0"/>
        <w:jc w:val="left"/>
        <w:rPr>
          <w:rFonts w:ascii="宋体" w:hAnsi="宋体" w:eastAsia="宋体" w:cs="宋体"/>
          <w:color w:val="auto"/>
          <w:kern w:val="0"/>
          <w:sz w:val="24"/>
          <w:szCs w:val="24"/>
        </w:rPr>
      </w:pPr>
    </w:p>
    <w:p w14:paraId="37826E5D">
      <w:pPr>
        <w:autoSpaceDE w:val="0"/>
        <w:autoSpaceDN w:val="0"/>
        <w:adjustRightInd w:val="0"/>
        <w:jc w:val="left"/>
        <w:rPr>
          <w:rFonts w:ascii="宋体" w:hAnsi="宋体" w:eastAsia="宋体" w:cs="宋体"/>
          <w:b/>
          <w:color w:val="auto"/>
          <w:kern w:val="0"/>
          <w:szCs w:val="21"/>
        </w:rPr>
      </w:pPr>
    </w:p>
    <w:p w14:paraId="06827CE7">
      <w:pPr>
        <w:autoSpaceDE w:val="0"/>
        <w:autoSpaceDN w:val="0"/>
        <w:adjustRightInd w:val="0"/>
        <w:jc w:val="left"/>
        <w:rPr>
          <w:rFonts w:ascii="宋体" w:hAnsi="宋体" w:eastAsia="宋体" w:cs="宋体"/>
          <w:b/>
          <w:color w:val="auto"/>
          <w:kern w:val="0"/>
          <w:szCs w:val="21"/>
        </w:rPr>
      </w:pPr>
      <w:r>
        <w:rPr>
          <w:rFonts w:hint="eastAsia" w:ascii="宋体" w:hAnsi="宋体" w:eastAsia="宋体" w:cs="宋体"/>
          <w:b/>
          <w:color w:val="auto"/>
          <w:kern w:val="0"/>
          <w:szCs w:val="21"/>
        </w:rPr>
        <w:t>注：法定代表人身份证须在有效期限内。</w:t>
      </w:r>
    </w:p>
    <w:p w14:paraId="6377C988">
      <w:pPr>
        <w:autoSpaceDE w:val="0"/>
        <w:autoSpaceDN w:val="0"/>
        <w:adjustRightInd w:val="0"/>
        <w:jc w:val="left"/>
        <w:rPr>
          <w:rFonts w:ascii="宋体" w:hAnsi="宋体" w:eastAsia="宋体" w:cs="宋体"/>
          <w:color w:val="auto"/>
          <w:kern w:val="0"/>
          <w:szCs w:val="21"/>
        </w:rPr>
      </w:pPr>
    </w:p>
    <w:p w14:paraId="51E772FC">
      <w:pPr>
        <w:spacing w:before="120" w:after="120" w:line="360" w:lineRule="auto"/>
        <w:ind w:firstLine="424" w:firstLineChars="202"/>
        <w:rPr>
          <w:rFonts w:ascii="宋体" w:hAnsi="宋体" w:eastAsia="宋体" w:cs="宋体"/>
          <w:b/>
          <w:color w:val="auto"/>
          <w:kern w:val="0"/>
          <w:szCs w:val="21"/>
        </w:rPr>
      </w:pPr>
      <w:r>
        <w:rPr>
          <w:rFonts w:hint="eastAsia" w:ascii="宋体" w:hAnsi="宋体" w:eastAsia="宋体" w:cs="宋体"/>
          <w:color w:val="auto"/>
          <w:szCs w:val="24"/>
          <w:lang w:val="zh-CN"/>
        </w:rPr>
        <w:br w:type="page"/>
      </w:r>
      <w:bookmarkEnd w:id="449"/>
      <w:bookmarkEnd w:id="450"/>
      <w:bookmarkEnd w:id="451"/>
      <w:bookmarkStart w:id="525" w:name="_Toc486167713"/>
      <w:bookmarkStart w:id="526" w:name="_Toc533708125"/>
      <w:bookmarkStart w:id="527" w:name="_Toc1977727"/>
      <w:bookmarkStart w:id="528" w:name="_Toc6240_WPSOffice_Level2"/>
      <w:r>
        <w:rPr>
          <w:rFonts w:hint="eastAsia" w:ascii="宋体" w:hAnsi="宋体" w:eastAsia="宋体" w:cs="宋体"/>
          <w:b/>
          <w:color w:val="auto"/>
          <w:szCs w:val="24"/>
        </w:rPr>
        <w:t>（2）法定代表人授权书格式</w:t>
      </w:r>
      <w:bookmarkEnd w:id="525"/>
      <w:bookmarkEnd w:id="526"/>
      <w:bookmarkEnd w:id="527"/>
      <w:bookmarkEnd w:id="528"/>
    </w:p>
    <w:p w14:paraId="739F79EC">
      <w:pPr>
        <w:autoSpaceDE w:val="0"/>
        <w:autoSpaceDN w:val="0"/>
        <w:adjustRightInd w:val="0"/>
        <w:spacing w:line="360" w:lineRule="auto"/>
        <w:jc w:val="center"/>
        <w:rPr>
          <w:rFonts w:ascii="宋体" w:hAnsi="宋体" w:eastAsia="宋体" w:cs="宋体"/>
          <w:b/>
          <w:bCs/>
          <w:color w:val="auto"/>
          <w:sz w:val="30"/>
          <w:szCs w:val="30"/>
          <w:lang w:val="zh-CN"/>
        </w:rPr>
      </w:pPr>
    </w:p>
    <w:p w14:paraId="35849186">
      <w:pPr>
        <w:autoSpaceDE w:val="0"/>
        <w:autoSpaceDN w:val="0"/>
        <w:adjustRightInd w:val="0"/>
        <w:spacing w:line="360" w:lineRule="auto"/>
        <w:jc w:val="center"/>
        <w:rPr>
          <w:rFonts w:ascii="宋体" w:hAnsi="宋体" w:eastAsia="宋体" w:cs="宋体"/>
          <w:b/>
          <w:bCs/>
          <w:color w:val="auto"/>
          <w:sz w:val="30"/>
          <w:szCs w:val="30"/>
          <w:lang w:val="zh-CN"/>
        </w:rPr>
      </w:pPr>
      <w:bookmarkStart w:id="529" w:name="_Toc29146_WPSOffice_Level3"/>
      <w:r>
        <w:rPr>
          <w:rFonts w:hint="eastAsia" w:ascii="宋体" w:hAnsi="宋体" w:eastAsia="宋体" w:cs="宋体"/>
          <w:b/>
          <w:bCs/>
          <w:color w:val="auto"/>
          <w:sz w:val="30"/>
          <w:szCs w:val="30"/>
          <w:lang w:val="zh-CN"/>
        </w:rPr>
        <w:t>法定代表人授权书</w:t>
      </w:r>
      <w:bookmarkEnd w:id="529"/>
    </w:p>
    <w:p w14:paraId="20DF05C1">
      <w:pPr>
        <w:autoSpaceDE w:val="0"/>
        <w:autoSpaceDN w:val="0"/>
        <w:adjustRightInd w:val="0"/>
        <w:spacing w:line="360" w:lineRule="auto"/>
        <w:jc w:val="center"/>
        <w:rPr>
          <w:rFonts w:ascii="宋体" w:hAnsi="宋体" w:eastAsia="宋体" w:cs="宋体"/>
          <w:color w:val="auto"/>
          <w:szCs w:val="28"/>
          <w:lang w:val="zh-CN"/>
        </w:rPr>
      </w:pPr>
    </w:p>
    <w:p w14:paraId="7B9EE193">
      <w:pPr>
        <w:spacing w:before="120" w:after="120" w:line="360" w:lineRule="auto"/>
        <w:rPr>
          <w:rFonts w:ascii="宋体" w:hAnsi="宋体" w:eastAsia="宋体" w:cs="宋体"/>
          <w:color w:val="auto"/>
          <w:szCs w:val="24"/>
          <w:lang w:val="zh-CN"/>
        </w:rPr>
      </w:pPr>
      <w:r>
        <w:rPr>
          <w:rFonts w:hint="eastAsia" w:ascii="宋体" w:hAnsi="宋体" w:eastAsia="宋体" w:cs="宋体"/>
          <w:color w:val="auto"/>
          <w:szCs w:val="24"/>
          <w:lang w:val="zh-CN"/>
        </w:rPr>
        <w:t>致：</w:t>
      </w:r>
      <w:r>
        <w:rPr>
          <w:rFonts w:hint="eastAsia" w:ascii="宋体" w:hAnsi="宋体" w:eastAsia="宋体" w:cs="宋体"/>
          <w:color w:val="auto"/>
          <w:kern w:val="0"/>
          <w:szCs w:val="21"/>
          <w:u w:val="single"/>
        </w:rPr>
        <w:t>东莞市水务集团有限公司</w:t>
      </w:r>
    </w:p>
    <w:p w14:paraId="2E4D8E5B">
      <w:pPr>
        <w:spacing w:before="120" w:after="120" w:line="360" w:lineRule="auto"/>
        <w:ind w:firstLine="630" w:firstLineChars="300"/>
        <w:rPr>
          <w:rFonts w:ascii="宋体" w:hAnsi="宋体" w:eastAsia="宋体" w:cs="宋体"/>
          <w:color w:val="auto"/>
          <w:szCs w:val="21"/>
        </w:rPr>
      </w:pPr>
      <w:r>
        <w:rPr>
          <w:rFonts w:hint="eastAsia" w:ascii="宋体" w:hAnsi="宋体" w:eastAsia="宋体" w:cs="宋体"/>
          <w:color w:val="auto"/>
          <w:szCs w:val="24"/>
          <w:lang w:val="zh-CN"/>
        </w:rPr>
        <w:t>本授权书声明：注册于</w:t>
      </w:r>
      <w:r>
        <w:rPr>
          <w:rFonts w:hint="eastAsia" w:ascii="宋体" w:hAnsi="宋体" w:eastAsia="宋体" w:cs="宋体"/>
          <w:color w:val="auto"/>
          <w:szCs w:val="24"/>
          <w:u w:val="single"/>
          <w:lang w:val="zh-CN"/>
        </w:rPr>
        <w:t xml:space="preserve">       </w:t>
      </w:r>
      <w:r>
        <w:rPr>
          <w:rFonts w:hint="eastAsia" w:ascii="宋体" w:hAnsi="宋体" w:eastAsia="宋体" w:cs="宋体"/>
          <w:color w:val="auto"/>
          <w:szCs w:val="24"/>
          <w:lang w:val="zh-CN"/>
        </w:rPr>
        <w:t>（投标人地址）的</w:t>
      </w:r>
      <w:r>
        <w:rPr>
          <w:rFonts w:hint="eastAsia" w:ascii="宋体" w:hAnsi="宋体" w:eastAsia="宋体" w:cs="宋体"/>
          <w:color w:val="auto"/>
          <w:szCs w:val="24"/>
          <w:u w:val="single"/>
          <w:lang w:val="zh-CN"/>
        </w:rPr>
        <w:t xml:space="preserve">           </w:t>
      </w:r>
      <w:r>
        <w:rPr>
          <w:rFonts w:hint="eastAsia" w:ascii="宋体" w:hAnsi="宋体" w:eastAsia="宋体" w:cs="宋体"/>
          <w:color w:val="auto"/>
          <w:szCs w:val="24"/>
          <w:lang w:val="zh-CN"/>
        </w:rPr>
        <w:t>（投标人名称）在下面签字或盖私章的</w:t>
      </w:r>
      <w:r>
        <w:rPr>
          <w:rFonts w:hint="eastAsia" w:ascii="宋体" w:hAnsi="宋体" w:eastAsia="宋体" w:cs="宋体"/>
          <w:color w:val="auto"/>
          <w:szCs w:val="24"/>
          <w:u w:val="single"/>
          <w:lang w:val="zh-CN"/>
        </w:rPr>
        <w:t xml:space="preserve">                          </w:t>
      </w:r>
      <w:r>
        <w:rPr>
          <w:rFonts w:hint="eastAsia" w:ascii="宋体" w:hAnsi="宋体" w:eastAsia="宋体" w:cs="宋体"/>
          <w:color w:val="auto"/>
          <w:szCs w:val="24"/>
          <w:lang w:val="zh-CN"/>
        </w:rPr>
        <w:t>（法定代表人姓名、职务、身份证号码）代表本公司授权在下面签字或盖私章的</w:t>
      </w:r>
      <w:r>
        <w:rPr>
          <w:rFonts w:hint="eastAsia" w:ascii="宋体" w:hAnsi="宋体" w:eastAsia="宋体" w:cs="宋体"/>
          <w:color w:val="auto"/>
          <w:szCs w:val="24"/>
          <w:u w:val="single"/>
          <w:lang w:val="zh-CN"/>
        </w:rPr>
        <w:t xml:space="preserve">        </w:t>
      </w:r>
      <w:r>
        <w:rPr>
          <w:rFonts w:hint="eastAsia" w:ascii="宋体" w:hAnsi="宋体" w:eastAsia="宋体" w:cs="宋体"/>
          <w:color w:val="auto"/>
          <w:szCs w:val="24"/>
          <w:lang w:val="zh-CN"/>
        </w:rPr>
        <w:t>（被授权人的姓名、职务、身份证号码）为本公司的合法代表人，签署</w:t>
      </w:r>
      <w:r>
        <w:rPr>
          <w:rFonts w:hint="eastAsia" w:ascii="宋体" w:hAnsi="宋体" w:eastAsia="宋体" w:cs="宋体"/>
          <w:color w:val="auto"/>
          <w:kern w:val="0"/>
          <w:szCs w:val="21"/>
          <w:u w:val="single"/>
          <w:lang w:eastAsia="zh-CN"/>
        </w:rPr>
        <w:t>东莞市水务集团有限公司2025年安全及劳保物资采购项目</w:t>
      </w:r>
      <w:r>
        <w:rPr>
          <w:rFonts w:hint="eastAsia" w:ascii="宋体" w:hAnsi="宋体" w:eastAsia="宋体" w:cs="宋体"/>
          <w:color w:val="auto"/>
          <w:szCs w:val="21"/>
          <w:lang w:val="zh-CN"/>
        </w:rPr>
        <w:t>（招标编号：</w:t>
      </w:r>
      <w:r>
        <w:rPr>
          <w:rFonts w:hint="eastAsia" w:ascii="宋体" w:hAnsi="宋体" w:eastAsia="宋体" w:cs="宋体"/>
          <w:color w:val="auto"/>
          <w:szCs w:val="21"/>
          <w:u w:val="single"/>
          <w:lang w:val="zh-CN"/>
        </w:rPr>
        <w:t>DGDS2024-079</w:t>
      </w:r>
      <w:r>
        <w:rPr>
          <w:rFonts w:hint="eastAsia" w:ascii="宋体" w:hAnsi="宋体" w:eastAsia="宋体" w:cs="宋体"/>
          <w:color w:val="auto"/>
          <w:szCs w:val="21"/>
          <w:lang w:val="zh-CN"/>
        </w:rPr>
        <w:t>）的投标文件，</w:t>
      </w:r>
      <w:r>
        <w:rPr>
          <w:rFonts w:hint="eastAsia" w:ascii="宋体" w:hAnsi="宋体" w:eastAsia="宋体" w:cs="宋体"/>
          <w:color w:val="auto"/>
          <w:szCs w:val="21"/>
        </w:rPr>
        <w:t>代表我公司</w:t>
      </w:r>
      <w:r>
        <w:rPr>
          <w:rFonts w:hint="eastAsia" w:ascii="宋体" w:hAnsi="宋体" w:eastAsia="宋体" w:cs="宋体"/>
          <w:color w:val="auto"/>
          <w:szCs w:val="24"/>
          <w:lang w:val="zh-CN"/>
        </w:rPr>
        <w:t>递交投标文件、参与开标会、代表我公司应评标委员会的要求对投标文件进行澄清、进行合同谈判和签署合同，以我公司的名义处理一切与之有关的事宜，</w:t>
      </w:r>
      <w:r>
        <w:rPr>
          <w:rFonts w:hint="eastAsia" w:ascii="宋体" w:hAnsi="宋体" w:eastAsia="宋体" w:cs="宋体"/>
          <w:color w:val="auto"/>
          <w:szCs w:val="21"/>
        </w:rPr>
        <w:t>我承认代理人全权代表我所签署的本项目投标文件的内容及</w:t>
      </w:r>
      <w:r>
        <w:rPr>
          <w:rFonts w:hint="eastAsia" w:ascii="宋体" w:hAnsi="宋体" w:eastAsia="宋体" w:cs="宋体"/>
          <w:color w:val="auto"/>
          <w:szCs w:val="24"/>
          <w:lang w:val="zh-CN"/>
        </w:rPr>
        <w:t>所进行的上述活动。</w:t>
      </w:r>
    </w:p>
    <w:p w14:paraId="06F626E1">
      <w:pPr>
        <w:spacing w:before="120" w:after="120" w:line="360" w:lineRule="auto"/>
        <w:ind w:firstLine="420" w:firstLineChars="200"/>
        <w:rPr>
          <w:rFonts w:ascii="宋体" w:hAnsi="宋体" w:eastAsia="宋体" w:cs="宋体"/>
          <w:color w:val="auto"/>
          <w:szCs w:val="21"/>
        </w:rPr>
      </w:pPr>
      <w:r>
        <w:rPr>
          <w:rFonts w:hint="eastAsia" w:ascii="宋体" w:hAnsi="宋体" w:eastAsia="宋体" w:cs="宋体"/>
          <w:color w:val="auto"/>
          <w:szCs w:val="24"/>
          <w:lang w:val="zh-CN"/>
        </w:rPr>
        <w:t>本授权书于</w:t>
      </w:r>
      <w:r>
        <w:rPr>
          <w:rFonts w:hint="eastAsia" w:ascii="宋体" w:hAnsi="宋体" w:eastAsia="宋体" w:cs="宋体"/>
          <w:color w:val="auto"/>
          <w:szCs w:val="24"/>
          <w:u w:val="single"/>
          <w:lang w:val="zh-CN"/>
        </w:rPr>
        <w:t xml:space="preserve">      </w:t>
      </w:r>
      <w:r>
        <w:rPr>
          <w:rFonts w:hint="eastAsia" w:ascii="宋体" w:hAnsi="宋体" w:eastAsia="宋体" w:cs="宋体"/>
          <w:color w:val="auto"/>
          <w:szCs w:val="24"/>
          <w:lang w:val="zh-CN"/>
        </w:rPr>
        <w:t>年</w:t>
      </w:r>
      <w:r>
        <w:rPr>
          <w:rFonts w:hint="eastAsia" w:ascii="宋体" w:hAnsi="宋体" w:eastAsia="宋体" w:cs="宋体"/>
          <w:color w:val="auto"/>
          <w:szCs w:val="24"/>
          <w:u w:val="single"/>
          <w:lang w:val="zh-CN"/>
        </w:rPr>
        <w:t xml:space="preserve">     </w:t>
      </w:r>
      <w:r>
        <w:rPr>
          <w:rFonts w:hint="eastAsia" w:ascii="宋体" w:hAnsi="宋体" w:eastAsia="宋体" w:cs="宋体"/>
          <w:color w:val="auto"/>
          <w:szCs w:val="24"/>
          <w:lang w:val="zh-CN"/>
        </w:rPr>
        <w:t>月</w:t>
      </w:r>
      <w:r>
        <w:rPr>
          <w:rFonts w:hint="eastAsia" w:ascii="宋体" w:hAnsi="宋体" w:eastAsia="宋体" w:cs="宋体"/>
          <w:color w:val="auto"/>
          <w:szCs w:val="24"/>
          <w:u w:val="single"/>
          <w:lang w:val="zh-CN"/>
        </w:rPr>
        <w:t xml:space="preserve">     </w:t>
      </w:r>
      <w:r>
        <w:rPr>
          <w:rFonts w:hint="eastAsia" w:ascii="宋体" w:hAnsi="宋体" w:eastAsia="宋体" w:cs="宋体"/>
          <w:color w:val="auto"/>
          <w:szCs w:val="24"/>
          <w:lang w:val="zh-CN"/>
        </w:rPr>
        <w:t>日签字生效，有效期至投标文件失效期止，</w:t>
      </w:r>
      <w:r>
        <w:rPr>
          <w:rFonts w:hint="eastAsia" w:ascii="宋体" w:hAnsi="宋体" w:eastAsia="宋体" w:cs="宋体"/>
          <w:color w:val="auto"/>
          <w:szCs w:val="21"/>
        </w:rPr>
        <w:t>代理人无转委托权，</w:t>
      </w:r>
      <w:r>
        <w:rPr>
          <w:rFonts w:hint="eastAsia" w:ascii="宋体" w:hAnsi="宋体" w:eastAsia="宋体" w:cs="宋体"/>
          <w:color w:val="auto"/>
          <w:szCs w:val="24"/>
          <w:lang w:val="zh-CN"/>
        </w:rPr>
        <w:t>特此声明。</w:t>
      </w:r>
    </w:p>
    <w:p w14:paraId="59760F4D">
      <w:pPr>
        <w:spacing w:before="120" w:after="120" w:line="360" w:lineRule="auto"/>
        <w:ind w:left="348" w:leftChars="136" w:hanging="62"/>
        <w:rPr>
          <w:rFonts w:ascii="宋体" w:hAnsi="宋体" w:eastAsia="宋体" w:cs="宋体"/>
          <w:color w:val="auto"/>
          <w:szCs w:val="24"/>
        </w:rPr>
      </w:pPr>
    </w:p>
    <w:p w14:paraId="2A0CB3B5">
      <w:pPr>
        <w:spacing w:before="120" w:after="120" w:line="360" w:lineRule="auto"/>
        <w:ind w:left="4200" w:leftChars="2000" w:firstLine="425"/>
        <w:rPr>
          <w:rFonts w:ascii="宋体" w:hAnsi="宋体" w:eastAsia="宋体" w:cs="宋体"/>
          <w:color w:val="auto"/>
          <w:szCs w:val="24"/>
          <w:lang w:val="zh-CN"/>
        </w:rPr>
      </w:pPr>
      <w:r>
        <w:rPr>
          <w:rFonts w:hint="eastAsia" w:ascii="宋体" w:hAnsi="宋体" w:eastAsia="宋体" w:cs="宋体"/>
          <w:color w:val="auto"/>
          <w:szCs w:val="24"/>
          <w:lang w:val="zh-CN"/>
        </w:rPr>
        <w:t>投  标  人：（加盖投标人法人公章）</w:t>
      </w:r>
    </w:p>
    <w:p w14:paraId="39355EED">
      <w:pPr>
        <w:spacing w:before="120" w:after="120" w:line="360" w:lineRule="auto"/>
        <w:ind w:left="4200" w:leftChars="2000" w:firstLine="425"/>
        <w:rPr>
          <w:rFonts w:ascii="宋体" w:hAnsi="宋体" w:eastAsia="宋体" w:cs="宋体"/>
          <w:color w:val="auto"/>
          <w:szCs w:val="24"/>
          <w:lang w:val="zh-CN"/>
        </w:rPr>
      </w:pPr>
      <w:r>
        <w:rPr>
          <w:rFonts w:hint="eastAsia" w:ascii="宋体" w:hAnsi="宋体" w:eastAsia="宋体" w:cs="宋体"/>
          <w:color w:val="auto"/>
          <w:szCs w:val="24"/>
          <w:lang w:val="zh-CN"/>
        </w:rPr>
        <w:t>投标人地址：</w:t>
      </w:r>
    </w:p>
    <w:p w14:paraId="13AF0E22">
      <w:pPr>
        <w:spacing w:before="120" w:after="120" w:line="360" w:lineRule="auto"/>
        <w:ind w:left="4200" w:leftChars="2000" w:firstLine="425"/>
        <w:rPr>
          <w:rFonts w:ascii="宋体" w:hAnsi="宋体" w:eastAsia="宋体" w:cs="宋体"/>
          <w:color w:val="auto"/>
          <w:szCs w:val="24"/>
          <w:lang w:val="zh-CN"/>
        </w:rPr>
      </w:pPr>
      <w:r>
        <w:rPr>
          <w:rFonts w:hint="eastAsia" w:ascii="宋体" w:hAnsi="宋体" w:eastAsia="宋体" w:cs="宋体"/>
          <w:color w:val="auto"/>
          <w:szCs w:val="24"/>
          <w:lang w:val="zh-CN"/>
        </w:rPr>
        <w:t>法定代表人（签名或盖私章）：</w:t>
      </w:r>
    </w:p>
    <w:p w14:paraId="41DF2A9C">
      <w:pPr>
        <w:spacing w:before="120" w:after="120" w:line="360" w:lineRule="auto"/>
        <w:ind w:left="4200" w:leftChars="2000" w:firstLine="425"/>
        <w:rPr>
          <w:rFonts w:ascii="宋体" w:hAnsi="宋体" w:eastAsia="宋体" w:cs="宋体"/>
          <w:color w:val="auto"/>
          <w:szCs w:val="24"/>
          <w:lang w:val="zh-CN"/>
        </w:rPr>
      </w:pPr>
      <w:r>
        <w:rPr>
          <w:rFonts w:hint="eastAsia" w:ascii="宋体" w:hAnsi="宋体" w:eastAsia="宋体" w:cs="宋体"/>
          <w:color w:val="auto"/>
          <w:szCs w:val="24"/>
          <w:lang w:val="zh-CN"/>
        </w:rPr>
        <w:t>职　　　务：</w:t>
      </w:r>
    </w:p>
    <w:p w14:paraId="3C1E7258">
      <w:pPr>
        <w:spacing w:before="120" w:after="120" w:line="360" w:lineRule="auto"/>
        <w:ind w:left="4200" w:leftChars="2000" w:firstLine="425"/>
        <w:rPr>
          <w:rFonts w:ascii="宋体" w:hAnsi="宋体" w:eastAsia="宋体" w:cs="宋体"/>
          <w:color w:val="auto"/>
          <w:szCs w:val="24"/>
          <w:lang w:val="zh-CN"/>
        </w:rPr>
      </w:pPr>
      <w:r>
        <w:rPr>
          <w:rFonts w:hint="eastAsia" w:ascii="宋体" w:hAnsi="宋体" w:eastAsia="宋体" w:cs="宋体"/>
          <w:color w:val="auto"/>
          <w:szCs w:val="24"/>
          <w:lang w:val="zh-CN"/>
        </w:rPr>
        <w:t>被授权人（签名或盖私章）：</w:t>
      </w:r>
    </w:p>
    <w:p w14:paraId="601BD314">
      <w:pPr>
        <w:spacing w:before="120" w:after="120" w:line="360" w:lineRule="auto"/>
        <w:ind w:left="4200" w:leftChars="2000" w:firstLine="425"/>
        <w:rPr>
          <w:rFonts w:ascii="宋体" w:hAnsi="宋体" w:eastAsia="宋体" w:cs="宋体"/>
          <w:color w:val="auto"/>
          <w:szCs w:val="24"/>
          <w:lang w:val="zh-CN"/>
        </w:rPr>
      </w:pPr>
      <w:r>
        <w:rPr>
          <w:rFonts w:hint="eastAsia" w:ascii="宋体" w:hAnsi="宋体" w:eastAsia="宋体" w:cs="宋体"/>
          <w:color w:val="auto"/>
          <w:szCs w:val="24"/>
          <w:lang w:val="zh-CN"/>
        </w:rPr>
        <w:t>职　　　务：</w:t>
      </w:r>
    </w:p>
    <w:p w14:paraId="3349D1CC">
      <w:pPr>
        <w:spacing w:before="120" w:after="120" w:line="360" w:lineRule="auto"/>
        <w:ind w:left="4200" w:leftChars="2000" w:firstLine="425"/>
        <w:rPr>
          <w:rFonts w:ascii="宋体" w:hAnsi="宋体" w:eastAsia="宋体" w:cs="宋体"/>
          <w:color w:val="auto"/>
          <w:szCs w:val="24"/>
          <w:lang w:val="zh-CN"/>
        </w:rPr>
      </w:pPr>
      <w:r>
        <w:rPr>
          <w:rFonts w:hint="eastAsia" w:ascii="宋体" w:hAnsi="宋体" w:eastAsia="宋体" w:cs="宋体"/>
          <w:color w:val="auto"/>
          <w:szCs w:val="24"/>
          <w:lang w:val="zh-CN"/>
        </w:rPr>
        <w:t>被授权人联系手机：</w:t>
      </w:r>
    </w:p>
    <w:p w14:paraId="3978AEB7">
      <w:pPr>
        <w:spacing w:before="120" w:after="120" w:line="360" w:lineRule="auto"/>
        <w:ind w:left="4200" w:leftChars="2000" w:firstLine="425"/>
        <w:rPr>
          <w:rFonts w:ascii="宋体" w:hAnsi="宋体" w:eastAsia="宋体" w:cs="宋体"/>
          <w:color w:val="auto"/>
          <w:szCs w:val="24"/>
          <w:lang w:val="zh-CN"/>
        </w:rPr>
      </w:pPr>
      <w:r>
        <w:rPr>
          <w:rFonts w:hint="eastAsia" w:ascii="宋体" w:hAnsi="宋体" w:eastAsia="宋体" w:cs="宋体"/>
          <w:color w:val="auto"/>
          <w:szCs w:val="24"/>
          <w:lang w:val="zh-CN"/>
        </w:rPr>
        <w:t>电 子 邮 箱：</w:t>
      </w:r>
    </w:p>
    <w:p w14:paraId="25FEEAE7">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rPr>
      </w:pPr>
      <w:r>
        <w:rPr>
          <w:rFonts w:hint="eastAsia" w:ascii="宋体" w:hAnsi="宋体" w:eastAsia="宋体" w:cs="宋体"/>
          <w:color w:val="auto"/>
          <w:szCs w:val="24"/>
          <w:lang w:val="zh-CN"/>
        </w:rPr>
        <w:br w:type="page"/>
      </w:r>
      <w:r>
        <w:rPr>
          <w:rFonts w:hint="eastAsia" w:ascii="宋体" w:hAnsi="宋体" w:eastAsia="宋体" w:cs="宋体"/>
          <w:color w:val="auto"/>
          <w:szCs w:val="24"/>
        </w:rPr>
        <w:t>附 法定代表人、被授权人身份证复印件</w:t>
      </w:r>
    </w:p>
    <w:p w14:paraId="614B5BEC">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rPr>
      </w:pPr>
      <w:r>
        <w:rPr>
          <w:rFonts w:ascii="宋体" w:hAnsi="宋体" w:eastAsia="宋体" w:cs="宋体"/>
          <w:color w:val="auto"/>
          <w:szCs w:val="21"/>
        </w:rPr>
        <mc:AlternateContent>
          <mc:Choice Requires="wps">
            <w:drawing>
              <wp:anchor distT="0" distB="0" distL="114300" distR="114300" simplePos="0" relativeHeight="251664384" behindDoc="0" locked="0" layoutInCell="1" allowOverlap="1">
                <wp:simplePos x="0" y="0"/>
                <wp:positionH relativeFrom="column">
                  <wp:posOffset>3366770</wp:posOffset>
                </wp:positionH>
                <wp:positionV relativeFrom="paragraph">
                  <wp:posOffset>69850</wp:posOffset>
                </wp:positionV>
                <wp:extent cx="2790825" cy="1762125"/>
                <wp:effectExtent l="9525" t="9525" r="9525" b="9525"/>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2E0B49B5"/>
                          <w:p w14:paraId="55629EAC"/>
                          <w:p w14:paraId="5D6B23F3"/>
                          <w:p w14:paraId="06A31642"/>
                          <w:p w14:paraId="7584FBFE">
                            <w:pPr>
                              <w:jc w:val="center"/>
                              <w:rPr>
                                <w:rFonts w:hAnsi="宋体"/>
                              </w:rPr>
                            </w:pPr>
                            <w:r>
                              <w:rPr>
                                <w:rFonts w:hint="eastAsia" w:hAnsi="宋体"/>
                              </w:rPr>
                              <w:t>法定代表人身份证反面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5.5pt;height:138.75pt;width:219.75pt;z-index:251664384;mso-width-relative:page;mso-height-relative:page;" fillcolor="#FFFFFF" filled="t" stroked="t" coordsize="21600,21600" o:gfxdata="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aEQPedkAAAAKAQAADwAAAAAAAAABACAAAAAiAAAA&#10;ZHJzL2Rvd25yZXYueG1sUEsBAhQAFAAAAAgAh07iQA997Fg/AgAAiAQAAA4AAAAAAAAAAQAgAAAA&#10;KAEAAGRycy9lMm9Eb2MueG1sUEsFBgAAAAAGAAYAWQEAANkFAAAAAA==&#10;">
                <v:fill on="t" focussize="0,0"/>
                <v:stroke color="#000000" miterlimit="8" joinstyle="miter"/>
                <v:imagedata o:title=""/>
                <o:lock v:ext="edit" aspectratio="f"/>
                <v:textbox>
                  <w:txbxContent>
                    <w:p w14:paraId="2E0B49B5"/>
                    <w:p w14:paraId="55629EAC"/>
                    <w:p w14:paraId="5D6B23F3"/>
                    <w:p w14:paraId="06A31642"/>
                    <w:p w14:paraId="7584FBFE">
                      <w:pPr>
                        <w:jc w:val="center"/>
                        <w:rPr>
                          <w:rFonts w:hAnsi="宋体"/>
                        </w:rPr>
                      </w:pPr>
                      <w:r>
                        <w:rPr>
                          <w:rFonts w:hint="eastAsia" w:hAnsi="宋体"/>
                        </w:rPr>
                        <w:t>法定代表人身份证反面</w:t>
                      </w:r>
                    </w:p>
                  </w:txbxContent>
                </v:textbox>
              </v:shape>
            </w:pict>
          </mc:Fallback>
        </mc:AlternateContent>
      </w:r>
      <w:r>
        <w:rPr>
          <w:rFonts w:ascii="宋体" w:hAnsi="宋体" w:eastAsia="宋体" w:cs="宋体"/>
          <w:color w:val="auto"/>
          <w:szCs w:val="21"/>
        </w:rPr>
        <mc:AlternateContent>
          <mc:Choice Requires="wps">
            <w:drawing>
              <wp:anchor distT="0" distB="0" distL="114300" distR="114300" simplePos="0" relativeHeight="251662336" behindDoc="0" locked="0" layoutInCell="1" allowOverlap="1">
                <wp:simplePos x="0" y="0"/>
                <wp:positionH relativeFrom="column">
                  <wp:posOffset>309245</wp:posOffset>
                </wp:positionH>
                <wp:positionV relativeFrom="paragraph">
                  <wp:posOffset>69850</wp:posOffset>
                </wp:positionV>
                <wp:extent cx="2790825" cy="1762125"/>
                <wp:effectExtent l="9525" t="9525" r="9525" b="9525"/>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787A205C"/>
                          <w:p w14:paraId="1559B86A"/>
                          <w:p w14:paraId="1D8C355C"/>
                          <w:p w14:paraId="4F94B267"/>
                          <w:p w14:paraId="67FC809A">
                            <w:pPr>
                              <w:jc w:val="center"/>
                              <w:rPr>
                                <w:rFonts w:hAnsi="宋体"/>
                              </w:rPr>
                            </w:pPr>
                            <w:r>
                              <w:rPr>
                                <w:rFonts w:hint="eastAsia" w:hAnsi="宋体"/>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5.5pt;height:138.75pt;width:219.75pt;z-index:251662336;mso-width-relative:page;mso-height-relative:page;" fillcolor="#FFFFFF" filled="t" stroked="t" coordsize="21600,21600" o:gfxdata="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iu+XY2AAAAAkBAAAPAAAAAAAAAAEAIAAAACIAAABk&#10;cnMvZG93bnJldi54bWxQSwECFAAUAAAACACHTuJASNEy5j8CAACIBAAADgAAAAAAAAABACAAAAAn&#10;AQAAZHJzL2Uyb0RvYy54bWxQSwUGAAAAAAYABgBZAQAA2AUAAAAA&#10;">
                <v:fill on="t" focussize="0,0"/>
                <v:stroke color="#000000" miterlimit="8" joinstyle="miter"/>
                <v:imagedata o:title=""/>
                <o:lock v:ext="edit" aspectratio="f"/>
                <v:textbox>
                  <w:txbxContent>
                    <w:p w14:paraId="787A205C"/>
                    <w:p w14:paraId="1559B86A"/>
                    <w:p w14:paraId="1D8C355C"/>
                    <w:p w14:paraId="4F94B267"/>
                    <w:p w14:paraId="67FC809A">
                      <w:pPr>
                        <w:jc w:val="center"/>
                        <w:rPr>
                          <w:rFonts w:hAnsi="宋体"/>
                        </w:rPr>
                      </w:pPr>
                      <w:r>
                        <w:rPr>
                          <w:rFonts w:hint="eastAsia" w:hAnsi="宋体"/>
                        </w:rPr>
                        <w:t>法定代表人身份证正面</w:t>
                      </w:r>
                    </w:p>
                  </w:txbxContent>
                </v:textbox>
              </v:shape>
            </w:pict>
          </mc:Fallback>
        </mc:AlternateContent>
      </w:r>
    </w:p>
    <w:p w14:paraId="3DB6CCB3">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rPr>
      </w:pPr>
    </w:p>
    <w:p w14:paraId="17880840">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rPr>
      </w:pPr>
    </w:p>
    <w:p w14:paraId="54081343">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rPr>
      </w:pPr>
    </w:p>
    <w:p w14:paraId="71AFD10B">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rPr>
      </w:pPr>
    </w:p>
    <w:p w14:paraId="10F5AB6B">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rPr>
      </w:pPr>
    </w:p>
    <w:p w14:paraId="512A5923">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rPr>
      </w:pPr>
    </w:p>
    <w:p w14:paraId="58FE9DBE">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rPr>
      </w:pPr>
    </w:p>
    <w:p w14:paraId="0A37AB00">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rPr>
      </w:pPr>
    </w:p>
    <w:p w14:paraId="2B5F2529">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rPr>
      </w:pPr>
      <w:r>
        <w:rPr>
          <w:rFonts w:ascii="宋体" w:hAnsi="宋体" w:eastAsia="宋体" w:cs="宋体"/>
          <w:color w:val="auto"/>
          <w:szCs w:val="21"/>
        </w:rPr>
        <mc:AlternateContent>
          <mc:Choice Requires="wps">
            <w:drawing>
              <wp:anchor distT="0" distB="0" distL="114300" distR="114300" simplePos="0" relativeHeight="251665408" behindDoc="0" locked="0" layoutInCell="1" allowOverlap="1">
                <wp:simplePos x="0" y="0"/>
                <wp:positionH relativeFrom="column">
                  <wp:posOffset>3366770</wp:posOffset>
                </wp:positionH>
                <wp:positionV relativeFrom="paragraph">
                  <wp:posOffset>102235</wp:posOffset>
                </wp:positionV>
                <wp:extent cx="2743200" cy="1771650"/>
                <wp:effectExtent l="9525" t="13970" r="9525" b="508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011E1C7A"/>
                          <w:p w14:paraId="7D4EFDBD">
                            <w:pPr>
                              <w:jc w:val="center"/>
                              <w:rPr>
                                <w:rFonts w:hAnsi="宋体"/>
                                <w:color w:val="FF0000"/>
                              </w:rPr>
                            </w:pPr>
                          </w:p>
                          <w:p w14:paraId="0CB93353">
                            <w:pPr>
                              <w:jc w:val="center"/>
                              <w:rPr>
                                <w:rFonts w:hAnsi="宋体"/>
                                <w:color w:val="FF0000"/>
                              </w:rPr>
                            </w:pPr>
                          </w:p>
                          <w:p w14:paraId="7EBB9397">
                            <w:pPr>
                              <w:jc w:val="center"/>
                              <w:rPr>
                                <w:rFonts w:hAnsi="宋体"/>
                                <w:color w:val="FF0000"/>
                              </w:rPr>
                            </w:pPr>
                          </w:p>
                          <w:p w14:paraId="71B2B81E">
                            <w:pPr>
                              <w:jc w:val="center"/>
                            </w:pPr>
                            <w:r>
                              <w:rPr>
                                <w:rFonts w:hint="eastAsia" w:hAnsi="宋体"/>
                              </w:rPr>
                              <w:t>被授权人身份证反面</w:t>
                            </w:r>
                          </w:p>
                          <w:p w14:paraId="6DA12F7E"/>
                          <w:p w14:paraId="4A7C6A66"/>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8.05pt;height:139.5pt;width:216pt;z-index:251665408;mso-width-relative:page;mso-height-relative:page;" fillcolor="#FFFFFF" filled="t" stroked="t" coordsize="21600,21600" o:gfxdata="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LYHyI9kAAAAKAQAADwAAAAAAAAABACAAAAAi&#10;AAAAZHJzL2Rvd25yZXYueG1sUEsBAhQAFAAAAAgAh07iQDsUtmVCAgAAiAQAAA4AAAAAAAAAAQAg&#10;AAAAKAEAAGRycy9lMm9Eb2MueG1sUEsFBgAAAAAGAAYAWQEAANwFAAAAAA==&#10;">
                <v:fill on="t" focussize="0,0"/>
                <v:stroke color="#000000" miterlimit="8" joinstyle="miter"/>
                <v:imagedata o:title=""/>
                <o:lock v:ext="edit" aspectratio="f"/>
                <v:textbox>
                  <w:txbxContent>
                    <w:p w14:paraId="011E1C7A"/>
                    <w:p w14:paraId="7D4EFDBD">
                      <w:pPr>
                        <w:jc w:val="center"/>
                        <w:rPr>
                          <w:rFonts w:hAnsi="宋体"/>
                          <w:color w:val="FF0000"/>
                        </w:rPr>
                      </w:pPr>
                    </w:p>
                    <w:p w14:paraId="0CB93353">
                      <w:pPr>
                        <w:jc w:val="center"/>
                        <w:rPr>
                          <w:rFonts w:hAnsi="宋体"/>
                          <w:color w:val="FF0000"/>
                        </w:rPr>
                      </w:pPr>
                    </w:p>
                    <w:p w14:paraId="7EBB9397">
                      <w:pPr>
                        <w:jc w:val="center"/>
                        <w:rPr>
                          <w:rFonts w:hAnsi="宋体"/>
                          <w:color w:val="FF0000"/>
                        </w:rPr>
                      </w:pPr>
                    </w:p>
                    <w:p w14:paraId="71B2B81E">
                      <w:pPr>
                        <w:jc w:val="center"/>
                      </w:pPr>
                      <w:r>
                        <w:rPr>
                          <w:rFonts w:hint="eastAsia" w:hAnsi="宋体"/>
                        </w:rPr>
                        <w:t>被授权人身份证反面</w:t>
                      </w:r>
                    </w:p>
                    <w:p w14:paraId="6DA12F7E"/>
                    <w:p w14:paraId="4A7C6A66"/>
                  </w:txbxContent>
                </v:textbox>
              </v:shape>
            </w:pict>
          </mc:Fallback>
        </mc:AlternateContent>
      </w:r>
      <w:r>
        <w:rPr>
          <w:rFonts w:ascii="宋体" w:hAnsi="宋体" w:eastAsia="宋体" w:cs="宋体"/>
          <w:color w:val="auto"/>
          <w:szCs w:val="21"/>
        </w:rPr>
        <mc:AlternateContent>
          <mc:Choice Requires="wps">
            <w:drawing>
              <wp:anchor distT="0" distB="0" distL="114300" distR="114300" simplePos="0" relativeHeight="251663360" behindDoc="0" locked="0" layoutInCell="1" allowOverlap="1">
                <wp:simplePos x="0" y="0"/>
                <wp:positionH relativeFrom="column">
                  <wp:posOffset>309245</wp:posOffset>
                </wp:positionH>
                <wp:positionV relativeFrom="paragraph">
                  <wp:posOffset>102235</wp:posOffset>
                </wp:positionV>
                <wp:extent cx="2743200" cy="1771650"/>
                <wp:effectExtent l="9525" t="13970" r="9525" b="508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5F975F40"/>
                          <w:p w14:paraId="201E73DC">
                            <w:pPr>
                              <w:jc w:val="center"/>
                              <w:rPr>
                                <w:rFonts w:hAnsi="宋体"/>
                                <w:color w:val="FF0000"/>
                              </w:rPr>
                            </w:pPr>
                          </w:p>
                          <w:p w14:paraId="4956A905">
                            <w:pPr>
                              <w:jc w:val="center"/>
                              <w:rPr>
                                <w:rFonts w:hAnsi="宋体"/>
                                <w:color w:val="FF0000"/>
                              </w:rPr>
                            </w:pPr>
                          </w:p>
                          <w:p w14:paraId="4173502A">
                            <w:pPr>
                              <w:jc w:val="center"/>
                              <w:rPr>
                                <w:rFonts w:hAnsi="宋体"/>
                                <w:color w:val="FF0000"/>
                              </w:rPr>
                            </w:pPr>
                          </w:p>
                          <w:p w14:paraId="235DD7D0">
                            <w:pPr>
                              <w:jc w:val="center"/>
                            </w:pPr>
                            <w:r>
                              <w:rPr>
                                <w:rFonts w:hint="eastAsia" w:hAnsi="宋体"/>
                              </w:rPr>
                              <w:t>被授权人身份证正面</w:t>
                            </w:r>
                          </w:p>
                          <w:p w14:paraId="24954A54"/>
                          <w:p w14:paraId="5D390E04"/>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8.05pt;height:139.5pt;width:216pt;z-index:251663360;mso-width-relative:page;mso-height-relative:page;" fillcolor="#FFFFFF" filled="t" stroked="t" coordsize="21600,21600" o:gfxdata="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LFRAn2AAAAAkBAAAPAAAAAAAAAAEAIAAA&#10;ACIAAABkcnMvZG93bnJldi54bWxQSwECFAAUAAAACACHTuJAY+kGYEUCAACIBAAADgAAAAAAAAAB&#10;ACAAAAAnAQAAZHJzL2Uyb0RvYy54bWxQSwUGAAAAAAYABgBZAQAA3gUAAAAA&#10;">
                <v:fill on="t" focussize="0,0"/>
                <v:stroke color="#000000" miterlimit="8" joinstyle="miter"/>
                <v:imagedata o:title=""/>
                <o:lock v:ext="edit" aspectratio="f"/>
                <v:textbox>
                  <w:txbxContent>
                    <w:p w14:paraId="5F975F40"/>
                    <w:p w14:paraId="201E73DC">
                      <w:pPr>
                        <w:jc w:val="center"/>
                        <w:rPr>
                          <w:rFonts w:hAnsi="宋体"/>
                          <w:color w:val="FF0000"/>
                        </w:rPr>
                      </w:pPr>
                    </w:p>
                    <w:p w14:paraId="4956A905">
                      <w:pPr>
                        <w:jc w:val="center"/>
                        <w:rPr>
                          <w:rFonts w:hAnsi="宋体"/>
                          <w:color w:val="FF0000"/>
                        </w:rPr>
                      </w:pPr>
                    </w:p>
                    <w:p w14:paraId="4173502A">
                      <w:pPr>
                        <w:jc w:val="center"/>
                        <w:rPr>
                          <w:rFonts w:hAnsi="宋体"/>
                          <w:color w:val="FF0000"/>
                        </w:rPr>
                      </w:pPr>
                    </w:p>
                    <w:p w14:paraId="235DD7D0">
                      <w:pPr>
                        <w:jc w:val="center"/>
                      </w:pPr>
                      <w:r>
                        <w:rPr>
                          <w:rFonts w:hint="eastAsia" w:hAnsi="宋体"/>
                        </w:rPr>
                        <w:t>被授权人身份证正面</w:t>
                      </w:r>
                    </w:p>
                    <w:p w14:paraId="24954A54"/>
                    <w:p w14:paraId="5D390E04"/>
                  </w:txbxContent>
                </v:textbox>
              </v:shape>
            </w:pict>
          </mc:Fallback>
        </mc:AlternateContent>
      </w:r>
    </w:p>
    <w:p w14:paraId="30238C12">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rPr>
      </w:pPr>
    </w:p>
    <w:p w14:paraId="60991C47">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rPr>
      </w:pPr>
    </w:p>
    <w:p w14:paraId="60A5DDE3">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rPr>
      </w:pPr>
    </w:p>
    <w:p w14:paraId="7A8E28D4">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rPr>
      </w:pPr>
    </w:p>
    <w:p w14:paraId="50952743">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rPr>
      </w:pPr>
    </w:p>
    <w:p w14:paraId="4246492F">
      <w:pPr>
        <w:widowControl/>
        <w:autoSpaceDE w:val="0"/>
        <w:autoSpaceDN w:val="0"/>
        <w:spacing w:before="120" w:after="120" w:line="360" w:lineRule="auto"/>
        <w:ind w:right="781" w:rightChars="372" w:firstLine="422" w:firstLineChars="200"/>
        <w:textAlignment w:val="bottom"/>
        <w:rPr>
          <w:rFonts w:ascii="宋体" w:hAnsi="宋体" w:eastAsia="宋体" w:cs="宋体"/>
          <w:b/>
          <w:color w:val="auto"/>
          <w:szCs w:val="24"/>
        </w:rPr>
        <w:sectPr>
          <w:footerReference r:id="rId10" w:type="first"/>
          <w:footerReference r:id="rId9" w:type="default"/>
          <w:pgSz w:w="12240" w:h="15840"/>
          <w:pgMar w:top="1191" w:right="1043" w:bottom="1191" w:left="1043" w:header="720" w:footer="720" w:gutter="0"/>
          <w:cols w:space="720" w:num="1"/>
          <w:titlePg/>
          <w:docGrid w:linePitch="326" w:charSpace="0"/>
        </w:sectPr>
      </w:pPr>
      <w:r>
        <w:rPr>
          <w:rFonts w:hint="eastAsia" w:ascii="宋体" w:hAnsi="宋体" w:eastAsia="宋体" w:cs="宋体"/>
          <w:b/>
          <w:color w:val="auto"/>
          <w:szCs w:val="24"/>
        </w:rPr>
        <w:t>注：上述所附身份证应在有效期限内。</w:t>
      </w:r>
    </w:p>
    <w:p w14:paraId="041A4900">
      <w:pPr>
        <w:pageBreakBefore/>
        <w:autoSpaceDE w:val="0"/>
        <w:autoSpaceDN w:val="0"/>
        <w:adjustRightInd w:val="0"/>
        <w:spacing w:line="360" w:lineRule="auto"/>
        <w:jc w:val="left"/>
        <w:rPr>
          <w:rFonts w:ascii="宋体" w:hAnsi="宋体" w:eastAsia="宋体" w:cs="Times New Roman"/>
          <w:color w:val="auto"/>
          <w:sz w:val="30"/>
          <w:szCs w:val="30"/>
          <w:lang w:val="zh-CN"/>
        </w:rPr>
      </w:pPr>
      <w:bookmarkStart w:id="530" w:name="_Toc8338"/>
      <w:bookmarkStart w:id="531" w:name="_Toc30070"/>
      <w:bookmarkStart w:id="532" w:name="_Toc142508373"/>
      <w:bookmarkStart w:id="533" w:name="_Toc1977730"/>
      <w:bookmarkStart w:id="534" w:name="_Toc140596933"/>
      <w:bookmarkStart w:id="535" w:name="_Toc104991880"/>
      <w:bookmarkStart w:id="536" w:name="_Toc94107214"/>
      <w:r>
        <w:rPr>
          <w:rFonts w:hint="eastAsia" w:ascii="宋体" w:hAnsi="宋体" w:eastAsia="宋体" w:cs="宋体"/>
          <w:b/>
          <w:color w:val="auto"/>
          <w:kern w:val="0"/>
          <w:sz w:val="30"/>
          <w:szCs w:val="30"/>
        </w:rPr>
        <w:t>5</w:t>
      </w:r>
      <w:r>
        <w:rPr>
          <w:rFonts w:ascii="宋体" w:hAnsi="宋体" w:eastAsia="宋体" w:cs="宋体"/>
          <w:b/>
          <w:color w:val="auto"/>
          <w:kern w:val="0"/>
          <w:sz w:val="30"/>
          <w:szCs w:val="30"/>
        </w:rPr>
        <w:t>.</w:t>
      </w:r>
      <w:r>
        <w:rPr>
          <w:rFonts w:hint="eastAsia" w:ascii="宋体" w:hAnsi="宋体" w:eastAsia="宋体" w:cs="宋体"/>
          <w:b/>
          <w:color w:val="auto"/>
          <w:kern w:val="0"/>
          <w:sz w:val="30"/>
          <w:szCs w:val="30"/>
        </w:rPr>
        <w:t>4</w:t>
      </w:r>
      <w:r>
        <w:rPr>
          <w:rFonts w:ascii="宋体" w:hAnsi="宋体" w:eastAsia="宋体" w:cs="宋体"/>
          <w:b/>
          <w:color w:val="auto"/>
          <w:kern w:val="0"/>
          <w:sz w:val="30"/>
          <w:szCs w:val="30"/>
        </w:rPr>
        <w:t xml:space="preserve"> </w:t>
      </w:r>
      <w:r>
        <w:rPr>
          <w:rFonts w:hint="eastAsia" w:ascii="宋体" w:hAnsi="宋体" w:eastAsia="宋体" w:cs="Times New Roman"/>
          <w:b/>
          <w:bCs/>
          <w:color w:val="auto"/>
          <w:sz w:val="30"/>
          <w:szCs w:val="30"/>
        </w:rPr>
        <w:t>资格业绩</w:t>
      </w:r>
      <w:bookmarkEnd w:id="530"/>
      <w:bookmarkEnd w:id="531"/>
      <w:r>
        <w:rPr>
          <w:rFonts w:hint="eastAsia" w:ascii="宋体" w:hAnsi="宋体" w:eastAsia="宋体" w:cs="Times New Roman"/>
          <w:b/>
          <w:bCs/>
          <w:color w:val="auto"/>
          <w:kern w:val="0"/>
          <w:sz w:val="30"/>
          <w:szCs w:val="30"/>
        </w:rPr>
        <w:t>（投标人提供一份2021年1月1日以来承接的安全物资或劳保物资在国内的销售业绩）</w:t>
      </w:r>
    </w:p>
    <w:tbl>
      <w:tblPr>
        <w:tblStyle w:val="45"/>
        <w:tblW w:w="5066"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66"/>
        <w:gridCol w:w="2275"/>
        <w:gridCol w:w="2893"/>
        <w:gridCol w:w="1380"/>
        <w:gridCol w:w="1382"/>
        <w:gridCol w:w="614"/>
      </w:tblGrid>
      <w:tr w14:paraId="5E9458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5" w:hRule="atLeast"/>
          <w:jc w:val="center"/>
        </w:trPr>
        <w:tc>
          <w:tcPr>
            <w:tcW w:w="460" w:type="pct"/>
            <w:tcBorders>
              <w:top w:val="single" w:color="auto" w:sz="4" w:space="0"/>
              <w:left w:val="single" w:color="auto" w:sz="4" w:space="0"/>
              <w:bottom w:val="single" w:color="auto" w:sz="4" w:space="0"/>
              <w:right w:val="single" w:color="auto" w:sz="4" w:space="0"/>
            </w:tcBorders>
            <w:vAlign w:val="center"/>
          </w:tcPr>
          <w:p w14:paraId="28896135">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rPr>
            </w:pPr>
            <w:r>
              <w:rPr>
                <w:rFonts w:hint="eastAsia" w:ascii="宋体" w:hAnsi="宋体" w:eastAsia="宋体" w:cs="Times New Roman"/>
                <w:color w:val="auto"/>
                <w:kern w:val="0"/>
                <w:szCs w:val="21"/>
                <w:lang w:val="zh-CN"/>
              </w:rPr>
              <w:t>序号</w:t>
            </w:r>
          </w:p>
        </w:tc>
        <w:tc>
          <w:tcPr>
            <w:tcW w:w="1208" w:type="pct"/>
            <w:tcBorders>
              <w:top w:val="single" w:color="auto" w:sz="4" w:space="0"/>
              <w:left w:val="single" w:color="auto" w:sz="4" w:space="0"/>
              <w:bottom w:val="single" w:color="auto" w:sz="4" w:space="0"/>
              <w:right w:val="single" w:color="auto" w:sz="4" w:space="0"/>
            </w:tcBorders>
            <w:vAlign w:val="center"/>
          </w:tcPr>
          <w:p w14:paraId="1274BAD8">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lang w:val="zh-CN"/>
              </w:rPr>
            </w:pPr>
            <w:r>
              <w:rPr>
                <w:rFonts w:hint="eastAsia" w:ascii="宋体" w:hAnsi="宋体" w:eastAsia="宋体" w:cs="Times New Roman"/>
                <w:color w:val="auto"/>
                <w:kern w:val="0"/>
                <w:szCs w:val="21"/>
                <w:lang w:val="zh-CN"/>
              </w:rPr>
              <w:t>项目</w:t>
            </w:r>
          </w:p>
          <w:p w14:paraId="4FB6732B">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rPr>
            </w:pPr>
            <w:r>
              <w:rPr>
                <w:rFonts w:hint="eastAsia" w:ascii="宋体" w:hAnsi="宋体" w:eastAsia="宋体" w:cs="Times New Roman"/>
                <w:color w:val="auto"/>
                <w:kern w:val="0"/>
                <w:szCs w:val="21"/>
                <w:lang w:val="zh-CN"/>
              </w:rPr>
              <w:t>名称</w:t>
            </w:r>
          </w:p>
        </w:tc>
        <w:tc>
          <w:tcPr>
            <w:tcW w:w="1536" w:type="pct"/>
            <w:tcBorders>
              <w:top w:val="single" w:color="auto" w:sz="4" w:space="0"/>
              <w:left w:val="single" w:color="auto" w:sz="4" w:space="0"/>
              <w:bottom w:val="single" w:color="auto" w:sz="4" w:space="0"/>
              <w:right w:val="single" w:color="auto" w:sz="4" w:space="0"/>
            </w:tcBorders>
            <w:vAlign w:val="center"/>
          </w:tcPr>
          <w:p w14:paraId="4D5C38A2">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宋体"/>
                <w:color w:val="auto"/>
                <w:kern w:val="0"/>
                <w:szCs w:val="21"/>
              </w:rPr>
            </w:pPr>
            <w:r>
              <w:rPr>
                <w:rFonts w:hint="eastAsia" w:ascii="宋体" w:hAnsi="宋体" w:eastAsia="宋体" w:cs="宋体"/>
                <w:color w:val="auto"/>
                <w:kern w:val="0"/>
                <w:szCs w:val="21"/>
              </w:rPr>
              <w:t>合同标的货物名称</w:t>
            </w:r>
          </w:p>
        </w:tc>
        <w:tc>
          <w:tcPr>
            <w:tcW w:w="733" w:type="pct"/>
            <w:tcBorders>
              <w:top w:val="single" w:color="auto" w:sz="4" w:space="0"/>
              <w:left w:val="single" w:color="auto" w:sz="4" w:space="0"/>
              <w:bottom w:val="single" w:color="auto" w:sz="4" w:space="0"/>
              <w:right w:val="single" w:color="auto" w:sz="4" w:space="0"/>
            </w:tcBorders>
            <w:vAlign w:val="center"/>
          </w:tcPr>
          <w:p w14:paraId="53FAD72A">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rPr>
            </w:pPr>
            <w:r>
              <w:rPr>
                <w:rFonts w:hint="eastAsia" w:ascii="宋体" w:hAnsi="宋体" w:eastAsia="宋体" w:cs="Times New Roman"/>
                <w:color w:val="auto"/>
                <w:kern w:val="0"/>
                <w:szCs w:val="21"/>
                <w:lang w:val="zh-CN"/>
              </w:rPr>
              <w:t>合同签订日期</w:t>
            </w:r>
          </w:p>
        </w:tc>
        <w:tc>
          <w:tcPr>
            <w:tcW w:w="734" w:type="pct"/>
            <w:tcBorders>
              <w:top w:val="single" w:color="auto" w:sz="4" w:space="0"/>
              <w:left w:val="single" w:color="auto" w:sz="4" w:space="0"/>
              <w:bottom w:val="single" w:color="auto" w:sz="4" w:space="0"/>
              <w:right w:val="single" w:color="auto" w:sz="4" w:space="0"/>
            </w:tcBorders>
            <w:vAlign w:val="center"/>
          </w:tcPr>
          <w:p w14:paraId="2B291285">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rPr>
            </w:pPr>
            <w:r>
              <w:rPr>
                <w:rFonts w:hint="eastAsia" w:ascii="宋体" w:hAnsi="宋体" w:eastAsia="宋体" w:cs="Times New Roman"/>
                <w:color w:val="auto"/>
                <w:kern w:val="0"/>
                <w:szCs w:val="21"/>
                <w:lang w:val="zh-CN"/>
              </w:rPr>
              <w:t>买方单位联系人及电话</w:t>
            </w:r>
          </w:p>
        </w:tc>
        <w:tc>
          <w:tcPr>
            <w:tcW w:w="326" w:type="pct"/>
            <w:tcBorders>
              <w:top w:val="single" w:color="auto" w:sz="4" w:space="0"/>
              <w:left w:val="single" w:color="auto" w:sz="4" w:space="0"/>
              <w:bottom w:val="single" w:color="auto" w:sz="4" w:space="0"/>
              <w:right w:val="single" w:color="auto" w:sz="4" w:space="0"/>
            </w:tcBorders>
            <w:vAlign w:val="center"/>
          </w:tcPr>
          <w:p w14:paraId="0654C515">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rPr>
            </w:pPr>
            <w:r>
              <w:rPr>
                <w:rFonts w:hint="eastAsia" w:ascii="宋体" w:hAnsi="宋体" w:eastAsia="宋体" w:cs="Times New Roman"/>
                <w:color w:val="auto"/>
                <w:kern w:val="0"/>
                <w:szCs w:val="21"/>
                <w:lang w:val="zh-CN"/>
              </w:rPr>
              <w:t>备注</w:t>
            </w:r>
          </w:p>
        </w:tc>
      </w:tr>
      <w:tr w14:paraId="24B8B6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4" w:hRule="atLeast"/>
          <w:jc w:val="center"/>
        </w:trPr>
        <w:tc>
          <w:tcPr>
            <w:tcW w:w="460" w:type="pct"/>
            <w:tcBorders>
              <w:top w:val="single" w:color="auto" w:sz="4" w:space="0"/>
              <w:left w:val="single" w:color="auto" w:sz="4" w:space="0"/>
              <w:bottom w:val="single" w:color="auto" w:sz="4" w:space="0"/>
              <w:right w:val="single" w:color="auto" w:sz="4" w:space="0"/>
            </w:tcBorders>
            <w:vAlign w:val="center"/>
          </w:tcPr>
          <w:p w14:paraId="51514D67">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lang w:val="zh-CN"/>
              </w:rPr>
            </w:pPr>
            <w:r>
              <w:rPr>
                <w:rFonts w:hint="default" w:ascii="宋体" w:hAnsi="宋体" w:eastAsia="宋体" w:cs="Times New Roman"/>
                <w:color w:val="auto"/>
                <w:kern w:val="0"/>
                <w:szCs w:val="21"/>
                <w:lang w:val="zh-CN"/>
              </w:rPr>
              <w:t>1</w:t>
            </w:r>
          </w:p>
        </w:tc>
        <w:tc>
          <w:tcPr>
            <w:tcW w:w="1208" w:type="pct"/>
            <w:tcBorders>
              <w:top w:val="single" w:color="auto" w:sz="4" w:space="0"/>
              <w:left w:val="single" w:color="auto" w:sz="4" w:space="0"/>
              <w:bottom w:val="single" w:color="auto" w:sz="4" w:space="0"/>
              <w:right w:val="single" w:color="auto" w:sz="4" w:space="0"/>
            </w:tcBorders>
            <w:vAlign w:val="center"/>
          </w:tcPr>
          <w:p w14:paraId="13978FC8">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rPr>
            </w:pPr>
          </w:p>
        </w:tc>
        <w:tc>
          <w:tcPr>
            <w:tcW w:w="1536" w:type="pct"/>
            <w:tcBorders>
              <w:top w:val="single" w:color="auto" w:sz="4" w:space="0"/>
              <w:left w:val="single" w:color="auto" w:sz="4" w:space="0"/>
              <w:bottom w:val="single" w:color="auto" w:sz="4" w:space="0"/>
              <w:right w:val="single" w:color="auto" w:sz="4" w:space="0"/>
            </w:tcBorders>
            <w:vAlign w:val="center"/>
          </w:tcPr>
          <w:p w14:paraId="0DD6F2B5">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rPr>
            </w:pPr>
          </w:p>
        </w:tc>
        <w:tc>
          <w:tcPr>
            <w:tcW w:w="733" w:type="pct"/>
            <w:tcBorders>
              <w:top w:val="single" w:color="auto" w:sz="4" w:space="0"/>
              <w:left w:val="single" w:color="auto" w:sz="4" w:space="0"/>
              <w:bottom w:val="single" w:color="auto" w:sz="4" w:space="0"/>
              <w:right w:val="single" w:color="auto" w:sz="4" w:space="0"/>
            </w:tcBorders>
            <w:vAlign w:val="center"/>
          </w:tcPr>
          <w:p w14:paraId="61021B4C">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rPr>
            </w:pPr>
          </w:p>
        </w:tc>
        <w:tc>
          <w:tcPr>
            <w:tcW w:w="734" w:type="pct"/>
            <w:tcBorders>
              <w:top w:val="single" w:color="auto" w:sz="4" w:space="0"/>
              <w:left w:val="single" w:color="auto" w:sz="4" w:space="0"/>
              <w:bottom w:val="single" w:color="auto" w:sz="4" w:space="0"/>
              <w:right w:val="single" w:color="auto" w:sz="4" w:space="0"/>
            </w:tcBorders>
            <w:vAlign w:val="center"/>
          </w:tcPr>
          <w:p w14:paraId="554D40B0">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rPr>
            </w:pPr>
          </w:p>
        </w:tc>
        <w:tc>
          <w:tcPr>
            <w:tcW w:w="326" w:type="pct"/>
            <w:tcBorders>
              <w:top w:val="single" w:color="auto" w:sz="4" w:space="0"/>
              <w:left w:val="single" w:color="auto" w:sz="4" w:space="0"/>
              <w:bottom w:val="single" w:color="auto" w:sz="4" w:space="0"/>
              <w:right w:val="single" w:color="auto" w:sz="4" w:space="0"/>
            </w:tcBorders>
            <w:vAlign w:val="center"/>
          </w:tcPr>
          <w:p w14:paraId="43E7340C">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rPr>
            </w:pPr>
          </w:p>
        </w:tc>
      </w:tr>
      <w:tr w14:paraId="1493FE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6" w:hRule="atLeast"/>
          <w:jc w:val="center"/>
        </w:trPr>
        <w:tc>
          <w:tcPr>
            <w:tcW w:w="460" w:type="pct"/>
            <w:tcBorders>
              <w:top w:val="single" w:color="auto" w:sz="4" w:space="0"/>
              <w:left w:val="single" w:color="auto" w:sz="4" w:space="0"/>
              <w:bottom w:val="single" w:color="auto" w:sz="4" w:space="0"/>
              <w:right w:val="single" w:color="auto" w:sz="4" w:space="0"/>
            </w:tcBorders>
            <w:vAlign w:val="center"/>
          </w:tcPr>
          <w:p w14:paraId="08F26AAA">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lang w:val="zh-CN"/>
              </w:rPr>
            </w:pPr>
            <w:r>
              <w:rPr>
                <w:rFonts w:hint="default" w:ascii="宋体" w:hAnsi="宋体" w:eastAsia="宋体" w:cs="Times New Roman"/>
                <w:color w:val="auto"/>
                <w:kern w:val="0"/>
                <w:szCs w:val="21"/>
                <w:lang w:val="zh-CN"/>
              </w:rPr>
              <w:t>2</w:t>
            </w:r>
          </w:p>
        </w:tc>
        <w:tc>
          <w:tcPr>
            <w:tcW w:w="1208" w:type="pct"/>
            <w:tcBorders>
              <w:top w:val="single" w:color="auto" w:sz="4" w:space="0"/>
              <w:left w:val="single" w:color="auto" w:sz="4" w:space="0"/>
              <w:bottom w:val="single" w:color="auto" w:sz="4" w:space="0"/>
              <w:right w:val="single" w:color="auto" w:sz="4" w:space="0"/>
            </w:tcBorders>
            <w:vAlign w:val="center"/>
          </w:tcPr>
          <w:p w14:paraId="6358084F">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rPr>
            </w:pPr>
          </w:p>
        </w:tc>
        <w:tc>
          <w:tcPr>
            <w:tcW w:w="1536" w:type="pct"/>
            <w:tcBorders>
              <w:top w:val="single" w:color="auto" w:sz="4" w:space="0"/>
              <w:left w:val="single" w:color="auto" w:sz="4" w:space="0"/>
              <w:bottom w:val="single" w:color="auto" w:sz="4" w:space="0"/>
              <w:right w:val="single" w:color="auto" w:sz="4" w:space="0"/>
            </w:tcBorders>
            <w:vAlign w:val="center"/>
          </w:tcPr>
          <w:p w14:paraId="57E779A5">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rPr>
            </w:pPr>
          </w:p>
        </w:tc>
        <w:tc>
          <w:tcPr>
            <w:tcW w:w="733" w:type="pct"/>
            <w:tcBorders>
              <w:top w:val="single" w:color="auto" w:sz="4" w:space="0"/>
              <w:left w:val="single" w:color="auto" w:sz="4" w:space="0"/>
              <w:bottom w:val="single" w:color="auto" w:sz="4" w:space="0"/>
              <w:right w:val="single" w:color="auto" w:sz="4" w:space="0"/>
            </w:tcBorders>
            <w:vAlign w:val="center"/>
          </w:tcPr>
          <w:p w14:paraId="195C9497">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rPr>
            </w:pPr>
          </w:p>
        </w:tc>
        <w:tc>
          <w:tcPr>
            <w:tcW w:w="734" w:type="pct"/>
            <w:tcBorders>
              <w:top w:val="single" w:color="auto" w:sz="4" w:space="0"/>
              <w:left w:val="single" w:color="auto" w:sz="4" w:space="0"/>
              <w:bottom w:val="single" w:color="auto" w:sz="4" w:space="0"/>
              <w:right w:val="single" w:color="auto" w:sz="4" w:space="0"/>
            </w:tcBorders>
            <w:vAlign w:val="center"/>
          </w:tcPr>
          <w:p w14:paraId="60B9B1E6">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rPr>
            </w:pPr>
          </w:p>
        </w:tc>
        <w:tc>
          <w:tcPr>
            <w:tcW w:w="326" w:type="pct"/>
            <w:tcBorders>
              <w:top w:val="single" w:color="auto" w:sz="4" w:space="0"/>
              <w:left w:val="single" w:color="auto" w:sz="4" w:space="0"/>
              <w:bottom w:val="single" w:color="auto" w:sz="4" w:space="0"/>
              <w:right w:val="single" w:color="auto" w:sz="4" w:space="0"/>
            </w:tcBorders>
            <w:vAlign w:val="center"/>
          </w:tcPr>
          <w:p w14:paraId="0FC2F783">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rPr>
            </w:pPr>
          </w:p>
        </w:tc>
      </w:tr>
      <w:tr w14:paraId="1C2B74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8" w:hRule="atLeast"/>
          <w:jc w:val="center"/>
        </w:trPr>
        <w:tc>
          <w:tcPr>
            <w:tcW w:w="460" w:type="pct"/>
            <w:tcBorders>
              <w:top w:val="single" w:color="auto" w:sz="4" w:space="0"/>
              <w:left w:val="single" w:color="auto" w:sz="4" w:space="0"/>
              <w:bottom w:val="single" w:color="auto" w:sz="4" w:space="0"/>
              <w:right w:val="single" w:color="auto" w:sz="4" w:space="0"/>
            </w:tcBorders>
            <w:vAlign w:val="center"/>
          </w:tcPr>
          <w:p w14:paraId="554E2880">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lang w:val="zh-CN"/>
              </w:rPr>
            </w:pPr>
            <w:r>
              <w:rPr>
                <w:rFonts w:hint="default" w:ascii="宋体" w:hAnsi="宋体" w:eastAsia="宋体" w:cs="Times New Roman"/>
                <w:color w:val="auto"/>
                <w:kern w:val="0"/>
                <w:szCs w:val="21"/>
                <w:lang w:val="zh-CN"/>
              </w:rPr>
              <w:t>3</w:t>
            </w:r>
          </w:p>
        </w:tc>
        <w:tc>
          <w:tcPr>
            <w:tcW w:w="1208" w:type="pct"/>
            <w:tcBorders>
              <w:top w:val="single" w:color="auto" w:sz="4" w:space="0"/>
              <w:left w:val="single" w:color="auto" w:sz="4" w:space="0"/>
              <w:bottom w:val="single" w:color="auto" w:sz="4" w:space="0"/>
              <w:right w:val="single" w:color="auto" w:sz="4" w:space="0"/>
            </w:tcBorders>
            <w:vAlign w:val="center"/>
          </w:tcPr>
          <w:p w14:paraId="15C2A299">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rPr>
            </w:pPr>
          </w:p>
        </w:tc>
        <w:tc>
          <w:tcPr>
            <w:tcW w:w="1536" w:type="pct"/>
            <w:tcBorders>
              <w:top w:val="single" w:color="auto" w:sz="4" w:space="0"/>
              <w:left w:val="single" w:color="auto" w:sz="4" w:space="0"/>
              <w:bottom w:val="single" w:color="auto" w:sz="4" w:space="0"/>
              <w:right w:val="single" w:color="auto" w:sz="4" w:space="0"/>
            </w:tcBorders>
            <w:vAlign w:val="center"/>
          </w:tcPr>
          <w:p w14:paraId="4EDCA028">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rPr>
            </w:pPr>
          </w:p>
        </w:tc>
        <w:tc>
          <w:tcPr>
            <w:tcW w:w="733" w:type="pct"/>
            <w:tcBorders>
              <w:top w:val="single" w:color="auto" w:sz="4" w:space="0"/>
              <w:left w:val="single" w:color="auto" w:sz="4" w:space="0"/>
              <w:bottom w:val="single" w:color="auto" w:sz="4" w:space="0"/>
              <w:right w:val="single" w:color="auto" w:sz="4" w:space="0"/>
            </w:tcBorders>
            <w:vAlign w:val="center"/>
          </w:tcPr>
          <w:p w14:paraId="67639826">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rPr>
            </w:pPr>
          </w:p>
        </w:tc>
        <w:tc>
          <w:tcPr>
            <w:tcW w:w="734" w:type="pct"/>
            <w:tcBorders>
              <w:top w:val="single" w:color="auto" w:sz="4" w:space="0"/>
              <w:left w:val="single" w:color="auto" w:sz="4" w:space="0"/>
              <w:bottom w:val="single" w:color="auto" w:sz="4" w:space="0"/>
              <w:right w:val="single" w:color="auto" w:sz="4" w:space="0"/>
            </w:tcBorders>
            <w:vAlign w:val="center"/>
          </w:tcPr>
          <w:p w14:paraId="14C4EFC7">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rPr>
            </w:pPr>
          </w:p>
        </w:tc>
        <w:tc>
          <w:tcPr>
            <w:tcW w:w="326" w:type="pct"/>
            <w:tcBorders>
              <w:top w:val="single" w:color="auto" w:sz="4" w:space="0"/>
              <w:left w:val="single" w:color="auto" w:sz="4" w:space="0"/>
              <w:bottom w:val="single" w:color="auto" w:sz="4" w:space="0"/>
              <w:right w:val="single" w:color="auto" w:sz="4" w:space="0"/>
            </w:tcBorders>
            <w:vAlign w:val="center"/>
          </w:tcPr>
          <w:p w14:paraId="2B4B5DB0">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rPr>
            </w:pPr>
          </w:p>
        </w:tc>
      </w:tr>
      <w:tr w14:paraId="2A304B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3" w:hRule="atLeast"/>
          <w:jc w:val="center"/>
        </w:trPr>
        <w:tc>
          <w:tcPr>
            <w:tcW w:w="460" w:type="pct"/>
            <w:tcBorders>
              <w:top w:val="single" w:color="auto" w:sz="4" w:space="0"/>
              <w:left w:val="single" w:color="auto" w:sz="4" w:space="0"/>
              <w:bottom w:val="single" w:color="auto" w:sz="4" w:space="0"/>
              <w:right w:val="single" w:color="auto" w:sz="4" w:space="0"/>
            </w:tcBorders>
            <w:vAlign w:val="center"/>
          </w:tcPr>
          <w:p w14:paraId="0F820C69">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rPr>
            </w:pPr>
            <w:r>
              <w:rPr>
                <w:rFonts w:hint="default" w:ascii="宋体" w:hAnsi="宋体" w:eastAsia="宋体" w:cs="Courier New"/>
                <w:color w:val="auto"/>
                <w:kern w:val="0"/>
                <w:szCs w:val="21"/>
              </w:rPr>
              <w:t>…</w:t>
            </w:r>
          </w:p>
        </w:tc>
        <w:tc>
          <w:tcPr>
            <w:tcW w:w="1208" w:type="pct"/>
            <w:tcBorders>
              <w:top w:val="single" w:color="auto" w:sz="4" w:space="0"/>
              <w:left w:val="single" w:color="auto" w:sz="4" w:space="0"/>
              <w:bottom w:val="single" w:color="auto" w:sz="4" w:space="0"/>
              <w:right w:val="single" w:color="auto" w:sz="4" w:space="0"/>
            </w:tcBorders>
            <w:vAlign w:val="center"/>
          </w:tcPr>
          <w:p w14:paraId="2C35F787">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rPr>
            </w:pPr>
          </w:p>
        </w:tc>
        <w:tc>
          <w:tcPr>
            <w:tcW w:w="1536" w:type="pct"/>
            <w:tcBorders>
              <w:top w:val="single" w:color="auto" w:sz="4" w:space="0"/>
              <w:left w:val="single" w:color="auto" w:sz="4" w:space="0"/>
              <w:bottom w:val="single" w:color="auto" w:sz="4" w:space="0"/>
              <w:right w:val="single" w:color="auto" w:sz="4" w:space="0"/>
            </w:tcBorders>
            <w:vAlign w:val="center"/>
          </w:tcPr>
          <w:p w14:paraId="75A45419">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rPr>
            </w:pPr>
          </w:p>
        </w:tc>
        <w:tc>
          <w:tcPr>
            <w:tcW w:w="733" w:type="pct"/>
            <w:tcBorders>
              <w:top w:val="single" w:color="auto" w:sz="4" w:space="0"/>
              <w:left w:val="single" w:color="auto" w:sz="4" w:space="0"/>
              <w:bottom w:val="single" w:color="auto" w:sz="4" w:space="0"/>
              <w:right w:val="single" w:color="auto" w:sz="4" w:space="0"/>
            </w:tcBorders>
            <w:vAlign w:val="center"/>
          </w:tcPr>
          <w:p w14:paraId="3192971D">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rPr>
            </w:pPr>
          </w:p>
        </w:tc>
        <w:tc>
          <w:tcPr>
            <w:tcW w:w="734" w:type="pct"/>
            <w:tcBorders>
              <w:top w:val="single" w:color="auto" w:sz="4" w:space="0"/>
              <w:left w:val="single" w:color="auto" w:sz="4" w:space="0"/>
              <w:bottom w:val="single" w:color="auto" w:sz="4" w:space="0"/>
              <w:right w:val="single" w:color="auto" w:sz="4" w:space="0"/>
            </w:tcBorders>
            <w:vAlign w:val="center"/>
          </w:tcPr>
          <w:p w14:paraId="464B80BD">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rPr>
            </w:pPr>
          </w:p>
        </w:tc>
        <w:tc>
          <w:tcPr>
            <w:tcW w:w="326" w:type="pct"/>
            <w:tcBorders>
              <w:top w:val="single" w:color="auto" w:sz="4" w:space="0"/>
              <w:left w:val="single" w:color="auto" w:sz="4" w:space="0"/>
              <w:bottom w:val="single" w:color="auto" w:sz="4" w:space="0"/>
              <w:right w:val="single" w:color="auto" w:sz="4" w:space="0"/>
            </w:tcBorders>
            <w:vAlign w:val="center"/>
          </w:tcPr>
          <w:p w14:paraId="35FDC65B">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rPr>
            </w:pPr>
          </w:p>
        </w:tc>
      </w:tr>
    </w:tbl>
    <w:p w14:paraId="122332F9">
      <w:pPr>
        <w:spacing w:line="360" w:lineRule="auto"/>
        <w:ind w:left="424" w:hanging="424" w:hangingChars="201"/>
        <w:rPr>
          <w:rFonts w:ascii="宋体" w:hAnsi="宋体" w:eastAsia="宋体" w:cs="宋体"/>
          <w:b/>
          <w:color w:val="auto"/>
          <w:szCs w:val="21"/>
          <w:lang w:val="zh-CN"/>
        </w:rPr>
      </w:pPr>
    </w:p>
    <w:p w14:paraId="16E0AA47">
      <w:pPr>
        <w:spacing w:line="360" w:lineRule="auto"/>
        <w:ind w:left="424" w:hanging="424" w:hangingChars="201"/>
        <w:rPr>
          <w:rFonts w:ascii="宋体" w:hAnsi="宋体" w:eastAsia="宋体" w:cs="宋体"/>
          <w:b/>
          <w:bCs/>
          <w:color w:val="auto"/>
          <w:szCs w:val="21"/>
          <w:lang w:val="zh-CN"/>
        </w:rPr>
      </w:pPr>
      <w:r>
        <w:rPr>
          <w:rFonts w:hint="eastAsia" w:ascii="宋体" w:hAnsi="宋体" w:eastAsia="宋体" w:cs="宋体"/>
          <w:b/>
          <w:color w:val="auto"/>
          <w:szCs w:val="21"/>
          <w:lang w:val="zh-CN"/>
        </w:rPr>
        <w:t>资格业绩证明材料提交要求：</w:t>
      </w:r>
      <w:r>
        <w:rPr>
          <w:rFonts w:hint="eastAsia" w:ascii="宋体" w:hAnsi="宋体" w:eastAsia="宋体" w:cs="宋体"/>
          <w:b/>
          <w:bCs/>
          <w:color w:val="auto"/>
          <w:szCs w:val="21"/>
          <w:lang w:val="zh-CN"/>
        </w:rPr>
        <w:t xml:space="preserve"> </w:t>
      </w:r>
    </w:p>
    <w:p w14:paraId="04B9F59D">
      <w:pPr>
        <w:spacing w:line="360" w:lineRule="auto"/>
        <w:ind w:left="422" w:hanging="422" w:hangingChars="201"/>
        <w:rPr>
          <w:rFonts w:ascii="宋体" w:hAnsi="宋体" w:eastAsia="宋体" w:cs="宋体"/>
          <w:b/>
          <w:bCs/>
          <w:color w:val="auto"/>
          <w:szCs w:val="21"/>
          <w:lang w:val="zh-CN"/>
        </w:rPr>
      </w:pPr>
      <w:r>
        <w:rPr>
          <w:rFonts w:hint="eastAsia" w:ascii="宋体" w:hAnsi="宋体" w:eastAsia="宋体" w:cs="宋体"/>
          <w:color w:val="auto"/>
          <w:szCs w:val="21"/>
          <w:lang w:val="zh-CN"/>
        </w:rPr>
        <w:t>（1）作为投标人资格条件证明的业绩放置在此处；</w:t>
      </w:r>
    </w:p>
    <w:p w14:paraId="3A5127EB">
      <w:pPr>
        <w:spacing w:line="360" w:lineRule="auto"/>
        <w:ind w:left="422" w:hanging="422" w:hangingChars="201"/>
        <w:rPr>
          <w:rFonts w:ascii="宋体" w:hAnsi="宋体" w:eastAsia="宋体" w:cs="宋体"/>
          <w:color w:val="auto"/>
          <w:szCs w:val="21"/>
          <w:lang w:val="zh-CN"/>
        </w:rPr>
      </w:pPr>
      <w:r>
        <w:rPr>
          <w:rFonts w:hint="eastAsia" w:ascii="宋体" w:hAnsi="宋体" w:eastAsia="宋体" w:cs="宋体"/>
          <w:color w:val="auto"/>
          <w:szCs w:val="21"/>
          <w:lang w:val="zh-CN"/>
        </w:rPr>
        <w:t>（</w:t>
      </w:r>
      <w:r>
        <w:rPr>
          <w:rFonts w:ascii="宋体" w:hAnsi="宋体" w:eastAsia="宋体" w:cs="宋体"/>
          <w:color w:val="auto"/>
          <w:szCs w:val="21"/>
        </w:rPr>
        <w:t>2</w:t>
      </w:r>
      <w:r>
        <w:rPr>
          <w:rFonts w:hint="eastAsia" w:ascii="宋体" w:hAnsi="宋体" w:eastAsia="宋体" w:cs="宋体"/>
          <w:color w:val="auto"/>
          <w:szCs w:val="21"/>
          <w:lang w:val="zh-CN"/>
        </w:rPr>
        <w:t>）业绩须附安全物资或劳保物资销售合同复印件（合同卖方为投标人）；</w:t>
      </w:r>
    </w:p>
    <w:p w14:paraId="308486E0">
      <w:pPr>
        <w:spacing w:line="360" w:lineRule="auto"/>
        <w:ind w:left="422" w:hanging="422" w:hangingChars="201"/>
        <w:rPr>
          <w:rFonts w:ascii="宋体" w:hAnsi="宋体" w:eastAsia="宋体" w:cs="宋体"/>
          <w:color w:val="auto"/>
          <w:szCs w:val="21"/>
          <w:lang w:val="zh-CN"/>
        </w:rPr>
      </w:pPr>
      <w:r>
        <w:rPr>
          <w:rFonts w:hint="eastAsia" w:ascii="宋体" w:hAnsi="宋体" w:eastAsia="宋体" w:cs="宋体"/>
          <w:color w:val="auto"/>
          <w:szCs w:val="21"/>
          <w:lang w:val="zh-CN"/>
        </w:rPr>
        <w:t>（</w:t>
      </w:r>
      <w:r>
        <w:rPr>
          <w:rFonts w:ascii="宋体" w:hAnsi="宋体" w:eastAsia="宋体" w:cs="宋体"/>
          <w:color w:val="auto"/>
          <w:szCs w:val="21"/>
        </w:rPr>
        <w:t>3</w:t>
      </w:r>
      <w:r>
        <w:rPr>
          <w:rFonts w:hint="eastAsia" w:ascii="宋体" w:hAnsi="宋体" w:eastAsia="宋体" w:cs="宋体"/>
          <w:color w:val="auto"/>
          <w:szCs w:val="21"/>
          <w:lang w:val="zh-CN"/>
        </w:rPr>
        <w:t>）合同必须能反映资格要求条件（</w:t>
      </w:r>
      <w:r>
        <w:rPr>
          <w:rFonts w:hint="eastAsia" w:ascii="宋体" w:hAnsi="宋体" w:eastAsia="宋体" w:cs="宋体"/>
          <w:color w:val="auto"/>
          <w:szCs w:val="21"/>
        </w:rPr>
        <w:t>合同签订日期为2021年1月1日或以后、合同标的必须包含安全物资或劳保物资</w:t>
      </w:r>
      <w:r>
        <w:rPr>
          <w:rFonts w:hint="eastAsia" w:ascii="宋体" w:hAnsi="宋体" w:eastAsia="宋体" w:cs="宋体"/>
          <w:color w:val="auto"/>
          <w:szCs w:val="21"/>
          <w:lang w:val="zh-CN"/>
        </w:rPr>
        <w:t>），否则还需提供合同买方出具的书面补充说明文件复印件作为辅助证明（补充说明文件复印件能显示合同买方公章）；</w:t>
      </w:r>
    </w:p>
    <w:p w14:paraId="22C871B1">
      <w:pPr>
        <w:spacing w:line="360" w:lineRule="auto"/>
        <w:ind w:left="422" w:hanging="422" w:hangingChars="201"/>
        <w:rPr>
          <w:rFonts w:ascii="宋体" w:hAnsi="宋体" w:eastAsia="宋体" w:cs="宋体"/>
          <w:b/>
          <w:bCs/>
          <w:color w:val="auto"/>
          <w:szCs w:val="21"/>
          <w:lang w:val="zh-CN"/>
        </w:rPr>
      </w:pPr>
      <w:bookmarkStart w:id="537" w:name="_Toc6253"/>
      <w:bookmarkStart w:id="538" w:name="_Toc14967"/>
      <w:r>
        <w:rPr>
          <w:rFonts w:hint="eastAsia" w:ascii="宋体" w:hAnsi="宋体" w:eastAsia="宋体" w:cs="宋体"/>
          <w:color w:val="auto"/>
          <w:szCs w:val="21"/>
          <w:lang w:val="zh-CN"/>
        </w:rPr>
        <w:t>（</w:t>
      </w:r>
      <w:r>
        <w:rPr>
          <w:rFonts w:ascii="宋体" w:hAnsi="宋体" w:eastAsia="宋体" w:cs="宋体"/>
          <w:color w:val="auto"/>
          <w:szCs w:val="21"/>
          <w:lang w:val="zh-CN"/>
        </w:rPr>
        <w:t>4</w:t>
      </w:r>
      <w:r>
        <w:rPr>
          <w:rFonts w:hint="eastAsia" w:ascii="宋体" w:hAnsi="宋体" w:eastAsia="宋体" w:cs="宋体"/>
          <w:color w:val="auto"/>
          <w:szCs w:val="21"/>
          <w:lang w:val="zh-CN"/>
        </w:rPr>
        <w:t>）</w:t>
      </w:r>
      <w:bookmarkEnd w:id="537"/>
      <w:bookmarkEnd w:id="538"/>
      <w:r>
        <w:rPr>
          <w:rFonts w:hint="eastAsia" w:ascii="宋体" w:hAnsi="宋体" w:eastAsia="宋体" w:cs="宋体"/>
          <w:b/>
          <w:bCs/>
          <w:color w:val="auto"/>
          <w:szCs w:val="21"/>
          <w:lang w:val="zh-CN"/>
        </w:rPr>
        <w:t>未按上述要求在此格式下提供证明材料的业绩，或在此格式下所附材料无法证明符合资格要求的业绩，按无效投标文件处理。</w:t>
      </w:r>
    </w:p>
    <w:p w14:paraId="45CE1130">
      <w:pPr>
        <w:rPr>
          <w:rFonts w:ascii="宋体" w:hAnsi="宋体" w:eastAsia="宋体" w:cs="宋体"/>
          <w:b/>
          <w:color w:val="auto"/>
          <w:kern w:val="0"/>
          <w:sz w:val="30"/>
          <w:szCs w:val="30"/>
        </w:rPr>
      </w:pPr>
      <w:r>
        <w:rPr>
          <w:rFonts w:ascii="宋体" w:hAnsi="宋体" w:eastAsia="宋体" w:cs="宋体"/>
          <w:b/>
          <w:color w:val="auto"/>
          <w:kern w:val="0"/>
          <w:sz w:val="30"/>
          <w:szCs w:val="30"/>
        </w:rPr>
        <w:br w:type="page"/>
      </w:r>
    </w:p>
    <w:p w14:paraId="621B4177">
      <w:pPr>
        <w:tabs>
          <w:tab w:val="left" w:pos="567"/>
        </w:tabs>
        <w:autoSpaceDE w:val="0"/>
        <w:autoSpaceDN w:val="0"/>
        <w:adjustRightInd w:val="0"/>
        <w:spacing w:line="360" w:lineRule="auto"/>
        <w:jc w:val="left"/>
        <w:rPr>
          <w:rFonts w:ascii="宋体" w:hAnsi="宋体" w:eastAsia="宋体" w:cs="Times New Roman"/>
          <w:b/>
          <w:bCs/>
          <w:color w:val="auto"/>
          <w:sz w:val="32"/>
          <w:szCs w:val="32"/>
          <w:lang w:val="zh-CN"/>
        </w:rPr>
      </w:pPr>
      <w:bookmarkStart w:id="539" w:name="_Toc8979"/>
      <w:bookmarkStart w:id="540" w:name="_Toc31879"/>
      <w:r>
        <w:rPr>
          <w:rFonts w:hint="eastAsia" w:ascii="宋体" w:hAnsi="宋体" w:eastAsia="宋体" w:cs="宋体"/>
          <w:b/>
          <w:color w:val="auto"/>
          <w:kern w:val="0"/>
          <w:sz w:val="30"/>
          <w:szCs w:val="30"/>
        </w:rPr>
        <w:t>5.5 最近3年投标人牵涉的其他（失信和违法）处罚说明格式</w:t>
      </w:r>
      <w:bookmarkEnd w:id="532"/>
      <w:bookmarkEnd w:id="533"/>
      <w:bookmarkEnd w:id="534"/>
      <w:bookmarkEnd w:id="535"/>
      <w:bookmarkEnd w:id="536"/>
      <w:bookmarkEnd w:id="539"/>
      <w:bookmarkEnd w:id="540"/>
    </w:p>
    <w:p w14:paraId="4C8DE521">
      <w:pPr>
        <w:autoSpaceDE w:val="0"/>
        <w:autoSpaceDN w:val="0"/>
        <w:adjustRightInd w:val="0"/>
        <w:spacing w:line="360" w:lineRule="auto"/>
        <w:jc w:val="center"/>
        <w:rPr>
          <w:rFonts w:ascii="宋体" w:hAnsi="宋体" w:eastAsia="宋体" w:cs="宋体"/>
          <w:color w:val="auto"/>
          <w:kern w:val="0"/>
          <w:sz w:val="24"/>
          <w:szCs w:val="24"/>
        </w:rPr>
      </w:pPr>
      <w:r>
        <w:rPr>
          <w:rFonts w:hint="eastAsia" w:ascii="宋体" w:hAnsi="宋体" w:eastAsia="宋体" w:cs="宋体"/>
          <w:b/>
          <w:color w:val="auto"/>
          <w:kern w:val="0"/>
          <w:sz w:val="30"/>
          <w:szCs w:val="30"/>
        </w:rPr>
        <w:t>最近3年投标人牵涉的其他（失信和违法）</w:t>
      </w:r>
      <w:r>
        <w:rPr>
          <w:rFonts w:hint="eastAsia" w:ascii="宋体" w:hAnsi="宋体" w:eastAsia="宋体" w:cs="宋体"/>
          <w:b/>
          <w:bCs/>
          <w:color w:val="auto"/>
          <w:sz w:val="32"/>
          <w:szCs w:val="32"/>
          <w:lang w:val="zh-CN"/>
        </w:rPr>
        <w:t>处罚说明</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1417"/>
        <w:gridCol w:w="2268"/>
        <w:gridCol w:w="1276"/>
      </w:tblGrid>
      <w:tr w14:paraId="6964E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253" w:type="dxa"/>
            <w:vAlign w:val="center"/>
          </w:tcPr>
          <w:p w14:paraId="3F6517FD">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eastAsia="宋体" w:cs="宋体"/>
                <w:color w:val="auto"/>
                <w:kern w:val="0"/>
                <w:szCs w:val="21"/>
              </w:rPr>
            </w:pPr>
            <w:r>
              <w:rPr>
                <w:rFonts w:hint="eastAsia" w:ascii="宋体" w:hAnsi="宋体" w:eastAsia="宋体" w:cs="宋体"/>
                <w:color w:val="auto"/>
                <w:kern w:val="0"/>
                <w:szCs w:val="21"/>
              </w:rPr>
              <w:t xml:space="preserve">         事项名称</w:t>
            </w:r>
          </w:p>
        </w:tc>
        <w:tc>
          <w:tcPr>
            <w:tcW w:w="1417" w:type="dxa"/>
            <w:vAlign w:val="center"/>
          </w:tcPr>
          <w:p w14:paraId="3618E75B">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rPr>
            </w:pPr>
            <w:r>
              <w:rPr>
                <w:rFonts w:hint="eastAsia" w:ascii="宋体" w:hAnsi="宋体" w:eastAsia="宋体" w:cs="宋体"/>
                <w:color w:val="auto"/>
                <w:kern w:val="0"/>
                <w:szCs w:val="21"/>
              </w:rPr>
              <w:t>认定时间</w:t>
            </w:r>
          </w:p>
        </w:tc>
        <w:tc>
          <w:tcPr>
            <w:tcW w:w="2268" w:type="dxa"/>
          </w:tcPr>
          <w:p w14:paraId="7625F2B7">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rPr>
            </w:pPr>
            <w:r>
              <w:rPr>
                <w:rFonts w:hint="eastAsia" w:ascii="宋体" w:hAnsi="宋体" w:eastAsia="宋体" w:cs="宋体"/>
                <w:color w:val="auto"/>
                <w:kern w:val="0"/>
                <w:szCs w:val="21"/>
              </w:rPr>
              <w:t>处罚期届满异常名录信息失效时间</w:t>
            </w:r>
          </w:p>
        </w:tc>
        <w:tc>
          <w:tcPr>
            <w:tcW w:w="1276" w:type="dxa"/>
            <w:vAlign w:val="center"/>
          </w:tcPr>
          <w:p w14:paraId="6283535A">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rPr>
            </w:pPr>
            <w:r>
              <w:rPr>
                <w:rFonts w:hint="eastAsia" w:ascii="宋体" w:hAnsi="宋体" w:eastAsia="宋体" w:cs="宋体"/>
                <w:color w:val="auto"/>
                <w:kern w:val="0"/>
                <w:szCs w:val="21"/>
              </w:rPr>
              <w:t>备注</w:t>
            </w:r>
          </w:p>
        </w:tc>
      </w:tr>
      <w:tr w14:paraId="32B61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253" w:type="dxa"/>
            <w:vAlign w:val="center"/>
          </w:tcPr>
          <w:p w14:paraId="20455FD8">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eastAsia="宋体" w:cs="宋体"/>
                <w:color w:val="auto"/>
                <w:kern w:val="0"/>
                <w:szCs w:val="21"/>
              </w:rPr>
            </w:pPr>
            <w:r>
              <w:rPr>
                <w:rFonts w:hint="eastAsia" w:ascii="宋体" w:hAnsi="宋体" w:eastAsia="宋体" w:cs="宋体"/>
                <w:color w:val="auto"/>
                <w:kern w:val="0"/>
                <w:szCs w:val="21"/>
              </w:rPr>
              <w:t>是否被认定为失信被执行人</w:t>
            </w:r>
          </w:p>
        </w:tc>
        <w:tc>
          <w:tcPr>
            <w:tcW w:w="1417" w:type="dxa"/>
            <w:vAlign w:val="center"/>
          </w:tcPr>
          <w:p w14:paraId="51C50BAD">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rPr>
            </w:pPr>
          </w:p>
        </w:tc>
        <w:tc>
          <w:tcPr>
            <w:tcW w:w="2268" w:type="dxa"/>
            <w:vAlign w:val="center"/>
          </w:tcPr>
          <w:p w14:paraId="7FC3DC2B">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rPr>
            </w:pPr>
          </w:p>
        </w:tc>
        <w:tc>
          <w:tcPr>
            <w:tcW w:w="1276" w:type="dxa"/>
            <w:vAlign w:val="center"/>
          </w:tcPr>
          <w:p w14:paraId="4D5BE375">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rPr>
            </w:pPr>
          </w:p>
        </w:tc>
      </w:tr>
      <w:tr w14:paraId="416A6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253" w:type="dxa"/>
            <w:vAlign w:val="center"/>
          </w:tcPr>
          <w:p w14:paraId="47337525">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eastAsia="宋体" w:cs="宋体"/>
                <w:color w:val="auto"/>
                <w:kern w:val="0"/>
                <w:szCs w:val="21"/>
              </w:rPr>
            </w:pPr>
            <w:r>
              <w:rPr>
                <w:rFonts w:hint="eastAsia" w:ascii="宋体" w:hAnsi="宋体" w:eastAsia="宋体" w:cs="宋体"/>
                <w:color w:val="auto"/>
                <w:kern w:val="0"/>
                <w:szCs w:val="21"/>
              </w:rPr>
              <w:t>是否被认定为重大税收违法失信主体</w:t>
            </w:r>
          </w:p>
        </w:tc>
        <w:tc>
          <w:tcPr>
            <w:tcW w:w="1417" w:type="dxa"/>
            <w:vAlign w:val="center"/>
          </w:tcPr>
          <w:p w14:paraId="3DFA986F">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rPr>
            </w:pPr>
          </w:p>
        </w:tc>
        <w:tc>
          <w:tcPr>
            <w:tcW w:w="2268" w:type="dxa"/>
            <w:vAlign w:val="center"/>
          </w:tcPr>
          <w:p w14:paraId="5181108D">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rPr>
            </w:pPr>
          </w:p>
        </w:tc>
        <w:tc>
          <w:tcPr>
            <w:tcW w:w="1276" w:type="dxa"/>
            <w:vAlign w:val="center"/>
          </w:tcPr>
          <w:p w14:paraId="04D79820">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rPr>
            </w:pPr>
          </w:p>
        </w:tc>
      </w:tr>
      <w:tr w14:paraId="565D3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253" w:type="dxa"/>
            <w:vAlign w:val="center"/>
          </w:tcPr>
          <w:p w14:paraId="7C1205CD">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eastAsia="宋体" w:cs="宋体"/>
                <w:color w:val="auto"/>
                <w:kern w:val="0"/>
                <w:szCs w:val="21"/>
              </w:rPr>
            </w:pPr>
            <w:r>
              <w:rPr>
                <w:rFonts w:hint="eastAsia" w:ascii="宋体" w:hAnsi="宋体" w:eastAsia="宋体" w:cs="宋体"/>
                <w:color w:val="auto"/>
                <w:kern w:val="0"/>
                <w:szCs w:val="21"/>
              </w:rPr>
              <w:t>是否被认定为政府采购严重违法失信行为记录名单</w:t>
            </w:r>
          </w:p>
        </w:tc>
        <w:tc>
          <w:tcPr>
            <w:tcW w:w="1417" w:type="dxa"/>
            <w:vAlign w:val="center"/>
          </w:tcPr>
          <w:p w14:paraId="5D45188A">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rPr>
            </w:pPr>
          </w:p>
        </w:tc>
        <w:tc>
          <w:tcPr>
            <w:tcW w:w="2268" w:type="dxa"/>
            <w:vAlign w:val="center"/>
          </w:tcPr>
          <w:p w14:paraId="0C61863E">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rPr>
            </w:pPr>
          </w:p>
        </w:tc>
        <w:tc>
          <w:tcPr>
            <w:tcW w:w="1276" w:type="dxa"/>
            <w:vAlign w:val="center"/>
          </w:tcPr>
          <w:p w14:paraId="0A1B5A83">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rPr>
            </w:pPr>
          </w:p>
        </w:tc>
      </w:tr>
    </w:tbl>
    <w:p w14:paraId="4952FF02">
      <w:pPr>
        <w:autoSpaceDE w:val="0"/>
        <w:autoSpaceDN w:val="0"/>
        <w:adjustRightInd w:val="0"/>
        <w:spacing w:line="360" w:lineRule="auto"/>
        <w:jc w:val="left"/>
        <w:rPr>
          <w:rFonts w:ascii="宋体" w:hAnsi="宋体" w:eastAsia="宋体" w:cs="宋体"/>
          <w:color w:val="auto"/>
          <w:kern w:val="0"/>
          <w:szCs w:val="21"/>
        </w:rPr>
      </w:pPr>
    </w:p>
    <w:p w14:paraId="2BA4680E">
      <w:pPr>
        <w:autoSpaceDE w:val="0"/>
        <w:autoSpaceDN w:val="0"/>
        <w:adjustRightInd w:val="0"/>
        <w:spacing w:line="360" w:lineRule="auto"/>
        <w:jc w:val="left"/>
        <w:rPr>
          <w:rFonts w:ascii="宋体" w:hAnsi="宋体" w:eastAsia="宋体" w:cs="宋体"/>
          <w:color w:val="auto"/>
          <w:szCs w:val="21"/>
          <w:lang w:val="zh-CN"/>
        </w:rPr>
      </w:pPr>
      <w:r>
        <w:rPr>
          <w:rFonts w:hint="eastAsia" w:ascii="宋体" w:hAnsi="宋体" w:eastAsia="宋体" w:cs="宋体"/>
          <w:color w:val="auto"/>
          <w:kern w:val="0"/>
          <w:szCs w:val="21"/>
        </w:rPr>
        <w:t>备注：根据投标人及其不具有独立法人资格的分支机构的实际情况自行编写，无相关事项的，在 “认定时间”列填“无”；若受到相关处罚的应附处罚相关材料复印件；若出现相关处罚的处罚期满,但处罚公示没有及时更新的情况，投标人须提供相关材料(复印件)佐证，需原件备查</w:t>
      </w:r>
      <w:r>
        <w:rPr>
          <w:rFonts w:hint="eastAsia" w:ascii="宋体" w:hAnsi="宋体" w:eastAsia="宋体" w:cs="宋体"/>
          <w:color w:val="auto"/>
          <w:szCs w:val="21"/>
          <w:lang w:val="zh-CN"/>
        </w:rPr>
        <w:t>。</w:t>
      </w:r>
    </w:p>
    <w:p w14:paraId="43E49D5B">
      <w:pPr>
        <w:autoSpaceDE w:val="0"/>
        <w:autoSpaceDN w:val="0"/>
        <w:adjustRightInd w:val="0"/>
        <w:ind w:right="-23" w:rightChars="-11"/>
        <w:jc w:val="left"/>
        <w:rPr>
          <w:rFonts w:ascii="宋体" w:hAnsi="宋体" w:eastAsia="宋体" w:cs="Times New Roman"/>
          <w:b/>
          <w:bCs/>
          <w:color w:val="auto"/>
          <w:kern w:val="0"/>
          <w:szCs w:val="21"/>
          <w:lang w:val="zh-CN"/>
        </w:rPr>
      </w:pPr>
    </w:p>
    <w:p w14:paraId="25EDFF83">
      <w:pPr>
        <w:autoSpaceDE w:val="0"/>
        <w:autoSpaceDN w:val="0"/>
        <w:adjustRightInd w:val="0"/>
        <w:spacing w:line="360" w:lineRule="auto"/>
        <w:jc w:val="center"/>
        <w:rPr>
          <w:rFonts w:ascii="宋体" w:hAnsi="宋体" w:eastAsia="宋体" w:cs="宋体"/>
          <w:color w:val="auto"/>
          <w:kern w:val="0"/>
          <w:sz w:val="24"/>
          <w:szCs w:val="24"/>
        </w:rPr>
      </w:pPr>
    </w:p>
    <w:p w14:paraId="0E1C4187">
      <w:pPr>
        <w:spacing w:line="360" w:lineRule="auto"/>
        <w:ind w:firstLine="494" w:firstLineChars="206"/>
        <w:rPr>
          <w:rFonts w:ascii="宋体" w:hAnsi="宋体" w:eastAsia="宋体" w:cs="宋体"/>
          <w:color w:val="auto"/>
          <w:kern w:val="0"/>
          <w:sz w:val="24"/>
          <w:szCs w:val="24"/>
        </w:rPr>
      </w:pPr>
    </w:p>
    <w:p w14:paraId="349A001B">
      <w:pPr>
        <w:spacing w:line="360" w:lineRule="auto"/>
        <w:ind w:firstLine="494" w:firstLineChars="206"/>
        <w:rPr>
          <w:rFonts w:ascii="宋体" w:hAnsi="宋体" w:eastAsia="宋体" w:cs="宋体"/>
          <w:color w:val="auto"/>
          <w:kern w:val="0"/>
          <w:sz w:val="24"/>
          <w:szCs w:val="24"/>
        </w:rPr>
      </w:pPr>
    </w:p>
    <w:p w14:paraId="3BBCD7F8">
      <w:pPr>
        <w:spacing w:line="360" w:lineRule="auto"/>
        <w:ind w:firstLine="494" w:firstLineChars="206"/>
        <w:rPr>
          <w:rFonts w:ascii="宋体" w:hAnsi="宋体" w:eastAsia="宋体" w:cs="宋体"/>
          <w:color w:val="auto"/>
          <w:kern w:val="0"/>
          <w:sz w:val="24"/>
          <w:szCs w:val="24"/>
        </w:rPr>
      </w:pPr>
    </w:p>
    <w:p w14:paraId="1DADE031">
      <w:pPr>
        <w:spacing w:line="360" w:lineRule="auto"/>
        <w:ind w:right="368" w:rightChars="175" w:firstLine="5460" w:firstLineChars="2600"/>
        <w:jc w:val="left"/>
        <w:rPr>
          <w:rFonts w:ascii="宋体" w:hAnsi="宋体" w:eastAsia="宋体" w:cs="宋体"/>
          <w:color w:val="auto"/>
          <w:szCs w:val="21"/>
          <w:lang w:val="zh-CN"/>
        </w:rPr>
      </w:pPr>
      <w:r>
        <w:rPr>
          <w:rFonts w:hint="eastAsia" w:ascii="宋体" w:hAnsi="宋体" w:eastAsia="宋体" w:cs="宋体"/>
          <w:color w:val="auto"/>
          <w:szCs w:val="21"/>
          <w:lang w:val="zh-CN"/>
        </w:rPr>
        <w:t>投标人：</w:t>
      </w:r>
      <w:r>
        <w:rPr>
          <w:rFonts w:hint="eastAsia" w:ascii="宋体" w:hAnsi="宋体" w:eastAsia="宋体" w:cs="宋体"/>
          <w:color w:val="auto"/>
          <w:kern w:val="0"/>
          <w:szCs w:val="21"/>
          <w:lang w:val="zh-CN"/>
        </w:rPr>
        <w:t>（加盖投标人法人公章）</w:t>
      </w:r>
    </w:p>
    <w:p w14:paraId="25629FCF">
      <w:pPr>
        <w:autoSpaceDE w:val="0"/>
        <w:autoSpaceDN w:val="0"/>
        <w:adjustRightInd w:val="0"/>
        <w:spacing w:line="360" w:lineRule="auto"/>
        <w:ind w:right="781" w:rightChars="372" w:firstLine="2811" w:firstLineChars="1339"/>
        <w:rPr>
          <w:rFonts w:ascii="宋体" w:hAnsi="宋体" w:eastAsia="宋体" w:cs="宋体"/>
          <w:color w:val="auto"/>
          <w:szCs w:val="24"/>
          <w:lang w:val="zh-CN"/>
        </w:rPr>
      </w:pPr>
      <w:r>
        <w:rPr>
          <w:rFonts w:hint="eastAsia" w:ascii="宋体" w:hAnsi="宋体" w:eastAsia="宋体" w:cs="宋体"/>
          <w:color w:val="auto"/>
          <w:szCs w:val="24"/>
          <w:lang w:val="zh-CN"/>
        </w:rPr>
        <w:t xml:space="preserve">               </w:t>
      </w:r>
      <w:r>
        <w:rPr>
          <w:rFonts w:ascii="宋体" w:hAnsi="宋体" w:eastAsia="宋体" w:cs="宋体"/>
          <w:color w:val="auto"/>
          <w:szCs w:val="24"/>
          <w:lang w:val="zh-CN"/>
        </w:rPr>
        <w:t xml:space="preserve">            </w:t>
      </w:r>
      <w:r>
        <w:rPr>
          <w:rFonts w:hint="eastAsia" w:ascii="宋体" w:hAnsi="宋体" w:eastAsia="宋体" w:cs="宋体"/>
          <w:color w:val="auto"/>
          <w:szCs w:val="24"/>
          <w:lang w:val="zh-CN"/>
        </w:rPr>
        <w:t>日  期：   年  月  日</w:t>
      </w:r>
    </w:p>
    <w:p w14:paraId="525A9700">
      <w:pPr>
        <w:rPr>
          <w:rFonts w:ascii="宋体" w:hAnsi="宋体" w:eastAsia="宋体" w:cs="宋体"/>
          <w:color w:val="auto"/>
          <w:szCs w:val="24"/>
          <w:lang w:val="zh-CN"/>
        </w:rPr>
      </w:pPr>
      <w:r>
        <w:rPr>
          <w:rFonts w:ascii="宋体" w:hAnsi="宋体" w:eastAsia="宋体" w:cs="宋体"/>
          <w:color w:val="auto"/>
          <w:szCs w:val="24"/>
          <w:lang w:val="zh-CN"/>
        </w:rPr>
        <w:br w:type="page"/>
      </w:r>
      <w:bookmarkStart w:id="541" w:name="_Toc1977731"/>
      <w:bookmarkStart w:id="542" w:name="_Toc94107215"/>
      <w:bookmarkStart w:id="543" w:name="_Toc2031_WPSOffice_Level2"/>
      <w:bookmarkStart w:id="544" w:name="_Toc140596934"/>
      <w:bookmarkStart w:id="545" w:name="_Toc533708126"/>
      <w:bookmarkStart w:id="546" w:name="_Toc102860079"/>
      <w:bookmarkStart w:id="547" w:name="_Toc102860423"/>
      <w:bookmarkStart w:id="548" w:name="_Toc486167714"/>
      <w:bookmarkStart w:id="549" w:name="_Toc13237"/>
      <w:bookmarkStart w:id="550" w:name="_Toc142508374"/>
      <w:bookmarkStart w:id="551" w:name="_Toc104991881"/>
    </w:p>
    <w:p w14:paraId="2FD37001">
      <w:pPr>
        <w:tabs>
          <w:tab w:val="left" w:pos="567"/>
        </w:tabs>
        <w:autoSpaceDE w:val="0"/>
        <w:autoSpaceDN w:val="0"/>
        <w:adjustRightInd w:val="0"/>
        <w:spacing w:line="360" w:lineRule="auto"/>
        <w:jc w:val="left"/>
        <w:rPr>
          <w:rFonts w:ascii="宋体" w:hAnsi="宋体" w:eastAsia="宋体" w:cs="Times New Roman"/>
          <w:color w:val="auto"/>
          <w:kern w:val="0"/>
          <w:szCs w:val="21"/>
          <w:u w:val="single"/>
        </w:rPr>
      </w:pPr>
      <w:bookmarkStart w:id="552" w:name="_Toc11148"/>
      <w:r>
        <w:rPr>
          <w:rFonts w:hint="eastAsia" w:ascii="宋体" w:hAnsi="宋体" w:eastAsia="宋体" w:cs="宋体"/>
          <w:b/>
          <w:color w:val="auto"/>
          <w:kern w:val="0"/>
          <w:sz w:val="32"/>
          <w:szCs w:val="32"/>
        </w:rPr>
        <w:t>六、投标人基本情况一览表</w:t>
      </w:r>
      <w:bookmarkEnd w:id="541"/>
      <w:bookmarkEnd w:id="542"/>
      <w:bookmarkEnd w:id="543"/>
      <w:bookmarkEnd w:id="544"/>
      <w:bookmarkEnd w:id="545"/>
      <w:bookmarkEnd w:id="546"/>
      <w:bookmarkEnd w:id="547"/>
      <w:bookmarkEnd w:id="548"/>
      <w:bookmarkEnd w:id="549"/>
      <w:bookmarkEnd w:id="550"/>
      <w:bookmarkEnd w:id="551"/>
      <w:bookmarkEnd w:id="552"/>
    </w:p>
    <w:p w14:paraId="62B28596">
      <w:pPr>
        <w:autoSpaceDE w:val="0"/>
        <w:autoSpaceDN w:val="0"/>
        <w:adjustRightInd w:val="0"/>
        <w:spacing w:line="360" w:lineRule="auto"/>
        <w:jc w:val="center"/>
        <w:rPr>
          <w:rFonts w:ascii="宋体" w:hAnsi="宋体" w:eastAsia="宋体" w:cs="宋体"/>
          <w:b/>
          <w:bCs/>
          <w:color w:val="auto"/>
          <w:sz w:val="30"/>
          <w:szCs w:val="30"/>
        </w:rPr>
      </w:pPr>
      <w:bookmarkStart w:id="553" w:name="_Toc2773_WPSOffice_Level3"/>
      <w:r>
        <w:rPr>
          <w:rFonts w:hint="eastAsia" w:ascii="宋体" w:hAnsi="宋体" w:eastAsia="宋体" w:cs="宋体"/>
          <w:b/>
          <w:bCs/>
          <w:color w:val="auto"/>
          <w:sz w:val="30"/>
          <w:szCs w:val="30"/>
          <w:lang w:val="zh-CN"/>
        </w:rPr>
        <w:t>投标人基本情况一览表</w:t>
      </w:r>
      <w:bookmarkEnd w:id="553"/>
    </w:p>
    <w:p w14:paraId="53C80D8E">
      <w:pPr>
        <w:autoSpaceDE w:val="0"/>
        <w:autoSpaceDN w:val="0"/>
        <w:adjustRightInd w:val="0"/>
        <w:spacing w:line="360" w:lineRule="auto"/>
        <w:ind w:firstLine="420"/>
        <w:rPr>
          <w:rFonts w:ascii="宋体" w:hAnsi="宋体" w:eastAsia="宋体" w:cs="宋体"/>
          <w:color w:val="auto"/>
          <w:szCs w:val="21"/>
        </w:rPr>
      </w:pPr>
      <w:r>
        <w:rPr>
          <w:rFonts w:hint="eastAsia" w:ascii="宋体" w:hAnsi="宋体" w:eastAsia="宋体" w:cs="宋体"/>
          <w:color w:val="auto"/>
          <w:szCs w:val="21"/>
          <w:lang w:val="zh-CN"/>
        </w:rPr>
        <w:t>1．名称及概况：</w:t>
      </w:r>
    </w:p>
    <w:p w14:paraId="7030BCC9">
      <w:pPr>
        <w:autoSpaceDE w:val="0"/>
        <w:autoSpaceDN w:val="0"/>
        <w:adjustRightInd w:val="0"/>
        <w:spacing w:line="360" w:lineRule="auto"/>
        <w:ind w:firstLine="420"/>
        <w:rPr>
          <w:rFonts w:ascii="宋体" w:hAnsi="宋体" w:eastAsia="宋体" w:cs="宋体"/>
          <w:color w:val="auto"/>
          <w:szCs w:val="24"/>
          <w:lang w:val="zh-CN"/>
        </w:rPr>
      </w:pPr>
      <w:r>
        <w:rPr>
          <w:rFonts w:hint="eastAsia" w:ascii="宋体" w:hAnsi="宋体" w:eastAsia="宋体" w:cs="宋体"/>
          <w:color w:val="auto"/>
          <w:szCs w:val="24"/>
          <w:lang w:val="zh-CN"/>
        </w:rPr>
        <w:t>（1）投标人名称：________________________________________</w:t>
      </w:r>
    </w:p>
    <w:p w14:paraId="3636DB8D">
      <w:pPr>
        <w:autoSpaceDE w:val="0"/>
        <w:autoSpaceDN w:val="0"/>
        <w:adjustRightInd w:val="0"/>
        <w:spacing w:line="360" w:lineRule="auto"/>
        <w:ind w:firstLine="420"/>
        <w:rPr>
          <w:rFonts w:ascii="宋体" w:hAnsi="宋体" w:eastAsia="宋体" w:cs="宋体"/>
          <w:color w:val="auto"/>
          <w:szCs w:val="24"/>
          <w:lang w:val="zh-CN"/>
        </w:rPr>
      </w:pPr>
      <w:r>
        <w:rPr>
          <w:rFonts w:hint="eastAsia" w:ascii="宋体" w:hAnsi="宋体" w:eastAsia="宋体" w:cs="宋体"/>
          <w:color w:val="auto"/>
          <w:szCs w:val="24"/>
          <w:lang w:val="zh-CN"/>
        </w:rPr>
        <w:t>（2）总部地址：__________________________________________</w:t>
      </w:r>
    </w:p>
    <w:p w14:paraId="5AAD304F">
      <w:pPr>
        <w:autoSpaceDE w:val="0"/>
        <w:autoSpaceDN w:val="0"/>
        <w:adjustRightInd w:val="0"/>
        <w:spacing w:line="360" w:lineRule="auto"/>
        <w:ind w:firstLine="660"/>
        <w:rPr>
          <w:rFonts w:ascii="宋体" w:hAnsi="宋体" w:eastAsia="宋体" w:cs="宋体"/>
          <w:color w:val="auto"/>
          <w:szCs w:val="24"/>
          <w:lang w:val="zh-CN"/>
        </w:rPr>
      </w:pPr>
      <w:r>
        <w:rPr>
          <w:rFonts w:hint="eastAsia" w:ascii="宋体" w:hAnsi="宋体" w:eastAsia="宋体" w:cs="宋体"/>
          <w:color w:val="auto"/>
          <w:szCs w:val="24"/>
          <w:lang w:val="zh-CN"/>
        </w:rPr>
        <w:t xml:space="preserve">   邮政编码：__________________________________________</w:t>
      </w:r>
    </w:p>
    <w:p w14:paraId="2D6E6394">
      <w:pPr>
        <w:autoSpaceDE w:val="0"/>
        <w:autoSpaceDN w:val="0"/>
        <w:adjustRightInd w:val="0"/>
        <w:spacing w:line="360" w:lineRule="auto"/>
        <w:ind w:firstLine="420"/>
        <w:rPr>
          <w:rFonts w:ascii="宋体" w:hAnsi="宋体" w:eastAsia="宋体" w:cs="宋体"/>
          <w:color w:val="auto"/>
          <w:szCs w:val="24"/>
          <w:lang w:val="zh-CN"/>
        </w:rPr>
      </w:pPr>
      <w:r>
        <w:rPr>
          <w:rFonts w:hint="eastAsia" w:ascii="宋体" w:hAnsi="宋体" w:eastAsia="宋体" w:cs="宋体"/>
          <w:color w:val="auto"/>
          <w:szCs w:val="24"/>
          <w:lang w:val="zh-CN"/>
        </w:rPr>
        <w:t xml:space="preserve">     电话号码：__________________________________________ </w:t>
      </w:r>
    </w:p>
    <w:p w14:paraId="3596C46C">
      <w:pPr>
        <w:autoSpaceDE w:val="0"/>
        <w:autoSpaceDN w:val="0"/>
        <w:adjustRightInd w:val="0"/>
        <w:spacing w:line="360" w:lineRule="auto"/>
        <w:ind w:firstLine="420"/>
        <w:rPr>
          <w:rFonts w:ascii="宋体" w:hAnsi="宋体" w:eastAsia="宋体" w:cs="宋体"/>
          <w:color w:val="auto"/>
          <w:szCs w:val="24"/>
          <w:lang w:val="zh-CN"/>
        </w:rPr>
      </w:pPr>
      <w:r>
        <w:rPr>
          <w:rFonts w:hint="eastAsia" w:ascii="宋体" w:hAnsi="宋体" w:eastAsia="宋体" w:cs="宋体"/>
          <w:color w:val="auto"/>
          <w:szCs w:val="24"/>
          <w:lang w:val="zh-CN"/>
        </w:rPr>
        <w:t xml:space="preserve">     传真号码：__________________________________________ </w:t>
      </w:r>
    </w:p>
    <w:p w14:paraId="6A51551E">
      <w:pPr>
        <w:autoSpaceDE w:val="0"/>
        <w:autoSpaceDN w:val="0"/>
        <w:adjustRightInd w:val="0"/>
        <w:spacing w:line="360" w:lineRule="auto"/>
        <w:ind w:firstLine="420"/>
        <w:rPr>
          <w:rFonts w:ascii="宋体" w:hAnsi="宋体" w:eastAsia="宋体" w:cs="宋体"/>
          <w:color w:val="auto"/>
          <w:szCs w:val="24"/>
          <w:lang w:val="zh-CN"/>
        </w:rPr>
      </w:pPr>
      <w:r>
        <w:rPr>
          <w:rFonts w:hint="eastAsia" w:ascii="宋体" w:hAnsi="宋体" w:eastAsia="宋体" w:cs="宋体"/>
          <w:color w:val="auto"/>
          <w:szCs w:val="24"/>
          <w:lang w:val="zh-CN"/>
        </w:rPr>
        <w:t>（3）成立和／或注册日期：________________________________</w:t>
      </w:r>
    </w:p>
    <w:p w14:paraId="04287947">
      <w:pPr>
        <w:autoSpaceDE w:val="0"/>
        <w:autoSpaceDN w:val="0"/>
        <w:adjustRightInd w:val="0"/>
        <w:spacing w:line="360" w:lineRule="auto"/>
        <w:ind w:firstLine="420"/>
        <w:rPr>
          <w:rFonts w:ascii="宋体" w:hAnsi="宋体" w:eastAsia="宋体" w:cs="宋体"/>
          <w:color w:val="auto"/>
          <w:szCs w:val="24"/>
          <w:lang w:val="zh-CN"/>
        </w:rPr>
      </w:pPr>
      <w:r>
        <w:rPr>
          <w:rFonts w:hint="eastAsia" w:ascii="宋体" w:hAnsi="宋体" w:eastAsia="宋体" w:cs="宋体"/>
          <w:color w:val="auto"/>
          <w:szCs w:val="24"/>
          <w:lang w:val="zh-CN"/>
        </w:rPr>
        <w:t>（4）法人代表：_____________________________________ ____</w:t>
      </w:r>
    </w:p>
    <w:p w14:paraId="7C5174B9">
      <w:pPr>
        <w:autoSpaceDE w:val="0"/>
        <w:autoSpaceDN w:val="0"/>
        <w:adjustRightInd w:val="0"/>
        <w:spacing w:line="360" w:lineRule="auto"/>
        <w:ind w:firstLine="420"/>
        <w:rPr>
          <w:rFonts w:ascii="宋体" w:hAnsi="宋体" w:eastAsia="宋体" w:cs="宋体"/>
          <w:color w:val="auto"/>
          <w:szCs w:val="24"/>
          <w:lang w:val="zh-CN"/>
        </w:rPr>
      </w:pPr>
      <w:r>
        <w:rPr>
          <w:rFonts w:hint="eastAsia" w:ascii="宋体" w:hAnsi="宋体" w:eastAsia="宋体" w:cs="宋体"/>
          <w:color w:val="auto"/>
          <w:szCs w:val="24"/>
          <w:lang w:val="zh-CN"/>
        </w:rPr>
        <w:t>（5）开户银行：__________________________________________</w:t>
      </w:r>
    </w:p>
    <w:p w14:paraId="3CBBC66C">
      <w:pPr>
        <w:autoSpaceDE w:val="0"/>
        <w:autoSpaceDN w:val="0"/>
        <w:adjustRightInd w:val="0"/>
        <w:spacing w:line="360" w:lineRule="auto"/>
        <w:ind w:firstLine="420"/>
        <w:rPr>
          <w:rFonts w:ascii="宋体" w:hAnsi="宋体" w:eastAsia="宋体" w:cs="宋体"/>
          <w:color w:val="auto"/>
          <w:szCs w:val="24"/>
          <w:lang w:val="zh-CN"/>
        </w:rPr>
      </w:pPr>
      <w:r>
        <w:rPr>
          <w:rFonts w:hint="eastAsia" w:ascii="宋体" w:hAnsi="宋体" w:eastAsia="宋体" w:cs="宋体"/>
          <w:color w:val="auto"/>
          <w:szCs w:val="24"/>
          <w:lang w:val="zh-CN"/>
        </w:rPr>
        <w:t>（6）开户账号：__________________________________________</w:t>
      </w:r>
    </w:p>
    <w:p w14:paraId="1770B3F5">
      <w:pPr>
        <w:autoSpaceDE w:val="0"/>
        <w:autoSpaceDN w:val="0"/>
        <w:adjustRightInd w:val="0"/>
        <w:spacing w:line="360" w:lineRule="auto"/>
        <w:ind w:firstLine="420"/>
        <w:rPr>
          <w:rFonts w:ascii="宋体" w:hAnsi="宋体" w:eastAsia="宋体" w:cs="宋体"/>
          <w:color w:val="auto"/>
          <w:szCs w:val="24"/>
          <w:lang w:val="zh-CN"/>
        </w:rPr>
      </w:pPr>
      <w:r>
        <w:rPr>
          <w:rFonts w:hint="eastAsia" w:ascii="宋体" w:hAnsi="宋体" w:eastAsia="宋体" w:cs="宋体"/>
          <w:color w:val="auto"/>
          <w:szCs w:val="24"/>
          <w:lang w:val="zh-CN"/>
        </w:rPr>
        <w:t>（7）注册资金：__________________________________________</w:t>
      </w:r>
    </w:p>
    <w:p w14:paraId="1BDD94B0">
      <w:pPr>
        <w:autoSpaceDE w:val="0"/>
        <w:autoSpaceDN w:val="0"/>
        <w:adjustRightInd w:val="0"/>
        <w:spacing w:line="360" w:lineRule="auto"/>
        <w:ind w:firstLine="420"/>
        <w:rPr>
          <w:rFonts w:ascii="宋体" w:hAnsi="宋体" w:eastAsia="宋体" w:cs="宋体"/>
          <w:color w:val="auto"/>
          <w:szCs w:val="24"/>
        </w:rPr>
      </w:pPr>
      <w:r>
        <w:rPr>
          <w:rFonts w:hint="eastAsia" w:ascii="宋体" w:hAnsi="宋体" w:eastAsia="宋体" w:cs="宋体"/>
          <w:color w:val="auto"/>
          <w:szCs w:val="24"/>
          <w:lang w:val="zh-CN"/>
        </w:rPr>
        <w:t>（8）主要负责人姓名：____________________________________</w:t>
      </w:r>
    </w:p>
    <w:p w14:paraId="06356DC2">
      <w:pPr>
        <w:autoSpaceDE w:val="0"/>
        <w:autoSpaceDN w:val="0"/>
        <w:adjustRightInd w:val="0"/>
        <w:spacing w:line="360" w:lineRule="auto"/>
        <w:ind w:firstLine="420"/>
        <w:rPr>
          <w:rFonts w:ascii="宋体" w:hAnsi="宋体" w:eastAsia="宋体" w:cs="宋体"/>
          <w:color w:val="auto"/>
          <w:szCs w:val="24"/>
        </w:rPr>
      </w:pPr>
      <w:r>
        <w:rPr>
          <w:rFonts w:hint="eastAsia" w:ascii="宋体" w:hAnsi="宋体" w:eastAsia="宋体" w:cs="宋体"/>
          <w:color w:val="auto"/>
          <w:szCs w:val="24"/>
          <w:lang w:val="zh-CN"/>
        </w:rPr>
        <w:t xml:space="preserve">（9）项目主要联系人（姓名、职务、通讯）：_________________   </w:t>
      </w:r>
    </w:p>
    <w:p w14:paraId="119A20CB">
      <w:pPr>
        <w:autoSpaceDE w:val="0"/>
        <w:autoSpaceDN w:val="0"/>
        <w:adjustRightInd w:val="0"/>
        <w:spacing w:line="360" w:lineRule="auto"/>
        <w:ind w:firstLine="420"/>
        <w:rPr>
          <w:rFonts w:ascii="宋体" w:hAnsi="宋体" w:eastAsia="宋体" w:cs="宋体"/>
          <w:color w:val="auto"/>
          <w:szCs w:val="24"/>
        </w:rPr>
      </w:pPr>
      <w:r>
        <w:rPr>
          <w:rFonts w:hint="eastAsia" w:ascii="宋体" w:hAnsi="宋体" w:eastAsia="宋体" w:cs="宋体"/>
          <w:color w:val="auto"/>
          <w:szCs w:val="24"/>
          <w:lang w:val="zh-CN"/>
        </w:rPr>
        <w:t>（10）在中国的代表的姓名和地址（如有）：__________________</w:t>
      </w:r>
    </w:p>
    <w:p w14:paraId="509EC122">
      <w:pPr>
        <w:autoSpaceDE w:val="0"/>
        <w:autoSpaceDN w:val="0"/>
        <w:adjustRightInd w:val="0"/>
        <w:spacing w:line="360" w:lineRule="auto"/>
        <w:ind w:firstLine="420"/>
        <w:rPr>
          <w:rFonts w:ascii="宋体" w:hAnsi="宋体" w:eastAsia="宋体" w:cs="宋体"/>
          <w:color w:val="auto"/>
          <w:szCs w:val="24"/>
        </w:rPr>
      </w:pPr>
      <w:r>
        <w:rPr>
          <w:rFonts w:hint="eastAsia" w:ascii="宋体" w:hAnsi="宋体" w:eastAsia="宋体" w:cs="宋体"/>
          <w:color w:val="auto"/>
          <w:szCs w:val="24"/>
          <w:lang w:val="zh-CN"/>
        </w:rPr>
        <w:t>2．供征询之银行的名称和地址：____________________________</w:t>
      </w:r>
    </w:p>
    <w:p w14:paraId="4C462DEF">
      <w:pPr>
        <w:autoSpaceDE w:val="0"/>
        <w:autoSpaceDN w:val="0"/>
        <w:adjustRightInd w:val="0"/>
        <w:spacing w:line="360" w:lineRule="auto"/>
        <w:rPr>
          <w:rFonts w:ascii="宋体" w:hAnsi="宋体" w:eastAsia="宋体" w:cs="宋体"/>
          <w:color w:val="auto"/>
          <w:szCs w:val="24"/>
        </w:rPr>
      </w:pPr>
      <w:r>
        <w:rPr>
          <w:rFonts w:hint="eastAsia" w:ascii="宋体" w:hAnsi="宋体" w:eastAsia="宋体" w:cs="宋体"/>
          <w:color w:val="auto"/>
          <w:szCs w:val="24"/>
          <w:lang w:val="zh-CN"/>
        </w:rPr>
        <w:t xml:space="preserve">    3．公司所隶属之国际集团名称（如果是）____________________</w:t>
      </w:r>
    </w:p>
    <w:p w14:paraId="658EBF99">
      <w:pPr>
        <w:autoSpaceDE w:val="0"/>
        <w:autoSpaceDN w:val="0"/>
        <w:adjustRightInd w:val="0"/>
        <w:spacing w:line="360" w:lineRule="auto"/>
        <w:ind w:firstLine="420"/>
        <w:rPr>
          <w:rFonts w:ascii="宋体" w:hAnsi="宋体" w:eastAsia="宋体" w:cs="宋体"/>
          <w:color w:val="auto"/>
          <w:szCs w:val="24"/>
        </w:rPr>
      </w:pPr>
      <w:r>
        <w:rPr>
          <w:rFonts w:hint="eastAsia" w:ascii="宋体" w:hAnsi="宋体" w:eastAsia="宋体" w:cs="宋体"/>
          <w:color w:val="auto"/>
          <w:szCs w:val="24"/>
          <w:lang w:val="zh-CN"/>
        </w:rPr>
        <w:t>4. 提交资料（包括但不限于组织架构、公司简介等）：</w:t>
      </w:r>
    </w:p>
    <w:p w14:paraId="723BCC53">
      <w:pPr>
        <w:autoSpaceDE w:val="0"/>
        <w:autoSpaceDN w:val="0"/>
        <w:adjustRightInd w:val="0"/>
        <w:spacing w:line="360" w:lineRule="auto"/>
        <w:ind w:firstLine="630" w:firstLineChars="300"/>
        <w:rPr>
          <w:rFonts w:ascii="宋体" w:hAnsi="宋体" w:eastAsia="宋体" w:cs="宋体"/>
          <w:color w:val="auto"/>
          <w:szCs w:val="24"/>
          <w:lang w:val="zh-CN"/>
        </w:rPr>
      </w:pPr>
      <w:r>
        <w:rPr>
          <w:rFonts w:hint="eastAsia" w:ascii="宋体" w:hAnsi="宋体" w:eastAsia="宋体" w:cs="宋体"/>
          <w:color w:val="auto"/>
          <w:szCs w:val="24"/>
          <w:lang w:val="zh-CN"/>
        </w:rPr>
        <w:t>（1）公司简介；</w:t>
      </w:r>
    </w:p>
    <w:p w14:paraId="32BEC6CC">
      <w:pPr>
        <w:autoSpaceDE w:val="0"/>
        <w:autoSpaceDN w:val="0"/>
        <w:adjustRightInd w:val="0"/>
        <w:spacing w:line="360" w:lineRule="auto"/>
        <w:ind w:firstLine="1155" w:firstLineChars="550"/>
        <w:rPr>
          <w:rFonts w:ascii="宋体" w:hAnsi="宋体" w:eastAsia="宋体" w:cs="宋体"/>
          <w:color w:val="auto"/>
          <w:szCs w:val="24"/>
          <w:lang w:val="zh-CN"/>
        </w:rPr>
      </w:pPr>
      <w:r>
        <w:rPr>
          <w:rFonts w:hint="eastAsia" w:ascii="宋体" w:hAnsi="宋体" w:eastAsia="宋体" w:cs="宋体"/>
          <w:color w:val="auto"/>
          <w:szCs w:val="24"/>
          <w:lang w:val="zh-CN"/>
        </w:rPr>
        <w:t>__________________________________________________</w:t>
      </w:r>
    </w:p>
    <w:p w14:paraId="5FC94515">
      <w:pPr>
        <w:autoSpaceDE w:val="0"/>
        <w:autoSpaceDN w:val="0"/>
        <w:adjustRightInd w:val="0"/>
        <w:spacing w:line="360" w:lineRule="auto"/>
        <w:ind w:firstLine="630" w:firstLineChars="300"/>
        <w:rPr>
          <w:rFonts w:ascii="宋体" w:hAnsi="宋体" w:eastAsia="宋体" w:cs="宋体"/>
          <w:color w:val="auto"/>
          <w:szCs w:val="24"/>
          <w:lang w:val="zh-CN"/>
        </w:rPr>
      </w:pPr>
      <w:r>
        <w:rPr>
          <w:rFonts w:hint="eastAsia" w:ascii="宋体" w:hAnsi="宋体" w:eastAsia="宋体" w:cs="宋体"/>
          <w:color w:val="auto"/>
          <w:szCs w:val="24"/>
          <w:lang w:val="zh-CN"/>
        </w:rPr>
        <w:t>（2）公司组织架构；</w:t>
      </w:r>
    </w:p>
    <w:p w14:paraId="25E3FDA1">
      <w:pPr>
        <w:autoSpaceDE w:val="0"/>
        <w:autoSpaceDN w:val="0"/>
        <w:adjustRightInd w:val="0"/>
        <w:spacing w:line="360" w:lineRule="auto"/>
        <w:ind w:firstLine="1155" w:firstLineChars="550"/>
        <w:rPr>
          <w:rFonts w:ascii="宋体" w:hAnsi="宋体" w:eastAsia="宋体" w:cs="宋体"/>
          <w:color w:val="auto"/>
          <w:szCs w:val="24"/>
          <w:lang w:val="zh-CN"/>
        </w:rPr>
      </w:pPr>
      <w:r>
        <w:rPr>
          <w:rFonts w:hint="eastAsia" w:ascii="宋体" w:hAnsi="宋体" w:eastAsia="宋体" w:cs="宋体"/>
          <w:color w:val="auto"/>
          <w:szCs w:val="24"/>
          <w:lang w:val="zh-CN"/>
        </w:rPr>
        <w:t>_______________________________________________</w:t>
      </w:r>
      <w:r>
        <w:rPr>
          <w:rFonts w:hint="eastAsia" w:ascii="宋体" w:hAnsi="宋体" w:eastAsia="宋体" w:cs="宋体"/>
          <w:color w:val="auto"/>
          <w:szCs w:val="24"/>
          <w:u w:val="single"/>
          <w:lang w:val="zh-CN"/>
        </w:rPr>
        <w:t xml:space="preserve">__ </w:t>
      </w:r>
    </w:p>
    <w:p w14:paraId="2B7B67A0">
      <w:pPr>
        <w:autoSpaceDE w:val="0"/>
        <w:autoSpaceDN w:val="0"/>
        <w:adjustRightInd w:val="0"/>
        <w:spacing w:line="360" w:lineRule="auto"/>
        <w:ind w:left="836" w:leftChars="137" w:hanging="548" w:hangingChars="261"/>
        <w:rPr>
          <w:rFonts w:ascii="宋体" w:hAnsi="宋体" w:eastAsia="宋体" w:cs="宋体"/>
          <w:color w:val="auto"/>
          <w:szCs w:val="24"/>
          <w:lang w:val="zh-CN"/>
        </w:rPr>
      </w:pPr>
      <w:r>
        <w:rPr>
          <w:rFonts w:hint="eastAsia" w:ascii="宋体" w:hAnsi="宋体" w:eastAsia="宋体" w:cs="宋体"/>
          <w:color w:val="auto"/>
          <w:szCs w:val="24"/>
          <w:lang w:val="zh-CN"/>
        </w:rPr>
        <w:t>（3）东莞市内设有分支机构情况介绍[应提供该分支机构的多证合一营业执照复印件等证明材料]（若无前述分支机构的无需介绍）。</w:t>
      </w:r>
    </w:p>
    <w:p w14:paraId="68568D3A">
      <w:pPr>
        <w:autoSpaceDE w:val="0"/>
        <w:autoSpaceDN w:val="0"/>
        <w:adjustRightInd w:val="0"/>
        <w:spacing w:line="360" w:lineRule="auto"/>
        <w:ind w:firstLine="420" w:firstLineChars="200"/>
        <w:rPr>
          <w:rFonts w:ascii="宋体" w:hAnsi="宋体" w:eastAsia="宋体" w:cs="宋体"/>
          <w:color w:val="auto"/>
          <w:szCs w:val="24"/>
          <w:lang w:val="zh-CN"/>
        </w:rPr>
      </w:pPr>
      <w:r>
        <w:rPr>
          <w:rFonts w:hint="eastAsia" w:ascii="宋体" w:hAnsi="宋体" w:eastAsia="宋体" w:cs="宋体"/>
          <w:color w:val="auto"/>
          <w:szCs w:val="24"/>
          <w:lang w:val="zh-CN"/>
        </w:rPr>
        <w:t>兹证明上述说明是真实、正确的，并提供了全部能提供的资料和数据，我们同意遵照贵方要求出示有关证明文件。</w:t>
      </w:r>
    </w:p>
    <w:p w14:paraId="2C38C89D">
      <w:pPr>
        <w:autoSpaceDE w:val="0"/>
        <w:autoSpaceDN w:val="0"/>
        <w:adjustRightInd w:val="0"/>
        <w:spacing w:line="360" w:lineRule="auto"/>
        <w:ind w:firstLine="420" w:firstLineChars="200"/>
        <w:rPr>
          <w:rFonts w:ascii="宋体" w:hAnsi="宋体" w:eastAsia="宋体" w:cs="宋体"/>
          <w:color w:val="auto"/>
          <w:szCs w:val="24"/>
        </w:rPr>
      </w:pPr>
    </w:p>
    <w:p w14:paraId="66A8792A">
      <w:pPr>
        <w:autoSpaceDE w:val="0"/>
        <w:autoSpaceDN w:val="0"/>
        <w:adjustRightInd w:val="0"/>
        <w:spacing w:line="360" w:lineRule="auto"/>
        <w:ind w:right="368" w:rightChars="175"/>
        <w:jc w:val="right"/>
        <w:rPr>
          <w:rFonts w:ascii="宋体" w:hAnsi="宋体" w:eastAsia="宋体" w:cs="宋体"/>
          <w:color w:val="auto"/>
          <w:szCs w:val="24"/>
        </w:rPr>
      </w:pPr>
      <w:r>
        <w:rPr>
          <w:rFonts w:hint="eastAsia" w:ascii="宋体" w:hAnsi="宋体" w:eastAsia="宋体" w:cs="宋体"/>
          <w:color w:val="auto"/>
          <w:szCs w:val="24"/>
          <w:lang w:val="zh-CN"/>
        </w:rPr>
        <w:t>投标人</w:t>
      </w:r>
      <w:r>
        <w:rPr>
          <w:rFonts w:hint="eastAsia" w:ascii="宋体" w:hAnsi="宋体" w:eastAsia="宋体" w:cs="宋体"/>
          <w:color w:val="auto"/>
          <w:szCs w:val="21"/>
          <w:lang w:val="zh-CN"/>
        </w:rPr>
        <w:t>：</w:t>
      </w:r>
      <w:r>
        <w:rPr>
          <w:rFonts w:hint="eastAsia" w:ascii="宋体" w:hAnsi="宋体" w:eastAsia="宋体" w:cs="宋体"/>
          <w:color w:val="auto"/>
          <w:kern w:val="0"/>
          <w:szCs w:val="21"/>
          <w:lang w:val="zh-CN"/>
        </w:rPr>
        <w:t>（加盖投标人法人公章）</w:t>
      </w:r>
    </w:p>
    <w:p w14:paraId="761660BA">
      <w:pPr>
        <w:autoSpaceDE w:val="0"/>
        <w:autoSpaceDN w:val="0"/>
        <w:adjustRightInd w:val="0"/>
        <w:spacing w:line="360" w:lineRule="auto"/>
        <w:ind w:right="368" w:rightChars="175" w:firstLine="6237"/>
        <w:jc w:val="left"/>
        <w:rPr>
          <w:rFonts w:ascii="宋体" w:hAnsi="宋体" w:eastAsia="宋体" w:cs="宋体"/>
          <w:color w:val="auto"/>
          <w:szCs w:val="24"/>
          <w:lang w:val="zh-CN"/>
        </w:rPr>
      </w:pPr>
      <w:r>
        <w:rPr>
          <w:rFonts w:hint="eastAsia" w:ascii="宋体" w:hAnsi="宋体" w:eastAsia="宋体" w:cs="宋体"/>
          <w:color w:val="auto"/>
          <w:szCs w:val="24"/>
          <w:lang w:val="zh-CN"/>
        </w:rPr>
        <w:t>日  期：　年  月  日</w:t>
      </w:r>
    </w:p>
    <w:p w14:paraId="359BF455">
      <w:pPr>
        <w:tabs>
          <w:tab w:val="left" w:pos="567"/>
        </w:tabs>
        <w:autoSpaceDE w:val="0"/>
        <w:autoSpaceDN w:val="0"/>
        <w:adjustRightInd w:val="0"/>
        <w:spacing w:line="360" w:lineRule="auto"/>
        <w:ind w:left="357" w:leftChars="-100" w:hanging="567"/>
        <w:jc w:val="left"/>
        <w:rPr>
          <w:rFonts w:ascii="宋体" w:hAnsi="宋体" w:eastAsia="宋体" w:cs="宋体"/>
          <w:b/>
          <w:color w:val="auto"/>
          <w:kern w:val="0"/>
          <w:sz w:val="32"/>
          <w:szCs w:val="32"/>
        </w:rPr>
      </w:pPr>
      <w:r>
        <w:rPr>
          <w:rFonts w:hint="eastAsia" w:ascii="宋体" w:hAnsi="宋体" w:eastAsia="宋体" w:cs="宋体"/>
          <w:color w:val="auto"/>
          <w:szCs w:val="24"/>
          <w:lang w:val="zh-CN"/>
        </w:rPr>
        <w:br w:type="page"/>
      </w:r>
      <w:bookmarkStart w:id="554" w:name="_Toc140596935"/>
      <w:bookmarkStart w:id="555" w:name="_Toc3711"/>
      <w:bookmarkStart w:id="556" w:name="_Toc4495"/>
      <w:bookmarkStart w:id="557" w:name="_Toc102860424"/>
      <w:bookmarkStart w:id="558" w:name="_Toc102860080"/>
      <w:bookmarkStart w:id="559" w:name="_Toc142508375"/>
      <w:bookmarkStart w:id="560" w:name="_Toc104991882"/>
      <w:bookmarkStart w:id="561" w:name="_Toc94107216"/>
      <w:bookmarkStart w:id="562" w:name="_Toc486167715"/>
      <w:bookmarkStart w:id="563" w:name="_Toc1977733"/>
      <w:bookmarkStart w:id="564" w:name="_Toc533708128"/>
      <w:bookmarkStart w:id="565" w:name="_Toc9051_WPSOffice_Level2"/>
      <w:r>
        <w:rPr>
          <w:rFonts w:hint="eastAsia" w:ascii="宋体" w:hAnsi="宋体" w:eastAsia="宋体" w:cs="宋体"/>
          <w:b/>
          <w:color w:val="auto"/>
          <w:sz w:val="32"/>
          <w:szCs w:val="32"/>
        </w:rPr>
        <w:t>七</w:t>
      </w:r>
      <w:r>
        <w:rPr>
          <w:rFonts w:hint="eastAsia" w:ascii="宋体" w:hAnsi="宋体" w:eastAsia="宋体" w:cs="宋体"/>
          <w:b/>
          <w:color w:val="auto"/>
          <w:sz w:val="32"/>
          <w:szCs w:val="32"/>
          <w:lang w:val="zh-CN"/>
        </w:rPr>
        <w:t>、投标人财务状况表格式</w:t>
      </w:r>
      <w:bookmarkEnd w:id="554"/>
      <w:bookmarkEnd w:id="555"/>
      <w:bookmarkEnd w:id="556"/>
      <w:bookmarkEnd w:id="557"/>
      <w:bookmarkEnd w:id="558"/>
      <w:bookmarkEnd w:id="559"/>
      <w:bookmarkEnd w:id="560"/>
      <w:bookmarkEnd w:id="561"/>
    </w:p>
    <w:p w14:paraId="2D44C7D4">
      <w:pPr>
        <w:autoSpaceDE w:val="0"/>
        <w:autoSpaceDN w:val="0"/>
        <w:adjustRightInd w:val="0"/>
        <w:spacing w:line="360" w:lineRule="auto"/>
        <w:jc w:val="center"/>
        <w:rPr>
          <w:rFonts w:ascii="宋体" w:hAnsi="宋体" w:eastAsia="宋体" w:cs="宋体"/>
          <w:b/>
          <w:color w:val="auto"/>
          <w:kern w:val="0"/>
          <w:sz w:val="30"/>
          <w:szCs w:val="30"/>
        </w:rPr>
      </w:pPr>
      <w:r>
        <w:rPr>
          <w:rFonts w:hint="eastAsia" w:ascii="宋体" w:hAnsi="宋体" w:eastAsia="宋体" w:cs="宋体"/>
          <w:b/>
          <w:color w:val="auto"/>
          <w:kern w:val="0"/>
          <w:sz w:val="30"/>
          <w:szCs w:val="30"/>
        </w:rPr>
        <w:t xml:space="preserve">投标人财务状况表 </w:t>
      </w:r>
    </w:p>
    <w:p w14:paraId="5C47D5D8">
      <w:pPr>
        <w:autoSpaceDE w:val="0"/>
        <w:autoSpaceDN w:val="0"/>
        <w:adjustRightInd w:val="0"/>
        <w:spacing w:line="360" w:lineRule="auto"/>
        <w:jc w:val="right"/>
        <w:rPr>
          <w:rFonts w:ascii="宋体" w:hAnsi="宋体" w:eastAsia="宋体" w:cs="宋体"/>
          <w:color w:val="auto"/>
          <w:kern w:val="0"/>
          <w:szCs w:val="21"/>
        </w:rPr>
      </w:pPr>
      <w:r>
        <w:rPr>
          <w:rFonts w:hint="eastAsia" w:ascii="宋体" w:hAnsi="宋体" w:eastAsia="宋体" w:cs="宋体"/>
          <w:color w:val="auto"/>
          <w:kern w:val="0"/>
          <w:szCs w:val="21"/>
        </w:rPr>
        <w:t>[价格单位：（人民币）元]</w:t>
      </w:r>
    </w:p>
    <w:tbl>
      <w:tblPr>
        <w:tblStyle w:val="4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66"/>
        <w:gridCol w:w="1944"/>
        <w:gridCol w:w="1946"/>
        <w:gridCol w:w="2713"/>
        <w:gridCol w:w="2060"/>
      </w:tblGrid>
      <w:tr w14:paraId="233E51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0DF3E0E4">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rPr>
            </w:pPr>
            <w:r>
              <w:rPr>
                <w:rFonts w:hint="eastAsia" w:ascii="宋体" w:hAnsi="宋体" w:eastAsia="宋体" w:cs="宋体"/>
                <w:color w:val="auto"/>
                <w:kern w:val="0"/>
                <w:szCs w:val="21"/>
              </w:rPr>
              <w:t>年  度</w:t>
            </w:r>
          </w:p>
        </w:tc>
        <w:tc>
          <w:tcPr>
            <w:tcW w:w="1944" w:type="dxa"/>
            <w:vAlign w:val="center"/>
          </w:tcPr>
          <w:p w14:paraId="2E030941">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rPr>
            </w:pPr>
            <w:r>
              <w:rPr>
                <w:rFonts w:hint="eastAsia" w:ascii="宋体" w:hAnsi="宋体" w:eastAsia="宋体" w:cs="宋体"/>
                <w:color w:val="auto"/>
                <w:kern w:val="0"/>
                <w:szCs w:val="21"/>
              </w:rPr>
              <w:t>总资产（元）</w:t>
            </w:r>
          </w:p>
        </w:tc>
        <w:tc>
          <w:tcPr>
            <w:tcW w:w="1946" w:type="dxa"/>
            <w:vAlign w:val="center"/>
          </w:tcPr>
          <w:p w14:paraId="4FE0587A">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rPr>
            </w:pPr>
            <w:r>
              <w:rPr>
                <w:rFonts w:hint="eastAsia" w:ascii="宋体" w:hAnsi="宋体" w:eastAsia="宋体" w:cs="宋体"/>
                <w:color w:val="auto"/>
                <w:kern w:val="0"/>
                <w:szCs w:val="21"/>
              </w:rPr>
              <w:t>净资产（元）</w:t>
            </w:r>
          </w:p>
        </w:tc>
        <w:tc>
          <w:tcPr>
            <w:tcW w:w="2713" w:type="dxa"/>
            <w:vAlign w:val="center"/>
          </w:tcPr>
          <w:p w14:paraId="3BD14D13">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rPr>
            </w:pPr>
            <w:r>
              <w:rPr>
                <w:rFonts w:hint="eastAsia" w:ascii="宋体" w:hAnsi="宋体" w:eastAsia="宋体" w:cs="宋体"/>
                <w:color w:val="auto"/>
                <w:kern w:val="0"/>
                <w:szCs w:val="21"/>
              </w:rPr>
              <w:t>年营业额（元）</w:t>
            </w:r>
          </w:p>
        </w:tc>
        <w:tc>
          <w:tcPr>
            <w:tcW w:w="2060" w:type="dxa"/>
            <w:vAlign w:val="center"/>
          </w:tcPr>
          <w:p w14:paraId="540EE245">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rPr>
            </w:pPr>
            <w:r>
              <w:rPr>
                <w:rFonts w:hint="eastAsia" w:ascii="宋体" w:hAnsi="宋体" w:eastAsia="宋体" w:cs="宋体"/>
                <w:color w:val="auto"/>
                <w:kern w:val="0"/>
                <w:szCs w:val="21"/>
              </w:rPr>
              <w:t>年净利润（元）</w:t>
            </w:r>
          </w:p>
        </w:tc>
      </w:tr>
      <w:tr w14:paraId="604177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11D0DA52">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rPr>
            </w:pPr>
            <w:r>
              <w:rPr>
                <w:rFonts w:hint="default" w:ascii="宋体" w:hAnsi="宋体" w:eastAsia="宋体" w:cs="宋体"/>
                <w:color w:val="auto"/>
                <w:kern w:val="0"/>
                <w:szCs w:val="21"/>
              </w:rPr>
              <w:t>2021</w:t>
            </w:r>
          </w:p>
        </w:tc>
        <w:tc>
          <w:tcPr>
            <w:tcW w:w="1944" w:type="dxa"/>
            <w:vAlign w:val="center"/>
          </w:tcPr>
          <w:p w14:paraId="5092087A">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rPr>
            </w:pPr>
          </w:p>
        </w:tc>
        <w:tc>
          <w:tcPr>
            <w:tcW w:w="1946" w:type="dxa"/>
            <w:vAlign w:val="center"/>
          </w:tcPr>
          <w:p w14:paraId="08C3FF42">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rPr>
            </w:pPr>
          </w:p>
        </w:tc>
        <w:tc>
          <w:tcPr>
            <w:tcW w:w="2713" w:type="dxa"/>
            <w:vAlign w:val="center"/>
          </w:tcPr>
          <w:p w14:paraId="4010BF24">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rPr>
            </w:pPr>
          </w:p>
        </w:tc>
        <w:tc>
          <w:tcPr>
            <w:tcW w:w="2060" w:type="dxa"/>
            <w:vAlign w:val="center"/>
          </w:tcPr>
          <w:p w14:paraId="4B1D422A">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rPr>
            </w:pPr>
          </w:p>
        </w:tc>
      </w:tr>
      <w:tr w14:paraId="41DADF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69CA7CBB">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rPr>
            </w:pPr>
            <w:r>
              <w:rPr>
                <w:rFonts w:hint="default" w:ascii="宋体" w:hAnsi="宋体" w:eastAsia="宋体" w:cs="宋体"/>
                <w:color w:val="auto"/>
                <w:kern w:val="0"/>
                <w:szCs w:val="21"/>
              </w:rPr>
              <w:t>2022</w:t>
            </w:r>
          </w:p>
        </w:tc>
        <w:tc>
          <w:tcPr>
            <w:tcW w:w="1944" w:type="dxa"/>
            <w:vAlign w:val="center"/>
          </w:tcPr>
          <w:p w14:paraId="06826D54">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rPr>
            </w:pPr>
          </w:p>
        </w:tc>
        <w:tc>
          <w:tcPr>
            <w:tcW w:w="1946" w:type="dxa"/>
            <w:vAlign w:val="center"/>
          </w:tcPr>
          <w:p w14:paraId="6004700A">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rPr>
            </w:pPr>
          </w:p>
        </w:tc>
        <w:tc>
          <w:tcPr>
            <w:tcW w:w="2713" w:type="dxa"/>
          </w:tcPr>
          <w:p w14:paraId="16A6F349">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rPr>
            </w:pPr>
          </w:p>
        </w:tc>
        <w:tc>
          <w:tcPr>
            <w:tcW w:w="2060" w:type="dxa"/>
            <w:vAlign w:val="center"/>
          </w:tcPr>
          <w:p w14:paraId="733E9C08">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rPr>
            </w:pPr>
          </w:p>
        </w:tc>
      </w:tr>
      <w:tr w14:paraId="18311C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1EC47B1A">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rPr>
            </w:pPr>
            <w:r>
              <w:rPr>
                <w:rFonts w:hint="default" w:ascii="宋体" w:hAnsi="宋体" w:eastAsia="宋体" w:cs="宋体"/>
                <w:color w:val="auto"/>
                <w:kern w:val="0"/>
                <w:szCs w:val="21"/>
              </w:rPr>
              <w:t>2023</w:t>
            </w:r>
          </w:p>
        </w:tc>
        <w:tc>
          <w:tcPr>
            <w:tcW w:w="1944" w:type="dxa"/>
            <w:vAlign w:val="center"/>
          </w:tcPr>
          <w:p w14:paraId="6D3809B8">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rPr>
            </w:pPr>
          </w:p>
        </w:tc>
        <w:tc>
          <w:tcPr>
            <w:tcW w:w="1946" w:type="dxa"/>
            <w:vAlign w:val="center"/>
          </w:tcPr>
          <w:p w14:paraId="64A284D0">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rPr>
            </w:pPr>
          </w:p>
        </w:tc>
        <w:tc>
          <w:tcPr>
            <w:tcW w:w="2713" w:type="dxa"/>
          </w:tcPr>
          <w:p w14:paraId="51CB0ED7">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rPr>
            </w:pPr>
          </w:p>
        </w:tc>
        <w:tc>
          <w:tcPr>
            <w:tcW w:w="2060" w:type="dxa"/>
            <w:vAlign w:val="center"/>
          </w:tcPr>
          <w:p w14:paraId="5F2F5F9C">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rPr>
            </w:pPr>
          </w:p>
        </w:tc>
      </w:tr>
      <w:tr w14:paraId="4B276C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5056" w:type="dxa"/>
            <w:gridSpan w:val="3"/>
            <w:vAlign w:val="center"/>
          </w:tcPr>
          <w:p w14:paraId="7E8D5CC1">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rPr>
            </w:pPr>
            <w:r>
              <w:rPr>
                <w:rFonts w:hint="eastAsia" w:ascii="宋体" w:hAnsi="宋体" w:eastAsia="宋体" w:cs="宋体"/>
                <w:color w:val="auto"/>
                <w:kern w:val="0"/>
                <w:szCs w:val="21"/>
              </w:rPr>
              <w:t>总计</w:t>
            </w:r>
          </w:p>
        </w:tc>
        <w:tc>
          <w:tcPr>
            <w:tcW w:w="2713" w:type="dxa"/>
          </w:tcPr>
          <w:p w14:paraId="1BEC0CCA">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rPr>
            </w:pPr>
          </w:p>
        </w:tc>
        <w:tc>
          <w:tcPr>
            <w:tcW w:w="2060" w:type="dxa"/>
            <w:vAlign w:val="center"/>
          </w:tcPr>
          <w:p w14:paraId="2FF431F2">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rPr>
            </w:pPr>
          </w:p>
        </w:tc>
      </w:tr>
    </w:tbl>
    <w:p w14:paraId="2F19748E">
      <w:pPr>
        <w:spacing w:line="360" w:lineRule="auto"/>
        <w:rPr>
          <w:rFonts w:ascii="宋体" w:hAnsi="宋体" w:eastAsia="宋体" w:cs="宋体"/>
          <w:color w:val="auto"/>
          <w:kern w:val="0"/>
          <w:szCs w:val="21"/>
        </w:rPr>
      </w:pPr>
      <w:r>
        <w:rPr>
          <w:rFonts w:hint="eastAsia" w:ascii="宋体" w:hAnsi="宋体" w:eastAsia="宋体" w:cs="宋体"/>
          <w:color w:val="auto"/>
          <w:kern w:val="0"/>
          <w:szCs w:val="21"/>
        </w:rPr>
        <w:t>备注：需提供对应年度经独立会计师事务所审计的审计报告及投标人财务状况表；若投标人为新成立或未进行独立会计师事务所审计的，本表中对应年度的财务信息应填写“/”，投标人的投标文件不作无效投标处理，但存在因不符合评标办法中的评分标准而导致对应项不得分。</w:t>
      </w:r>
    </w:p>
    <w:p w14:paraId="6E9765E2">
      <w:pPr>
        <w:autoSpaceDE w:val="0"/>
        <w:autoSpaceDN w:val="0"/>
        <w:adjustRightInd w:val="0"/>
        <w:spacing w:line="360" w:lineRule="auto"/>
        <w:ind w:firstLine="5409" w:firstLineChars="2576"/>
        <w:rPr>
          <w:rFonts w:ascii="宋体" w:hAnsi="宋体" w:eastAsia="宋体" w:cs="宋体"/>
          <w:color w:val="auto"/>
          <w:szCs w:val="24"/>
          <w:lang w:val="zh-CN"/>
        </w:rPr>
      </w:pPr>
    </w:p>
    <w:p w14:paraId="56950886">
      <w:pPr>
        <w:autoSpaceDE w:val="0"/>
        <w:autoSpaceDN w:val="0"/>
        <w:adjustRightInd w:val="0"/>
        <w:spacing w:line="360" w:lineRule="auto"/>
        <w:ind w:firstLine="5409" w:firstLineChars="2576"/>
        <w:rPr>
          <w:rFonts w:ascii="宋体" w:hAnsi="宋体" w:eastAsia="宋体" w:cs="宋体"/>
          <w:color w:val="auto"/>
          <w:szCs w:val="24"/>
          <w:lang w:val="zh-CN"/>
        </w:rPr>
      </w:pPr>
    </w:p>
    <w:p w14:paraId="7E62A5F1">
      <w:pPr>
        <w:autoSpaceDE w:val="0"/>
        <w:autoSpaceDN w:val="0"/>
        <w:adjustRightInd w:val="0"/>
        <w:spacing w:line="360" w:lineRule="auto"/>
        <w:ind w:firstLine="5409" w:firstLineChars="2576"/>
        <w:rPr>
          <w:rFonts w:ascii="宋体" w:hAnsi="宋体" w:eastAsia="宋体" w:cs="宋体"/>
          <w:color w:val="auto"/>
          <w:szCs w:val="24"/>
          <w:u w:val="single"/>
        </w:rPr>
      </w:pPr>
      <w:r>
        <w:rPr>
          <w:rFonts w:hint="eastAsia" w:ascii="宋体" w:hAnsi="宋体" w:eastAsia="宋体" w:cs="宋体"/>
          <w:color w:val="auto"/>
          <w:szCs w:val="24"/>
          <w:lang w:val="zh-CN"/>
        </w:rPr>
        <w:t>投标人：（加盖投标人</w:t>
      </w:r>
      <w:r>
        <w:rPr>
          <w:rFonts w:hint="eastAsia" w:ascii="宋体" w:hAnsi="宋体" w:eastAsia="宋体" w:cs="宋体"/>
          <w:color w:val="auto"/>
          <w:szCs w:val="24"/>
        </w:rPr>
        <w:t>法人</w:t>
      </w:r>
      <w:r>
        <w:rPr>
          <w:rFonts w:hint="eastAsia" w:ascii="宋体" w:hAnsi="宋体" w:eastAsia="宋体" w:cs="宋体"/>
          <w:color w:val="auto"/>
          <w:szCs w:val="24"/>
          <w:lang w:val="zh-CN"/>
        </w:rPr>
        <w:t>公章）</w:t>
      </w:r>
    </w:p>
    <w:p w14:paraId="61F83E70">
      <w:pPr>
        <w:autoSpaceDE w:val="0"/>
        <w:autoSpaceDN w:val="0"/>
        <w:adjustRightInd w:val="0"/>
        <w:spacing w:line="360" w:lineRule="auto"/>
        <w:ind w:firstLine="6249" w:firstLineChars="2976"/>
        <w:rPr>
          <w:rFonts w:ascii="宋体" w:hAnsi="宋体" w:eastAsia="宋体" w:cs="宋体"/>
          <w:b/>
          <w:bCs/>
          <w:color w:val="auto"/>
          <w:kern w:val="0"/>
          <w:szCs w:val="21"/>
        </w:rPr>
        <w:sectPr>
          <w:footerReference r:id="rId11" w:type="default"/>
          <w:pgSz w:w="11907" w:h="16840"/>
          <w:pgMar w:top="1701" w:right="1418" w:bottom="851" w:left="1418" w:header="720" w:footer="720" w:gutter="0"/>
          <w:cols w:space="720" w:num="1"/>
          <w:titlePg/>
          <w:docGrid w:linePitch="326" w:charSpace="0"/>
        </w:sectPr>
      </w:pPr>
      <w:r>
        <w:rPr>
          <w:rFonts w:hint="eastAsia" w:ascii="宋体" w:hAnsi="宋体" w:eastAsia="宋体" w:cs="宋体"/>
          <w:color w:val="auto"/>
          <w:szCs w:val="24"/>
          <w:lang w:val="zh-CN"/>
        </w:rPr>
        <w:t>日期：</w:t>
      </w:r>
      <w:r>
        <w:rPr>
          <w:rFonts w:hint="eastAsia" w:ascii="宋体" w:hAnsi="宋体" w:eastAsia="宋体" w:cs="宋体"/>
          <w:color w:val="auto"/>
          <w:szCs w:val="24"/>
          <w:u w:val="single"/>
          <w:lang w:val="zh-CN"/>
        </w:rPr>
        <w:t xml:space="preserve">   </w:t>
      </w:r>
      <w:r>
        <w:rPr>
          <w:rFonts w:hint="eastAsia" w:ascii="宋体" w:hAnsi="宋体" w:eastAsia="宋体" w:cs="宋体"/>
          <w:color w:val="auto"/>
          <w:szCs w:val="24"/>
          <w:lang w:val="zh-CN"/>
        </w:rPr>
        <w:t>年</w:t>
      </w:r>
      <w:r>
        <w:rPr>
          <w:rFonts w:hint="eastAsia" w:ascii="宋体" w:hAnsi="宋体" w:eastAsia="宋体" w:cs="宋体"/>
          <w:color w:val="auto"/>
          <w:szCs w:val="24"/>
          <w:u w:val="single"/>
          <w:lang w:val="zh-CN"/>
        </w:rPr>
        <w:t xml:space="preserve">   </w:t>
      </w:r>
      <w:r>
        <w:rPr>
          <w:rFonts w:hint="eastAsia" w:ascii="宋体" w:hAnsi="宋体" w:eastAsia="宋体" w:cs="宋体"/>
          <w:color w:val="auto"/>
          <w:szCs w:val="24"/>
          <w:lang w:val="zh-CN"/>
        </w:rPr>
        <w:t>月</w:t>
      </w:r>
      <w:r>
        <w:rPr>
          <w:rFonts w:hint="eastAsia" w:ascii="宋体" w:hAnsi="宋体" w:eastAsia="宋体" w:cs="宋体"/>
          <w:color w:val="auto"/>
          <w:szCs w:val="24"/>
          <w:u w:val="single"/>
          <w:lang w:val="zh-CN"/>
        </w:rPr>
        <w:t xml:space="preserve">  </w:t>
      </w:r>
      <w:r>
        <w:rPr>
          <w:rFonts w:hint="eastAsia" w:ascii="宋体" w:hAnsi="宋体" w:eastAsia="宋体" w:cs="宋体"/>
          <w:color w:val="auto"/>
          <w:szCs w:val="24"/>
          <w:u w:val="single"/>
        </w:rPr>
        <w:t>日</w:t>
      </w:r>
    </w:p>
    <w:bookmarkEnd w:id="562"/>
    <w:bookmarkEnd w:id="563"/>
    <w:bookmarkEnd w:id="564"/>
    <w:bookmarkEnd w:id="565"/>
    <w:p w14:paraId="6DCE05AD">
      <w:pPr>
        <w:tabs>
          <w:tab w:val="left" w:pos="567"/>
        </w:tabs>
        <w:autoSpaceDE w:val="0"/>
        <w:autoSpaceDN w:val="0"/>
        <w:adjustRightInd w:val="0"/>
        <w:spacing w:line="360" w:lineRule="auto"/>
        <w:jc w:val="left"/>
        <w:rPr>
          <w:rFonts w:ascii="宋体" w:hAnsi="宋体" w:eastAsia="宋体" w:cs="宋体"/>
          <w:b/>
          <w:color w:val="auto"/>
          <w:kern w:val="0"/>
          <w:sz w:val="32"/>
          <w:szCs w:val="32"/>
          <w:lang w:val="zh-CN"/>
        </w:rPr>
      </w:pPr>
      <w:bookmarkStart w:id="566" w:name="_Toc140596936"/>
      <w:bookmarkStart w:id="567" w:name="_Toc102860081"/>
      <w:bookmarkStart w:id="568" w:name="_Toc15551"/>
      <w:bookmarkStart w:id="569" w:name="_Toc486167716"/>
      <w:bookmarkStart w:id="570" w:name="_Toc533708130"/>
      <w:bookmarkStart w:id="571" w:name="_Toc142508376"/>
      <w:bookmarkStart w:id="572" w:name="_Toc1977736"/>
      <w:bookmarkStart w:id="573" w:name="_Toc94107217"/>
      <w:bookmarkStart w:id="574" w:name="_Toc20034"/>
      <w:bookmarkStart w:id="575" w:name="_Toc104991883"/>
      <w:bookmarkStart w:id="576" w:name="_Toc739_WPSOffice_Level2"/>
      <w:bookmarkStart w:id="577" w:name="_Toc102860425"/>
      <w:r>
        <w:rPr>
          <w:rFonts w:hint="eastAsia" w:ascii="宋体" w:hAnsi="宋体" w:eastAsia="宋体" w:cs="宋体"/>
          <w:b/>
          <w:color w:val="auto"/>
          <w:kern w:val="0"/>
          <w:sz w:val="32"/>
          <w:szCs w:val="32"/>
          <w:lang w:val="zh-CN"/>
        </w:rPr>
        <w:t>八、合同条款偏离表格式</w:t>
      </w:r>
      <w:bookmarkEnd w:id="566"/>
      <w:bookmarkEnd w:id="567"/>
      <w:bookmarkEnd w:id="568"/>
      <w:bookmarkEnd w:id="569"/>
      <w:bookmarkEnd w:id="570"/>
      <w:bookmarkEnd w:id="571"/>
      <w:bookmarkEnd w:id="572"/>
      <w:bookmarkEnd w:id="573"/>
      <w:bookmarkEnd w:id="574"/>
      <w:bookmarkEnd w:id="575"/>
      <w:bookmarkEnd w:id="576"/>
      <w:bookmarkEnd w:id="577"/>
    </w:p>
    <w:p w14:paraId="70AD8791">
      <w:pPr>
        <w:autoSpaceDE w:val="0"/>
        <w:autoSpaceDN w:val="0"/>
        <w:adjustRightInd w:val="0"/>
        <w:spacing w:line="360" w:lineRule="auto"/>
        <w:jc w:val="center"/>
        <w:rPr>
          <w:rFonts w:ascii="宋体" w:hAnsi="宋体" w:eastAsia="宋体" w:cs="宋体"/>
          <w:b/>
          <w:bCs/>
          <w:color w:val="auto"/>
          <w:kern w:val="0"/>
          <w:sz w:val="28"/>
          <w:szCs w:val="30"/>
          <w:lang w:val="zh-CN"/>
        </w:rPr>
      </w:pPr>
      <w:bookmarkStart w:id="578" w:name="_Toc26412_WPSOffice_Level3"/>
      <w:r>
        <w:rPr>
          <w:rFonts w:hint="eastAsia" w:ascii="宋体" w:hAnsi="宋体" w:eastAsia="宋体" w:cs="宋体"/>
          <w:b/>
          <w:bCs/>
          <w:color w:val="auto"/>
          <w:kern w:val="0"/>
          <w:sz w:val="28"/>
          <w:szCs w:val="30"/>
          <w:lang w:val="zh-CN"/>
        </w:rPr>
        <w:t>东莞市水务集团有限公司2025年安全及劳保物资采购项目合同条款偏离表</w:t>
      </w:r>
      <w:bookmarkEnd w:id="578"/>
    </w:p>
    <w:tbl>
      <w:tblPr>
        <w:tblStyle w:val="45"/>
        <w:tblW w:w="103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425"/>
        <w:gridCol w:w="3055"/>
        <w:gridCol w:w="1346"/>
        <w:gridCol w:w="3524"/>
      </w:tblGrid>
      <w:tr w14:paraId="791C0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1020" w:type="dxa"/>
            <w:vMerge w:val="restart"/>
            <w:vAlign w:val="center"/>
          </w:tcPr>
          <w:p w14:paraId="1D18EBCF">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rPr>
            </w:pPr>
            <w:r>
              <w:rPr>
                <w:rFonts w:hint="eastAsia" w:ascii="宋体" w:hAnsi="宋体" w:eastAsia="宋体" w:cs="宋体"/>
                <w:color w:val="auto"/>
                <w:kern w:val="0"/>
                <w:szCs w:val="21"/>
              </w:rPr>
              <w:t>序号</w:t>
            </w:r>
          </w:p>
        </w:tc>
        <w:tc>
          <w:tcPr>
            <w:tcW w:w="4480" w:type="dxa"/>
            <w:gridSpan w:val="2"/>
            <w:vAlign w:val="center"/>
          </w:tcPr>
          <w:p w14:paraId="525A8913">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rPr>
            </w:pPr>
            <w:r>
              <w:rPr>
                <w:rFonts w:hint="eastAsia" w:ascii="宋体" w:hAnsi="宋体" w:eastAsia="宋体" w:cs="宋体"/>
                <w:color w:val="auto"/>
                <w:kern w:val="0"/>
                <w:szCs w:val="21"/>
              </w:rPr>
              <w:t>招标文件要求</w:t>
            </w:r>
          </w:p>
        </w:tc>
        <w:tc>
          <w:tcPr>
            <w:tcW w:w="4870" w:type="dxa"/>
            <w:gridSpan w:val="2"/>
            <w:vAlign w:val="center"/>
          </w:tcPr>
          <w:p w14:paraId="7E0ECED8">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rPr>
            </w:pPr>
            <w:r>
              <w:rPr>
                <w:rFonts w:hint="eastAsia" w:ascii="宋体" w:hAnsi="宋体" w:eastAsia="宋体" w:cs="宋体"/>
                <w:color w:val="auto"/>
                <w:kern w:val="0"/>
                <w:szCs w:val="21"/>
              </w:rPr>
              <w:t>投标文件内容</w:t>
            </w:r>
          </w:p>
        </w:tc>
      </w:tr>
      <w:tr w14:paraId="1395B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1020" w:type="dxa"/>
            <w:vMerge w:val="continue"/>
            <w:vAlign w:val="center"/>
          </w:tcPr>
          <w:p w14:paraId="1BEA072C">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rPr>
            </w:pPr>
          </w:p>
        </w:tc>
        <w:tc>
          <w:tcPr>
            <w:tcW w:w="1425" w:type="dxa"/>
            <w:vAlign w:val="center"/>
          </w:tcPr>
          <w:p w14:paraId="26DA4508">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rPr>
            </w:pPr>
            <w:r>
              <w:rPr>
                <w:rFonts w:hint="eastAsia" w:ascii="宋体" w:hAnsi="宋体" w:eastAsia="宋体" w:cs="宋体"/>
                <w:color w:val="auto"/>
                <w:kern w:val="0"/>
                <w:szCs w:val="21"/>
              </w:rPr>
              <w:t>条款号</w:t>
            </w:r>
          </w:p>
        </w:tc>
        <w:tc>
          <w:tcPr>
            <w:tcW w:w="3055" w:type="dxa"/>
            <w:vAlign w:val="center"/>
          </w:tcPr>
          <w:p w14:paraId="5A91DBDA">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rPr>
            </w:pPr>
            <w:r>
              <w:rPr>
                <w:rFonts w:hint="eastAsia" w:ascii="宋体" w:hAnsi="宋体" w:eastAsia="宋体" w:cs="宋体"/>
                <w:color w:val="auto"/>
                <w:kern w:val="0"/>
                <w:szCs w:val="21"/>
              </w:rPr>
              <w:t>简要内容</w:t>
            </w:r>
          </w:p>
        </w:tc>
        <w:tc>
          <w:tcPr>
            <w:tcW w:w="1346" w:type="dxa"/>
            <w:vAlign w:val="center"/>
          </w:tcPr>
          <w:p w14:paraId="2C786B09">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rPr>
            </w:pPr>
            <w:r>
              <w:rPr>
                <w:rFonts w:hint="eastAsia" w:ascii="宋体" w:hAnsi="宋体" w:eastAsia="宋体" w:cs="宋体"/>
                <w:color w:val="auto"/>
                <w:kern w:val="0"/>
                <w:szCs w:val="21"/>
              </w:rPr>
              <w:t>偏离情况</w:t>
            </w:r>
          </w:p>
        </w:tc>
        <w:tc>
          <w:tcPr>
            <w:tcW w:w="3524" w:type="dxa"/>
            <w:vAlign w:val="center"/>
          </w:tcPr>
          <w:p w14:paraId="49C9CA3E">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rPr>
            </w:pPr>
            <w:r>
              <w:rPr>
                <w:rFonts w:hint="eastAsia" w:ascii="宋体" w:hAnsi="宋体" w:eastAsia="宋体" w:cs="宋体"/>
                <w:color w:val="auto"/>
                <w:kern w:val="0"/>
                <w:szCs w:val="21"/>
              </w:rPr>
              <w:t>具体偏离内容</w:t>
            </w:r>
          </w:p>
        </w:tc>
      </w:tr>
      <w:tr w14:paraId="09AF4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291AEFB">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rPr>
            </w:pPr>
            <w:r>
              <w:rPr>
                <w:rFonts w:hint="eastAsia" w:ascii="宋体" w:hAnsi="宋体" w:eastAsia="宋体" w:cs="宋体"/>
                <w:color w:val="auto"/>
                <w:kern w:val="0"/>
                <w:szCs w:val="21"/>
              </w:rPr>
              <w:t>1</w:t>
            </w:r>
          </w:p>
        </w:tc>
        <w:tc>
          <w:tcPr>
            <w:tcW w:w="1425" w:type="dxa"/>
            <w:vAlign w:val="center"/>
          </w:tcPr>
          <w:p w14:paraId="5D6E366E">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rPr>
            </w:pPr>
            <w:r>
              <w:rPr>
                <w:rFonts w:hint="eastAsia" w:ascii="宋体" w:hAnsi="宋体" w:eastAsia="宋体" w:cs="Times New Roman"/>
                <w:color w:val="auto"/>
                <w:szCs w:val="21"/>
              </w:rPr>
              <w:t>第一条</w:t>
            </w:r>
          </w:p>
        </w:tc>
        <w:tc>
          <w:tcPr>
            <w:tcW w:w="3055" w:type="dxa"/>
            <w:vAlign w:val="center"/>
          </w:tcPr>
          <w:p w14:paraId="2BB10782">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rPr>
            </w:pPr>
            <w:r>
              <w:rPr>
                <w:rFonts w:hint="eastAsia" w:ascii="宋体" w:hAnsi="宋体" w:eastAsia="宋体" w:cs="Times New Roman"/>
                <w:color w:val="auto"/>
                <w:kern w:val="0"/>
                <w:szCs w:val="21"/>
              </w:rPr>
              <w:t>供货资格及范围</w:t>
            </w:r>
          </w:p>
        </w:tc>
        <w:tc>
          <w:tcPr>
            <w:tcW w:w="1346" w:type="dxa"/>
            <w:vAlign w:val="center"/>
          </w:tcPr>
          <w:p w14:paraId="019D74DB">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rPr>
            </w:pPr>
          </w:p>
        </w:tc>
        <w:tc>
          <w:tcPr>
            <w:tcW w:w="3524" w:type="dxa"/>
            <w:vAlign w:val="center"/>
          </w:tcPr>
          <w:p w14:paraId="4750A51E">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rPr>
            </w:pPr>
          </w:p>
        </w:tc>
      </w:tr>
      <w:tr w14:paraId="056B5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07B3A4E">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rPr>
            </w:pPr>
            <w:r>
              <w:rPr>
                <w:rFonts w:hint="eastAsia" w:ascii="宋体" w:hAnsi="宋体" w:eastAsia="宋体" w:cs="宋体"/>
                <w:color w:val="auto"/>
                <w:kern w:val="0"/>
                <w:szCs w:val="21"/>
              </w:rPr>
              <w:t>2</w:t>
            </w:r>
          </w:p>
        </w:tc>
        <w:tc>
          <w:tcPr>
            <w:tcW w:w="1425" w:type="dxa"/>
            <w:vAlign w:val="center"/>
          </w:tcPr>
          <w:p w14:paraId="79CE4025">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rPr>
            </w:pPr>
            <w:r>
              <w:rPr>
                <w:rFonts w:hint="eastAsia" w:ascii="宋体" w:hAnsi="宋体" w:eastAsia="宋体" w:cs="Times New Roman"/>
                <w:color w:val="auto"/>
                <w:szCs w:val="21"/>
              </w:rPr>
              <w:t>第二条</w:t>
            </w:r>
          </w:p>
        </w:tc>
        <w:tc>
          <w:tcPr>
            <w:tcW w:w="3055" w:type="dxa"/>
            <w:vAlign w:val="center"/>
          </w:tcPr>
          <w:p w14:paraId="72C8BDB7">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rPr>
            </w:pPr>
            <w:r>
              <w:rPr>
                <w:rFonts w:hint="eastAsia" w:ascii="宋体" w:hAnsi="宋体" w:eastAsia="宋体" w:cs="Times New Roman"/>
                <w:color w:val="auto"/>
                <w:kern w:val="0"/>
                <w:szCs w:val="21"/>
              </w:rPr>
              <w:t>合同供货期</w:t>
            </w:r>
          </w:p>
        </w:tc>
        <w:tc>
          <w:tcPr>
            <w:tcW w:w="1346" w:type="dxa"/>
            <w:vAlign w:val="center"/>
          </w:tcPr>
          <w:p w14:paraId="1230FBB3">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rPr>
            </w:pPr>
          </w:p>
        </w:tc>
        <w:tc>
          <w:tcPr>
            <w:tcW w:w="3524" w:type="dxa"/>
            <w:vAlign w:val="center"/>
          </w:tcPr>
          <w:p w14:paraId="6471332A">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rPr>
            </w:pPr>
          </w:p>
        </w:tc>
      </w:tr>
      <w:tr w14:paraId="3D7D9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059B710">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rPr>
            </w:pPr>
            <w:r>
              <w:rPr>
                <w:rFonts w:hint="eastAsia" w:ascii="宋体" w:hAnsi="宋体" w:eastAsia="宋体" w:cs="宋体"/>
                <w:color w:val="auto"/>
                <w:kern w:val="0"/>
                <w:szCs w:val="21"/>
              </w:rPr>
              <w:t>3</w:t>
            </w:r>
          </w:p>
        </w:tc>
        <w:tc>
          <w:tcPr>
            <w:tcW w:w="1425" w:type="dxa"/>
            <w:vAlign w:val="center"/>
          </w:tcPr>
          <w:p w14:paraId="77000B18">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rPr>
            </w:pPr>
            <w:r>
              <w:rPr>
                <w:rFonts w:hint="eastAsia" w:ascii="宋体" w:hAnsi="宋体" w:eastAsia="宋体" w:cs="Times New Roman"/>
                <w:color w:val="auto"/>
                <w:szCs w:val="21"/>
              </w:rPr>
              <w:t>第三条</w:t>
            </w:r>
          </w:p>
        </w:tc>
        <w:tc>
          <w:tcPr>
            <w:tcW w:w="3055" w:type="dxa"/>
            <w:vAlign w:val="center"/>
          </w:tcPr>
          <w:p w14:paraId="7254926B">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rPr>
            </w:pPr>
            <w:r>
              <w:rPr>
                <w:rFonts w:hint="eastAsia" w:ascii="宋体" w:hAnsi="宋体" w:eastAsia="宋体" w:cs="Times New Roman"/>
                <w:color w:val="auto"/>
                <w:kern w:val="0"/>
                <w:szCs w:val="21"/>
              </w:rPr>
              <w:t>货物质量要求</w:t>
            </w:r>
          </w:p>
        </w:tc>
        <w:tc>
          <w:tcPr>
            <w:tcW w:w="1346" w:type="dxa"/>
            <w:vAlign w:val="center"/>
          </w:tcPr>
          <w:p w14:paraId="57031540">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rPr>
            </w:pPr>
          </w:p>
        </w:tc>
        <w:tc>
          <w:tcPr>
            <w:tcW w:w="3524" w:type="dxa"/>
            <w:vAlign w:val="center"/>
          </w:tcPr>
          <w:p w14:paraId="543022B5">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rPr>
            </w:pPr>
          </w:p>
        </w:tc>
      </w:tr>
      <w:tr w14:paraId="0BAAD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17E5205">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rPr>
            </w:pPr>
            <w:r>
              <w:rPr>
                <w:rFonts w:hint="eastAsia" w:ascii="宋体" w:hAnsi="宋体" w:eastAsia="宋体" w:cs="宋体"/>
                <w:color w:val="auto"/>
                <w:kern w:val="0"/>
                <w:szCs w:val="21"/>
              </w:rPr>
              <w:t>4</w:t>
            </w:r>
          </w:p>
        </w:tc>
        <w:tc>
          <w:tcPr>
            <w:tcW w:w="1425" w:type="dxa"/>
            <w:vAlign w:val="center"/>
          </w:tcPr>
          <w:p w14:paraId="665EDFA8">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rPr>
            </w:pPr>
            <w:r>
              <w:rPr>
                <w:rFonts w:hint="eastAsia" w:ascii="宋体" w:hAnsi="宋体" w:eastAsia="宋体" w:cs="Times New Roman"/>
                <w:color w:val="auto"/>
                <w:szCs w:val="21"/>
              </w:rPr>
              <w:t>第四条</w:t>
            </w:r>
          </w:p>
        </w:tc>
        <w:tc>
          <w:tcPr>
            <w:tcW w:w="3055" w:type="dxa"/>
            <w:vAlign w:val="center"/>
          </w:tcPr>
          <w:p w14:paraId="1475886E">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rPr>
            </w:pPr>
            <w:r>
              <w:rPr>
                <w:rFonts w:hint="eastAsia" w:ascii="宋体" w:hAnsi="宋体" w:eastAsia="宋体" w:cs="宋体"/>
                <w:color w:val="auto"/>
                <w:kern w:val="0"/>
                <w:szCs w:val="21"/>
              </w:rPr>
              <w:t>交货约定</w:t>
            </w:r>
          </w:p>
        </w:tc>
        <w:tc>
          <w:tcPr>
            <w:tcW w:w="1346" w:type="dxa"/>
            <w:vAlign w:val="center"/>
          </w:tcPr>
          <w:p w14:paraId="4D8432E5">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rPr>
            </w:pPr>
          </w:p>
        </w:tc>
        <w:tc>
          <w:tcPr>
            <w:tcW w:w="3524" w:type="dxa"/>
            <w:vAlign w:val="center"/>
          </w:tcPr>
          <w:p w14:paraId="5B84F793">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rPr>
            </w:pPr>
          </w:p>
        </w:tc>
      </w:tr>
      <w:tr w14:paraId="4A58C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F4FBFEF">
            <w:pPr>
              <w:keepNext w:val="0"/>
              <w:keepLines w:val="0"/>
              <w:suppressLineNumbers w:val="0"/>
              <w:snapToGrid w:val="0"/>
              <w:spacing w:before="0" w:beforeAutospacing="0" w:after="0" w:afterAutospacing="0"/>
              <w:ind w:left="0" w:right="0"/>
              <w:jc w:val="center"/>
              <w:rPr>
                <w:rFonts w:hint="default" w:ascii="宋体" w:hAnsi="宋体" w:eastAsia="宋体" w:cs="Times New Roman"/>
                <w:color w:val="auto"/>
                <w:kern w:val="0"/>
                <w:szCs w:val="21"/>
              </w:rPr>
            </w:pPr>
            <w:r>
              <w:rPr>
                <w:rFonts w:hint="eastAsia" w:ascii="宋体" w:hAnsi="宋体" w:eastAsia="宋体" w:cs="Times New Roman"/>
                <w:color w:val="auto"/>
                <w:kern w:val="0"/>
                <w:szCs w:val="21"/>
              </w:rPr>
              <w:t>5</w:t>
            </w:r>
          </w:p>
        </w:tc>
        <w:tc>
          <w:tcPr>
            <w:tcW w:w="1425" w:type="dxa"/>
            <w:vAlign w:val="center"/>
          </w:tcPr>
          <w:p w14:paraId="2C156CFD">
            <w:pPr>
              <w:keepNext w:val="0"/>
              <w:keepLines w:val="0"/>
              <w:suppressLineNumbers w:val="0"/>
              <w:snapToGrid w:val="0"/>
              <w:spacing w:before="0" w:beforeAutospacing="0" w:after="0" w:afterAutospacing="0"/>
              <w:ind w:left="0" w:right="0"/>
              <w:jc w:val="center"/>
              <w:rPr>
                <w:rFonts w:hint="default" w:ascii="宋体" w:hAnsi="宋体" w:eastAsia="宋体" w:cs="Times New Roman"/>
                <w:color w:val="auto"/>
                <w:kern w:val="0"/>
                <w:szCs w:val="21"/>
              </w:rPr>
            </w:pPr>
            <w:r>
              <w:rPr>
                <w:rFonts w:hint="eastAsia" w:ascii="宋体" w:hAnsi="宋体" w:eastAsia="宋体" w:cs="Times New Roman"/>
                <w:color w:val="auto"/>
                <w:szCs w:val="21"/>
              </w:rPr>
              <w:t>第五条</w:t>
            </w:r>
          </w:p>
        </w:tc>
        <w:tc>
          <w:tcPr>
            <w:tcW w:w="3055" w:type="dxa"/>
            <w:vAlign w:val="center"/>
          </w:tcPr>
          <w:p w14:paraId="72156600">
            <w:pPr>
              <w:keepNext w:val="0"/>
              <w:keepLines w:val="0"/>
              <w:suppressLineNumbers w:val="0"/>
              <w:snapToGrid w:val="0"/>
              <w:spacing w:before="0" w:beforeAutospacing="0" w:after="0" w:afterAutospacing="0"/>
              <w:ind w:left="0" w:right="0"/>
              <w:jc w:val="center"/>
              <w:rPr>
                <w:rFonts w:hint="default" w:ascii="宋体" w:hAnsi="宋体" w:eastAsia="宋体" w:cs="Times New Roman"/>
                <w:color w:val="auto"/>
                <w:kern w:val="0"/>
                <w:szCs w:val="21"/>
              </w:rPr>
            </w:pPr>
            <w:r>
              <w:rPr>
                <w:rFonts w:hint="eastAsia" w:ascii="宋体" w:hAnsi="宋体" w:eastAsia="宋体" w:cs="Times New Roman"/>
                <w:color w:val="auto"/>
                <w:kern w:val="0"/>
                <w:szCs w:val="21"/>
              </w:rPr>
              <w:t>验收要求</w:t>
            </w:r>
          </w:p>
        </w:tc>
        <w:tc>
          <w:tcPr>
            <w:tcW w:w="1346" w:type="dxa"/>
            <w:vAlign w:val="center"/>
          </w:tcPr>
          <w:p w14:paraId="26608214">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rPr>
            </w:pPr>
          </w:p>
        </w:tc>
        <w:tc>
          <w:tcPr>
            <w:tcW w:w="3524" w:type="dxa"/>
            <w:vAlign w:val="center"/>
          </w:tcPr>
          <w:p w14:paraId="3D9A3589">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rPr>
            </w:pPr>
          </w:p>
        </w:tc>
      </w:tr>
      <w:tr w14:paraId="55907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079F1C3">
            <w:pPr>
              <w:keepNext w:val="0"/>
              <w:keepLines w:val="0"/>
              <w:suppressLineNumbers w:val="0"/>
              <w:snapToGrid w:val="0"/>
              <w:spacing w:before="0" w:beforeAutospacing="0" w:after="0" w:afterAutospacing="0"/>
              <w:ind w:left="0" w:right="0"/>
              <w:jc w:val="center"/>
              <w:rPr>
                <w:rFonts w:hint="default" w:ascii="宋体" w:hAnsi="宋体" w:eastAsia="宋体" w:cs="Times New Roman"/>
                <w:color w:val="auto"/>
                <w:kern w:val="0"/>
                <w:szCs w:val="21"/>
              </w:rPr>
            </w:pPr>
            <w:r>
              <w:rPr>
                <w:rFonts w:hint="eastAsia" w:ascii="宋体" w:hAnsi="宋体" w:eastAsia="宋体" w:cs="Times New Roman"/>
                <w:color w:val="auto"/>
                <w:kern w:val="0"/>
                <w:szCs w:val="21"/>
              </w:rPr>
              <w:t>6</w:t>
            </w:r>
          </w:p>
        </w:tc>
        <w:tc>
          <w:tcPr>
            <w:tcW w:w="1425" w:type="dxa"/>
            <w:vAlign w:val="center"/>
          </w:tcPr>
          <w:p w14:paraId="1826AFEE">
            <w:pPr>
              <w:keepNext w:val="0"/>
              <w:keepLines w:val="0"/>
              <w:suppressLineNumbers w:val="0"/>
              <w:snapToGrid w:val="0"/>
              <w:spacing w:before="0" w:beforeAutospacing="0" w:after="0" w:afterAutospacing="0"/>
              <w:ind w:left="0" w:right="0"/>
              <w:jc w:val="center"/>
              <w:rPr>
                <w:rFonts w:hint="default" w:ascii="宋体" w:hAnsi="宋体" w:eastAsia="宋体" w:cs="Times New Roman"/>
                <w:color w:val="auto"/>
                <w:kern w:val="0"/>
                <w:szCs w:val="21"/>
              </w:rPr>
            </w:pPr>
            <w:r>
              <w:rPr>
                <w:rFonts w:hint="eastAsia" w:ascii="宋体" w:hAnsi="宋体" w:eastAsia="宋体" w:cs="Times New Roman"/>
                <w:color w:val="auto"/>
                <w:szCs w:val="21"/>
              </w:rPr>
              <w:t>第六条</w:t>
            </w:r>
          </w:p>
        </w:tc>
        <w:tc>
          <w:tcPr>
            <w:tcW w:w="3055" w:type="dxa"/>
            <w:vAlign w:val="center"/>
          </w:tcPr>
          <w:p w14:paraId="4820C04C">
            <w:pPr>
              <w:keepNext w:val="0"/>
              <w:keepLines w:val="0"/>
              <w:suppressLineNumbers w:val="0"/>
              <w:snapToGrid w:val="0"/>
              <w:spacing w:before="0" w:beforeAutospacing="0" w:after="0" w:afterAutospacing="0"/>
              <w:ind w:left="0" w:right="0"/>
              <w:jc w:val="center"/>
              <w:rPr>
                <w:rFonts w:hint="default" w:ascii="宋体" w:hAnsi="宋体" w:eastAsia="宋体" w:cs="Times New Roman"/>
                <w:color w:val="auto"/>
                <w:kern w:val="0"/>
                <w:szCs w:val="21"/>
              </w:rPr>
            </w:pPr>
            <w:r>
              <w:rPr>
                <w:rFonts w:hint="eastAsia" w:ascii="宋体" w:hAnsi="宋体" w:eastAsia="宋体" w:cs="Times New Roman"/>
                <w:color w:val="auto"/>
                <w:kern w:val="0"/>
                <w:szCs w:val="21"/>
              </w:rPr>
              <w:t>综合单价、暂定合同价及付款方式</w:t>
            </w:r>
          </w:p>
        </w:tc>
        <w:tc>
          <w:tcPr>
            <w:tcW w:w="1346" w:type="dxa"/>
            <w:vAlign w:val="center"/>
          </w:tcPr>
          <w:p w14:paraId="5EADEE31">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rPr>
            </w:pPr>
          </w:p>
        </w:tc>
        <w:tc>
          <w:tcPr>
            <w:tcW w:w="3524" w:type="dxa"/>
            <w:vAlign w:val="center"/>
          </w:tcPr>
          <w:p w14:paraId="25C8888D">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rPr>
            </w:pPr>
          </w:p>
        </w:tc>
      </w:tr>
      <w:tr w14:paraId="24744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5DE671B">
            <w:pPr>
              <w:keepNext w:val="0"/>
              <w:keepLines w:val="0"/>
              <w:suppressLineNumbers w:val="0"/>
              <w:snapToGrid w:val="0"/>
              <w:spacing w:before="0" w:beforeAutospacing="0" w:after="0" w:afterAutospacing="0"/>
              <w:ind w:left="0" w:right="0"/>
              <w:jc w:val="center"/>
              <w:rPr>
                <w:rFonts w:hint="default" w:ascii="宋体" w:hAnsi="宋体" w:eastAsia="宋体" w:cs="Times New Roman"/>
                <w:color w:val="auto"/>
                <w:kern w:val="0"/>
                <w:szCs w:val="21"/>
              </w:rPr>
            </w:pPr>
            <w:r>
              <w:rPr>
                <w:rFonts w:hint="eastAsia" w:ascii="宋体" w:hAnsi="宋体" w:eastAsia="宋体" w:cs="Times New Roman"/>
                <w:color w:val="auto"/>
                <w:kern w:val="0"/>
                <w:szCs w:val="21"/>
              </w:rPr>
              <w:t>7</w:t>
            </w:r>
          </w:p>
        </w:tc>
        <w:tc>
          <w:tcPr>
            <w:tcW w:w="1425" w:type="dxa"/>
            <w:vAlign w:val="center"/>
          </w:tcPr>
          <w:p w14:paraId="383081DC">
            <w:pPr>
              <w:keepNext w:val="0"/>
              <w:keepLines w:val="0"/>
              <w:suppressLineNumbers w:val="0"/>
              <w:snapToGrid w:val="0"/>
              <w:spacing w:before="0" w:beforeAutospacing="0" w:after="0" w:afterAutospacing="0"/>
              <w:ind w:left="0" w:right="0"/>
              <w:jc w:val="center"/>
              <w:rPr>
                <w:rFonts w:hint="default" w:ascii="宋体" w:hAnsi="宋体" w:eastAsia="宋体" w:cs="Times New Roman"/>
                <w:color w:val="auto"/>
                <w:kern w:val="0"/>
                <w:szCs w:val="21"/>
              </w:rPr>
            </w:pPr>
            <w:r>
              <w:rPr>
                <w:rFonts w:hint="eastAsia" w:ascii="宋体" w:hAnsi="宋体" w:eastAsia="宋体" w:cs="Times New Roman"/>
                <w:color w:val="auto"/>
                <w:szCs w:val="21"/>
              </w:rPr>
              <w:t>第七条</w:t>
            </w:r>
          </w:p>
        </w:tc>
        <w:tc>
          <w:tcPr>
            <w:tcW w:w="3055" w:type="dxa"/>
            <w:vAlign w:val="center"/>
          </w:tcPr>
          <w:p w14:paraId="5E229CB4">
            <w:pPr>
              <w:keepNext w:val="0"/>
              <w:keepLines w:val="0"/>
              <w:suppressLineNumbers w:val="0"/>
              <w:snapToGrid w:val="0"/>
              <w:spacing w:before="0" w:beforeAutospacing="0" w:after="0" w:afterAutospacing="0"/>
              <w:ind w:left="0" w:right="0"/>
              <w:jc w:val="center"/>
              <w:rPr>
                <w:rFonts w:hint="default" w:ascii="宋体" w:hAnsi="宋体" w:eastAsia="宋体" w:cs="Times New Roman"/>
                <w:color w:val="auto"/>
                <w:kern w:val="0"/>
                <w:szCs w:val="21"/>
              </w:rPr>
            </w:pPr>
            <w:r>
              <w:rPr>
                <w:rFonts w:hint="eastAsia" w:ascii="宋体" w:hAnsi="宋体" w:eastAsia="宋体" w:cs="Times New Roman"/>
                <w:color w:val="auto"/>
                <w:kern w:val="0"/>
                <w:szCs w:val="21"/>
              </w:rPr>
              <w:t>质保及售后要求</w:t>
            </w:r>
          </w:p>
        </w:tc>
        <w:tc>
          <w:tcPr>
            <w:tcW w:w="1346" w:type="dxa"/>
            <w:vAlign w:val="center"/>
          </w:tcPr>
          <w:p w14:paraId="30AD539F">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rPr>
            </w:pPr>
          </w:p>
        </w:tc>
        <w:tc>
          <w:tcPr>
            <w:tcW w:w="3524" w:type="dxa"/>
            <w:vAlign w:val="center"/>
          </w:tcPr>
          <w:p w14:paraId="1B8278AB">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rPr>
            </w:pPr>
          </w:p>
        </w:tc>
      </w:tr>
      <w:tr w14:paraId="03EB5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0986694">
            <w:pPr>
              <w:keepNext w:val="0"/>
              <w:keepLines w:val="0"/>
              <w:suppressLineNumbers w:val="0"/>
              <w:snapToGrid w:val="0"/>
              <w:spacing w:before="0" w:beforeAutospacing="0" w:after="0" w:afterAutospacing="0"/>
              <w:ind w:left="0" w:right="0"/>
              <w:jc w:val="center"/>
              <w:rPr>
                <w:rFonts w:hint="default" w:ascii="宋体" w:hAnsi="宋体" w:eastAsia="宋体" w:cs="Times New Roman"/>
                <w:color w:val="auto"/>
                <w:kern w:val="0"/>
                <w:szCs w:val="21"/>
              </w:rPr>
            </w:pPr>
            <w:r>
              <w:rPr>
                <w:rFonts w:hint="eastAsia" w:ascii="宋体" w:hAnsi="宋体" w:eastAsia="宋体" w:cs="Times New Roman"/>
                <w:color w:val="auto"/>
                <w:kern w:val="0"/>
                <w:szCs w:val="21"/>
              </w:rPr>
              <w:t>8</w:t>
            </w:r>
          </w:p>
        </w:tc>
        <w:tc>
          <w:tcPr>
            <w:tcW w:w="1425" w:type="dxa"/>
            <w:vAlign w:val="center"/>
          </w:tcPr>
          <w:p w14:paraId="3B738DAC">
            <w:pPr>
              <w:keepNext w:val="0"/>
              <w:keepLines w:val="0"/>
              <w:suppressLineNumbers w:val="0"/>
              <w:snapToGrid w:val="0"/>
              <w:spacing w:before="0" w:beforeAutospacing="0" w:after="0" w:afterAutospacing="0"/>
              <w:ind w:left="0" w:right="0"/>
              <w:jc w:val="center"/>
              <w:rPr>
                <w:rFonts w:hint="default" w:ascii="宋体" w:hAnsi="宋体" w:eastAsia="宋体" w:cs="Times New Roman"/>
                <w:color w:val="auto"/>
                <w:kern w:val="0"/>
                <w:szCs w:val="21"/>
              </w:rPr>
            </w:pPr>
            <w:r>
              <w:rPr>
                <w:rFonts w:hint="eastAsia" w:ascii="宋体" w:hAnsi="宋体" w:eastAsia="宋体" w:cs="Times New Roman"/>
                <w:color w:val="auto"/>
                <w:szCs w:val="21"/>
              </w:rPr>
              <w:t>第八条</w:t>
            </w:r>
          </w:p>
        </w:tc>
        <w:tc>
          <w:tcPr>
            <w:tcW w:w="3055" w:type="dxa"/>
            <w:vAlign w:val="center"/>
          </w:tcPr>
          <w:p w14:paraId="4588E07A">
            <w:pPr>
              <w:keepNext w:val="0"/>
              <w:keepLines w:val="0"/>
              <w:suppressLineNumbers w:val="0"/>
              <w:snapToGrid w:val="0"/>
              <w:spacing w:before="0" w:beforeAutospacing="0" w:after="0" w:afterAutospacing="0"/>
              <w:ind w:left="0" w:right="0"/>
              <w:jc w:val="center"/>
              <w:rPr>
                <w:rFonts w:hint="default" w:ascii="宋体" w:hAnsi="宋体" w:eastAsia="宋体" w:cs="Times New Roman"/>
                <w:color w:val="auto"/>
                <w:kern w:val="0"/>
                <w:szCs w:val="21"/>
              </w:rPr>
            </w:pPr>
            <w:r>
              <w:rPr>
                <w:rFonts w:hint="eastAsia" w:ascii="宋体" w:hAnsi="宋体" w:eastAsia="宋体" w:cs="Times New Roman"/>
                <w:color w:val="auto"/>
                <w:kern w:val="0"/>
                <w:szCs w:val="21"/>
              </w:rPr>
              <w:t>履约担保</w:t>
            </w:r>
          </w:p>
        </w:tc>
        <w:tc>
          <w:tcPr>
            <w:tcW w:w="1346" w:type="dxa"/>
            <w:vAlign w:val="center"/>
          </w:tcPr>
          <w:p w14:paraId="352467DC">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rPr>
            </w:pPr>
          </w:p>
        </w:tc>
        <w:tc>
          <w:tcPr>
            <w:tcW w:w="3524" w:type="dxa"/>
            <w:vAlign w:val="center"/>
          </w:tcPr>
          <w:p w14:paraId="1F396374">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rPr>
            </w:pPr>
          </w:p>
        </w:tc>
      </w:tr>
      <w:tr w14:paraId="17841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3555D95">
            <w:pPr>
              <w:keepNext w:val="0"/>
              <w:keepLines w:val="0"/>
              <w:suppressLineNumbers w:val="0"/>
              <w:snapToGrid w:val="0"/>
              <w:spacing w:before="0" w:beforeAutospacing="0" w:after="0" w:afterAutospacing="0"/>
              <w:ind w:left="0" w:right="0"/>
              <w:jc w:val="center"/>
              <w:rPr>
                <w:rFonts w:hint="default" w:ascii="宋体" w:hAnsi="宋体" w:eastAsia="宋体" w:cs="Times New Roman"/>
                <w:color w:val="auto"/>
                <w:kern w:val="0"/>
                <w:szCs w:val="21"/>
              </w:rPr>
            </w:pPr>
            <w:r>
              <w:rPr>
                <w:rFonts w:hint="eastAsia" w:ascii="宋体" w:hAnsi="宋体" w:eastAsia="宋体" w:cs="Times New Roman"/>
                <w:color w:val="auto"/>
                <w:kern w:val="0"/>
                <w:szCs w:val="21"/>
              </w:rPr>
              <w:t>9</w:t>
            </w:r>
          </w:p>
        </w:tc>
        <w:tc>
          <w:tcPr>
            <w:tcW w:w="1425" w:type="dxa"/>
            <w:vAlign w:val="center"/>
          </w:tcPr>
          <w:p w14:paraId="51BE5A6F">
            <w:pPr>
              <w:keepNext w:val="0"/>
              <w:keepLines w:val="0"/>
              <w:suppressLineNumbers w:val="0"/>
              <w:snapToGrid w:val="0"/>
              <w:spacing w:before="0" w:beforeAutospacing="0" w:after="0" w:afterAutospacing="0"/>
              <w:ind w:left="0" w:right="0"/>
              <w:jc w:val="center"/>
              <w:rPr>
                <w:rFonts w:hint="default" w:ascii="宋体" w:hAnsi="宋体" w:eastAsia="宋体" w:cs="Times New Roman"/>
                <w:color w:val="auto"/>
                <w:kern w:val="0"/>
                <w:szCs w:val="21"/>
              </w:rPr>
            </w:pPr>
            <w:r>
              <w:rPr>
                <w:rFonts w:hint="eastAsia" w:ascii="宋体" w:hAnsi="宋体" w:eastAsia="宋体" w:cs="Times New Roman"/>
                <w:color w:val="auto"/>
                <w:szCs w:val="21"/>
              </w:rPr>
              <w:t>第九条</w:t>
            </w:r>
          </w:p>
        </w:tc>
        <w:tc>
          <w:tcPr>
            <w:tcW w:w="3055" w:type="dxa"/>
            <w:vAlign w:val="center"/>
          </w:tcPr>
          <w:p w14:paraId="4A9DBC8B">
            <w:pPr>
              <w:keepNext w:val="0"/>
              <w:keepLines w:val="0"/>
              <w:suppressLineNumbers w:val="0"/>
              <w:snapToGrid w:val="0"/>
              <w:spacing w:before="0" w:beforeAutospacing="0" w:after="0" w:afterAutospacing="0"/>
              <w:ind w:left="0" w:right="0"/>
              <w:jc w:val="center"/>
              <w:rPr>
                <w:rFonts w:hint="default" w:ascii="宋体" w:hAnsi="宋体" w:eastAsia="宋体" w:cs="Times New Roman"/>
                <w:color w:val="auto"/>
                <w:kern w:val="0"/>
                <w:szCs w:val="21"/>
              </w:rPr>
            </w:pPr>
            <w:r>
              <w:rPr>
                <w:rFonts w:hint="eastAsia" w:ascii="宋体" w:hAnsi="宋体" w:eastAsia="宋体" w:cs="Times New Roman"/>
                <w:color w:val="auto"/>
                <w:kern w:val="0"/>
                <w:szCs w:val="21"/>
              </w:rPr>
              <w:t>违约责任</w:t>
            </w:r>
          </w:p>
        </w:tc>
        <w:tc>
          <w:tcPr>
            <w:tcW w:w="1346" w:type="dxa"/>
            <w:vAlign w:val="center"/>
          </w:tcPr>
          <w:p w14:paraId="5E6B378A">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rPr>
            </w:pPr>
          </w:p>
        </w:tc>
        <w:tc>
          <w:tcPr>
            <w:tcW w:w="3524" w:type="dxa"/>
            <w:vAlign w:val="center"/>
          </w:tcPr>
          <w:p w14:paraId="2B7BACCD">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rPr>
            </w:pPr>
          </w:p>
        </w:tc>
      </w:tr>
      <w:tr w14:paraId="1CD44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E2C45EC">
            <w:pPr>
              <w:keepNext w:val="0"/>
              <w:keepLines w:val="0"/>
              <w:suppressLineNumbers w:val="0"/>
              <w:snapToGrid w:val="0"/>
              <w:spacing w:before="0" w:beforeAutospacing="0" w:after="0" w:afterAutospacing="0"/>
              <w:ind w:left="0" w:right="0"/>
              <w:jc w:val="center"/>
              <w:rPr>
                <w:rFonts w:hint="default" w:ascii="宋体" w:hAnsi="宋体" w:eastAsia="宋体" w:cs="Times New Roman"/>
                <w:color w:val="auto"/>
                <w:kern w:val="0"/>
                <w:szCs w:val="21"/>
              </w:rPr>
            </w:pPr>
            <w:r>
              <w:rPr>
                <w:rFonts w:hint="eastAsia" w:ascii="宋体" w:hAnsi="宋体" w:eastAsia="宋体" w:cs="Times New Roman"/>
                <w:color w:val="auto"/>
                <w:kern w:val="0"/>
                <w:szCs w:val="21"/>
              </w:rPr>
              <w:t>1</w:t>
            </w:r>
            <w:r>
              <w:rPr>
                <w:rFonts w:hint="default" w:ascii="宋体" w:hAnsi="宋体" w:eastAsia="宋体" w:cs="Times New Roman"/>
                <w:color w:val="auto"/>
                <w:kern w:val="0"/>
                <w:szCs w:val="21"/>
              </w:rPr>
              <w:t>0</w:t>
            </w:r>
          </w:p>
        </w:tc>
        <w:tc>
          <w:tcPr>
            <w:tcW w:w="1425" w:type="dxa"/>
            <w:vAlign w:val="center"/>
          </w:tcPr>
          <w:p w14:paraId="6CD0B682">
            <w:pPr>
              <w:keepNext w:val="0"/>
              <w:keepLines w:val="0"/>
              <w:suppressLineNumbers w:val="0"/>
              <w:snapToGrid w:val="0"/>
              <w:spacing w:before="0" w:beforeAutospacing="0" w:after="0" w:afterAutospacing="0"/>
              <w:ind w:left="0" w:right="0"/>
              <w:jc w:val="center"/>
              <w:rPr>
                <w:rFonts w:hint="default" w:ascii="宋体" w:hAnsi="宋体" w:eastAsia="宋体" w:cs="Times New Roman"/>
                <w:color w:val="auto"/>
                <w:kern w:val="0"/>
                <w:szCs w:val="21"/>
              </w:rPr>
            </w:pPr>
            <w:r>
              <w:rPr>
                <w:rFonts w:hint="eastAsia" w:ascii="宋体" w:hAnsi="宋体" w:eastAsia="宋体" w:cs="Times New Roman"/>
                <w:color w:val="auto"/>
                <w:szCs w:val="21"/>
              </w:rPr>
              <w:t>第十条</w:t>
            </w:r>
          </w:p>
        </w:tc>
        <w:tc>
          <w:tcPr>
            <w:tcW w:w="3055" w:type="dxa"/>
            <w:vAlign w:val="center"/>
          </w:tcPr>
          <w:p w14:paraId="7648293A">
            <w:pPr>
              <w:keepNext w:val="0"/>
              <w:keepLines w:val="0"/>
              <w:suppressLineNumbers w:val="0"/>
              <w:snapToGrid w:val="0"/>
              <w:spacing w:before="0" w:beforeAutospacing="0" w:after="0" w:afterAutospacing="0"/>
              <w:ind w:left="0" w:right="0"/>
              <w:jc w:val="center"/>
              <w:rPr>
                <w:rFonts w:hint="default" w:ascii="宋体" w:hAnsi="宋体" w:eastAsia="宋体" w:cs="Times New Roman"/>
                <w:color w:val="auto"/>
                <w:kern w:val="0"/>
                <w:szCs w:val="21"/>
              </w:rPr>
            </w:pPr>
            <w:r>
              <w:rPr>
                <w:rFonts w:hint="eastAsia" w:ascii="宋体" w:hAnsi="宋体" w:eastAsia="宋体" w:cs="Times New Roman"/>
                <w:color w:val="auto"/>
                <w:kern w:val="0"/>
                <w:szCs w:val="21"/>
              </w:rPr>
              <w:t>不可抗力</w:t>
            </w:r>
          </w:p>
        </w:tc>
        <w:tc>
          <w:tcPr>
            <w:tcW w:w="1346" w:type="dxa"/>
            <w:vAlign w:val="center"/>
          </w:tcPr>
          <w:p w14:paraId="240C9174">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rPr>
            </w:pPr>
          </w:p>
        </w:tc>
        <w:tc>
          <w:tcPr>
            <w:tcW w:w="3524" w:type="dxa"/>
            <w:vAlign w:val="center"/>
          </w:tcPr>
          <w:p w14:paraId="6562E77F">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rPr>
            </w:pPr>
          </w:p>
        </w:tc>
      </w:tr>
      <w:tr w14:paraId="197B5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909E6F7">
            <w:pPr>
              <w:keepNext w:val="0"/>
              <w:keepLines w:val="0"/>
              <w:suppressLineNumbers w:val="0"/>
              <w:snapToGrid w:val="0"/>
              <w:spacing w:before="0" w:beforeAutospacing="0" w:after="0" w:afterAutospacing="0"/>
              <w:ind w:left="0" w:right="0"/>
              <w:jc w:val="center"/>
              <w:rPr>
                <w:rFonts w:hint="default" w:ascii="宋体" w:hAnsi="宋体" w:eastAsia="宋体" w:cs="Times New Roman"/>
                <w:color w:val="auto"/>
                <w:kern w:val="0"/>
                <w:szCs w:val="21"/>
              </w:rPr>
            </w:pPr>
            <w:r>
              <w:rPr>
                <w:rFonts w:hint="eastAsia" w:ascii="宋体" w:hAnsi="宋体" w:eastAsia="宋体" w:cs="Times New Roman"/>
                <w:color w:val="auto"/>
                <w:kern w:val="0"/>
                <w:szCs w:val="21"/>
              </w:rPr>
              <w:t>1</w:t>
            </w:r>
            <w:r>
              <w:rPr>
                <w:rFonts w:hint="default" w:ascii="宋体" w:hAnsi="宋体" w:eastAsia="宋体" w:cs="Times New Roman"/>
                <w:color w:val="auto"/>
                <w:kern w:val="0"/>
                <w:szCs w:val="21"/>
              </w:rPr>
              <w:t>1</w:t>
            </w:r>
          </w:p>
        </w:tc>
        <w:tc>
          <w:tcPr>
            <w:tcW w:w="1425" w:type="dxa"/>
            <w:vAlign w:val="center"/>
          </w:tcPr>
          <w:p w14:paraId="39672218">
            <w:pPr>
              <w:keepNext w:val="0"/>
              <w:keepLines w:val="0"/>
              <w:suppressLineNumbers w:val="0"/>
              <w:snapToGrid w:val="0"/>
              <w:spacing w:before="0" w:beforeAutospacing="0" w:after="0" w:afterAutospacing="0"/>
              <w:ind w:left="0" w:right="0"/>
              <w:jc w:val="center"/>
              <w:rPr>
                <w:rFonts w:hint="default" w:ascii="宋体" w:hAnsi="宋体" w:eastAsia="宋体" w:cs="Times New Roman"/>
                <w:color w:val="auto"/>
                <w:kern w:val="0"/>
                <w:szCs w:val="21"/>
              </w:rPr>
            </w:pPr>
            <w:r>
              <w:rPr>
                <w:rFonts w:hint="eastAsia" w:ascii="宋体" w:hAnsi="宋体" w:eastAsia="宋体" w:cs="Times New Roman"/>
                <w:color w:val="auto"/>
                <w:szCs w:val="21"/>
              </w:rPr>
              <w:t>第十一条</w:t>
            </w:r>
          </w:p>
        </w:tc>
        <w:tc>
          <w:tcPr>
            <w:tcW w:w="3055" w:type="dxa"/>
            <w:vAlign w:val="center"/>
          </w:tcPr>
          <w:p w14:paraId="228ECBE1">
            <w:pPr>
              <w:keepNext w:val="0"/>
              <w:keepLines w:val="0"/>
              <w:suppressLineNumbers w:val="0"/>
              <w:snapToGrid w:val="0"/>
              <w:spacing w:before="0" w:beforeAutospacing="0" w:after="0" w:afterAutospacing="0"/>
              <w:ind w:left="0" w:right="0"/>
              <w:jc w:val="center"/>
              <w:rPr>
                <w:rFonts w:hint="default" w:ascii="宋体" w:hAnsi="宋体" w:eastAsia="宋体" w:cs="Times New Roman"/>
                <w:color w:val="auto"/>
                <w:kern w:val="0"/>
                <w:szCs w:val="21"/>
              </w:rPr>
            </w:pPr>
            <w:r>
              <w:rPr>
                <w:rFonts w:hint="eastAsia" w:ascii="宋体" w:hAnsi="宋体" w:eastAsia="宋体" w:cs="Times New Roman"/>
                <w:color w:val="auto"/>
                <w:kern w:val="0"/>
                <w:szCs w:val="21"/>
              </w:rPr>
              <w:t>承诺与保证</w:t>
            </w:r>
          </w:p>
        </w:tc>
        <w:tc>
          <w:tcPr>
            <w:tcW w:w="1346" w:type="dxa"/>
            <w:vAlign w:val="center"/>
          </w:tcPr>
          <w:p w14:paraId="1CBF02AA">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rPr>
            </w:pPr>
          </w:p>
        </w:tc>
        <w:tc>
          <w:tcPr>
            <w:tcW w:w="3524" w:type="dxa"/>
            <w:vAlign w:val="center"/>
          </w:tcPr>
          <w:p w14:paraId="4A0CE969">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rPr>
            </w:pPr>
          </w:p>
        </w:tc>
      </w:tr>
      <w:tr w14:paraId="62ECA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6C18DD4">
            <w:pPr>
              <w:keepNext w:val="0"/>
              <w:keepLines w:val="0"/>
              <w:suppressLineNumbers w:val="0"/>
              <w:snapToGrid w:val="0"/>
              <w:spacing w:before="0" w:beforeAutospacing="0" w:after="0" w:afterAutospacing="0"/>
              <w:ind w:left="0" w:right="0"/>
              <w:jc w:val="center"/>
              <w:rPr>
                <w:rFonts w:hint="default" w:ascii="宋体" w:hAnsi="宋体" w:eastAsia="宋体" w:cs="Times New Roman"/>
                <w:color w:val="auto"/>
                <w:kern w:val="0"/>
                <w:szCs w:val="21"/>
              </w:rPr>
            </w:pPr>
            <w:r>
              <w:rPr>
                <w:rFonts w:hint="eastAsia" w:ascii="宋体" w:hAnsi="宋体" w:eastAsia="宋体" w:cs="Times New Roman"/>
                <w:color w:val="auto"/>
                <w:kern w:val="0"/>
                <w:szCs w:val="21"/>
              </w:rPr>
              <w:t>1</w:t>
            </w:r>
            <w:r>
              <w:rPr>
                <w:rFonts w:hint="default" w:ascii="宋体" w:hAnsi="宋体" w:eastAsia="宋体" w:cs="Times New Roman"/>
                <w:color w:val="auto"/>
                <w:kern w:val="0"/>
                <w:szCs w:val="21"/>
              </w:rPr>
              <w:t>2</w:t>
            </w:r>
          </w:p>
        </w:tc>
        <w:tc>
          <w:tcPr>
            <w:tcW w:w="1425" w:type="dxa"/>
            <w:vAlign w:val="center"/>
          </w:tcPr>
          <w:p w14:paraId="08449BA6">
            <w:pPr>
              <w:keepNext w:val="0"/>
              <w:keepLines w:val="0"/>
              <w:suppressLineNumbers w:val="0"/>
              <w:snapToGrid w:val="0"/>
              <w:spacing w:before="0" w:beforeAutospacing="0" w:after="0" w:afterAutospacing="0"/>
              <w:ind w:left="0" w:right="0"/>
              <w:jc w:val="center"/>
              <w:rPr>
                <w:rFonts w:hint="default" w:ascii="宋体" w:hAnsi="宋体" w:eastAsia="宋体" w:cs="Times New Roman"/>
                <w:color w:val="auto"/>
                <w:kern w:val="0"/>
                <w:szCs w:val="21"/>
              </w:rPr>
            </w:pPr>
            <w:r>
              <w:rPr>
                <w:rFonts w:hint="eastAsia" w:ascii="宋体" w:hAnsi="宋体" w:eastAsia="宋体" w:cs="Times New Roman"/>
                <w:color w:val="auto"/>
                <w:szCs w:val="21"/>
              </w:rPr>
              <w:t>第十二条</w:t>
            </w:r>
          </w:p>
        </w:tc>
        <w:tc>
          <w:tcPr>
            <w:tcW w:w="3055" w:type="dxa"/>
            <w:vAlign w:val="center"/>
          </w:tcPr>
          <w:p w14:paraId="6D7A8ED3">
            <w:pPr>
              <w:keepNext w:val="0"/>
              <w:keepLines w:val="0"/>
              <w:suppressLineNumbers w:val="0"/>
              <w:snapToGrid w:val="0"/>
              <w:spacing w:before="0" w:beforeAutospacing="0" w:after="0" w:afterAutospacing="0"/>
              <w:ind w:left="0" w:right="0"/>
              <w:jc w:val="center"/>
              <w:rPr>
                <w:rFonts w:hint="default" w:ascii="宋体" w:hAnsi="宋体" w:eastAsia="宋体" w:cs="Times New Roman"/>
                <w:color w:val="auto"/>
                <w:kern w:val="0"/>
                <w:szCs w:val="21"/>
              </w:rPr>
            </w:pPr>
            <w:r>
              <w:rPr>
                <w:rFonts w:hint="eastAsia" w:ascii="宋体" w:hAnsi="宋体" w:eastAsia="宋体" w:cs="Times New Roman"/>
                <w:color w:val="auto"/>
                <w:kern w:val="0"/>
                <w:szCs w:val="21"/>
              </w:rPr>
              <w:t>合同争议的解决办法</w:t>
            </w:r>
          </w:p>
        </w:tc>
        <w:tc>
          <w:tcPr>
            <w:tcW w:w="1346" w:type="dxa"/>
            <w:vAlign w:val="center"/>
          </w:tcPr>
          <w:p w14:paraId="3F4C5CF2">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rPr>
            </w:pPr>
          </w:p>
        </w:tc>
        <w:tc>
          <w:tcPr>
            <w:tcW w:w="3524" w:type="dxa"/>
            <w:vAlign w:val="center"/>
          </w:tcPr>
          <w:p w14:paraId="0A7E1782">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rPr>
            </w:pPr>
          </w:p>
        </w:tc>
      </w:tr>
      <w:tr w14:paraId="16804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89FC048">
            <w:pPr>
              <w:keepNext w:val="0"/>
              <w:keepLines w:val="0"/>
              <w:suppressLineNumbers w:val="0"/>
              <w:snapToGrid w:val="0"/>
              <w:spacing w:before="0" w:beforeAutospacing="0" w:after="0" w:afterAutospacing="0"/>
              <w:ind w:left="0" w:right="0"/>
              <w:jc w:val="center"/>
              <w:rPr>
                <w:rFonts w:hint="default" w:ascii="宋体" w:hAnsi="宋体" w:eastAsia="宋体" w:cs="Times New Roman"/>
                <w:color w:val="auto"/>
                <w:kern w:val="0"/>
                <w:szCs w:val="21"/>
              </w:rPr>
            </w:pPr>
            <w:r>
              <w:rPr>
                <w:rFonts w:hint="eastAsia" w:ascii="宋体" w:hAnsi="宋体" w:eastAsia="宋体" w:cs="Times New Roman"/>
                <w:color w:val="auto"/>
                <w:kern w:val="0"/>
                <w:szCs w:val="21"/>
              </w:rPr>
              <w:t>1</w:t>
            </w:r>
            <w:r>
              <w:rPr>
                <w:rFonts w:hint="default" w:ascii="宋体" w:hAnsi="宋体" w:eastAsia="宋体" w:cs="Times New Roman"/>
                <w:color w:val="auto"/>
                <w:kern w:val="0"/>
                <w:szCs w:val="21"/>
              </w:rPr>
              <w:t>3</w:t>
            </w:r>
          </w:p>
        </w:tc>
        <w:tc>
          <w:tcPr>
            <w:tcW w:w="1425" w:type="dxa"/>
            <w:vAlign w:val="center"/>
          </w:tcPr>
          <w:p w14:paraId="0BE48EB6">
            <w:pPr>
              <w:keepNext w:val="0"/>
              <w:keepLines w:val="0"/>
              <w:suppressLineNumbers w:val="0"/>
              <w:snapToGrid w:val="0"/>
              <w:spacing w:before="0" w:beforeAutospacing="0" w:after="0" w:afterAutospacing="0"/>
              <w:ind w:left="0" w:right="0"/>
              <w:jc w:val="center"/>
              <w:rPr>
                <w:rFonts w:hint="default" w:ascii="宋体" w:hAnsi="宋体" w:eastAsia="宋体" w:cs="Times New Roman"/>
                <w:color w:val="auto"/>
                <w:kern w:val="0"/>
                <w:szCs w:val="21"/>
              </w:rPr>
            </w:pPr>
            <w:r>
              <w:rPr>
                <w:rFonts w:hint="eastAsia" w:ascii="宋体" w:hAnsi="宋体" w:eastAsia="宋体" w:cs="Times New Roman"/>
                <w:color w:val="auto"/>
                <w:szCs w:val="21"/>
              </w:rPr>
              <w:t>第十三条</w:t>
            </w:r>
          </w:p>
        </w:tc>
        <w:tc>
          <w:tcPr>
            <w:tcW w:w="3055" w:type="dxa"/>
            <w:vAlign w:val="center"/>
          </w:tcPr>
          <w:p w14:paraId="1F600F55">
            <w:pPr>
              <w:keepNext w:val="0"/>
              <w:keepLines w:val="0"/>
              <w:suppressLineNumbers w:val="0"/>
              <w:snapToGrid w:val="0"/>
              <w:spacing w:before="0" w:beforeAutospacing="0" w:after="0" w:afterAutospacing="0"/>
              <w:ind w:left="0" w:right="0"/>
              <w:jc w:val="center"/>
              <w:rPr>
                <w:rFonts w:hint="default" w:ascii="宋体" w:hAnsi="宋体" w:eastAsia="宋体" w:cs="Times New Roman"/>
                <w:color w:val="auto"/>
                <w:kern w:val="0"/>
                <w:szCs w:val="21"/>
              </w:rPr>
            </w:pPr>
            <w:r>
              <w:rPr>
                <w:rFonts w:hint="eastAsia" w:ascii="宋体" w:hAnsi="宋体" w:eastAsia="宋体" w:cs="Times New Roman"/>
                <w:color w:val="auto"/>
                <w:kern w:val="0"/>
                <w:szCs w:val="21"/>
              </w:rPr>
              <w:t>其他</w:t>
            </w:r>
          </w:p>
        </w:tc>
        <w:tc>
          <w:tcPr>
            <w:tcW w:w="1346" w:type="dxa"/>
            <w:vAlign w:val="center"/>
          </w:tcPr>
          <w:p w14:paraId="4C46D851">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rPr>
            </w:pPr>
          </w:p>
        </w:tc>
        <w:tc>
          <w:tcPr>
            <w:tcW w:w="3524" w:type="dxa"/>
            <w:vAlign w:val="center"/>
          </w:tcPr>
          <w:p w14:paraId="6F8FCE74">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rPr>
            </w:pPr>
          </w:p>
        </w:tc>
      </w:tr>
      <w:tr w14:paraId="78858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shd w:val="clear" w:color="auto" w:fill="auto"/>
            <w:vAlign w:val="center"/>
          </w:tcPr>
          <w:p w14:paraId="7B2C4EC0">
            <w:pPr>
              <w:keepNext w:val="0"/>
              <w:keepLines w:val="0"/>
              <w:widowControl w:val="0"/>
              <w:suppressLineNumbers w:val="0"/>
              <w:snapToGrid w:val="0"/>
              <w:spacing w:before="0" w:beforeAutospacing="0" w:after="0" w:afterAutospacing="0"/>
              <w:ind w:left="0" w:leftChars="0" w:right="0" w:rightChars="0"/>
              <w:jc w:val="center"/>
              <w:rPr>
                <w:rFonts w:hint="eastAsia" w:ascii="宋体" w:hAnsi="宋体" w:eastAsia="宋体" w:cs="Times New Roman"/>
                <w:kern w:val="0"/>
                <w:sz w:val="21"/>
                <w:szCs w:val="21"/>
                <w:lang w:val="en-US" w:eastAsia="zh-CN" w:bidi="ar-SA"/>
              </w:rPr>
            </w:pPr>
            <w:r>
              <w:rPr>
                <w:rFonts w:hint="eastAsia" w:ascii="宋体" w:hAnsi="宋体" w:eastAsia="宋体" w:cs="宋体"/>
                <w:kern w:val="0"/>
                <w:sz w:val="21"/>
                <w:szCs w:val="21"/>
                <w:lang w:val="en-US" w:eastAsia="zh-CN" w:bidi="ar"/>
              </w:rPr>
              <w:t>1</w:t>
            </w:r>
            <w:r>
              <w:rPr>
                <w:rFonts w:hint="eastAsia" w:ascii="宋体" w:hAnsi="宋体" w:eastAsia="宋体" w:cs="Times New Roman"/>
                <w:kern w:val="0"/>
                <w:sz w:val="21"/>
                <w:szCs w:val="21"/>
                <w:lang w:val="en-US" w:eastAsia="zh-CN" w:bidi="ar"/>
              </w:rPr>
              <w:t>4</w:t>
            </w:r>
          </w:p>
        </w:tc>
        <w:tc>
          <w:tcPr>
            <w:tcW w:w="1425" w:type="dxa"/>
            <w:vAlign w:val="center"/>
          </w:tcPr>
          <w:p w14:paraId="0C0706C8">
            <w:pPr>
              <w:keepNext w:val="0"/>
              <w:keepLines w:val="0"/>
              <w:suppressLineNumbers w:val="0"/>
              <w:snapToGrid w:val="0"/>
              <w:spacing w:before="0" w:beforeAutospacing="0" w:after="0" w:afterAutospacing="0"/>
              <w:ind w:left="0" w:right="0"/>
              <w:jc w:val="center"/>
              <w:rPr>
                <w:rFonts w:hint="default" w:ascii="宋体" w:hAnsi="宋体" w:eastAsia="宋体" w:cs="Times New Roman"/>
                <w:color w:val="auto"/>
                <w:szCs w:val="21"/>
                <w:lang w:val="en-US" w:eastAsia="zh-CN"/>
              </w:rPr>
            </w:pPr>
            <w:r>
              <w:rPr>
                <w:rFonts w:hint="eastAsia" w:ascii="宋体" w:hAnsi="宋体" w:eastAsia="宋体" w:cs="Times New Roman"/>
                <w:color w:val="auto"/>
                <w:szCs w:val="21"/>
                <w:lang w:eastAsia="zh-CN"/>
              </w:rPr>
              <w:t>附件</w:t>
            </w:r>
            <w:r>
              <w:rPr>
                <w:rFonts w:hint="eastAsia" w:ascii="宋体" w:hAnsi="宋体" w:eastAsia="宋体" w:cs="Times New Roman"/>
                <w:color w:val="auto"/>
                <w:szCs w:val="21"/>
                <w:lang w:val="en-US" w:eastAsia="zh-CN"/>
              </w:rPr>
              <w:t>4</w:t>
            </w:r>
          </w:p>
        </w:tc>
        <w:tc>
          <w:tcPr>
            <w:tcW w:w="3055" w:type="dxa"/>
            <w:vAlign w:val="center"/>
          </w:tcPr>
          <w:p w14:paraId="683D5AC2">
            <w:pPr>
              <w:keepNext w:val="0"/>
              <w:keepLines w:val="0"/>
              <w:suppressLineNumbers w:val="0"/>
              <w:snapToGrid w:val="0"/>
              <w:spacing w:before="0" w:beforeAutospacing="0" w:after="0" w:afterAutospacing="0"/>
              <w:ind w:left="0" w:right="0"/>
              <w:jc w:val="center"/>
              <w:rPr>
                <w:rFonts w:hint="eastAsia" w:ascii="宋体" w:hAnsi="宋体" w:eastAsia="宋体" w:cs="Times New Roman"/>
                <w:color w:val="auto"/>
                <w:kern w:val="0"/>
                <w:szCs w:val="21"/>
              </w:rPr>
            </w:pPr>
            <w:r>
              <w:rPr>
                <w:rFonts w:hint="eastAsia" w:ascii="宋体" w:hAnsi="宋体" w:eastAsia="宋体" w:cs="Times New Roman"/>
                <w:color w:val="auto"/>
                <w:kern w:val="0"/>
                <w:szCs w:val="21"/>
              </w:rPr>
              <w:t>收货地址汇总表</w:t>
            </w:r>
          </w:p>
        </w:tc>
        <w:tc>
          <w:tcPr>
            <w:tcW w:w="1346" w:type="dxa"/>
            <w:vAlign w:val="center"/>
          </w:tcPr>
          <w:p w14:paraId="16B20050">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rPr>
            </w:pPr>
          </w:p>
        </w:tc>
        <w:tc>
          <w:tcPr>
            <w:tcW w:w="3524" w:type="dxa"/>
            <w:vAlign w:val="center"/>
          </w:tcPr>
          <w:p w14:paraId="5B679E35">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rPr>
            </w:pPr>
          </w:p>
        </w:tc>
      </w:tr>
      <w:tr w14:paraId="7D5A3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shd w:val="clear" w:color="auto" w:fill="auto"/>
            <w:vAlign w:val="center"/>
          </w:tcPr>
          <w:p w14:paraId="45F21F9E">
            <w:pPr>
              <w:keepNext w:val="0"/>
              <w:keepLines w:val="0"/>
              <w:widowControl w:val="0"/>
              <w:suppressLineNumbers w:val="0"/>
              <w:snapToGrid w:val="0"/>
              <w:spacing w:before="0" w:beforeAutospacing="0" w:after="0" w:afterAutospacing="0"/>
              <w:ind w:left="0" w:leftChars="0" w:right="0" w:rightChars="0"/>
              <w:jc w:val="center"/>
              <w:rPr>
                <w:rFonts w:hint="eastAsia" w:ascii="宋体" w:hAnsi="宋体" w:eastAsia="宋体" w:cs="Times New Roman"/>
                <w:kern w:val="0"/>
                <w:sz w:val="21"/>
                <w:szCs w:val="21"/>
                <w:lang w:val="en-US" w:eastAsia="zh-CN" w:bidi="ar-SA"/>
              </w:rPr>
            </w:pPr>
            <w:r>
              <w:rPr>
                <w:rFonts w:hint="eastAsia" w:ascii="宋体" w:hAnsi="宋体" w:eastAsia="宋体" w:cs="宋体"/>
                <w:kern w:val="0"/>
                <w:sz w:val="21"/>
                <w:szCs w:val="21"/>
                <w:lang w:val="en-US" w:eastAsia="zh-CN" w:bidi="ar"/>
              </w:rPr>
              <w:t>1</w:t>
            </w:r>
            <w:r>
              <w:rPr>
                <w:rFonts w:hint="eastAsia" w:ascii="宋体" w:hAnsi="宋体" w:eastAsia="宋体" w:cs="Times New Roman"/>
                <w:kern w:val="0"/>
                <w:sz w:val="21"/>
                <w:szCs w:val="21"/>
                <w:lang w:val="en-US" w:eastAsia="zh-CN" w:bidi="ar"/>
              </w:rPr>
              <w:t>5</w:t>
            </w:r>
          </w:p>
        </w:tc>
        <w:tc>
          <w:tcPr>
            <w:tcW w:w="1425" w:type="dxa"/>
            <w:vAlign w:val="center"/>
          </w:tcPr>
          <w:p w14:paraId="7272898F">
            <w:pPr>
              <w:keepNext w:val="0"/>
              <w:keepLines w:val="0"/>
              <w:suppressLineNumbers w:val="0"/>
              <w:snapToGrid w:val="0"/>
              <w:spacing w:before="0" w:beforeAutospacing="0" w:after="0" w:afterAutospacing="0"/>
              <w:ind w:left="0" w:right="0"/>
              <w:jc w:val="center"/>
              <w:rPr>
                <w:rFonts w:hint="eastAsia" w:ascii="宋体" w:hAnsi="宋体" w:eastAsia="宋体" w:cs="Times New Roman"/>
                <w:color w:val="auto"/>
                <w:kern w:val="0"/>
                <w:szCs w:val="21"/>
                <w:lang w:eastAsia="zh-CN"/>
              </w:rPr>
            </w:pPr>
            <w:r>
              <w:rPr>
                <w:rFonts w:hint="eastAsia" w:ascii="宋体" w:hAnsi="宋体" w:eastAsia="宋体" w:cs="宋体"/>
                <w:color w:val="auto"/>
                <w:kern w:val="0"/>
                <w:szCs w:val="21"/>
              </w:rPr>
              <w:t>附件</w:t>
            </w:r>
            <w:r>
              <w:rPr>
                <w:rFonts w:hint="eastAsia" w:ascii="宋体" w:hAnsi="宋体" w:eastAsia="宋体" w:cs="宋体"/>
                <w:color w:val="auto"/>
                <w:kern w:val="0"/>
                <w:szCs w:val="21"/>
                <w:lang w:val="en-US" w:eastAsia="zh-CN"/>
              </w:rPr>
              <w:t>5</w:t>
            </w:r>
          </w:p>
        </w:tc>
        <w:tc>
          <w:tcPr>
            <w:tcW w:w="3055" w:type="dxa"/>
            <w:vAlign w:val="center"/>
          </w:tcPr>
          <w:p w14:paraId="79890A7A">
            <w:pPr>
              <w:keepNext w:val="0"/>
              <w:keepLines w:val="0"/>
              <w:suppressLineNumbers w:val="0"/>
              <w:snapToGrid w:val="0"/>
              <w:spacing w:before="0" w:beforeAutospacing="0" w:after="0" w:afterAutospacing="0"/>
              <w:ind w:left="0" w:right="0"/>
              <w:jc w:val="center"/>
              <w:rPr>
                <w:rFonts w:hint="default" w:ascii="宋体" w:hAnsi="宋体" w:eastAsia="宋体" w:cs="Times New Roman"/>
                <w:color w:val="auto"/>
                <w:kern w:val="0"/>
                <w:szCs w:val="21"/>
              </w:rPr>
            </w:pPr>
            <w:r>
              <w:rPr>
                <w:rFonts w:hint="eastAsia" w:ascii="宋体" w:hAnsi="宋体" w:eastAsia="宋体" w:cs="Times New Roman"/>
                <w:color w:val="auto"/>
                <w:kern w:val="0"/>
                <w:szCs w:val="21"/>
              </w:rPr>
              <w:t>到货验收单</w:t>
            </w:r>
          </w:p>
        </w:tc>
        <w:tc>
          <w:tcPr>
            <w:tcW w:w="1346" w:type="dxa"/>
            <w:vAlign w:val="center"/>
          </w:tcPr>
          <w:p w14:paraId="2D461497">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rPr>
            </w:pPr>
          </w:p>
        </w:tc>
        <w:tc>
          <w:tcPr>
            <w:tcW w:w="3524" w:type="dxa"/>
            <w:vAlign w:val="center"/>
          </w:tcPr>
          <w:p w14:paraId="6FE4BB26">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rPr>
            </w:pPr>
          </w:p>
        </w:tc>
      </w:tr>
      <w:tr w14:paraId="49108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shd w:val="clear" w:color="auto" w:fill="auto"/>
            <w:vAlign w:val="center"/>
          </w:tcPr>
          <w:p w14:paraId="64F49571">
            <w:pPr>
              <w:keepNext w:val="0"/>
              <w:keepLines w:val="0"/>
              <w:widowControl w:val="0"/>
              <w:suppressLineNumbers w:val="0"/>
              <w:snapToGrid w:val="0"/>
              <w:spacing w:before="0" w:beforeAutospacing="0" w:after="0" w:afterAutospacing="0"/>
              <w:ind w:left="0" w:leftChars="0" w:right="0" w:rightChars="0"/>
              <w:jc w:val="center"/>
              <w:rPr>
                <w:rFonts w:hint="eastAsia" w:ascii="宋体" w:hAnsi="宋体" w:eastAsia="宋体" w:cs="Times New Roman"/>
                <w:kern w:val="0"/>
                <w:sz w:val="21"/>
                <w:szCs w:val="21"/>
                <w:lang w:val="en-US" w:eastAsia="zh-CN" w:bidi="ar-SA"/>
              </w:rPr>
            </w:pPr>
            <w:r>
              <w:rPr>
                <w:rFonts w:hint="eastAsia" w:ascii="宋体" w:hAnsi="宋体" w:eastAsia="宋体" w:cs="宋体"/>
                <w:kern w:val="0"/>
                <w:sz w:val="21"/>
                <w:szCs w:val="21"/>
                <w:lang w:val="en-US" w:eastAsia="zh-CN" w:bidi="ar"/>
              </w:rPr>
              <w:t>1</w:t>
            </w:r>
            <w:r>
              <w:rPr>
                <w:rFonts w:hint="eastAsia" w:ascii="宋体" w:hAnsi="宋体" w:eastAsia="宋体" w:cs="Times New Roman"/>
                <w:kern w:val="0"/>
                <w:sz w:val="21"/>
                <w:szCs w:val="21"/>
                <w:lang w:val="en-US" w:eastAsia="zh-CN" w:bidi="ar"/>
              </w:rPr>
              <w:t>6</w:t>
            </w:r>
          </w:p>
        </w:tc>
        <w:tc>
          <w:tcPr>
            <w:tcW w:w="1425" w:type="dxa"/>
            <w:vAlign w:val="center"/>
          </w:tcPr>
          <w:p w14:paraId="2E12933D">
            <w:pPr>
              <w:keepNext w:val="0"/>
              <w:keepLines w:val="0"/>
              <w:suppressLineNumbers w:val="0"/>
              <w:snapToGrid w:val="0"/>
              <w:spacing w:before="0" w:beforeAutospacing="0" w:after="0" w:afterAutospacing="0"/>
              <w:ind w:left="0" w:right="0"/>
              <w:jc w:val="center"/>
              <w:rPr>
                <w:rFonts w:hint="eastAsia" w:ascii="宋体" w:hAnsi="宋体" w:eastAsia="宋体" w:cs="Times New Roman"/>
                <w:color w:val="auto"/>
                <w:kern w:val="0"/>
                <w:szCs w:val="21"/>
                <w:lang w:val="en-US" w:eastAsia="zh-CN"/>
              </w:rPr>
            </w:pPr>
            <w:r>
              <w:rPr>
                <w:rFonts w:hint="eastAsia" w:ascii="宋体" w:hAnsi="宋体" w:eastAsia="宋体" w:cs="Times New Roman"/>
                <w:color w:val="auto"/>
                <w:kern w:val="0"/>
                <w:szCs w:val="21"/>
              </w:rPr>
              <w:t>附件</w:t>
            </w:r>
            <w:r>
              <w:rPr>
                <w:rFonts w:hint="eastAsia" w:ascii="宋体" w:hAnsi="宋体" w:eastAsia="宋体" w:cs="Times New Roman"/>
                <w:color w:val="auto"/>
                <w:kern w:val="0"/>
                <w:szCs w:val="21"/>
                <w:lang w:val="en-US" w:eastAsia="zh-CN"/>
              </w:rPr>
              <w:t>6</w:t>
            </w:r>
          </w:p>
        </w:tc>
        <w:tc>
          <w:tcPr>
            <w:tcW w:w="3055" w:type="dxa"/>
            <w:vAlign w:val="center"/>
          </w:tcPr>
          <w:p w14:paraId="6D834C9E">
            <w:pPr>
              <w:keepNext w:val="0"/>
              <w:keepLines w:val="0"/>
              <w:suppressLineNumbers w:val="0"/>
              <w:snapToGrid w:val="0"/>
              <w:spacing w:before="0" w:beforeAutospacing="0" w:after="0" w:afterAutospacing="0"/>
              <w:ind w:left="0" w:right="0"/>
              <w:jc w:val="center"/>
              <w:rPr>
                <w:rFonts w:hint="default" w:ascii="宋体" w:hAnsi="宋体" w:eastAsia="宋体" w:cs="Times New Roman"/>
                <w:color w:val="auto"/>
                <w:kern w:val="0"/>
                <w:szCs w:val="21"/>
              </w:rPr>
            </w:pPr>
            <w:r>
              <w:rPr>
                <w:rFonts w:hint="eastAsia" w:ascii="宋体" w:hAnsi="宋体" w:eastAsia="宋体" w:cs="Times New Roman"/>
                <w:color w:val="auto"/>
                <w:kern w:val="0"/>
                <w:szCs w:val="21"/>
              </w:rPr>
              <w:t>供应商履约评价表</w:t>
            </w:r>
          </w:p>
        </w:tc>
        <w:tc>
          <w:tcPr>
            <w:tcW w:w="1346" w:type="dxa"/>
            <w:vAlign w:val="center"/>
          </w:tcPr>
          <w:p w14:paraId="35E2F856">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rPr>
            </w:pPr>
          </w:p>
        </w:tc>
        <w:tc>
          <w:tcPr>
            <w:tcW w:w="3524" w:type="dxa"/>
            <w:vAlign w:val="center"/>
          </w:tcPr>
          <w:p w14:paraId="5FC41F8F">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rPr>
            </w:pPr>
          </w:p>
        </w:tc>
      </w:tr>
      <w:tr w14:paraId="3E59E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shd w:val="clear" w:color="auto" w:fill="auto"/>
            <w:vAlign w:val="center"/>
          </w:tcPr>
          <w:p w14:paraId="118345E0">
            <w:pPr>
              <w:keepNext w:val="0"/>
              <w:keepLines w:val="0"/>
              <w:widowControl w:val="0"/>
              <w:suppressLineNumbers w:val="0"/>
              <w:snapToGrid w:val="0"/>
              <w:spacing w:before="0" w:beforeAutospacing="0" w:after="0" w:afterAutospacing="0"/>
              <w:ind w:left="0" w:leftChars="0" w:right="0" w:rightChars="0"/>
              <w:jc w:val="center"/>
              <w:rPr>
                <w:rFonts w:hint="eastAsia" w:ascii="宋体" w:hAnsi="宋体" w:eastAsia="宋体" w:cs="Times New Roman"/>
                <w:kern w:val="0"/>
                <w:sz w:val="21"/>
                <w:szCs w:val="21"/>
                <w:lang w:val="en-US" w:eastAsia="zh-CN" w:bidi="ar-SA"/>
              </w:rPr>
            </w:pPr>
            <w:r>
              <w:rPr>
                <w:rFonts w:hint="eastAsia" w:ascii="宋体" w:hAnsi="宋体" w:eastAsia="宋体" w:cs="宋体"/>
                <w:kern w:val="0"/>
                <w:sz w:val="21"/>
                <w:szCs w:val="21"/>
                <w:lang w:val="en-US" w:eastAsia="zh-CN" w:bidi="ar"/>
              </w:rPr>
              <w:t>17</w:t>
            </w:r>
          </w:p>
        </w:tc>
        <w:tc>
          <w:tcPr>
            <w:tcW w:w="1425" w:type="dxa"/>
            <w:vAlign w:val="center"/>
          </w:tcPr>
          <w:p w14:paraId="61D25493">
            <w:pPr>
              <w:keepNext w:val="0"/>
              <w:keepLines w:val="0"/>
              <w:suppressLineNumbers w:val="0"/>
              <w:snapToGrid w:val="0"/>
              <w:spacing w:before="0" w:beforeAutospacing="0" w:after="0" w:afterAutospacing="0"/>
              <w:ind w:left="0" w:right="0"/>
              <w:jc w:val="center"/>
              <w:rPr>
                <w:rFonts w:hint="eastAsia" w:ascii="宋体" w:hAnsi="宋体" w:eastAsia="宋体" w:cs="Times New Roman"/>
                <w:color w:val="auto"/>
                <w:kern w:val="0"/>
                <w:szCs w:val="21"/>
                <w:lang w:val="en-US" w:eastAsia="zh-CN"/>
              </w:rPr>
            </w:pPr>
            <w:r>
              <w:rPr>
                <w:rFonts w:hint="eastAsia" w:ascii="宋体" w:hAnsi="宋体" w:eastAsia="宋体" w:cs="Times New Roman"/>
                <w:color w:val="auto"/>
                <w:kern w:val="0"/>
                <w:szCs w:val="21"/>
              </w:rPr>
              <w:t>附件</w:t>
            </w:r>
            <w:r>
              <w:rPr>
                <w:rFonts w:hint="eastAsia" w:ascii="宋体" w:hAnsi="宋体" w:eastAsia="宋体" w:cs="Times New Roman"/>
                <w:color w:val="auto"/>
                <w:kern w:val="0"/>
                <w:szCs w:val="21"/>
                <w:lang w:val="en-US" w:eastAsia="zh-CN"/>
              </w:rPr>
              <w:t>7</w:t>
            </w:r>
          </w:p>
        </w:tc>
        <w:tc>
          <w:tcPr>
            <w:tcW w:w="3055" w:type="dxa"/>
            <w:vAlign w:val="center"/>
          </w:tcPr>
          <w:p w14:paraId="37C86534">
            <w:pPr>
              <w:keepNext w:val="0"/>
              <w:keepLines w:val="0"/>
              <w:suppressLineNumbers w:val="0"/>
              <w:snapToGrid w:val="0"/>
              <w:spacing w:before="0" w:beforeAutospacing="0" w:after="0" w:afterAutospacing="0"/>
              <w:ind w:left="0" w:right="0"/>
              <w:jc w:val="center"/>
              <w:rPr>
                <w:rFonts w:hint="default" w:ascii="宋体" w:hAnsi="宋体" w:eastAsia="宋体" w:cs="宋体"/>
                <w:color w:val="auto"/>
                <w:kern w:val="0"/>
                <w:szCs w:val="21"/>
              </w:rPr>
            </w:pPr>
            <w:r>
              <w:rPr>
                <w:rFonts w:hint="eastAsia" w:ascii="宋体" w:hAnsi="宋体" w:eastAsia="宋体" w:cs="宋体"/>
                <w:color w:val="auto"/>
                <w:kern w:val="0"/>
                <w:szCs w:val="21"/>
              </w:rPr>
              <w:t>廉洁协议书</w:t>
            </w:r>
          </w:p>
        </w:tc>
        <w:tc>
          <w:tcPr>
            <w:tcW w:w="1346" w:type="dxa"/>
            <w:vAlign w:val="center"/>
          </w:tcPr>
          <w:p w14:paraId="186B2146">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rPr>
            </w:pPr>
          </w:p>
        </w:tc>
        <w:tc>
          <w:tcPr>
            <w:tcW w:w="3524" w:type="dxa"/>
            <w:vAlign w:val="center"/>
          </w:tcPr>
          <w:p w14:paraId="550DD1B1">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rPr>
            </w:pPr>
          </w:p>
        </w:tc>
      </w:tr>
      <w:tr w14:paraId="271EA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shd w:val="clear" w:color="auto" w:fill="auto"/>
            <w:vAlign w:val="center"/>
          </w:tcPr>
          <w:p w14:paraId="38098F66">
            <w:pPr>
              <w:keepNext w:val="0"/>
              <w:keepLines w:val="0"/>
              <w:widowControl w:val="0"/>
              <w:suppressLineNumbers w:val="0"/>
              <w:snapToGrid w:val="0"/>
              <w:spacing w:before="0" w:beforeAutospacing="0" w:after="0" w:afterAutospacing="0"/>
              <w:ind w:left="0" w:leftChars="0" w:right="0" w:rightChars="0"/>
              <w:jc w:val="center"/>
              <w:rPr>
                <w:rFonts w:hint="default" w:ascii="宋体" w:hAnsi="宋体" w:eastAsia="宋体" w:cs="Times New Roman"/>
                <w:kern w:val="0"/>
                <w:sz w:val="21"/>
                <w:szCs w:val="21"/>
                <w:lang w:val="en-US" w:eastAsia="zh-CN" w:bidi="ar-SA"/>
              </w:rPr>
            </w:pPr>
            <w:r>
              <w:rPr>
                <w:rFonts w:hint="eastAsia" w:ascii="宋体" w:hAnsi="宋体" w:eastAsia="宋体" w:cs="宋体"/>
                <w:kern w:val="0"/>
                <w:sz w:val="21"/>
                <w:szCs w:val="21"/>
                <w:lang w:val="en-US" w:eastAsia="zh-CN" w:bidi="ar"/>
              </w:rPr>
              <w:t>18</w:t>
            </w:r>
          </w:p>
        </w:tc>
        <w:tc>
          <w:tcPr>
            <w:tcW w:w="1425" w:type="dxa"/>
            <w:vAlign w:val="center"/>
          </w:tcPr>
          <w:p w14:paraId="01635ED2">
            <w:pPr>
              <w:keepNext w:val="0"/>
              <w:keepLines w:val="0"/>
              <w:suppressLineNumbers w:val="0"/>
              <w:snapToGrid w:val="0"/>
              <w:spacing w:before="0" w:beforeAutospacing="0" w:after="0" w:afterAutospacing="0"/>
              <w:ind w:left="0" w:right="0"/>
              <w:jc w:val="center"/>
              <w:rPr>
                <w:rFonts w:hint="eastAsia" w:ascii="宋体" w:hAnsi="宋体" w:eastAsia="宋体" w:cs="Times New Roman"/>
                <w:color w:val="auto"/>
                <w:kern w:val="0"/>
                <w:szCs w:val="21"/>
                <w:lang w:val="en-US" w:eastAsia="zh-CN"/>
              </w:rPr>
            </w:pPr>
            <w:r>
              <w:rPr>
                <w:rFonts w:hint="eastAsia" w:ascii="宋体" w:hAnsi="宋体" w:eastAsia="宋体" w:cs="Times New Roman"/>
                <w:color w:val="auto"/>
                <w:kern w:val="0"/>
                <w:szCs w:val="21"/>
              </w:rPr>
              <w:t>附件</w:t>
            </w:r>
            <w:r>
              <w:rPr>
                <w:rFonts w:hint="eastAsia" w:ascii="宋体" w:hAnsi="宋体" w:eastAsia="宋体" w:cs="Times New Roman"/>
                <w:color w:val="auto"/>
                <w:kern w:val="0"/>
                <w:szCs w:val="21"/>
                <w:lang w:val="en-US" w:eastAsia="zh-CN"/>
              </w:rPr>
              <w:t>8</w:t>
            </w:r>
          </w:p>
        </w:tc>
        <w:tc>
          <w:tcPr>
            <w:tcW w:w="3055" w:type="dxa"/>
            <w:vAlign w:val="center"/>
          </w:tcPr>
          <w:p w14:paraId="31DD3717">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安全生产管理协议</w:t>
            </w:r>
          </w:p>
        </w:tc>
        <w:tc>
          <w:tcPr>
            <w:tcW w:w="1346" w:type="dxa"/>
            <w:vAlign w:val="center"/>
          </w:tcPr>
          <w:p w14:paraId="280D60A8">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rPr>
            </w:pPr>
          </w:p>
        </w:tc>
        <w:tc>
          <w:tcPr>
            <w:tcW w:w="3524" w:type="dxa"/>
            <w:vAlign w:val="center"/>
          </w:tcPr>
          <w:p w14:paraId="38BB28AE">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rPr>
            </w:pPr>
          </w:p>
        </w:tc>
      </w:tr>
      <w:tr w14:paraId="77549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shd w:val="clear" w:color="auto" w:fill="auto"/>
            <w:vAlign w:val="center"/>
          </w:tcPr>
          <w:p w14:paraId="0F588D2A">
            <w:pPr>
              <w:keepNext w:val="0"/>
              <w:keepLines w:val="0"/>
              <w:widowControl w:val="0"/>
              <w:suppressLineNumbers w:val="0"/>
              <w:snapToGrid w:val="0"/>
              <w:spacing w:before="0" w:beforeAutospacing="0" w:after="0" w:afterAutospacing="0"/>
              <w:ind w:left="0" w:leftChars="0" w:right="0" w:rightChars="0"/>
              <w:jc w:val="center"/>
              <w:rPr>
                <w:rFonts w:hint="eastAsia" w:ascii="宋体" w:hAnsi="宋体" w:eastAsia="宋体" w:cs="Times New Roman"/>
                <w:kern w:val="0"/>
                <w:sz w:val="21"/>
                <w:szCs w:val="21"/>
                <w:lang w:val="en-US" w:eastAsia="zh-CN" w:bidi="ar-SA"/>
              </w:rPr>
            </w:pPr>
            <w:r>
              <w:rPr>
                <w:rFonts w:hint="eastAsia" w:ascii="宋体" w:hAnsi="宋体" w:eastAsia="宋体" w:cs="宋体"/>
                <w:kern w:val="0"/>
                <w:sz w:val="21"/>
                <w:szCs w:val="21"/>
                <w:lang w:val="en-US" w:eastAsia="zh-CN" w:bidi="ar"/>
              </w:rPr>
              <w:t>19</w:t>
            </w:r>
          </w:p>
        </w:tc>
        <w:tc>
          <w:tcPr>
            <w:tcW w:w="1425" w:type="dxa"/>
            <w:vAlign w:val="center"/>
          </w:tcPr>
          <w:p w14:paraId="1ED8591F">
            <w:pPr>
              <w:keepNext w:val="0"/>
              <w:keepLines w:val="0"/>
              <w:suppressLineNumbers w:val="0"/>
              <w:snapToGrid w:val="0"/>
              <w:spacing w:before="0" w:beforeAutospacing="0" w:after="0" w:afterAutospacing="0"/>
              <w:ind w:left="0" w:right="0"/>
              <w:jc w:val="center"/>
              <w:rPr>
                <w:rFonts w:hint="default" w:ascii="宋体" w:hAnsi="宋体" w:eastAsia="宋体" w:cs="Times New Roman"/>
                <w:color w:val="auto"/>
                <w:kern w:val="0"/>
                <w:szCs w:val="21"/>
              </w:rPr>
            </w:pPr>
            <w:r>
              <w:rPr>
                <w:rFonts w:hint="eastAsia" w:ascii="宋体" w:hAnsi="宋体" w:eastAsia="宋体" w:cs="Times New Roman"/>
                <w:color w:val="auto"/>
                <w:kern w:val="0"/>
                <w:szCs w:val="21"/>
              </w:rPr>
              <w:t>一</w:t>
            </w:r>
          </w:p>
        </w:tc>
        <w:tc>
          <w:tcPr>
            <w:tcW w:w="3055" w:type="dxa"/>
            <w:vAlign w:val="center"/>
          </w:tcPr>
          <w:p w14:paraId="1136CC3D">
            <w:pPr>
              <w:keepNext w:val="0"/>
              <w:keepLines w:val="0"/>
              <w:suppressLineNumbers w:val="0"/>
              <w:snapToGrid w:val="0"/>
              <w:spacing w:before="0" w:beforeAutospacing="0" w:after="0" w:afterAutospacing="0"/>
              <w:ind w:left="0" w:right="0"/>
              <w:jc w:val="center"/>
              <w:rPr>
                <w:rFonts w:hint="default" w:ascii="宋体" w:hAnsi="宋体" w:eastAsia="宋体" w:cs="Times New Roman"/>
                <w:color w:val="auto"/>
                <w:kern w:val="0"/>
                <w:szCs w:val="21"/>
              </w:rPr>
            </w:pPr>
            <w:r>
              <w:rPr>
                <w:rFonts w:hint="eastAsia" w:ascii="宋体" w:hAnsi="宋体" w:eastAsia="宋体" w:cs="Times New Roman"/>
                <w:color w:val="auto"/>
                <w:kern w:val="0"/>
                <w:szCs w:val="21"/>
              </w:rPr>
              <w:t>不可撤销银行履约保函</w:t>
            </w:r>
          </w:p>
        </w:tc>
        <w:tc>
          <w:tcPr>
            <w:tcW w:w="1346" w:type="dxa"/>
            <w:vAlign w:val="center"/>
          </w:tcPr>
          <w:p w14:paraId="2F2630D2">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rPr>
            </w:pPr>
          </w:p>
        </w:tc>
        <w:tc>
          <w:tcPr>
            <w:tcW w:w="3524" w:type="dxa"/>
            <w:vAlign w:val="center"/>
          </w:tcPr>
          <w:p w14:paraId="3E81E285">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rPr>
            </w:pPr>
          </w:p>
        </w:tc>
      </w:tr>
      <w:tr w14:paraId="79E5E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shd w:val="clear" w:color="auto" w:fill="auto"/>
            <w:vAlign w:val="center"/>
          </w:tcPr>
          <w:p w14:paraId="5FC4EF48">
            <w:pPr>
              <w:keepNext w:val="0"/>
              <w:keepLines w:val="0"/>
              <w:widowControl w:val="0"/>
              <w:suppressLineNumbers w:val="0"/>
              <w:snapToGrid w:val="0"/>
              <w:spacing w:before="0" w:beforeAutospacing="0" w:after="0" w:afterAutospacing="0"/>
              <w:ind w:left="0" w:leftChars="0" w:right="0" w:rightChars="0"/>
              <w:jc w:val="center"/>
              <w:rPr>
                <w:rFonts w:hint="eastAsia" w:ascii="宋体" w:hAnsi="宋体" w:eastAsia="宋体" w:cs="Times New Roman"/>
                <w:kern w:val="0"/>
                <w:sz w:val="21"/>
                <w:szCs w:val="21"/>
                <w:lang w:val="en-US" w:eastAsia="zh-CN" w:bidi="ar-SA"/>
              </w:rPr>
            </w:pPr>
            <w:r>
              <w:rPr>
                <w:rFonts w:hint="eastAsia" w:ascii="宋体" w:hAnsi="宋体" w:eastAsia="宋体" w:cs="宋体"/>
                <w:kern w:val="0"/>
                <w:sz w:val="21"/>
                <w:szCs w:val="21"/>
                <w:lang w:val="en-US" w:eastAsia="zh-CN" w:bidi="ar"/>
              </w:rPr>
              <w:t>20</w:t>
            </w:r>
          </w:p>
        </w:tc>
        <w:tc>
          <w:tcPr>
            <w:tcW w:w="1425" w:type="dxa"/>
            <w:vAlign w:val="center"/>
          </w:tcPr>
          <w:p w14:paraId="4B37A9F2">
            <w:pPr>
              <w:keepNext w:val="0"/>
              <w:keepLines w:val="0"/>
              <w:suppressLineNumbers w:val="0"/>
              <w:snapToGrid w:val="0"/>
              <w:spacing w:before="0" w:beforeAutospacing="0" w:after="0" w:afterAutospacing="0"/>
              <w:ind w:left="0" w:right="0"/>
              <w:jc w:val="center"/>
              <w:rPr>
                <w:rFonts w:hint="default" w:ascii="宋体" w:hAnsi="宋体" w:eastAsia="宋体" w:cs="Times New Roman"/>
                <w:color w:val="auto"/>
                <w:kern w:val="0"/>
                <w:szCs w:val="21"/>
              </w:rPr>
            </w:pPr>
            <w:r>
              <w:rPr>
                <w:rFonts w:hint="eastAsia" w:ascii="宋体" w:hAnsi="宋体" w:eastAsia="宋体" w:cs="Times New Roman"/>
                <w:color w:val="auto"/>
                <w:kern w:val="0"/>
                <w:szCs w:val="21"/>
              </w:rPr>
              <w:t>二</w:t>
            </w:r>
          </w:p>
        </w:tc>
        <w:tc>
          <w:tcPr>
            <w:tcW w:w="3055" w:type="dxa"/>
            <w:vAlign w:val="center"/>
          </w:tcPr>
          <w:p w14:paraId="59A1F651">
            <w:pPr>
              <w:keepNext w:val="0"/>
              <w:keepLines w:val="0"/>
              <w:suppressLineNumbers w:val="0"/>
              <w:snapToGrid w:val="0"/>
              <w:spacing w:before="0" w:beforeAutospacing="0" w:after="0" w:afterAutospacing="0"/>
              <w:ind w:left="0" w:right="0"/>
              <w:jc w:val="center"/>
              <w:rPr>
                <w:rFonts w:hint="default" w:ascii="宋体" w:hAnsi="宋体" w:eastAsia="宋体" w:cs="Times New Roman"/>
                <w:color w:val="auto"/>
                <w:kern w:val="0"/>
                <w:szCs w:val="21"/>
              </w:rPr>
            </w:pPr>
            <w:r>
              <w:rPr>
                <w:rFonts w:hint="eastAsia" w:ascii="宋体" w:hAnsi="宋体" w:eastAsia="宋体" w:cs="Times New Roman"/>
                <w:color w:val="auto"/>
                <w:kern w:val="0"/>
                <w:szCs w:val="21"/>
              </w:rPr>
              <w:t>履约保证保险凭证</w:t>
            </w:r>
          </w:p>
        </w:tc>
        <w:tc>
          <w:tcPr>
            <w:tcW w:w="1346" w:type="dxa"/>
            <w:vAlign w:val="center"/>
          </w:tcPr>
          <w:p w14:paraId="7C6B20E0">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rPr>
            </w:pPr>
          </w:p>
        </w:tc>
        <w:tc>
          <w:tcPr>
            <w:tcW w:w="3524" w:type="dxa"/>
            <w:vAlign w:val="center"/>
          </w:tcPr>
          <w:p w14:paraId="480A8985">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rPr>
            </w:pPr>
          </w:p>
        </w:tc>
      </w:tr>
      <w:tr w14:paraId="7170D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0027C0D">
            <w:pPr>
              <w:keepNext w:val="0"/>
              <w:keepLines w:val="0"/>
              <w:suppressLineNumbers w:val="0"/>
              <w:snapToGrid w:val="0"/>
              <w:spacing w:before="0" w:beforeAutospacing="0" w:after="0" w:afterAutospacing="0"/>
              <w:ind w:left="0" w:right="0"/>
              <w:jc w:val="center"/>
              <w:rPr>
                <w:rFonts w:hint="default" w:ascii="宋体" w:hAnsi="宋体" w:eastAsia="宋体" w:cs="Times New Roman"/>
                <w:color w:val="auto"/>
                <w:kern w:val="0"/>
                <w:szCs w:val="21"/>
                <w:lang w:val="en-US" w:eastAsia="zh-CN"/>
              </w:rPr>
            </w:pPr>
            <w:r>
              <w:rPr>
                <w:rFonts w:hint="eastAsia" w:ascii="宋体" w:hAnsi="宋体" w:eastAsia="宋体" w:cs="Times New Roman"/>
                <w:color w:val="auto"/>
                <w:kern w:val="0"/>
                <w:szCs w:val="21"/>
                <w:lang w:val="en-US" w:eastAsia="zh-CN"/>
              </w:rPr>
              <w:t>21</w:t>
            </w:r>
          </w:p>
        </w:tc>
        <w:tc>
          <w:tcPr>
            <w:tcW w:w="1425" w:type="dxa"/>
            <w:vAlign w:val="center"/>
          </w:tcPr>
          <w:p w14:paraId="71C9C55D">
            <w:pPr>
              <w:keepNext w:val="0"/>
              <w:keepLines w:val="0"/>
              <w:suppressLineNumbers w:val="0"/>
              <w:snapToGrid w:val="0"/>
              <w:spacing w:before="0" w:beforeAutospacing="0" w:after="0" w:afterAutospacing="0"/>
              <w:ind w:left="0" w:right="0"/>
              <w:jc w:val="center"/>
              <w:rPr>
                <w:rFonts w:hint="default" w:ascii="宋体" w:hAnsi="宋体" w:eastAsia="宋体" w:cs="Times New Roman"/>
                <w:color w:val="auto"/>
                <w:kern w:val="0"/>
                <w:szCs w:val="21"/>
              </w:rPr>
            </w:pPr>
            <w:r>
              <w:rPr>
                <w:rFonts w:hint="eastAsia" w:ascii="宋体" w:hAnsi="宋体" w:eastAsia="宋体" w:cs="Times New Roman"/>
                <w:color w:val="auto"/>
                <w:kern w:val="0"/>
                <w:szCs w:val="21"/>
              </w:rPr>
              <w:t>三</w:t>
            </w:r>
          </w:p>
        </w:tc>
        <w:tc>
          <w:tcPr>
            <w:tcW w:w="3055" w:type="dxa"/>
            <w:vAlign w:val="center"/>
          </w:tcPr>
          <w:p w14:paraId="3710E0EB">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rPr>
            </w:pPr>
            <w:r>
              <w:rPr>
                <w:rFonts w:hint="eastAsia" w:ascii="宋体" w:hAnsi="宋体" w:eastAsia="宋体" w:cs="Times New Roman"/>
                <w:color w:val="auto"/>
                <w:kern w:val="0"/>
                <w:szCs w:val="21"/>
              </w:rPr>
              <w:t>担保公司履约担保书</w:t>
            </w:r>
          </w:p>
        </w:tc>
        <w:tc>
          <w:tcPr>
            <w:tcW w:w="1346" w:type="dxa"/>
            <w:vAlign w:val="center"/>
          </w:tcPr>
          <w:p w14:paraId="056593B6">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rPr>
            </w:pPr>
          </w:p>
        </w:tc>
        <w:tc>
          <w:tcPr>
            <w:tcW w:w="3524" w:type="dxa"/>
            <w:vAlign w:val="center"/>
          </w:tcPr>
          <w:p w14:paraId="3746DB5B">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rPr>
            </w:pPr>
          </w:p>
        </w:tc>
      </w:tr>
    </w:tbl>
    <w:p w14:paraId="6B744187">
      <w:pPr>
        <w:autoSpaceDE w:val="0"/>
        <w:autoSpaceDN w:val="0"/>
        <w:adjustRightInd w:val="0"/>
        <w:snapToGrid w:val="0"/>
        <w:spacing w:line="360" w:lineRule="auto"/>
        <w:ind w:left="186" w:leftChars="-158" w:hanging="518" w:hangingChars="247"/>
        <w:jc w:val="left"/>
        <w:rPr>
          <w:rFonts w:ascii="宋体" w:hAnsi="宋体" w:eastAsia="宋体" w:cs="Times New Roman"/>
          <w:color w:val="auto"/>
          <w:szCs w:val="24"/>
          <w:lang w:val="zh-CN"/>
        </w:rPr>
      </w:pPr>
    </w:p>
    <w:p w14:paraId="70D9489E">
      <w:pPr>
        <w:autoSpaceDE w:val="0"/>
        <w:autoSpaceDN w:val="0"/>
        <w:adjustRightInd w:val="0"/>
        <w:snapToGrid w:val="0"/>
        <w:spacing w:line="360" w:lineRule="auto"/>
        <w:ind w:left="166" w:leftChars="-101" w:hanging="378" w:hangingChars="180"/>
        <w:jc w:val="left"/>
        <w:rPr>
          <w:rFonts w:ascii="宋体" w:hAnsi="宋体" w:eastAsia="宋体" w:cs="Times New Roman"/>
          <w:color w:val="auto"/>
          <w:szCs w:val="24"/>
          <w:lang w:val="zh-CN"/>
        </w:rPr>
      </w:pPr>
      <w:r>
        <w:rPr>
          <w:rFonts w:hint="eastAsia" w:ascii="宋体" w:hAnsi="宋体" w:eastAsia="宋体" w:cs="Times New Roman"/>
          <w:color w:val="auto"/>
          <w:szCs w:val="24"/>
          <w:lang w:val="zh-CN"/>
        </w:rPr>
        <w:t>备注：</w:t>
      </w:r>
    </w:p>
    <w:p w14:paraId="292BF6E0">
      <w:pPr>
        <w:spacing w:line="360" w:lineRule="auto"/>
        <w:ind w:left="605" w:leftChars="18" w:hanging="567" w:hangingChars="270"/>
        <w:rPr>
          <w:rFonts w:ascii="宋体" w:hAnsi="宋体" w:eastAsia="宋体" w:cs="宋体"/>
          <w:color w:val="auto"/>
          <w:szCs w:val="21"/>
        </w:rPr>
      </w:pPr>
      <w:r>
        <w:rPr>
          <w:rFonts w:hint="eastAsia" w:ascii="宋体" w:hAnsi="宋体" w:eastAsia="宋体" w:cs="宋体"/>
          <w:color w:val="auto"/>
          <w:szCs w:val="21"/>
        </w:rPr>
        <w:t>（1）</w:t>
      </w:r>
      <w:r>
        <w:rPr>
          <w:rFonts w:hint="eastAsia" w:ascii="宋体" w:hAnsi="宋体" w:eastAsia="宋体" w:cs="Times New Roman"/>
          <w:b/>
          <w:color w:val="auto"/>
          <w:kern w:val="0"/>
          <w:szCs w:val="21"/>
          <w:u w:val="single"/>
        </w:rPr>
        <w:t>投标人应对照招标文件合同格式内合同条款及附件，逐条、如实地填写“偏离情况”项。“偏离情况”项为正偏离（或负偏离）的，必须在“具体偏离内容”项内详细说明与招标文件的偏离内容，“偏离情况”项为无偏离的，在“具体偏离内容”项内填“无”。若发现虚假填写本表，或对合同及其附件响应有负偏离的，按无效投标文件处理。若发现此表未逐条填写视为完全满足招标文件要求</w:t>
      </w:r>
      <w:r>
        <w:rPr>
          <w:rFonts w:hint="eastAsia" w:ascii="宋体" w:hAnsi="宋体" w:eastAsia="宋体" w:cs="Times New Roman"/>
          <w:b/>
          <w:color w:val="auto"/>
          <w:kern w:val="0"/>
          <w:szCs w:val="21"/>
        </w:rPr>
        <w:t>。</w:t>
      </w:r>
    </w:p>
    <w:p w14:paraId="4D0695C4">
      <w:pPr>
        <w:spacing w:line="360" w:lineRule="auto"/>
        <w:ind w:left="605" w:leftChars="18" w:hanging="567" w:hangingChars="270"/>
        <w:rPr>
          <w:rFonts w:ascii="宋体" w:hAnsi="宋体" w:eastAsia="宋体" w:cs="宋体"/>
          <w:color w:val="auto"/>
          <w:szCs w:val="21"/>
        </w:rPr>
      </w:pPr>
      <w:r>
        <w:rPr>
          <w:rFonts w:hint="eastAsia" w:ascii="宋体" w:hAnsi="宋体" w:eastAsia="宋体" w:cs="宋体"/>
          <w:color w:val="auto"/>
          <w:szCs w:val="21"/>
        </w:rPr>
        <w:t>（2）偏离情况（投标文件对招标文件合同条款的响应程度）分为：正偏离、负偏离、无偏离。正偏离是指投标人提供的货物及有关服务商务条件优于招标文件的要求；负偏离是指投标人提供的货物及有关服务商务条件不满足或不完全满足招标文件的要求；无偏离是指投标人提供的货物及有关服务商务条件完全满足招标文件的要求。</w:t>
      </w:r>
    </w:p>
    <w:p w14:paraId="125C060C">
      <w:pPr>
        <w:spacing w:line="360" w:lineRule="auto"/>
        <w:ind w:left="605" w:leftChars="18" w:hanging="567" w:hangingChars="270"/>
        <w:rPr>
          <w:rFonts w:ascii="宋体" w:hAnsi="宋体" w:eastAsia="宋体" w:cs="宋体"/>
          <w:color w:val="auto"/>
          <w:szCs w:val="21"/>
        </w:rPr>
      </w:pPr>
      <w:r>
        <w:rPr>
          <w:rFonts w:hint="eastAsia" w:ascii="宋体" w:hAnsi="宋体" w:eastAsia="宋体" w:cs="宋体"/>
          <w:color w:val="auto"/>
          <w:szCs w:val="21"/>
        </w:rPr>
        <w:t>（</w:t>
      </w:r>
      <w:r>
        <w:rPr>
          <w:rFonts w:ascii="宋体" w:hAnsi="宋体" w:eastAsia="宋体" w:cs="宋体"/>
          <w:color w:val="auto"/>
          <w:szCs w:val="21"/>
        </w:rPr>
        <w:t>3）招标文件“第五篇 相关保函格式”作为重要的商务条款，投标人的响应情况列入本合同条款偏离表。</w:t>
      </w:r>
    </w:p>
    <w:p w14:paraId="33F36B86">
      <w:pPr>
        <w:spacing w:line="360" w:lineRule="auto"/>
        <w:ind w:left="605" w:leftChars="18" w:hanging="567" w:hangingChars="270"/>
        <w:rPr>
          <w:rFonts w:ascii="宋体" w:hAnsi="宋体" w:eastAsia="宋体" w:cs="宋体"/>
          <w:color w:val="auto"/>
          <w:szCs w:val="21"/>
        </w:rPr>
      </w:pPr>
      <w:r>
        <w:rPr>
          <w:rFonts w:hint="eastAsia" w:ascii="宋体" w:hAnsi="宋体" w:eastAsia="宋体" w:cs="宋体"/>
          <w:color w:val="auto"/>
          <w:szCs w:val="21"/>
        </w:rPr>
        <w:t>（</w:t>
      </w:r>
      <w:r>
        <w:rPr>
          <w:rFonts w:ascii="宋体" w:hAnsi="宋体" w:eastAsia="宋体" w:cs="宋体"/>
          <w:color w:val="auto"/>
          <w:szCs w:val="21"/>
        </w:rPr>
        <w:t>4</w:t>
      </w:r>
      <w:r>
        <w:rPr>
          <w:rFonts w:hint="eastAsia" w:ascii="宋体" w:hAnsi="宋体" w:eastAsia="宋体" w:cs="宋体"/>
          <w:color w:val="auto"/>
          <w:szCs w:val="21"/>
        </w:rPr>
        <w:t>）如投标人差异内容较多可另附页说明，并在本偏离表“具体偏离内容”项注明其在投标文件中的具体页码。</w:t>
      </w:r>
    </w:p>
    <w:p w14:paraId="56C1EE2F">
      <w:pPr>
        <w:spacing w:line="360" w:lineRule="auto"/>
        <w:ind w:left="357" w:leftChars="-100" w:hanging="567" w:hangingChars="270"/>
        <w:rPr>
          <w:rFonts w:ascii="宋体" w:hAnsi="宋体" w:eastAsia="宋体" w:cs="宋体"/>
          <w:color w:val="auto"/>
          <w:szCs w:val="21"/>
        </w:rPr>
      </w:pPr>
    </w:p>
    <w:p w14:paraId="2A05A340">
      <w:pPr>
        <w:spacing w:line="360" w:lineRule="auto"/>
        <w:ind w:left="357" w:leftChars="-100" w:hanging="567" w:hangingChars="270"/>
        <w:rPr>
          <w:rFonts w:ascii="宋体" w:hAnsi="宋体" w:eastAsia="宋体" w:cs="宋体"/>
          <w:color w:val="auto"/>
          <w:szCs w:val="21"/>
        </w:rPr>
      </w:pPr>
    </w:p>
    <w:p w14:paraId="309E594E">
      <w:pPr>
        <w:spacing w:line="360" w:lineRule="auto"/>
        <w:ind w:left="357" w:leftChars="-100" w:hanging="567" w:hangingChars="270"/>
        <w:rPr>
          <w:rFonts w:ascii="宋体" w:hAnsi="宋体" w:eastAsia="宋体" w:cs="宋体"/>
          <w:color w:val="auto"/>
          <w:szCs w:val="21"/>
        </w:rPr>
      </w:pPr>
    </w:p>
    <w:p w14:paraId="24D4F59A">
      <w:pPr>
        <w:spacing w:line="360" w:lineRule="auto"/>
        <w:ind w:right="368" w:rightChars="175" w:firstLine="5355" w:firstLineChars="2550"/>
        <w:jc w:val="left"/>
        <w:rPr>
          <w:rFonts w:ascii="宋体" w:hAnsi="宋体" w:eastAsia="宋体" w:cs="宋体"/>
          <w:color w:val="auto"/>
          <w:kern w:val="0"/>
          <w:szCs w:val="21"/>
          <w:lang w:val="zh-CN"/>
        </w:rPr>
      </w:pPr>
      <w:r>
        <w:rPr>
          <w:rFonts w:hint="eastAsia" w:ascii="宋体" w:hAnsi="宋体" w:eastAsia="宋体" w:cs="宋体"/>
          <w:color w:val="auto"/>
          <w:szCs w:val="21"/>
          <w:lang w:val="zh-CN"/>
        </w:rPr>
        <w:t>投标人：</w:t>
      </w:r>
      <w:r>
        <w:rPr>
          <w:rFonts w:hint="eastAsia" w:ascii="宋体" w:hAnsi="宋体" w:eastAsia="宋体" w:cs="宋体"/>
          <w:color w:val="auto"/>
          <w:kern w:val="0"/>
          <w:szCs w:val="21"/>
          <w:lang w:val="zh-CN"/>
        </w:rPr>
        <w:t>（加盖投标人法人公章）</w:t>
      </w:r>
    </w:p>
    <w:p w14:paraId="4D8F4960">
      <w:pPr>
        <w:autoSpaceDE w:val="0"/>
        <w:autoSpaceDN w:val="0"/>
        <w:adjustRightInd w:val="0"/>
        <w:spacing w:line="360" w:lineRule="auto"/>
        <w:ind w:firstLine="5355" w:firstLineChars="2550"/>
        <w:rPr>
          <w:rFonts w:ascii="宋体" w:hAnsi="宋体" w:eastAsia="宋体" w:cs="宋体"/>
          <w:color w:val="auto"/>
          <w:szCs w:val="24"/>
          <w:lang w:val="zh-CN"/>
        </w:rPr>
      </w:pPr>
      <w:r>
        <w:rPr>
          <w:rFonts w:hint="eastAsia" w:ascii="宋体" w:hAnsi="宋体" w:eastAsia="宋体" w:cs="宋体"/>
          <w:color w:val="auto"/>
          <w:szCs w:val="24"/>
          <w:lang w:val="zh-CN"/>
        </w:rPr>
        <w:t>日    期：  年  月  日</w:t>
      </w:r>
    </w:p>
    <w:p w14:paraId="4BAC1880">
      <w:pPr>
        <w:tabs>
          <w:tab w:val="left" w:pos="567"/>
        </w:tabs>
        <w:autoSpaceDE w:val="0"/>
        <w:autoSpaceDN w:val="0"/>
        <w:adjustRightInd w:val="0"/>
        <w:spacing w:line="360" w:lineRule="auto"/>
        <w:jc w:val="left"/>
        <w:rPr>
          <w:rFonts w:ascii="宋体" w:hAnsi="宋体" w:eastAsia="宋体" w:cs="宋体"/>
          <w:b/>
          <w:color w:val="auto"/>
          <w:kern w:val="0"/>
          <w:sz w:val="32"/>
          <w:szCs w:val="32"/>
        </w:rPr>
      </w:pPr>
      <w:r>
        <w:rPr>
          <w:rFonts w:hint="eastAsia" w:ascii="宋体" w:hAnsi="宋体" w:eastAsia="宋体" w:cs="宋体"/>
          <w:b/>
          <w:bCs/>
          <w:color w:val="auto"/>
          <w:kern w:val="0"/>
          <w:sz w:val="30"/>
          <w:szCs w:val="30"/>
          <w:lang w:val="zh-CN"/>
        </w:rPr>
        <w:br w:type="page"/>
      </w:r>
      <w:bookmarkStart w:id="579" w:name="_Toc104991884"/>
      <w:bookmarkStart w:id="580" w:name="_Toc102860082"/>
      <w:bookmarkStart w:id="581" w:name="_Toc13348"/>
      <w:bookmarkStart w:id="582" w:name="_Toc94107218"/>
      <w:bookmarkStart w:id="583" w:name="_Toc102860426"/>
      <w:bookmarkStart w:id="584" w:name="_Toc140596937"/>
      <w:bookmarkStart w:id="585" w:name="_Toc142508377"/>
      <w:bookmarkStart w:id="586" w:name="_Toc2075"/>
      <w:bookmarkStart w:id="587" w:name="_Toc486167717"/>
      <w:bookmarkStart w:id="588" w:name="_Toc27980_WPSOffice_Level2"/>
      <w:r>
        <w:rPr>
          <w:rFonts w:hint="eastAsia" w:ascii="宋体" w:hAnsi="宋体" w:eastAsia="宋体" w:cs="宋体"/>
          <w:b/>
          <w:bCs/>
          <w:color w:val="auto"/>
          <w:kern w:val="0"/>
          <w:sz w:val="30"/>
          <w:szCs w:val="30"/>
          <w:lang w:val="zh-CN"/>
        </w:rPr>
        <w:t>九</w:t>
      </w:r>
      <w:r>
        <w:rPr>
          <w:rFonts w:hint="eastAsia" w:ascii="宋体" w:hAnsi="宋体" w:eastAsia="宋体" w:cs="宋体"/>
          <w:b/>
          <w:color w:val="auto"/>
          <w:kern w:val="0"/>
          <w:sz w:val="32"/>
          <w:szCs w:val="32"/>
        </w:rPr>
        <w:t>、业绩表格式</w:t>
      </w:r>
      <w:bookmarkEnd w:id="579"/>
      <w:bookmarkEnd w:id="580"/>
      <w:bookmarkEnd w:id="581"/>
      <w:bookmarkEnd w:id="582"/>
      <w:bookmarkEnd w:id="583"/>
      <w:bookmarkEnd w:id="584"/>
      <w:bookmarkEnd w:id="585"/>
      <w:bookmarkEnd w:id="586"/>
    </w:p>
    <w:p w14:paraId="32B2D736">
      <w:pPr>
        <w:autoSpaceDE w:val="0"/>
        <w:autoSpaceDN w:val="0"/>
        <w:adjustRightInd w:val="0"/>
        <w:spacing w:line="360" w:lineRule="auto"/>
        <w:jc w:val="center"/>
        <w:rPr>
          <w:rFonts w:ascii="宋体" w:hAnsi="宋体" w:eastAsia="宋体" w:cs="Times New Roman"/>
          <w:b/>
          <w:bCs/>
          <w:color w:val="auto"/>
          <w:sz w:val="30"/>
          <w:szCs w:val="30"/>
          <w:lang w:val="zh-CN"/>
        </w:rPr>
      </w:pPr>
      <w:r>
        <w:rPr>
          <w:rFonts w:hint="eastAsia" w:ascii="宋体" w:hAnsi="宋体" w:eastAsia="宋体" w:cs="Times New Roman"/>
          <w:b/>
          <w:bCs/>
          <w:color w:val="auto"/>
          <w:sz w:val="30"/>
          <w:szCs w:val="30"/>
          <w:lang w:val="zh-CN"/>
        </w:rPr>
        <w:t>投标人2021年1月1日以来承接的安全物资或劳保物资在国内的销售业绩表</w:t>
      </w:r>
    </w:p>
    <w:tbl>
      <w:tblPr>
        <w:tblStyle w:val="45"/>
        <w:tblW w:w="4552"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71"/>
        <w:gridCol w:w="1616"/>
        <w:gridCol w:w="1635"/>
        <w:gridCol w:w="1347"/>
        <w:gridCol w:w="813"/>
        <w:gridCol w:w="746"/>
        <w:gridCol w:w="790"/>
        <w:gridCol w:w="1039"/>
        <w:gridCol w:w="684"/>
      </w:tblGrid>
      <w:tr w14:paraId="1518A0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5" w:hRule="atLeast"/>
          <w:jc w:val="center"/>
        </w:trPr>
        <w:tc>
          <w:tcPr>
            <w:tcW w:w="408" w:type="pct"/>
            <w:tcBorders>
              <w:top w:val="single" w:color="auto" w:sz="4" w:space="0"/>
              <w:left w:val="single" w:color="auto" w:sz="4" w:space="0"/>
              <w:bottom w:val="single" w:color="auto" w:sz="4" w:space="0"/>
              <w:right w:val="single" w:color="auto" w:sz="4" w:space="0"/>
            </w:tcBorders>
            <w:vAlign w:val="center"/>
          </w:tcPr>
          <w:p w14:paraId="053EEE8A">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rPr>
            </w:pPr>
            <w:r>
              <w:rPr>
                <w:rFonts w:hint="eastAsia" w:ascii="宋体" w:hAnsi="宋体" w:eastAsia="宋体" w:cs="Times New Roman"/>
                <w:color w:val="auto"/>
                <w:kern w:val="0"/>
                <w:szCs w:val="21"/>
                <w:lang w:val="zh-CN"/>
              </w:rPr>
              <w:t>序号</w:t>
            </w:r>
          </w:p>
        </w:tc>
        <w:tc>
          <w:tcPr>
            <w:tcW w:w="855" w:type="pct"/>
            <w:tcBorders>
              <w:top w:val="single" w:color="auto" w:sz="4" w:space="0"/>
              <w:left w:val="single" w:color="auto" w:sz="4" w:space="0"/>
              <w:bottom w:val="single" w:color="auto" w:sz="4" w:space="0"/>
              <w:right w:val="single" w:color="auto" w:sz="4" w:space="0"/>
            </w:tcBorders>
            <w:vAlign w:val="center"/>
          </w:tcPr>
          <w:p w14:paraId="3726972A">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lang w:val="zh-CN"/>
              </w:rPr>
            </w:pPr>
            <w:r>
              <w:rPr>
                <w:rFonts w:hint="eastAsia" w:ascii="宋体" w:hAnsi="宋体" w:eastAsia="宋体" w:cs="Times New Roman"/>
                <w:color w:val="auto"/>
                <w:kern w:val="0"/>
                <w:szCs w:val="21"/>
                <w:lang w:val="zh-CN"/>
              </w:rPr>
              <w:t>项目</w:t>
            </w:r>
          </w:p>
          <w:p w14:paraId="3FAD4E85">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rPr>
            </w:pPr>
            <w:r>
              <w:rPr>
                <w:rFonts w:hint="eastAsia" w:ascii="宋体" w:hAnsi="宋体" w:eastAsia="宋体" w:cs="Times New Roman"/>
                <w:color w:val="auto"/>
                <w:kern w:val="0"/>
                <w:szCs w:val="21"/>
                <w:lang w:val="zh-CN"/>
              </w:rPr>
              <w:t>名称</w:t>
            </w:r>
          </w:p>
        </w:tc>
        <w:tc>
          <w:tcPr>
            <w:tcW w:w="865" w:type="pct"/>
            <w:tcBorders>
              <w:top w:val="single" w:color="auto" w:sz="4" w:space="0"/>
              <w:left w:val="single" w:color="auto" w:sz="4" w:space="0"/>
              <w:bottom w:val="single" w:color="auto" w:sz="4" w:space="0"/>
              <w:right w:val="single" w:color="auto" w:sz="4" w:space="0"/>
            </w:tcBorders>
            <w:vAlign w:val="center"/>
          </w:tcPr>
          <w:p w14:paraId="3BEDBB9E">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宋体"/>
                <w:color w:val="auto"/>
                <w:kern w:val="0"/>
                <w:szCs w:val="21"/>
              </w:rPr>
            </w:pPr>
            <w:r>
              <w:rPr>
                <w:rFonts w:hint="eastAsia" w:ascii="宋体" w:hAnsi="宋体" w:eastAsia="宋体" w:cs="宋体"/>
                <w:color w:val="auto"/>
                <w:kern w:val="0"/>
                <w:szCs w:val="21"/>
              </w:rPr>
              <w:t>合同标的货物名称</w:t>
            </w:r>
          </w:p>
        </w:tc>
        <w:tc>
          <w:tcPr>
            <w:tcW w:w="713" w:type="pct"/>
            <w:tcBorders>
              <w:top w:val="single" w:color="auto" w:sz="4" w:space="0"/>
              <w:left w:val="single" w:color="auto" w:sz="4" w:space="0"/>
              <w:bottom w:val="single" w:color="auto" w:sz="4" w:space="0"/>
              <w:right w:val="single" w:color="auto" w:sz="4" w:space="0"/>
            </w:tcBorders>
            <w:vAlign w:val="center"/>
          </w:tcPr>
          <w:p w14:paraId="37DB2EEF">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lang w:val="zh-CN"/>
              </w:rPr>
            </w:pPr>
            <w:r>
              <w:rPr>
                <w:rFonts w:hint="eastAsia" w:ascii="宋体" w:hAnsi="宋体" w:eastAsia="宋体" w:cs="Times New Roman"/>
                <w:color w:val="auto"/>
                <w:kern w:val="0"/>
                <w:szCs w:val="21"/>
                <w:lang w:val="zh-CN"/>
              </w:rPr>
              <w:t>单项合同</w:t>
            </w:r>
          </w:p>
          <w:p w14:paraId="1D8CD9DC">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rPr>
            </w:pPr>
            <w:r>
              <w:rPr>
                <w:rFonts w:hint="eastAsia" w:ascii="宋体" w:hAnsi="宋体" w:eastAsia="宋体" w:cs="Times New Roman"/>
                <w:color w:val="auto"/>
                <w:kern w:val="0"/>
                <w:szCs w:val="21"/>
                <w:lang w:val="zh-CN"/>
              </w:rPr>
              <w:t>金额（单位：万元）</w:t>
            </w:r>
          </w:p>
        </w:tc>
        <w:tc>
          <w:tcPr>
            <w:tcW w:w="430" w:type="pct"/>
            <w:tcBorders>
              <w:top w:val="single" w:color="auto" w:sz="4" w:space="0"/>
              <w:left w:val="single" w:color="auto" w:sz="4" w:space="0"/>
              <w:bottom w:val="single" w:color="auto" w:sz="4" w:space="0"/>
              <w:right w:val="single" w:color="auto" w:sz="4" w:space="0"/>
            </w:tcBorders>
            <w:vAlign w:val="center"/>
          </w:tcPr>
          <w:p w14:paraId="2E7F4263">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lang w:val="zh-CN"/>
              </w:rPr>
            </w:pPr>
            <w:r>
              <w:rPr>
                <w:rFonts w:hint="eastAsia" w:ascii="宋体" w:hAnsi="宋体" w:eastAsia="宋体" w:cs="Times New Roman"/>
                <w:color w:val="auto"/>
                <w:kern w:val="0"/>
                <w:szCs w:val="21"/>
                <w:lang w:val="zh-CN"/>
              </w:rPr>
              <w:t>合同期限</w:t>
            </w:r>
          </w:p>
        </w:tc>
        <w:tc>
          <w:tcPr>
            <w:tcW w:w="395" w:type="pct"/>
            <w:tcBorders>
              <w:top w:val="single" w:color="auto" w:sz="4" w:space="0"/>
              <w:left w:val="single" w:color="auto" w:sz="4" w:space="0"/>
              <w:bottom w:val="single" w:color="auto" w:sz="4" w:space="0"/>
              <w:right w:val="single" w:color="auto" w:sz="4" w:space="0"/>
            </w:tcBorders>
            <w:vAlign w:val="center"/>
          </w:tcPr>
          <w:p w14:paraId="2D3D8CEB">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rPr>
            </w:pPr>
            <w:r>
              <w:rPr>
                <w:rFonts w:hint="eastAsia" w:ascii="宋体" w:hAnsi="宋体" w:eastAsia="宋体" w:cs="Times New Roman"/>
                <w:color w:val="auto"/>
                <w:kern w:val="0"/>
                <w:szCs w:val="21"/>
                <w:lang w:val="zh-CN"/>
              </w:rPr>
              <w:t>合同签订日期</w:t>
            </w:r>
          </w:p>
        </w:tc>
        <w:tc>
          <w:tcPr>
            <w:tcW w:w="418" w:type="pct"/>
            <w:tcBorders>
              <w:top w:val="single" w:color="auto" w:sz="4" w:space="0"/>
              <w:left w:val="single" w:color="auto" w:sz="4" w:space="0"/>
              <w:bottom w:val="single" w:color="auto" w:sz="4" w:space="0"/>
              <w:right w:val="single" w:color="auto" w:sz="4" w:space="0"/>
            </w:tcBorders>
            <w:vAlign w:val="center"/>
          </w:tcPr>
          <w:p w14:paraId="38B5C01B">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lang w:val="zh-CN"/>
              </w:rPr>
            </w:pPr>
            <w:r>
              <w:rPr>
                <w:rFonts w:hint="eastAsia" w:ascii="宋体" w:hAnsi="宋体" w:eastAsia="宋体" w:cs="Times New Roman"/>
                <w:color w:val="auto"/>
                <w:kern w:val="0"/>
                <w:szCs w:val="21"/>
                <w:lang w:val="zh-CN"/>
              </w:rPr>
              <w:t>完成</w:t>
            </w:r>
          </w:p>
          <w:p w14:paraId="4FF7B0E9">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rPr>
            </w:pPr>
            <w:r>
              <w:rPr>
                <w:rFonts w:hint="eastAsia" w:ascii="宋体" w:hAnsi="宋体" w:eastAsia="宋体" w:cs="Times New Roman"/>
                <w:color w:val="auto"/>
                <w:kern w:val="0"/>
                <w:szCs w:val="21"/>
                <w:lang w:val="zh-CN"/>
              </w:rPr>
              <w:t>情况</w:t>
            </w:r>
          </w:p>
        </w:tc>
        <w:tc>
          <w:tcPr>
            <w:tcW w:w="550" w:type="pct"/>
            <w:tcBorders>
              <w:top w:val="single" w:color="auto" w:sz="4" w:space="0"/>
              <w:left w:val="single" w:color="auto" w:sz="4" w:space="0"/>
              <w:bottom w:val="single" w:color="auto" w:sz="4" w:space="0"/>
              <w:right w:val="single" w:color="auto" w:sz="4" w:space="0"/>
            </w:tcBorders>
            <w:vAlign w:val="center"/>
          </w:tcPr>
          <w:p w14:paraId="2830994C">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rPr>
            </w:pPr>
            <w:r>
              <w:rPr>
                <w:rFonts w:hint="eastAsia" w:ascii="宋体" w:hAnsi="宋体" w:eastAsia="宋体" w:cs="Times New Roman"/>
                <w:color w:val="auto"/>
                <w:kern w:val="0"/>
                <w:szCs w:val="21"/>
                <w:lang w:val="zh-CN"/>
              </w:rPr>
              <w:t>买方单位联系人及电话</w:t>
            </w:r>
          </w:p>
        </w:tc>
        <w:tc>
          <w:tcPr>
            <w:tcW w:w="362" w:type="pct"/>
            <w:tcBorders>
              <w:top w:val="single" w:color="auto" w:sz="4" w:space="0"/>
              <w:left w:val="single" w:color="auto" w:sz="4" w:space="0"/>
              <w:bottom w:val="single" w:color="auto" w:sz="4" w:space="0"/>
              <w:right w:val="single" w:color="auto" w:sz="4" w:space="0"/>
            </w:tcBorders>
            <w:vAlign w:val="center"/>
          </w:tcPr>
          <w:p w14:paraId="35A32498">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rPr>
            </w:pPr>
            <w:r>
              <w:rPr>
                <w:rFonts w:hint="eastAsia" w:ascii="宋体" w:hAnsi="宋体" w:eastAsia="宋体" w:cs="Times New Roman"/>
                <w:color w:val="auto"/>
                <w:kern w:val="0"/>
                <w:szCs w:val="21"/>
                <w:lang w:val="zh-CN"/>
              </w:rPr>
              <w:t>备注</w:t>
            </w:r>
          </w:p>
        </w:tc>
      </w:tr>
      <w:tr w14:paraId="4C5AE4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4" w:hRule="atLeast"/>
          <w:jc w:val="center"/>
        </w:trPr>
        <w:tc>
          <w:tcPr>
            <w:tcW w:w="408" w:type="pct"/>
            <w:tcBorders>
              <w:top w:val="single" w:color="auto" w:sz="4" w:space="0"/>
              <w:left w:val="single" w:color="auto" w:sz="4" w:space="0"/>
              <w:bottom w:val="single" w:color="auto" w:sz="4" w:space="0"/>
              <w:right w:val="single" w:color="auto" w:sz="4" w:space="0"/>
            </w:tcBorders>
            <w:vAlign w:val="center"/>
          </w:tcPr>
          <w:p w14:paraId="33121B9F">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lang w:val="zh-CN"/>
              </w:rPr>
            </w:pPr>
            <w:r>
              <w:rPr>
                <w:rFonts w:hint="default" w:ascii="宋体" w:hAnsi="宋体" w:eastAsia="宋体" w:cs="Times New Roman"/>
                <w:color w:val="auto"/>
                <w:kern w:val="0"/>
                <w:szCs w:val="21"/>
                <w:lang w:val="zh-CN"/>
              </w:rPr>
              <w:t>1</w:t>
            </w:r>
          </w:p>
        </w:tc>
        <w:tc>
          <w:tcPr>
            <w:tcW w:w="855" w:type="pct"/>
            <w:tcBorders>
              <w:top w:val="single" w:color="auto" w:sz="4" w:space="0"/>
              <w:left w:val="single" w:color="auto" w:sz="4" w:space="0"/>
              <w:bottom w:val="single" w:color="auto" w:sz="4" w:space="0"/>
              <w:right w:val="single" w:color="auto" w:sz="4" w:space="0"/>
            </w:tcBorders>
            <w:vAlign w:val="center"/>
          </w:tcPr>
          <w:p w14:paraId="6B4154B5">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rPr>
            </w:pPr>
          </w:p>
        </w:tc>
        <w:tc>
          <w:tcPr>
            <w:tcW w:w="865" w:type="pct"/>
            <w:tcBorders>
              <w:top w:val="single" w:color="auto" w:sz="4" w:space="0"/>
              <w:left w:val="single" w:color="auto" w:sz="4" w:space="0"/>
              <w:bottom w:val="single" w:color="auto" w:sz="4" w:space="0"/>
              <w:right w:val="single" w:color="auto" w:sz="4" w:space="0"/>
            </w:tcBorders>
            <w:vAlign w:val="center"/>
          </w:tcPr>
          <w:p w14:paraId="5FEFCEAE">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rPr>
            </w:pPr>
          </w:p>
        </w:tc>
        <w:tc>
          <w:tcPr>
            <w:tcW w:w="713" w:type="pct"/>
            <w:tcBorders>
              <w:top w:val="single" w:color="auto" w:sz="4" w:space="0"/>
              <w:left w:val="single" w:color="auto" w:sz="4" w:space="0"/>
              <w:bottom w:val="single" w:color="auto" w:sz="4" w:space="0"/>
              <w:right w:val="single" w:color="auto" w:sz="4" w:space="0"/>
            </w:tcBorders>
            <w:vAlign w:val="center"/>
          </w:tcPr>
          <w:p w14:paraId="223196E6">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rPr>
            </w:pPr>
          </w:p>
        </w:tc>
        <w:tc>
          <w:tcPr>
            <w:tcW w:w="430" w:type="pct"/>
            <w:tcBorders>
              <w:top w:val="single" w:color="auto" w:sz="4" w:space="0"/>
              <w:left w:val="single" w:color="auto" w:sz="4" w:space="0"/>
              <w:bottom w:val="single" w:color="auto" w:sz="4" w:space="0"/>
              <w:right w:val="single" w:color="auto" w:sz="4" w:space="0"/>
            </w:tcBorders>
          </w:tcPr>
          <w:p w14:paraId="0A3EACBD">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rPr>
            </w:pPr>
          </w:p>
        </w:tc>
        <w:tc>
          <w:tcPr>
            <w:tcW w:w="395" w:type="pct"/>
            <w:tcBorders>
              <w:top w:val="single" w:color="auto" w:sz="4" w:space="0"/>
              <w:left w:val="single" w:color="auto" w:sz="4" w:space="0"/>
              <w:bottom w:val="single" w:color="auto" w:sz="4" w:space="0"/>
              <w:right w:val="single" w:color="auto" w:sz="4" w:space="0"/>
            </w:tcBorders>
            <w:vAlign w:val="center"/>
          </w:tcPr>
          <w:p w14:paraId="6DE43BD5">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rPr>
            </w:pPr>
          </w:p>
        </w:tc>
        <w:tc>
          <w:tcPr>
            <w:tcW w:w="418" w:type="pct"/>
            <w:tcBorders>
              <w:top w:val="single" w:color="auto" w:sz="4" w:space="0"/>
              <w:left w:val="single" w:color="auto" w:sz="4" w:space="0"/>
              <w:bottom w:val="single" w:color="auto" w:sz="4" w:space="0"/>
              <w:right w:val="single" w:color="auto" w:sz="4" w:space="0"/>
            </w:tcBorders>
            <w:vAlign w:val="center"/>
          </w:tcPr>
          <w:p w14:paraId="394771F8">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rPr>
            </w:pPr>
          </w:p>
        </w:tc>
        <w:tc>
          <w:tcPr>
            <w:tcW w:w="550" w:type="pct"/>
            <w:tcBorders>
              <w:top w:val="single" w:color="auto" w:sz="4" w:space="0"/>
              <w:left w:val="single" w:color="auto" w:sz="4" w:space="0"/>
              <w:bottom w:val="single" w:color="auto" w:sz="4" w:space="0"/>
              <w:right w:val="single" w:color="auto" w:sz="4" w:space="0"/>
            </w:tcBorders>
            <w:vAlign w:val="center"/>
          </w:tcPr>
          <w:p w14:paraId="000E4D33">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rPr>
            </w:pPr>
          </w:p>
        </w:tc>
        <w:tc>
          <w:tcPr>
            <w:tcW w:w="362" w:type="pct"/>
            <w:tcBorders>
              <w:top w:val="single" w:color="auto" w:sz="4" w:space="0"/>
              <w:left w:val="single" w:color="auto" w:sz="4" w:space="0"/>
              <w:bottom w:val="single" w:color="auto" w:sz="4" w:space="0"/>
              <w:right w:val="single" w:color="auto" w:sz="4" w:space="0"/>
            </w:tcBorders>
            <w:vAlign w:val="center"/>
          </w:tcPr>
          <w:p w14:paraId="2A581E40">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rPr>
            </w:pPr>
          </w:p>
        </w:tc>
      </w:tr>
      <w:tr w14:paraId="37810B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6" w:hRule="atLeast"/>
          <w:jc w:val="center"/>
        </w:trPr>
        <w:tc>
          <w:tcPr>
            <w:tcW w:w="408" w:type="pct"/>
            <w:tcBorders>
              <w:top w:val="single" w:color="auto" w:sz="4" w:space="0"/>
              <w:left w:val="single" w:color="auto" w:sz="4" w:space="0"/>
              <w:bottom w:val="single" w:color="auto" w:sz="4" w:space="0"/>
              <w:right w:val="single" w:color="auto" w:sz="4" w:space="0"/>
            </w:tcBorders>
            <w:vAlign w:val="center"/>
          </w:tcPr>
          <w:p w14:paraId="37994FD3">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lang w:val="zh-CN"/>
              </w:rPr>
            </w:pPr>
            <w:r>
              <w:rPr>
                <w:rFonts w:hint="default" w:ascii="宋体" w:hAnsi="宋体" w:eastAsia="宋体" w:cs="Times New Roman"/>
                <w:color w:val="auto"/>
                <w:kern w:val="0"/>
                <w:szCs w:val="21"/>
                <w:lang w:val="zh-CN"/>
              </w:rPr>
              <w:t>2</w:t>
            </w:r>
          </w:p>
        </w:tc>
        <w:tc>
          <w:tcPr>
            <w:tcW w:w="855" w:type="pct"/>
            <w:tcBorders>
              <w:top w:val="single" w:color="auto" w:sz="4" w:space="0"/>
              <w:left w:val="single" w:color="auto" w:sz="4" w:space="0"/>
              <w:bottom w:val="single" w:color="auto" w:sz="4" w:space="0"/>
              <w:right w:val="single" w:color="auto" w:sz="4" w:space="0"/>
            </w:tcBorders>
            <w:vAlign w:val="center"/>
          </w:tcPr>
          <w:p w14:paraId="22015F81">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rPr>
            </w:pPr>
          </w:p>
        </w:tc>
        <w:tc>
          <w:tcPr>
            <w:tcW w:w="865" w:type="pct"/>
            <w:tcBorders>
              <w:top w:val="single" w:color="auto" w:sz="4" w:space="0"/>
              <w:left w:val="single" w:color="auto" w:sz="4" w:space="0"/>
              <w:bottom w:val="single" w:color="auto" w:sz="4" w:space="0"/>
              <w:right w:val="single" w:color="auto" w:sz="4" w:space="0"/>
            </w:tcBorders>
            <w:vAlign w:val="center"/>
          </w:tcPr>
          <w:p w14:paraId="5E554601">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rPr>
            </w:pPr>
          </w:p>
        </w:tc>
        <w:tc>
          <w:tcPr>
            <w:tcW w:w="713" w:type="pct"/>
            <w:tcBorders>
              <w:top w:val="single" w:color="auto" w:sz="4" w:space="0"/>
              <w:left w:val="single" w:color="auto" w:sz="4" w:space="0"/>
              <w:bottom w:val="single" w:color="auto" w:sz="4" w:space="0"/>
              <w:right w:val="single" w:color="auto" w:sz="4" w:space="0"/>
            </w:tcBorders>
            <w:vAlign w:val="center"/>
          </w:tcPr>
          <w:p w14:paraId="57F51A77">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rPr>
            </w:pPr>
          </w:p>
        </w:tc>
        <w:tc>
          <w:tcPr>
            <w:tcW w:w="430" w:type="pct"/>
            <w:tcBorders>
              <w:top w:val="single" w:color="auto" w:sz="4" w:space="0"/>
              <w:left w:val="single" w:color="auto" w:sz="4" w:space="0"/>
              <w:bottom w:val="single" w:color="auto" w:sz="4" w:space="0"/>
              <w:right w:val="single" w:color="auto" w:sz="4" w:space="0"/>
            </w:tcBorders>
          </w:tcPr>
          <w:p w14:paraId="0C5A70F4">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rPr>
            </w:pPr>
          </w:p>
        </w:tc>
        <w:tc>
          <w:tcPr>
            <w:tcW w:w="395" w:type="pct"/>
            <w:tcBorders>
              <w:top w:val="single" w:color="auto" w:sz="4" w:space="0"/>
              <w:left w:val="single" w:color="auto" w:sz="4" w:space="0"/>
              <w:bottom w:val="single" w:color="auto" w:sz="4" w:space="0"/>
              <w:right w:val="single" w:color="auto" w:sz="4" w:space="0"/>
            </w:tcBorders>
            <w:vAlign w:val="center"/>
          </w:tcPr>
          <w:p w14:paraId="76510D9E">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rPr>
            </w:pPr>
          </w:p>
        </w:tc>
        <w:tc>
          <w:tcPr>
            <w:tcW w:w="418" w:type="pct"/>
            <w:tcBorders>
              <w:top w:val="single" w:color="auto" w:sz="4" w:space="0"/>
              <w:left w:val="single" w:color="auto" w:sz="4" w:space="0"/>
              <w:bottom w:val="single" w:color="auto" w:sz="4" w:space="0"/>
              <w:right w:val="single" w:color="auto" w:sz="4" w:space="0"/>
            </w:tcBorders>
            <w:vAlign w:val="center"/>
          </w:tcPr>
          <w:p w14:paraId="369A576A">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rPr>
            </w:pPr>
          </w:p>
        </w:tc>
        <w:tc>
          <w:tcPr>
            <w:tcW w:w="550" w:type="pct"/>
            <w:tcBorders>
              <w:top w:val="single" w:color="auto" w:sz="4" w:space="0"/>
              <w:left w:val="single" w:color="auto" w:sz="4" w:space="0"/>
              <w:bottom w:val="single" w:color="auto" w:sz="4" w:space="0"/>
              <w:right w:val="single" w:color="auto" w:sz="4" w:space="0"/>
            </w:tcBorders>
            <w:vAlign w:val="center"/>
          </w:tcPr>
          <w:p w14:paraId="75AE430F">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rPr>
            </w:pPr>
          </w:p>
        </w:tc>
        <w:tc>
          <w:tcPr>
            <w:tcW w:w="362" w:type="pct"/>
            <w:tcBorders>
              <w:top w:val="single" w:color="auto" w:sz="4" w:space="0"/>
              <w:left w:val="single" w:color="auto" w:sz="4" w:space="0"/>
              <w:bottom w:val="single" w:color="auto" w:sz="4" w:space="0"/>
              <w:right w:val="single" w:color="auto" w:sz="4" w:space="0"/>
            </w:tcBorders>
            <w:vAlign w:val="center"/>
          </w:tcPr>
          <w:p w14:paraId="27B2B090">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rPr>
            </w:pPr>
          </w:p>
        </w:tc>
      </w:tr>
      <w:tr w14:paraId="62DCA3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8" w:hRule="atLeast"/>
          <w:jc w:val="center"/>
        </w:trPr>
        <w:tc>
          <w:tcPr>
            <w:tcW w:w="408" w:type="pct"/>
            <w:tcBorders>
              <w:top w:val="single" w:color="auto" w:sz="4" w:space="0"/>
              <w:left w:val="single" w:color="auto" w:sz="4" w:space="0"/>
              <w:bottom w:val="single" w:color="auto" w:sz="4" w:space="0"/>
              <w:right w:val="single" w:color="auto" w:sz="4" w:space="0"/>
            </w:tcBorders>
            <w:vAlign w:val="center"/>
          </w:tcPr>
          <w:p w14:paraId="6B52AB1F">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lang w:val="zh-CN"/>
              </w:rPr>
            </w:pPr>
            <w:r>
              <w:rPr>
                <w:rFonts w:hint="default" w:ascii="宋体" w:hAnsi="宋体" w:eastAsia="宋体" w:cs="Times New Roman"/>
                <w:color w:val="auto"/>
                <w:kern w:val="0"/>
                <w:szCs w:val="21"/>
                <w:lang w:val="zh-CN"/>
              </w:rPr>
              <w:t>3</w:t>
            </w:r>
          </w:p>
        </w:tc>
        <w:tc>
          <w:tcPr>
            <w:tcW w:w="855" w:type="pct"/>
            <w:tcBorders>
              <w:top w:val="single" w:color="auto" w:sz="4" w:space="0"/>
              <w:left w:val="single" w:color="auto" w:sz="4" w:space="0"/>
              <w:bottom w:val="single" w:color="auto" w:sz="4" w:space="0"/>
              <w:right w:val="single" w:color="auto" w:sz="4" w:space="0"/>
            </w:tcBorders>
            <w:vAlign w:val="center"/>
          </w:tcPr>
          <w:p w14:paraId="404366C7">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rPr>
            </w:pPr>
          </w:p>
        </w:tc>
        <w:tc>
          <w:tcPr>
            <w:tcW w:w="865" w:type="pct"/>
            <w:tcBorders>
              <w:top w:val="single" w:color="auto" w:sz="4" w:space="0"/>
              <w:left w:val="single" w:color="auto" w:sz="4" w:space="0"/>
              <w:bottom w:val="single" w:color="auto" w:sz="4" w:space="0"/>
              <w:right w:val="single" w:color="auto" w:sz="4" w:space="0"/>
            </w:tcBorders>
            <w:vAlign w:val="center"/>
          </w:tcPr>
          <w:p w14:paraId="02F0DD44">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rPr>
            </w:pPr>
          </w:p>
        </w:tc>
        <w:tc>
          <w:tcPr>
            <w:tcW w:w="713" w:type="pct"/>
            <w:tcBorders>
              <w:top w:val="single" w:color="auto" w:sz="4" w:space="0"/>
              <w:left w:val="single" w:color="auto" w:sz="4" w:space="0"/>
              <w:bottom w:val="single" w:color="auto" w:sz="4" w:space="0"/>
              <w:right w:val="single" w:color="auto" w:sz="4" w:space="0"/>
            </w:tcBorders>
            <w:vAlign w:val="center"/>
          </w:tcPr>
          <w:p w14:paraId="3BE0F155">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rPr>
            </w:pPr>
          </w:p>
        </w:tc>
        <w:tc>
          <w:tcPr>
            <w:tcW w:w="430" w:type="pct"/>
            <w:tcBorders>
              <w:top w:val="single" w:color="auto" w:sz="4" w:space="0"/>
              <w:left w:val="single" w:color="auto" w:sz="4" w:space="0"/>
              <w:bottom w:val="single" w:color="auto" w:sz="4" w:space="0"/>
              <w:right w:val="single" w:color="auto" w:sz="4" w:space="0"/>
            </w:tcBorders>
          </w:tcPr>
          <w:p w14:paraId="233530CD">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rPr>
            </w:pPr>
          </w:p>
        </w:tc>
        <w:tc>
          <w:tcPr>
            <w:tcW w:w="395" w:type="pct"/>
            <w:tcBorders>
              <w:top w:val="single" w:color="auto" w:sz="4" w:space="0"/>
              <w:left w:val="single" w:color="auto" w:sz="4" w:space="0"/>
              <w:bottom w:val="single" w:color="auto" w:sz="4" w:space="0"/>
              <w:right w:val="single" w:color="auto" w:sz="4" w:space="0"/>
            </w:tcBorders>
            <w:vAlign w:val="center"/>
          </w:tcPr>
          <w:p w14:paraId="564DA2C9">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rPr>
            </w:pPr>
          </w:p>
        </w:tc>
        <w:tc>
          <w:tcPr>
            <w:tcW w:w="418" w:type="pct"/>
            <w:tcBorders>
              <w:top w:val="single" w:color="auto" w:sz="4" w:space="0"/>
              <w:left w:val="single" w:color="auto" w:sz="4" w:space="0"/>
              <w:bottom w:val="single" w:color="auto" w:sz="4" w:space="0"/>
              <w:right w:val="single" w:color="auto" w:sz="4" w:space="0"/>
            </w:tcBorders>
            <w:vAlign w:val="center"/>
          </w:tcPr>
          <w:p w14:paraId="08C2B258">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rPr>
            </w:pPr>
          </w:p>
        </w:tc>
        <w:tc>
          <w:tcPr>
            <w:tcW w:w="550" w:type="pct"/>
            <w:tcBorders>
              <w:top w:val="single" w:color="auto" w:sz="4" w:space="0"/>
              <w:left w:val="single" w:color="auto" w:sz="4" w:space="0"/>
              <w:bottom w:val="single" w:color="auto" w:sz="4" w:space="0"/>
              <w:right w:val="single" w:color="auto" w:sz="4" w:space="0"/>
            </w:tcBorders>
            <w:vAlign w:val="center"/>
          </w:tcPr>
          <w:p w14:paraId="1C214D18">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rPr>
            </w:pPr>
          </w:p>
        </w:tc>
        <w:tc>
          <w:tcPr>
            <w:tcW w:w="362" w:type="pct"/>
            <w:tcBorders>
              <w:top w:val="single" w:color="auto" w:sz="4" w:space="0"/>
              <w:left w:val="single" w:color="auto" w:sz="4" w:space="0"/>
              <w:bottom w:val="single" w:color="auto" w:sz="4" w:space="0"/>
              <w:right w:val="single" w:color="auto" w:sz="4" w:space="0"/>
            </w:tcBorders>
            <w:vAlign w:val="center"/>
          </w:tcPr>
          <w:p w14:paraId="3F9BAE20">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rPr>
            </w:pPr>
          </w:p>
        </w:tc>
      </w:tr>
      <w:tr w14:paraId="60CDC7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3" w:hRule="atLeast"/>
          <w:jc w:val="center"/>
        </w:trPr>
        <w:tc>
          <w:tcPr>
            <w:tcW w:w="408" w:type="pct"/>
            <w:tcBorders>
              <w:top w:val="single" w:color="auto" w:sz="4" w:space="0"/>
              <w:left w:val="single" w:color="auto" w:sz="4" w:space="0"/>
              <w:bottom w:val="single" w:color="auto" w:sz="4" w:space="0"/>
              <w:right w:val="single" w:color="auto" w:sz="4" w:space="0"/>
            </w:tcBorders>
            <w:vAlign w:val="center"/>
          </w:tcPr>
          <w:p w14:paraId="134FA64B">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rPr>
            </w:pPr>
            <w:r>
              <w:rPr>
                <w:rFonts w:hint="default" w:ascii="宋体" w:hAnsi="宋体" w:eastAsia="宋体" w:cs="Courier New"/>
                <w:color w:val="auto"/>
                <w:kern w:val="0"/>
                <w:szCs w:val="21"/>
              </w:rPr>
              <w:t>…</w:t>
            </w:r>
          </w:p>
        </w:tc>
        <w:tc>
          <w:tcPr>
            <w:tcW w:w="855" w:type="pct"/>
            <w:tcBorders>
              <w:top w:val="single" w:color="auto" w:sz="4" w:space="0"/>
              <w:left w:val="single" w:color="auto" w:sz="4" w:space="0"/>
              <w:bottom w:val="single" w:color="auto" w:sz="4" w:space="0"/>
              <w:right w:val="single" w:color="auto" w:sz="4" w:space="0"/>
            </w:tcBorders>
            <w:vAlign w:val="center"/>
          </w:tcPr>
          <w:p w14:paraId="73536A5D">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rPr>
            </w:pPr>
          </w:p>
        </w:tc>
        <w:tc>
          <w:tcPr>
            <w:tcW w:w="865" w:type="pct"/>
            <w:tcBorders>
              <w:top w:val="single" w:color="auto" w:sz="4" w:space="0"/>
              <w:left w:val="single" w:color="auto" w:sz="4" w:space="0"/>
              <w:bottom w:val="single" w:color="auto" w:sz="4" w:space="0"/>
              <w:right w:val="single" w:color="auto" w:sz="4" w:space="0"/>
            </w:tcBorders>
            <w:vAlign w:val="center"/>
          </w:tcPr>
          <w:p w14:paraId="10D7503D">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rPr>
            </w:pPr>
          </w:p>
        </w:tc>
        <w:tc>
          <w:tcPr>
            <w:tcW w:w="713" w:type="pct"/>
            <w:tcBorders>
              <w:top w:val="single" w:color="auto" w:sz="4" w:space="0"/>
              <w:left w:val="single" w:color="auto" w:sz="4" w:space="0"/>
              <w:bottom w:val="single" w:color="auto" w:sz="4" w:space="0"/>
              <w:right w:val="single" w:color="auto" w:sz="4" w:space="0"/>
            </w:tcBorders>
            <w:vAlign w:val="center"/>
          </w:tcPr>
          <w:p w14:paraId="28092D4F">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rPr>
            </w:pPr>
          </w:p>
        </w:tc>
        <w:tc>
          <w:tcPr>
            <w:tcW w:w="430" w:type="pct"/>
            <w:tcBorders>
              <w:top w:val="single" w:color="auto" w:sz="4" w:space="0"/>
              <w:left w:val="single" w:color="auto" w:sz="4" w:space="0"/>
              <w:bottom w:val="single" w:color="auto" w:sz="4" w:space="0"/>
              <w:right w:val="single" w:color="auto" w:sz="4" w:space="0"/>
            </w:tcBorders>
          </w:tcPr>
          <w:p w14:paraId="21BC15BE">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rPr>
            </w:pPr>
          </w:p>
        </w:tc>
        <w:tc>
          <w:tcPr>
            <w:tcW w:w="395" w:type="pct"/>
            <w:tcBorders>
              <w:top w:val="single" w:color="auto" w:sz="4" w:space="0"/>
              <w:left w:val="single" w:color="auto" w:sz="4" w:space="0"/>
              <w:bottom w:val="single" w:color="auto" w:sz="4" w:space="0"/>
              <w:right w:val="single" w:color="auto" w:sz="4" w:space="0"/>
            </w:tcBorders>
            <w:vAlign w:val="center"/>
          </w:tcPr>
          <w:p w14:paraId="6A1334A0">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rPr>
            </w:pPr>
          </w:p>
        </w:tc>
        <w:tc>
          <w:tcPr>
            <w:tcW w:w="418" w:type="pct"/>
            <w:tcBorders>
              <w:top w:val="single" w:color="auto" w:sz="4" w:space="0"/>
              <w:left w:val="single" w:color="auto" w:sz="4" w:space="0"/>
              <w:bottom w:val="single" w:color="auto" w:sz="4" w:space="0"/>
              <w:right w:val="single" w:color="auto" w:sz="4" w:space="0"/>
            </w:tcBorders>
            <w:vAlign w:val="center"/>
          </w:tcPr>
          <w:p w14:paraId="143ACFB4">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rPr>
            </w:pPr>
          </w:p>
        </w:tc>
        <w:tc>
          <w:tcPr>
            <w:tcW w:w="550" w:type="pct"/>
            <w:tcBorders>
              <w:top w:val="single" w:color="auto" w:sz="4" w:space="0"/>
              <w:left w:val="single" w:color="auto" w:sz="4" w:space="0"/>
              <w:bottom w:val="single" w:color="auto" w:sz="4" w:space="0"/>
              <w:right w:val="single" w:color="auto" w:sz="4" w:space="0"/>
            </w:tcBorders>
            <w:vAlign w:val="center"/>
          </w:tcPr>
          <w:p w14:paraId="196377B3">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rPr>
            </w:pPr>
          </w:p>
        </w:tc>
        <w:tc>
          <w:tcPr>
            <w:tcW w:w="362" w:type="pct"/>
            <w:tcBorders>
              <w:top w:val="single" w:color="auto" w:sz="4" w:space="0"/>
              <w:left w:val="single" w:color="auto" w:sz="4" w:space="0"/>
              <w:bottom w:val="single" w:color="auto" w:sz="4" w:space="0"/>
              <w:right w:val="single" w:color="auto" w:sz="4" w:space="0"/>
            </w:tcBorders>
            <w:vAlign w:val="center"/>
          </w:tcPr>
          <w:p w14:paraId="7721FF37">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rPr>
            </w:pPr>
          </w:p>
        </w:tc>
      </w:tr>
    </w:tbl>
    <w:p w14:paraId="0099AE4C">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lang w:val="zh-CN"/>
        </w:rPr>
      </w:pPr>
      <w:r>
        <w:rPr>
          <w:rFonts w:hint="eastAsia" w:ascii="宋体" w:hAnsi="宋体" w:eastAsia="宋体" w:cs="Times New Roman"/>
          <w:color w:val="auto"/>
          <w:szCs w:val="24"/>
          <w:lang w:val="zh-CN"/>
        </w:rPr>
        <w:t xml:space="preserve">备注： </w:t>
      </w:r>
    </w:p>
    <w:p w14:paraId="369E02FC">
      <w:pPr>
        <w:autoSpaceDE w:val="0"/>
        <w:autoSpaceDN w:val="0"/>
        <w:adjustRightInd w:val="0"/>
        <w:snapToGrid w:val="0"/>
        <w:spacing w:line="360" w:lineRule="auto"/>
        <w:ind w:left="481" w:leftChars="-41" w:hanging="567" w:hangingChars="270"/>
        <w:jc w:val="left"/>
        <w:rPr>
          <w:rFonts w:ascii="宋体" w:hAnsi="宋体" w:eastAsia="宋体" w:cs="Times New Roman"/>
          <w:b/>
          <w:bCs/>
          <w:color w:val="auto"/>
          <w:szCs w:val="24"/>
          <w:lang w:val="zh-CN"/>
        </w:rPr>
      </w:pPr>
      <w:r>
        <w:rPr>
          <w:rFonts w:hint="eastAsia" w:ascii="宋体" w:hAnsi="宋体" w:eastAsia="宋体" w:cs="Times New Roman"/>
          <w:color w:val="auto"/>
          <w:szCs w:val="24"/>
          <w:lang w:val="zh-CN"/>
        </w:rPr>
        <w:t>（1）</w:t>
      </w:r>
      <w:r>
        <w:rPr>
          <w:rFonts w:ascii="宋体" w:hAnsi="宋体" w:eastAsia="宋体" w:cs="Times New Roman"/>
          <w:color w:val="auto"/>
          <w:szCs w:val="24"/>
          <w:lang w:val="zh-CN"/>
        </w:rPr>
        <w:t>业绩按</w:t>
      </w:r>
      <w:r>
        <w:rPr>
          <w:rFonts w:hint="eastAsia" w:ascii="宋体" w:hAnsi="宋体" w:eastAsia="宋体" w:cs="Times New Roman"/>
          <w:color w:val="auto"/>
          <w:szCs w:val="24"/>
          <w:lang w:val="zh-CN"/>
        </w:rPr>
        <w:t>单项合同金额</w:t>
      </w:r>
      <w:r>
        <w:rPr>
          <w:rFonts w:ascii="宋体" w:hAnsi="宋体" w:eastAsia="宋体" w:cs="Times New Roman"/>
          <w:color w:val="auto"/>
          <w:szCs w:val="24"/>
          <w:lang w:val="zh-CN"/>
        </w:rPr>
        <w:t>从高到低的方式排列</w:t>
      </w:r>
      <w:r>
        <w:rPr>
          <w:rFonts w:hint="eastAsia" w:ascii="宋体" w:hAnsi="宋体" w:eastAsia="宋体" w:cs="Times New Roman"/>
          <w:color w:val="auto"/>
          <w:szCs w:val="24"/>
          <w:lang w:val="zh-CN"/>
        </w:rPr>
        <w:t>；</w:t>
      </w:r>
      <w:r>
        <w:rPr>
          <w:rFonts w:hint="eastAsia" w:ascii="宋体" w:hAnsi="宋体" w:eastAsia="宋体" w:cs="Times New Roman"/>
          <w:b/>
          <w:bCs/>
          <w:color w:val="auto"/>
          <w:szCs w:val="24"/>
        </w:rPr>
        <w:t>同一个合同的业绩可以同时在资格业绩和评分业绩重复放置。</w:t>
      </w:r>
    </w:p>
    <w:p w14:paraId="728F9FC1">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lang w:val="zh-CN"/>
        </w:rPr>
      </w:pPr>
      <w:r>
        <w:rPr>
          <w:rFonts w:hint="eastAsia" w:ascii="宋体" w:hAnsi="宋体" w:eastAsia="宋体" w:cs="Times New Roman"/>
          <w:color w:val="auto"/>
          <w:szCs w:val="24"/>
          <w:lang w:val="zh-CN"/>
        </w:rPr>
        <w:t>（</w:t>
      </w:r>
      <w:r>
        <w:rPr>
          <w:rFonts w:ascii="宋体" w:hAnsi="宋体" w:eastAsia="宋体" w:cs="Times New Roman"/>
          <w:color w:val="auto"/>
          <w:szCs w:val="24"/>
          <w:lang w:val="zh-CN"/>
        </w:rPr>
        <w:t>2</w:t>
      </w:r>
      <w:r>
        <w:rPr>
          <w:rFonts w:hint="eastAsia" w:ascii="宋体" w:hAnsi="宋体" w:eastAsia="宋体" w:cs="Times New Roman"/>
          <w:color w:val="auto"/>
          <w:szCs w:val="24"/>
          <w:lang w:val="zh-CN"/>
        </w:rPr>
        <w:t>）投标人符合评审细则的同一个项目业绩同时包含安全物资和劳保物资时，只按其中一类业绩计分（即不重复计分）；</w:t>
      </w:r>
    </w:p>
    <w:p w14:paraId="78E1C09E">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lang w:val="zh-CN"/>
        </w:rPr>
      </w:pPr>
      <w:r>
        <w:rPr>
          <w:rFonts w:hint="eastAsia" w:ascii="宋体" w:hAnsi="宋体" w:eastAsia="宋体" w:cs="Times New Roman"/>
          <w:color w:val="auto"/>
          <w:szCs w:val="24"/>
          <w:lang w:val="zh-CN"/>
        </w:rPr>
        <w:t>（</w:t>
      </w:r>
      <w:r>
        <w:rPr>
          <w:rFonts w:hint="eastAsia" w:ascii="宋体" w:hAnsi="宋体" w:eastAsia="宋体" w:cs="Times New Roman"/>
          <w:color w:val="auto"/>
          <w:szCs w:val="24"/>
        </w:rPr>
        <w:t>3</w:t>
      </w:r>
      <w:r>
        <w:rPr>
          <w:rFonts w:hint="eastAsia" w:ascii="宋体" w:hAnsi="宋体" w:eastAsia="宋体" w:cs="Times New Roman"/>
          <w:color w:val="auto"/>
          <w:szCs w:val="24"/>
          <w:lang w:val="zh-CN"/>
        </w:rPr>
        <w:t>）业绩须附安全物资或劳保物资销售合同复印件（合同卖方为投标人），否则不得分；</w:t>
      </w:r>
    </w:p>
    <w:p w14:paraId="2768E9A2">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lang w:val="zh-CN"/>
        </w:rPr>
      </w:pPr>
      <w:r>
        <w:rPr>
          <w:rFonts w:hint="eastAsia" w:ascii="宋体" w:hAnsi="宋体" w:eastAsia="宋体" w:cs="Times New Roman"/>
          <w:color w:val="auto"/>
          <w:szCs w:val="24"/>
          <w:lang w:val="zh-CN"/>
        </w:rPr>
        <w:t>（</w:t>
      </w:r>
      <w:r>
        <w:rPr>
          <w:rFonts w:hint="eastAsia" w:ascii="宋体" w:hAnsi="宋体" w:eastAsia="宋体" w:cs="Times New Roman"/>
          <w:color w:val="auto"/>
          <w:szCs w:val="24"/>
        </w:rPr>
        <w:t>4</w:t>
      </w:r>
      <w:r>
        <w:rPr>
          <w:rFonts w:hint="eastAsia" w:ascii="宋体" w:hAnsi="宋体" w:eastAsia="宋体" w:cs="Times New Roman"/>
          <w:color w:val="auto"/>
          <w:szCs w:val="24"/>
          <w:lang w:val="zh-CN"/>
        </w:rPr>
        <w:t>）若合同无法反映评分条件（合同签订日期为2021年1月1日或以后、合同标的必须包含安全物资或劳保物资、合同金额），还需提供购买方出具的书面补充说明文件复印件作为辅助证明（补充说明文件复印件能显示购买方公章），否则不得分；</w:t>
      </w:r>
    </w:p>
    <w:p w14:paraId="346671BD">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lang w:val="zh-CN"/>
        </w:rPr>
      </w:pPr>
      <w:r>
        <w:rPr>
          <w:rFonts w:hint="eastAsia" w:ascii="宋体" w:hAnsi="宋体" w:eastAsia="宋体" w:cs="Times New Roman"/>
          <w:color w:val="auto"/>
          <w:szCs w:val="24"/>
          <w:lang w:val="zh-CN"/>
        </w:rPr>
        <w:t>（</w:t>
      </w:r>
      <w:r>
        <w:rPr>
          <w:rFonts w:hint="eastAsia" w:ascii="宋体" w:hAnsi="宋体" w:eastAsia="宋体" w:cs="Times New Roman"/>
          <w:color w:val="auto"/>
          <w:szCs w:val="24"/>
        </w:rPr>
        <w:t>5</w:t>
      </w:r>
      <w:r>
        <w:rPr>
          <w:rFonts w:hint="eastAsia" w:ascii="宋体" w:hAnsi="宋体" w:eastAsia="宋体" w:cs="Times New Roman"/>
          <w:color w:val="auto"/>
          <w:szCs w:val="24"/>
          <w:lang w:val="zh-CN"/>
        </w:rPr>
        <w:t>）若业绩为框架式协议或资格入围无明确金额的合同，必须同时提供合同期限内已供货产品发票金额统计表和发票复印件，否则不得分；</w:t>
      </w:r>
    </w:p>
    <w:p w14:paraId="731C9F0E">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lang w:val="zh-CN"/>
        </w:rPr>
      </w:pPr>
      <w:r>
        <w:rPr>
          <w:rFonts w:hint="eastAsia" w:ascii="宋体" w:hAnsi="宋体" w:eastAsia="宋体" w:cs="Times New Roman"/>
          <w:color w:val="auto"/>
          <w:szCs w:val="24"/>
          <w:lang w:val="zh-CN"/>
        </w:rPr>
        <w:t>（</w:t>
      </w:r>
      <w:r>
        <w:rPr>
          <w:rFonts w:hint="eastAsia" w:ascii="宋体" w:hAnsi="宋体" w:eastAsia="宋体" w:cs="Times New Roman"/>
          <w:color w:val="auto"/>
          <w:szCs w:val="24"/>
        </w:rPr>
        <w:t>6</w:t>
      </w:r>
      <w:r>
        <w:rPr>
          <w:rFonts w:hint="eastAsia" w:ascii="宋体" w:hAnsi="宋体" w:eastAsia="宋体" w:cs="Times New Roman"/>
          <w:color w:val="auto"/>
          <w:szCs w:val="24"/>
          <w:lang w:val="zh-CN"/>
        </w:rPr>
        <w:t>）未按上述要求</w:t>
      </w:r>
      <w:r>
        <w:rPr>
          <w:rFonts w:hint="eastAsia" w:ascii="宋体" w:hAnsi="宋体" w:eastAsia="宋体" w:cs="Times New Roman"/>
          <w:color w:val="auto"/>
          <w:szCs w:val="24"/>
        </w:rPr>
        <w:t>在此格式下</w:t>
      </w:r>
      <w:r>
        <w:rPr>
          <w:rFonts w:hint="eastAsia" w:ascii="宋体" w:hAnsi="宋体" w:eastAsia="宋体" w:cs="Times New Roman"/>
          <w:color w:val="auto"/>
          <w:szCs w:val="24"/>
          <w:lang w:val="zh-CN"/>
        </w:rPr>
        <w:t>提供证明材料的业绩，或</w:t>
      </w:r>
      <w:r>
        <w:rPr>
          <w:rFonts w:hint="eastAsia" w:ascii="宋体" w:hAnsi="宋体" w:eastAsia="宋体" w:cs="Times New Roman"/>
          <w:color w:val="auto"/>
          <w:szCs w:val="24"/>
        </w:rPr>
        <w:t>在此格式下</w:t>
      </w:r>
      <w:r>
        <w:rPr>
          <w:rFonts w:hint="eastAsia" w:ascii="宋体" w:hAnsi="宋体" w:eastAsia="宋体" w:cs="Times New Roman"/>
          <w:color w:val="auto"/>
          <w:szCs w:val="24"/>
          <w:lang w:val="zh-CN"/>
        </w:rPr>
        <w:t>所附材料无法证明填报项目符合本项评分要求的业绩，在评标时将不予考虑。</w:t>
      </w:r>
    </w:p>
    <w:p w14:paraId="42BCC2ED">
      <w:pPr>
        <w:autoSpaceDE w:val="0"/>
        <w:autoSpaceDN w:val="0"/>
        <w:adjustRightInd w:val="0"/>
        <w:spacing w:line="360" w:lineRule="auto"/>
        <w:ind w:firstLine="5040" w:firstLineChars="2400"/>
        <w:jc w:val="left"/>
        <w:rPr>
          <w:rFonts w:ascii="宋体" w:hAnsi="宋体" w:eastAsia="宋体" w:cs="Times New Roman"/>
          <w:color w:val="auto"/>
          <w:szCs w:val="24"/>
          <w:lang w:val="zh-CN"/>
        </w:rPr>
      </w:pPr>
    </w:p>
    <w:p w14:paraId="5C7A04B8">
      <w:pPr>
        <w:autoSpaceDE w:val="0"/>
        <w:autoSpaceDN w:val="0"/>
        <w:adjustRightInd w:val="0"/>
        <w:spacing w:line="360" w:lineRule="auto"/>
        <w:ind w:firstLine="5040" w:firstLineChars="2400"/>
        <w:jc w:val="left"/>
        <w:rPr>
          <w:rFonts w:ascii="宋体" w:hAnsi="宋体" w:eastAsia="宋体" w:cs="Times New Roman"/>
          <w:color w:val="auto"/>
          <w:kern w:val="0"/>
          <w:szCs w:val="21"/>
        </w:rPr>
      </w:pPr>
      <w:r>
        <w:rPr>
          <w:rFonts w:hint="eastAsia" w:ascii="宋体" w:hAnsi="宋体" w:eastAsia="宋体" w:cs="Times New Roman"/>
          <w:color w:val="auto"/>
          <w:szCs w:val="24"/>
          <w:lang w:val="zh-CN"/>
        </w:rPr>
        <w:t>投标人：（加盖投标人法人公章）</w:t>
      </w:r>
    </w:p>
    <w:p w14:paraId="3765A106">
      <w:pPr>
        <w:autoSpaceDE w:val="0"/>
        <w:autoSpaceDN w:val="0"/>
        <w:adjustRightInd w:val="0"/>
        <w:spacing w:line="360" w:lineRule="auto"/>
        <w:ind w:firstLine="5040" w:firstLineChars="2400"/>
        <w:jc w:val="left"/>
        <w:rPr>
          <w:rFonts w:ascii="宋体" w:hAnsi="宋体" w:eastAsia="宋体" w:cs="Times New Roman"/>
          <w:color w:val="auto"/>
          <w:szCs w:val="24"/>
          <w:lang w:val="zh-CN"/>
        </w:rPr>
      </w:pPr>
      <w:r>
        <w:rPr>
          <w:rFonts w:hint="eastAsia" w:ascii="宋体" w:hAnsi="宋体" w:eastAsia="宋体" w:cs="Times New Roman"/>
          <w:color w:val="auto"/>
          <w:szCs w:val="24"/>
          <w:lang w:val="zh-CN"/>
        </w:rPr>
        <w:t>日期：   年   月   日</w:t>
      </w:r>
    </w:p>
    <w:p w14:paraId="201E2B38">
      <w:pPr>
        <w:pageBreakBefore/>
        <w:widowControl/>
        <w:spacing w:line="360" w:lineRule="auto"/>
        <w:jc w:val="center"/>
        <w:rPr>
          <w:rFonts w:ascii="宋体" w:hAnsi="宋体" w:eastAsia="宋体" w:cs="Times New Roman"/>
          <w:b/>
          <w:color w:val="auto"/>
          <w:sz w:val="32"/>
          <w:szCs w:val="32"/>
        </w:rPr>
      </w:pPr>
      <w:r>
        <w:rPr>
          <w:rFonts w:hint="eastAsia" w:ascii="宋体" w:hAnsi="宋体" w:eastAsia="宋体" w:cs="宋体"/>
          <w:b/>
          <w:bCs/>
          <w:color w:val="auto"/>
          <w:sz w:val="32"/>
          <w:szCs w:val="32"/>
          <w:lang w:bidi="ar"/>
        </w:rPr>
        <w:t>附表：已供货产品发票金额统计表</w:t>
      </w:r>
    </w:p>
    <w:tbl>
      <w:tblPr>
        <w:tblStyle w:val="45"/>
        <w:tblW w:w="97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
        <w:gridCol w:w="3129"/>
        <w:gridCol w:w="1549"/>
        <w:gridCol w:w="1245"/>
        <w:gridCol w:w="1522"/>
        <w:gridCol w:w="1442"/>
      </w:tblGrid>
      <w:tr w14:paraId="58984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8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673A1B1">
            <w:pPr>
              <w:pStyle w:val="40"/>
              <w:keepNext w:val="0"/>
              <w:keepLines w:val="0"/>
              <w:widowControl w:val="0"/>
              <w:suppressLineNumbers w:val="0"/>
              <w:snapToGrid w:val="0"/>
              <w:spacing w:before="0" w:after="0" w:line="360" w:lineRule="auto"/>
              <w:ind w:left="0" w:right="0"/>
              <w:jc w:val="center"/>
              <w:rPr>
                <w:rFonts w:hint="default" w:eastAsia="宋体" w:cs="宋体"/>
                <w:color w:val="auto"/>
                <w:sz w:val="21"/>
                <w:szCs w:val="21"/>
              </w:rPr>
            </w:pPr>
            <w:r>
              <w:rPr>
                <w:rFonts w:hint="eastAsia" w:eastAsia="宋体" w:cs="宋体"/>
                <w:color w:val="auto"/>
                <w:sz w:val="21"/>
                <w:szCs w:val="21"/>
                <w:lang w:bidi="ar"/>
              </w:rPr>
              <w:t>项目名称</w:t>
            </w:r>
          </w:p>
        </w:tc>
        <w:tc>
          <w:tcPr>
            <w:tcW w:w="5758" w:type="dxa"/>
            <w:gridSpan w:val="4"/>
            <w:tcBorders>
              <w:top w:val="single" w:color="auto" w:sz="4" w:space="0"/>
              <w:left w:val="nil"/>
              <w:bottom w:val="single" w:color="auto" w:sz="4" w:space="0"/>
              <w:right w:val="single" w:color="auto" w:sz="4" w:space="0"/>
            </w:tcBorders>
            <w:shd w:val="clear" w:color="auto" w:fill="auto"/>
            <w:vAlign w:val="center"/>
          </w:tcPr>
          <w:p w14:paraId="3CBD4428">
            <w:pPr>
              <w:pStyle w:val="40"/>
              <w:keepNext w:val="0"/>
              <w:keepLines w:val="0"/>
              <w:widowControl w:val="0"/>
              <w:suppressLineNumbers w:val="0"/>
              <w:snapToGrid w:val="0"/>
              <w:spacing w:before="0" w:after="0" w:line="360" w:lineRule="auto"/>
              <w:ind w:left="0" w:right="0"/>
              <w:jc w:val="center"/>
              <w:rPr>
                <w:rFonts w:hint="default" w:eastAsia="宋体" w:cs="宋体"/>
                <w:color w:val="auto"/>
                <w:sz w:val="21"/>
                <w:szCs w:val="21"/>
              </w:rPr>
            </w:pPr>
          </w:p>
        </w:tc>
      </w:tr>
      <w:tr w14:paraId="5D3C9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8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6BD90DF">
            <w:pPr>
              <w:pStyle w:val="40"/>
              <w:keepNext w:val="0"/>
              <w:keepLines w:val="0"/>
              <w:widowControl w:val="0"/>
              <w:suppressLineNumbers w:val="0"/>
              <w:snapToGrid w:val="0"/>
              <w:spacing w:before="0" w:after="0" w:line="360" w:lineRule="auto"/>
              <w:ind w:left="0" w:right="0"/>
              <w:jc w:val="center"/>
              <w:rPr>
                <w:rFonts w:hint="default" w:eastAsia="宋体" w:cs="宋体"/>
                <w:color w:val="auto"/>
                <w:sz w:val="21"/>
                <w:szCs w:val="21"/>
              </w:rPr>
            </w:pPr>
            <w:r>
              <w:rPr>
                <w:rFonts w:hint="eastAsia" w:eastAsia="宋体" w:cs="宋体"/>
                <w:color w:val="auto"/>
                <w:sz w:val="21"/>
                <w:szCs w:val="21"/>
                <w:lang w:bidi="ar"/>
              </w:rPr>
              <w:t>合同期限</w:t>
            </w:r>
          </w:p>
        </w:tc>
        <w:tc>
          <w:tcPr>
            <w:tcW w:w="5758" w:type="dxa"/>
            <w:gridSpan w:val="4"/>
            <w:tcBorders>
              <w:top w:val="single" w:color="auto" w:sz="4" w:space="0"/>
              <w:left w:val="nil"/>
              <w:bottom w:val="single" w:color="auto" w:sz="4" w:space="0"/>
              <w:right w:val="single" w:color="auto" w:sz="4" w:space="0"/>
            </w:tcBorders>
            <w:shd w:val="clear" w:color="auto" w:fill="auto"/>
            <w:vAlign w:val="center"/>
          </w:tcPr>
          <w:p w14:paraId="46040CE1">
            <w:pPr>
              <w:pStyle w:val="40"/>
              <w:keepNext w:val="0"/>
              <w:keepLines w:val="0"/>
              <w:widowControl w:val="0"/>
              <w:suppressLineNumbers w:val="0"/>
              <w:snapToGrid w:val="0"/>
              <w:spacing w:before="0" w:after="0" w:line="360" w:lineRule="auto"/>
              <w:ind w:left="0" w:right="0"/>
              <w:jc w:val="center"/>
              <w:rPr>
                <w:rFonts w:hint="default" w:eastAsia="宋体" w:cs="宋体"/>
                <w:color w:val="auto"/>
                <w:sz w:val="21"/>
                <w:szCs w:val="21"/>
              </w:rPr>
            </w:pPr>
          </w:p>
        </w:tc>
      </w:tr>
      <w:tr w14:paraId="2245E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8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4829640">
            <w:pPr>
              <w:pStyle w:val="40"/>
              <w:keepNext w:val="0"/>
              <w:keepLines w:val="0"/>
              <w:widowControl w:val="0"/>
              <w:suppressLineNumbers w:val="0"/>
              <w:snapToGrid w:val="0"/>
              <w:spacing w:before="0" w:after="0" w:line="360" w:lineRule="auto"/>
              <w:ind w:left="0" w:right="0"/>
              <w:jc w:val="center"/>
              <w:rPr>
                <w:rFonts w:hint="default" w:eastAsia="宋体" w:cs="宋体"/>
                <w:color w:val="auto"/>
                <w:sz w:val="21"/>
                <w:szCs w:val="21"/>
              </w:rPr>
            </w:pPr>
            <w:r>
              <w:rPr>
                <w:rFonts w:hint="eastAsia" w:eastAsia="宋体" w:cs="宋体"/>
                <w:color w:val="auto"/>
                <w:sz w:val="21"/>
                <w:szCs w:val="21"/>
                <w:lang w:bidi="ar"/>
              </w:rPr>
              <w:t>发票抬头（合同买方）</w:t>
            </w:r>
          </w:p>
        </w:tc>
        <w:tc>
          <w:tcPr>
            <w:tcW w:w="5758" w:type="dxa"/>
            <w:gridSpan w:val="4"/>
            <w:tcBorders>
              <w:top w:val="single" w:color="auto" w:sz="4" w:space="0"/>
              <w:left w:val="nil"/>
              <w:bottom w:val="single" w:color="auto" w:sz="4" w:space="0"/>
              <w:right w:val="single" w:color="auto" w:sz="4" w:space="0"/>
            </w:tcBorders>
            <w:shd w:val="clear" w:color="auto" w:fill="auto"/>
            <w:vAlign w:val="center"/>
          </w:tcPr>
          <w:p w14:paraId="6BF4182F">
            <w:pPr>
              <w:pStyle w:val="40"/>
              <w:keepNext w:val="0"/>
              <w:keepLines w:val="0"/>
              <w:widowControl w:val="0"/>
              <w:suppressLineNumbers w:val="0"/>
              <w:snapToGrid w:val="0"/>
              <w:spacing w:before="0" w:after="0" w:line="360" w:lineRule="auto"/>
              <w:ind w:left="0" w:right="0"/>
              <w:jc w:val="center"/>
              <w:rPr>
                <w:rFonts w:hint="default" w:eastAsia="宋体" w:cs="宋体"/>
                <w:color w:val="auto"/>
                <w:sz w:val="21"/>
                <w:szCs w:val="21"/>
              </w:rPr>
            </w:pPr>
          </w:p>
        </w:tc>
      </w:tr>
      <w:tr w14:paraId="337C6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14:paraId="4BF09314">
            <w:pPr>
              <w:pStyle w:val="40"/>
              <w:keepNext w:val="0"/>
              <w:keepLines w:val="0"/>
              <w:widowControl w:val="0"/>
              <w:suppressLineNumbers w:val="0"/>
              <w:snapToGrid w:val="0"/>
              <w:spacing w:before="0" w:after="0" w:line="360" w:lineRule="auto"/>
              <w:ind w:left="0" w:right="0"/>
              <w:jc w:val="center"/>
              <w:rPr>
                <w:rFonts w:hint="default" w:eastAsia="宋体" w:cs="宋体"/>
                <w:color w:val="auto"/>
                <w:sz w:val="21"/>
                <w:szCs w:val="21"/>
              </w:rPr>
            </w:pPr>
            <w:r>
              <w:rPr>
                <w:rFonts w:hint="eastAsia" w:eastAsia="宋体" w:cs="宋体"/>
                <w:color w:val="auto"/>
                <w:sz w:val="21"/>
                <w:szCs w:val="21"/>
                <w:lang w:bidi="ar"/>
              </w:rPr>
              <w:t>序号</w:t>
            </w:r>
          </w:p>
        </w:tc>
        <w:tc>
          <w:tcPr>
            <w:tcW w:w="3129" w:type="dxa"/>
            <w:tcBorders>
              <w:top w:val="single" w:color="auto" w:sz="4" w:space="0"/>
              <w:left w:val="nil"/>
              <w:bottom w:val="single" w:color="auto" w:sz="4" w:space="0"/>
              <w:right w:val="single" w:color="auto" w:sz="4" w:space="0"/>
            </w:tcBorders>
            <w:shd w:val="clear" w:color="auto" w:fill="auto"/>
            <w:vAlign w:val="center"/>
          </w:tcPr>
          <w:p w14:paraId="5AF48836">
            <w:pPr>
              <w:pStyle w:val="40"/>
              <w:keepNext w:val="0"/>
              <w:keepLines w:val="0"/>
              <w:widowControl w:val="0"/>
              <w:suppressLineNumbers w:val="0"/>
              <w:snapToGrid w:val="0"/>
              <w:spacing w:before="0" w:after="0" w:line="360" w:lineRule="auto"/>
              <w:ind w:left="0" w:right="0"/>
              <w:jc w:val="center"/>
              <w:rPr>
                <w:rFonts w:hint="default" w:eastAsia="宋体" w:cs="宋体"/>
                <w:color w:val="auto"/>
                <w:sz w:val="21"/>
                <w:szCs w:val="21"/>
              </w:rPr>
            </w:pPr>
            <w:r>
              <w:rPr>
                <w:rFonts w:hint="eastAsia" w:eastAsia="宋体" w:cs="宋体"/>
                <w:color w:val="auto"/>
                <w:sz w:val="21"/>
                <w:szCs w:val="21"/>
                <w:lang w:bidi="ar"/>
              </w:rPr>
              <w:t>发票名目</w:t>
            </w:r>
          </w:p>
        </w:tc>
        <w:tc>
          <w:tcPr>
            <w:tcW w:w="1549" w:type="dxa"/>
            <w:tcBorders>
              <w:top w:val="single" w:color="auto" w:sz="4" w:space="0"/>
              <w:left w:val="nil"/>
              <w:bottom w:val="single" w:color="auto" w:sz="4" w:space="0"/>
              <w:right w:val="single" w:color="auto" w:sz="4" w:space="0"/>
            </w:tcBorders>
            <w:shd w:val="clear" w:color="auto" w:fill="auto"/>
            <w:vAlign w:val="center"/>
          </w:tcPr>
          <w:p w14:paraId="288DF3A2">
            <w:pPr>
              <w:pStyle w:val="40"/>
              <w:keepNext w:val="0"/>
              <w:keepLines w:val="0"/>
              <w:widowControl w:val="0"/>
              <w:suppressLineNumbers w:val="0"/>
              <w:snapToGrid w:val="0"/>
              <w:spacing w:before="0" w:after="0" w:line="360" w:lineRule="auto"/>
              <w:ind w:left="0" w:right="0"/>
              <w:jc w:val="center"/>
              <w:rPr>
                <w:rFonts w:hint="default" w:eastAsia="宋体" w:cs="宋体"/>
                <w:color w:val="auto"/>
                <w:sz w:val="21"/>
                <w:szCs w:val="21"/>
              </w:rPr>
            </w:pPr>
            <w:r>
              <w:rPr>
                <w:rFonts w:hint="eastAsia" w:eastAsia="宋体" w:cs="宋体"/>
                <w:color w:val="auto"/>
                <w:sz w:val="21"/>
                <w:szCs w:val="21"/>
                <w:lang w:bidi="ar"/>
              </w:rPr>
              <w:t>发票金额（单位：万元）</w:t>
            </w:r>
          </w:p>
        </w:tc>
        <w:tc>
          <w:tcPr>
            <w:tcW w:w="1245" w:type="dxa"/>
            <w:tcBorders>
              <w:top w:val="single" w:color="auto" w:sz="4" w:space="0"/>
              <w:left w:val="nil"/>
              <w:bottom w:val="single" w:color="auto" w:sz="4" w:space="0"/>
              <w:right w:val="single" w:color="auto" w:sz="4" w:space="0"/>
            </w:tcBorders>
            <w:shd w:val="clear" w:color="auto" w:fill="auto"/>
            <w:vAlign w:val="center"/>
          </w:tcPr>
          <w:p w14:paraId="43FDB763">
            <w:pPr>
              <w:pStyle w:val="40"/>
              <w:keepNext w:val="0"/>
              <w:keepLines w:val="0"/>
              <w:widowControl w:val="0"/>
              <w:suppressLineNumbers w:val="0"/>
              <w:snapToGrid w:val="0"/>
              <w:spacing w:before="0" w:after="0" w:line="360" w:lineRule="auto"/>
              <w:ind w:left="0" w:right="0"/>
              <w:jc w:val="center"/>
              <w:rPr>
                <w:rFonts w:hint="default" w:eastAsia="宋体" w:cs="宋体"/>
                <w:color w:val="auto"/>
                <w:sz w:val="21"/>
                <w:szCs w:val="21"/>
              </w:rPr>
            </w:pPr>
            <w:r>
              <w:rPr>
                <w:rFonts w:hint="eastAsia" w:eastAsia="宋体" w:cs="宋体"/>
                <w:color w:val="auto"/>
                <w:sz w:val="21"/>
                <w:szCs w:val="21"/>
                <w:lang w:bidi="ar"/>
              </w:rPr>
              <w:t>发票号码</w:t>
            </w:r>
          </w:p>
        </w:tc>
        <w:tc>
          <w:tcPr>
            <w:tcW w:w="1522" w:type="dxa"/>
            <w:tcBorders>
              <w:top w:val="single" w:color="auto" w:sz="4" w:space="0"/>
              <w:left w:val="nil"/>
              <w:bottom w:val="single" w:color="auto" w:sz="4" w:space="0"/>
              <w:right w:val="single" w:color="auto" w:sz="4" w:space="0"/>
            </w:tcBorders>
            <w:shd w:val="clear" w:color="auto" w:fill="auto"/>
            <w:vAlign w:val="center"/>
          </w:tcPr>
          <w:p w14:paraId="3FD7D7A3">
            <w:pPr>
              <w:pStyle w:val="40"/>
              <w:keepNext w:val="0"/>
              <w:keepLines w:val="0"/>
              <w:widowControl w:val="0"/>
              <w:suppressLineNumbers w:val="0"/>
              <w:snapToGrid w:val="0"/>
              <w:spacing w:before="0" w:after="0" w:line="360" w:lineRule="auto"/>
              <w:ind w:left="0" w:right="0"/>
              <w:jc w:val="center"/>
              <w:rPr>
                <w:rFonts w:hint="default" w:eastAsia="宋体" w:cs="宋体"/>
                <w:color w:val="auto"/>
                <w:sz w:val="21"/>
                <w:szCs w:val="21"/>
              </w:rPr>
            </w:pPr>
            <w:r>
              <w:rPr>
                <w:rFonts w:hint="eastAsia" w:eastAsia="宋体" w:cs="宋体"/>
                <w:color w:val="auto"/>
                <w:sz w:val="21"/>
                <w:szCs w:val="21"/>
                <w:lang w:bidi="ar"/>
              </w:rPr>
              <w:t>发票所属时期</w:t>
            </w:r>
          </w:p>
        </w:tc>
        <w:tc>
          <w:tcPr>
            <w:tcW w:w="1442" w:type="dxa"/>
            <w:tcBorders>
              <w:top w:val="single" w:color="auto" w:sz="4" w:space="0"/>
              <w:left w:val="nil"/>
              <w:bottom w:val="single" w:color="auto" w:sz="4" w:space="0"/>
              <w:right w:val="single" w:color="auto" w:sz="4" w:space="0"/>
            </w:tcBorders>
            <w:shd w:val="clear" w:color="auto" w:fill="auto"/>
            <w:vAlign w:val="center"/>
          </w:tcPr>
          <w:p w14:paraId="5665A0C7">
            <w:pPr>
              <w:pStyle w:val="40"/>
              <w:keepNext w:val="0"/>
              <w:keepLines w:val="0"/>
              <w:widowControl w:val="0"/>
              <w:suppressLineNumbers w:val="0"/>
              <w:snapToGrid w:val="0"/>
              <w:spacing w:before="0" w:after="0" w:line="360" w:lineRule="auto"/>
              <w:ind w:left="0" w:right="0"/>
              <w:jc w:val="center"/>
              <w:rPr>
                <w:rFonts w:hint="default" w:eastAsia="宋体" w:cs="宋体"/>
                <w:color w:val="auto"/>
                <w:sz w:val="21"/>
                <w:szCs w:val="21"/>
              </w:rPr>
            </w:pPr>
            <w:r>
              <w:rPr>
                <w:rFonts w:hint="eastAsia" w:eastAsia="宋体" w:cs="宋体"/>
                <w:color w:val="auto"/>
                <w:sz w:val="21"/>
                <w:szCs w:val="21"/>
                <w:lang w:bidi="ar"/>
              </w:rPr>
              <w:t>备注</w:t>
            </w:r>
          </w:p>
        </w:tc>
      </w:tr>
      <w:tr w14:paraId="0E3E9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14:paraId="65FB2298">
            <w:pPr>
              <w:pStyle w:val="40"/>
              <w:keepNext w:val="0"/>
              <w:keepLines w:val="0"/>
              <w:widowControl w:val="0"/>
              <w:suppressLineNumbers w:val="0"/>
              <w:snapToGrid w:val="0"/>
              <w:spacing w:before="0" w:after="0" w:line="360" w:lineRule="auto"/>
              <w:ind w:left="0" w:right="0"/>
              <w:jc w:val="center"/>
              <w:rPr>
                <w:rFonts w:hint="default" w:eastAsia="宋体" w:cs="宋体"/>
                <w:color w:val="auto"/>
                <w:sz w:val="21"/>
                <w:szCs w:val="21"/>
              </w:rPr>
            </w:pPr>
            <w:r>
              <w:rPr>
                <w:rFonts w:hint="eastAsia" w:eastAsia="宋体" w:cs="宋体"/>
                <w:color w:val="auto"/>
                <w:sz w:val="21"/>
                <w:szCs w:val="21"/>
                <w:lang w:bidi="ar"/>
              </w:rPr>
              <w:t>1</w:t>
            </w:r>
          </w:p>
        </w:tc>
        <w:tc>
          <w:tcPr>
            <w:tcW w:w="3129" w:type="dxa"/>
            <w:tcBorders>
              <w:top w:val="single" w:color="auto" w:sz="4" w:space="0"/>
              <w:left w:val="nil"/>
              <w:bottom w:val="single" w:color="auto" w:sz="4" w:space="0"/>
              <w:right w:val="single" w:color="auto" w:sz="4" w:space="0"/>
            </w:tcBorders>
            <w:shd w:val="clear" w:color="auto" w:fill="auto"/>
            <w:vAlign w:val="center"/>
          </w:tcPr>
          <w:p w14:paraId="442CD5BC">
            <w:pPr>
              <w:pStyle w:val="40"/>
              <w:keepNext w:val="0"/>
              <w:keepLines w:val="0"/>
              <w:widowControl w:val="0"/>
              <w:suppressLineNumbers w:val="0"/>
              <w:snapToGrid w:val="0"/>
              <w:spacing w:before="0" w:after="0" w:line="360" w:lineRule="auto"/>
              <w:ind w:left="0" w:right="0"/>
              <w:jc w:val="center"/>
              <w:rPr>
                <w:rFonts w:hint="default" w:eastAsia="宋体" w:cs="宋体"/>
                <w:color w:val="auto"/>
                <w:sz w:val="21"/>
                <w:szCs w:val="21"/>
              </w:rPr>
            </w:pPr>
          </w:p>
        </w:tc>
        <w:tc>
          <w:tcPr>
            <w:tcW w:w="1549" w:type="dxa"/>
            <w:tcBorders>
              <w:top w:val="single" w:color="auto" w:sz="4" w:space="0"/>
              <w:left w:val="nil"/>
              <w:bottom w:val="single" w:color="auto" w:sz="4" w:space="0"/>
              <w:right w:val="single" w:color="auto" w:sz="4" w:space="0"/>
            </w:tcBorders>
            <w:shd w:val="clear" w:color="auto" w:fill="auto"/>
            <w:vAlign w:val="center"/>
          </w:tcPr>
          <w:p w14:paraId="27727AEC">
            <w:pPr>
              <w:pStyle w:val="40"/>
              <w:keepNext w:val="0"/>
              <w:keepLines w:val="0"/>
              <w:widowControl w:val="0"/>
              <w:suppressLineNumbers w:val="0"/>
              <w:snapToGrid w:val="0"/>
              <w:spacing w:before="0" w:after="0" w:line="360" w:lineRule="auto"/>
              <w:ind w:left="0" w:right="0"/>
              <w:jc w:val="center"/>
              <w:rPr>
                <w:rFonts w:hint="default" w:eastAsia="宋体" w:cs="宋体"/>
                <w:color w:val="auto"/>
                <w:sz w:val="21"/>
                <w:szCs w:val="21"/>
              </w:rPr>
            </w:pPr>
          </w:p>
        </w:tc>
        <w:tc>
          <w:tcPr>
            <w:tcW w:w="1245" w:type="dxa"/>
            <w:tcBorders>
              <w:top w:val="single" w:color="auto" w:sz="4" w:space="0"/>
              <w:left w:val="nil"/>
              <w:bottom w:val="single" w:color="auto" w:sz="4" w:space="0"/>
              <w:right w:val="single" w:color="auto" w:sz="4" w:space="0"/>
            </w:tcBorders>
            <w:shd w:val="clear" w:color="auto" w:fill="auto"/>
            <w:vAlign w:val="center"/>
          </w:tcPr>
          <w:p w14:paraId="4D3F40E2">
            <w:pPr>
              <w:pStyle w:val="40"/>
              <w:keepNext w:val="0"/>
              <w:keepLines w:val="0"/>
              <w:widowControl w:val="0"/>
              <w:suppressLineNumbers w:val="0"/>
              <w:snapToGrid w:val="0"/>
              <w:spacing w:before="0" w:after="0" w:line="360" w:lineRule="auto"/>
              <w:ind w:left="0" w:right="0"/>
              <w:jc w:val="center"/>
              <w:rPr>
                <w:rFonts w:hint="default" w:eastAsia="宋体" w:cs="宋体"/>
                <w:color w:val="auto"/>
                <w:sz w:val="21"/>
                <w:szCs w:val="21"/>
              </w:rPr>
            </w:pPr>
          </w:p>
        </w:tc>
        <w:tc>
          <w:tcPr>
            <w:tcW w:w="1522" w:type="dxa"/>
            <w:tcBorders>
              <w:top w:val="single" w:color="auto" w:sz="4" w:space="0"/>
              <w:left w:val="nil"/>
              <w:bottom w:val="single" w:color="auto" w:sz="4" w:space="0"/>
              <w:right w:val="single" w:color="auto" w:sz="4" w:space="0"/>
            </w:tcBorders>
            <w:shd w:val="clear" w:color="auto" w:fill="auto"/>
            <w:vAlign w:val="center"/>
          </w:tcPr>
          <w:p w14:paraId="405BE83C">
            <w:pPr>
              <w:pStyle w:val="40"/>
              <w:keepNext w:val="0"/>
              <w:keepLines w:val="0"/>
              <w:widowControl w:val="0"/>
              <w:suppressLineNumbers w:val="0"/>
              <w:snapToGrid w:val="0"/>
              <w:spacing w:before="0" w:after="0" w:line="360" w:lineRule="auto"/>
              <w:ind w:left="0" w:right="0"/>
              <w:jc w:val="center"/>
              <w:rPr>
                <w:rFonts w:hint="default" w:eastAsia="宋体" w:cs="宋体"/>
                <w:color w:val="auto"/>
                <w:sz w:val="21"/>
                <w:szCs w:val="21"/>
              </w:rPr>
            </w:pPr>
          </w:p>
        </w:tc>
        <w:tc>
          <w:tcPr>
            <w:tcW w:w="1442" w:type="dxa"/>
            <w:tcBorders>
              <w:top w:val="single" w:color="auto" w:sz="4" w:space="0"/>
              <w:left w:val="nil"/>
              <w:bottom w:val="single" w:color="auto" w:sz="4" w:space="0"/>
              <w:right w:val="single" w:color="auto" w:sz="4" w:space="0"/>
            </w:tcBorders>
            <w:shd w:val="clear" w:color="auto" w:fill="auto"/>
            <w:vAlign w:val="center"/>
          </w:tcPr>
          <w:p w14:paraId="0219634E">
            <w:pPr>
              <w:pStyle w:val="40"/>
              <w:keepNext w:val="0"/>
              <w:keepLines w:val="0"/>
              <w:widowControl w:val="0"/>
              <w:suppressLineNumbers w:val="0"/>
              <w:snapToGrid w:val="0"/>
              <w:spacing w:before="0" w:after="0" w:line="360" w:lineRule="auto"/>
              <w:ind w:left="0" w:right="0"/>
              <w:jc w:val="center"/>
              <w:rPr>
                <w:rFonts w:hint="default" w:eastAsia="宋体" w:cs="宋体"/>
                <w:color w:val="auto"/>
                <w:sz w:val="21"/>
                <w:szCs w:val="21"/>
              </w:rPr>
            </w:pPr>
          </w:p>
        </w:tc>
      </w:tr>
      <w:tr w14:paraId="73080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14:paraId="52B382DE">
            <w:pPr>
              <w:pStyle w:val="40"/>
              <w:keepNext w:val="0"/>
              <w:keepLines w:val="0"/>
              <w:widowControl w:val="0"/>
              <w:suppressLineNumbers w:val="0"/>
              <w:snapToGrid w:val="0"/>
              <w:spacing w:before="0" w:after="0" w:line="360" w:lineRule="auto"/>
              <w:ind w:left="0" w:right="0"/>
              <w:jc w:val="center"/>
              <w:rPr>
                <w:rFonts w:hint="default" w:eastAsia="宋体" w:cs="宋体"/>
                <w:color w:val="auto"/>
                <w:sz w:val="21"/>
                <w:szCs w:val="21"/>
              </w:rPr>
            </w:pPr>
            <w:r>
              <w:rPr>
                <w:rFonts w:hint="eastAsia" w:eastAsia="宋体" w:cs="宋体"/>
                <w:color w:val="auto"/>
                <w:sz w:val="21"/>
                <w:szCs w:val="21"/>
                <w:lang w:bidi="ar"/>
              </w:rPr>
              <w:t>2</w:t>
            </w:r>
          </w:p>
        </w:tc>
        <w:tc>
          <w:tcPr>
            <w:tcW w:w="3129" w:type="dxa"/>
            <w:tcBorders>
              <w:top w:val="single" w:color="auto" w:sz="4" w:space="0"/>
              <w:left w:val="nil"/>
              <w:bottom w:val="single" w:color="auto" w:sz="4" w:space="0"/>
              <w:right w:val="single" w:color="auto" w:sz="4" w:space="0"/>
            </w:tcBorders>
            <w:shd w:val="clear" w:color="auto" w:fill="auto"/>
            <w:vAlign w:val="center"/>
          </w:tcPr>
          <w:p w14:paraId="274400A0">
            <w:pPr>
              <w:pStyle w:val="40"/>
              <w:keepNext w:val="0"/>
              <w:keepLines w:val="0"/>
              <w:widowControl w:val="0"/>
              <w:suppressLineNumbers w:val="0"/>
              <w:snapToGrid w:val="0"/>
              <w:spacing w:before="0" w:after="0" w:line="360" w:lineRule="auto"/>
              <w:ind w:left="0" w:right="0"/>
              <w:jc w:val="center"/>
              <w:rPr>
                <w:rFonts w:hint="default" w:eastAsia="宋体" w:cs="宋体"/>
                <w:color w:val="auto"/>
                <w:sz w:val="21"/>
                <w:szCs w:val="21"/>
              </w:rPr>
            </w:pPr>
          </w:p>
        </w:tc>
        <w:tc>
          <w:tcPr>
            <w:tcW w:w="1549" w:type="dxa"/>
            <w:tcBorders>
              <w:top w:val="single" w:color="auto" w:sz="4" w:space="0"/>
              <w:left w:val="nil"/>
              <w:bottom w:val="single" w:color="auto" w:sz="4" w:space="0"/>
              <w:right w:val="single" w:color="auto" w:sz="4" w:space="0"/>
            </w:tcBorders>
            <w:shd w:val="clear" w:color="auto" w:fill="auto"/>
            <w:vAlign w:val="center"/>
          </w:tcPr>
          <w:p w14:paraId="5B70FC6A">
            <w:pPr>
              <w:pStyle w:val="40"/>
              <w:keepNext w:val="0"/>
              <w:keepLines w:val="0"/>
              <w:widowControl w:val="0"/>
              <w:suppressLineNumbers w:val="0"/>
              <w:snapToGrid w:val="0"/>
              <w:spacing w:before="0" w:after="0" w:line="360" w:lineRule="auto"/>
              <w:ind w:left="0" w:right="0"/>
              <w:jc w:val="center"/>
              <w:rPr>
                <w:rFonts w:hint="default" w:eastAsia="宋体" w:cs="宋体"/>
                <w:color w:val="auto"/>
                <w:sz w:val="21"/>
                <w:szCs w:val="21"/>
              </w:rPr>
            </w:pPr>
          </w:p>
        </w:tc>
        <w:tc>
          <w:tcPr>
            <w:tcW w:w="1245" w:type="dxa"/>
            <w:tcBorders>
              <w:top w:val="single" w:color="auto" w:sz="4" w:space="0"/>
              <w:left w:val="nil"/>
              <w:bottom w:val="single" w:color="auto" w:sz="4" w:space="0"/>
              <w:right w:val="single" w:color="auto" w:sz="4" w:space="0"/>
            </w:tcBorders>
            <w:shd w:val="clear" w:color="auto" w:fill="auto"/>
            <w:vAlign w:val="center"/>
          </w:tcPr>
          <w:p w14:paraId="69C33E3F">
            <w:pPr>
              <w:pStyle w:val="40"/>
              <w:keepNext w:val="0"/>
              <w:keepLines w:val="0"/>
              <w:widowControl w:val="0"/>
              <w:suppressLineNumbers w:val="0"/>
              <w:snapToGrid w:val="0"/>
              <w:spacing w:before="0" w:after="0" w:line="360" w:lineRule="auto"/>
              <w:ind w:left="0" w:right="0"/>
              <w:jc w:val="center"/>
              <w:rPr>
                <w:rFonts w:hint="default" w:eastAsia="宋体" w:cs="宋体"/>
                <w:color w:val="auto"/>
                <w:sz w:val="21"/>
                <w:szCs w:val="21"/>
              </w:rPr>
            </w:pPr>
          </w:p>
        </w:tc>
        <w:tc>
          <w:tcPr>
            <w:tcW w:w="1522" w:type="dxa"/>
            <w:tcBorders>
              <w:top w:val="single" w:color="auto" w:sz="4" w:space="0"/>
              <w:left w:val="nil"/>
              <w:bottom w:val="single" w:color="auto" w:sz="4" w:space="0"/>
              <w:right w:val="single" w:color="auto" w:sz="4" w:space="0"/>
            </w:tcBorders>
            <w:shd w:val="clear" w:color="auto" w:fill="auto"/>
            <w:vAlign w:val="center"/>
          </w:tcPr>
          <w:p w14:paraId="10E247A6">
            <w:pPr>
              <w:pStyle w:val="40"/>
              <w:keepNext w:val="0"/>
              <w:keepLines w:val="0"/>
              <w:widowControl w:val="0"/>
              <w:suppressLineNumbers w:val="0"/>
              <w:snapToGrid w:val="0"/>
              <w:spacing w:before="0" w:after="0" w:line="360" w:lineRule="auto"/>
              <w:ind w:left="0" w:right="0"/>
              <w:jc w:val="center"/>
              <w:rPr>
                <w:rFonts w:hint="default" w:eastAsia="宋体" w:cs="宋体"/>
                <w:color w:val="auto"/>
                <w:sz w:val="21"/>
                <w:szCs w:val="21"/>
              </w:rPr>
            </w:pPr>
          </w:p>
        </w:tc>
        <w:tc>
          <w:tcPr>
            <w:tcW w:w="1442" w:type="dxa"/>
            <w:tcBorders>
              <w:top w:val="single" w:color="auto" w:sz="4" w:space="0"/>
              <w:left w:val="nil"/>
              <w:bottom w:val="single" w:color="auto" w:sz="4" w:space="0"/>
              <w:right w:val="single" w:color="auto" w:sz="4" w:space="0"/>
            </w:tcBorders>
            <w:shd w:val="clear" w:color="auto" w:fill="auto"/>
            <w:vAlign w:val="center"/>
          </w:tcPr>
          <w:p w14:paraId="444409CA">
            <w:pPr>
              <w:pStyle w:val="40"/>
              <w:keepNext w:val="0"/>
              <w:keepLines w:val="0"/>
              <w:widowControl w:val="0"/>
              <w:suppressLineNumbers w:val="0"/>
              <w:snapToGrid w:val="0"/>
              <w:spacing w:before="0" w:after="0" w:line="360" w:lineRule="auto"/>
              <w:ind w:left="0" w:right="0"/>
              <w:jc w:val="center"/>
              <w:rPr>
                <w:rFonts w:hint="default" w:eastAsia="宋体" w:cs="宋体"/>
                <w:color w:val="auto"/>
                <w:sz w:val="21"/>
                <w:szCs w:val="21"/>
              </w:rPr>
            </w:pPr>
          </w:p>
        </w:tc>
      </w:tr>
      <w:tr w14:paraId="77286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14:paraId="42FD8924">
            <w:pPr>
              <w:pStyle w:val="40"/>
              <w:keepNext w:val="0"/>
              <w:keepLines w:val="0"/>
              <w:widowControl w:val="0"/>
              <w:suppressLineNumbers w:val="0"/>
              <w:snapToGrid w:val="0"/>
              <w:spacing w:before="0" w:after="0" w:line="360" w:lineRule="auto"/>
              <w:ind w:left="0" w:right="0"/>
              <w:jc w:val="center"/>
              <w:rPr>
                <w:rFonts w:hint="default" w:eastAsia="宋体" w:cs="宋体"/>
                <w:color w:val="auto"/>
                <w:sz w:val="21"/>
                <w:szCs w:val="21"/>
              </w:rPr>
            </w:pPr>
            <w:r>
              <w:rPr>
                <w:rFonts w:hint="eastAsia" w:eastAsia="宋体" w:cs="宋体"/>
                <w:color w:val="auto"/>
                <w:sz w:val="21"/>
                <w:szCs w:val="21"/>
                <w:lang w:bidi="ar"/>
              </w:rPr>
              <w:t>3</w:t>
            </w:r>
          </w:p>
        </w:tc>
        <w:tc>
          <w:tcPr>
            <w:tcW w:w="3129" w:type="dxa"/>
            <w:tcBorders>
              <w:top w:val="single" w:color="auto" w:sz="4" w:space="0"/>
              <w:left w:val="nil"/>
              <w:bottom w:val="single" w:color="auto" w:sz="4" w:space="0"/>
              <w:right w:val="single" w:color="auto" w:sz="4" w:space="0"/>
            </w:tcBorders>
            <w:shd w:val="clear" w:color="auto" w:fill="auto"/>
            <w:vAlign w:val="center"/>
          </w:tcPr>
          <w:p w14:paraId="0BA26351">
            <w:pPr>
              <w:pStyle w:val="40"/>
              <w:keepNext w:val="0"/>
              <w:keepLines w:val="0"/>
              <w:widowControl w:val="0"/>
              <w:suppressLineNumbers w:val="0"/>
              <w:snapToGrid w:val="0"/>
              <w:spacing w:before="0" w:after="0" w:line="360" w:lineRule="auto"/>
              <w:ind w:left="0" w:right="0"/>
              <w:jc w:val="center"/>
              <w:rPr>
                <w:rFonts w:hint="default" w:eastAsia="宋体" w:cs="宋体"/>
                <w:color w:val="auto"/>
                <w:sz w:val="21"/>
                <w:szCs w:val="21"/>
              </w:rPr>
            </w:pPr>
          </w:p>
        </w:tc>
        <w:tc>
          <w:tcPr>
            <w:tcW w:w="1549" w:type="dxa"/>
            <w:tcBorders>
              <w:top w:val="single" w:color="auto" w:sz="4" w:space="0"/>
              <w:left w:val="nil"/>
              <w:bottom w:val="single" w:color="auto" w:sz="4" w:space="0"/>
              <w:right w:val="single" w:color="auto" w:sz="4" w:space="0"/>
            </w:tcBorders>
            <w:shd w:val="clear" w:color="auto" w:fill="auto"/>
            <w:vAlign w:val="center"/>
          </w:tcPr>
          <w:p w14:paraId="29BF9D54">
            <w:pPr>
              <w:pStyle w:val="40"/>
              <w:keepNext w:val="0"/>
              <w:keepLines w:val="0"/>
              <w:widowControl w:val="0"/>
              <w:suppressLineNumbers w:val="0"/>
              <w:snapToGrid w:val="0"/>
              <w:spacing w:before="0" w:after="0" w:line="360" w:lineRule="auto"/>
              <w:ind w:left="0" w:right="0"/>
              <w:jc w:val="center"/>
              <w:rPr>
                <w:rFonts w:hint="default" w:eastAsia="宋体" w:cs="宋体"/>
                <w:color w:val="auto"/>
                <w:sz w:val="21"/>
                <w:szCs w:val="21"/>
              </w:rPr>
            </w:pPr>
          </w:p>
        </w:tc>
        <w:tc>
          <w:tcPr>
            <w:tcW w:w="1245" w:type="dxa"/>
            <w:tcBorders>
              <w:top w:val="single" w:color="auto" w:sz="4" w:space="0"/>
              <w:left w:val="nil"/>
              <w:bottom w:val="single" w:color="auto" w:sz="4" w:space="0"/>
              <w:right w:val="single" w:color="auto" w:sz="4" w:space="0"/>
            </w:tcBorders>
            <w:shd w:val="clear" w:color="auto" w:fill="auto"/>
            <w:vAlign w:val="center"/>
          </w:tcPr>
          <w:p w14:paraId="5CBE6A20">
            <w:pPr>
              <w:pStyle w:val="40"/>
              <w:keepNext w:val="0"/>
              <w:keepLines w:val="0"/>
              <w:widowControl w:val="0"/>
              <w:suppressLineNumbers w:val="0"/>
              <w:snapToGrid w:val="0"/>
              <w:spacing w:before="0" w:after="0" w:line="360" w:lineRule="auto"/>
              <w:ind w:left="0" w:right="0"/>
              <w:jc w:val="center"/>
              <w:rPr>
                <w:rFonts w:hint="default" w:eastAsia="宋体" w:cs="宋体"/>
                <w:color w:val="auto"/>
                <w:sz w:val="21"/>
                <w:szCs w:val="21"/>
              </w:rPr>
            </w:pPr>
          </w:p>
        </w:tc>
        <w:tc>
          <w:tcPr>
            <w:tcW w:w="1522" w:type="dxa"/>
            <w:tcBorders>
              <w:top w:val="single" w:color="auto" w:sz="4" w:space="0"/>
              <w:left w:val="nil"/>
              <w:bottom w:val="single" w:color="auto" w:sz="4" w:space="0"/>
              <w:right w:val="single" w:color="auto" w:sz="4" w:space="0"/>
            </w:tcBorders>
            <w:shd w:val="clear" w:color="auto" w:fill="auto"/>
            <w:vAlign w:val="center"/>
          </w:tcPr>
          <w:p w14:paraId="35419B11">
            <w:pPr>
              <w:pStyle w:val="40"/>
              <w:keepNext w:val="0"/>
              <w:keepLines w:val="0"/>
              <w:widowControl w:val="0"/>
              <w:suppressLineNumbers w:val="0"/>
              <w:snapToGrid w:val="0"/>
              <w:spacing w:before="0" w:after="0" w:line="360" w:lineRule="auto"/>
              <w:ind w:left="0" w:right="0"/>
              <w:jc w:val="center"/>
              <w:rPr>
                <w:rFonts w:hint="default" w:eastAsia="宋体" w:cs="宋体"/>
                <w:color w:val="auto"/>
                <w:sz w:val="21"/>
                <w:szCs w:val="21"/>
              </w:rPr>
            </w:pPr>
          </w:p>
        </w:tc>
        <w:tc>
          <w:tcPr>
            <w:tcW w:w="1442" w:type="dxa"/>
            <w:tcBorders>
              <w:top w:val="single" w:color="auto" w:sz="4" w:space="0"/>
              <w:left w:val="nil"/>
              <w:bottom w:val="single" w:color="auto" w:sz="4" w:space="0"/>
              <w:right w:val="single" w:color="auto" w:sz="4" w:space="0"/>
            </w:tcBorders>
            <w:shd w:val="clear" w:color="auto" w:fill="auto"/>
            <w:vAlign w:val="center"/>
          </w:tcPr>
          <w:p w14:paraId="3D372C3A">
            <w:pPr>
              <w:pStyle w:val="40"/>
              <w:keepNext w:val="0"/>
              <w:keepLines w:val="0"/>
              <w:widowControl w:val="0"/>
              <w:suppressLineNumbers w:val="0"/>
              <w:snapToGrid w:val="0"/>
              <w:spacing w:before="0" w:after="0" w:line="360" w:lineRule="auto"/>
              <w:ind w:left="0" w:right="0"/>
              <w:jc w:val="center"/>
              <w:rPr>
                <w:rFonts w:hint="default" w:eastAsia="宋体" w:cs="宋体"/>
                <w:color w:val="auto"/>
                <w:sz w:val="21"/>
                <w:szCs w:val="21"/>
              </w:rPr>
            </w:pPr>
          </w:p>
        </w:tc>
      </w:tr>
      <w:tr w14:paraId="74EF6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14:paraId="00BBC573">
            <w:pPr>
              <w:pStyle w:val="40"/>
              <w:keepNext w:val="0"/>
              <w:keepLines w:val="0"/>
              <w:widowControl w:val="0"/>
              <w:suppressLineNumbers w:val="0"/>
              <w:snapToGrid w:val="0"/>
              <w:spacing w:before="0" w:after="0" w:line="360" w:lineRule="auto"/>
              <w:ind w:left="0" w:right="0"/>
              <w:jc w:val="center"/>
              <w:rPr>
                <w:rFonts w:hint="default" w:eastAsia="宋体" w:cs="宋体"/>
                <w:color w:val="auto"/>
                <w:sz w:val="21"/>
                <w:szCs w:val="21"/>
              </w:rPr>
            </w:pPr>
            <w:r>
              <w:rPr>
                <w:rFonts w:hint="eastAsia" w:eastAsia="宋体" w:cs="宋体"/>
                <w:color w:val="auto"/>
                <w:sz w:val="21"/>
                <w:szCs w:val="21"/>
                <w:lang w:bidi="ar"/>
              </w:rPr>
              <w:t>...</w:t>
            </w:r>
          </w:p>
        </w:tc>
        <w:tc>
          <w:tcPr>
            <w:tcW w:w="3129" w:type="dxa"/>
            <w:tcBorders>
              <w:top w:val="single" w:color="auto" w:sz="4" w:space="0"/>
              <w:left w:val="nil"/>
              <w:bottom w:val="single" w:color="auto" w:sz="4" w:space="0"/>
              <w:right w:val="single" w:color="auto" w:sz="4" w:space="0"/>
            </w:tcBorders>
            <w:shd w:val="clear" w:color="auto" w:fill="auto"/>
            <w:vAlign w:val="center"/>
          </w:tcPr>
          <w:p w14:paraId="5572FFAC">
            <w:pPr>
              <w:pStyle w:val="40"/>
              <w:keepNext w:val="0"/>
              <w:keepLines w:val="0"/>
              <w:widowControl w:val="0"/>
              <w:suppressLineNumbers w:val="0"/>
              <w:snapToGrid w:val="0"/>
              <w:spacing w:before="0" w:after="0" w:line="360" w:lineRule="auto"/>
              <w:ind w:left="0" w:right="0"/>
              <w:jc w:val="center"/>
              <w:rPr>
                <w:rFonts w:hint="default" w:eastAsia="宋体" w:cs="宋体"/>
                <w:color w:val="auto"/>
                <w:sz w:val="21"/>
                <w:szCs w:val="21"/>
              </w:rPr>
            </w:pPr>
          </w:p>
        </w:tc>
        <w:tc>
          <w:tcPr>
            <w:tcW w:w="1549" w:type="dxa"/>
            <w:tcBorders>
              <w:top w:val="single" w:color="auto" w:sz="4" w:space="0"/>
              <w:left w:val="nil"/>
              <w:bottom w:val="single" w:color="auto" w:sz="4" w:space="0"/>
              <w:right w:val="single" w:color="auto" w:sz="4" w:space="0"/>
            </w:tcBorders>
            <w:shd w:val="clear" w:color="auto" w:fill="auto"/>
            <w:vAlign w:val="center"/>
          </w:tcPr>
          <w:p w14:paraId="16219978">
            <w:pPr>
              <w:pStyle w:val="40"/>
              <w:keepNext w:val="0"/>
              <w:keepLines w:val="0"/>
              <w:widowControl w:val="0"/>
              <w:suppressLineNumbers w:val="0"/>
              <w:snapToGrid w:val="0"/>
              <w:spacing w:before="0" w:after="0" w:line="360" w:lineRule="auto"/>
              <w:ind w:left="0" w:right="0"/>
              <w:jc w:val="center"/>
              <w:rPr>
                <w:rFonts w:hint="default" w:eastAsia="宋体" w:cs="宋体"/>
                <w:color w:val="auto"/>
                <w:sz w:val="21"/>
                <w:szCs w:val="21"/>
              </w:rPr>
            </w:pPr>
          </w:p>
        </w:tc>
        <w:tc>
          <w:tcPr>
            <w:tcW w:w="1245" w:type="dxa"/>
            <w:tcBorders>
              <w:top w:val="single" w:color="auto" w:sz="4" w:space="0"/>
              <w:left w:val="nil"/>
              <w:bottom w:val="single" w:color="auto" w:sz="4" w:space="0"/>
              <w:right w:val="single" w:color="auto" w:sz="4" w:space="0"/>
            </w:tcBorders>
            <w:shd w:val="clear" w:color="auto" w:fill="auto"/>
            <w:vAlign w:val="center"/>
          </w:tcPr>
          <w:p w14:paraId="577E6713">
            <w:pPr>
              <w:pStyle w:val="40"/>
              <w:keepNext w:val="0"/>
              <w:keepLines w:val="0"/>
              <w:widowControl w:val="0"/>
              <w:suppressLineNumbers w:val="0"/>
              <w:snapToGrid w:val="0"/>
              <w:spacing w:before="0" w:after="0" w:line="360" w:lineRule="auto"/>
              <w:ind w:left="0" w:right="0"/>
              <w:jc w:val="center"/>
              <w:rPr>
                <w:rFonts w:hint="default" w:eastAsia="宋体" w:cs="宋体"/>
                <w:color w:val="auto"/>
                <w:sz w:val="21"/>
                <w:szCs w:val="21"/>
              </w:rPr>
            </w:pPr>
          </w:p>
        </w:tc>
        <w:tc>
          <w:tcPr>
            <w:tcW w:w="1522" w:type="dxa"/>
            <w:tcBorders>
              <w:top w:val="single" w:color="auto" w:sz="4" w:space="0"/>
              <w:left w:val="nil"/>
              <w:bottom w:val="single" w:color="auto" w:sz="4" w:space="0"/>
              <w:right w:val="single" w:color="auto" w:sz="4" w:space="0"/>
            </w:tcBorders>
            <w:shd w:val="clear" w:color="auto" w:fill="auto"/>
            <w:vAlign w:val="center"/>
          </w:tcPr>
          <w:p w14:paraId="4F17EF3F">
            <w:pPr>
              <w:pStyle w:val="40"/>
              <w:keepNext w:val="0"/>
              <w:keepLines w:val="0"/>
              <w:widowControl w:val="0"/>
              <w:suppressLineNumbers w:val="0"/>
              <w:snapToGrid w:val="0"/>
              <w:spacing w:before="0" w:after="0" w:line="360" w:lineRule="auto"/>
              <w:ind w:left="0" w:right="0"/>
              <w:jc w:val="center"/>
              <w:rPr>
                <w:rFonts w:hint="default" w:eastAsia="宋体" w:cs="宋体"/>
                <w:color w:val="auto"/>
                <w:sz w:val="21"/>
                <w:szCs w:val="21"/>
              </w:rPr>
            </w:pPr>
          </w:p>
        </w:tc>
        <w:tc>
          <w:tcPr>
            <w:tcW w:w="1442" w:type="dxa"/>
            <w:tcBorders>
              <w:top w:val="single" w:color="auto" w:sz="4" w:space="0"/>
              <w:left w:val="nil"/>
              <w:bottom w:val="single" w:color="auto" w:sz="4" w:space="0"/>
              <w:right w:val="single" w:color="auto" w:sz="4" w:space="0"/>
            </w:tcBorders>
            <w:shd w:val="clear" w:color="auto" w:fill="auto"/>
            <w:vAlign w:val="center"/>
          </w:tcPr>
          <w:p w14:paraId="7DEE1DC3">
            <w:pPr>
              <w:pStyle w:val="40"/>
              <w:keepNext w:val="0"/>
              <w:keepLines w:val="0"/>
              <w:widowControl w:val="0"/>
              <w:suppressLineNumbers w:val="0"/>
              <w:snapToGrid w:val="0"/>
              <w:spacing w:before="0" w:after="0" w:line="360" w:lineRule="auto"/>
              <w:ind w:left="0" w:right="0"/>
              <w:jc w:val="center"/>
              <w:rPr>
                <w:rFonts w:hint="default" w:eastAsia="宋体" w:cs="宋体"/>
                <w:color w:val="auto"/>
                <w:sz w:val="21"/>
                <w:szCs w:val="21"/>
              </w:rPr>
            </w:pPr>
          </w:p>
        </w:tc>
      </w:tr>
      <w:tr w14:paraId="176F5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8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3D754EA">
            <w:pPr>
              <w:pStyle w:val="40"/>
              <w:keepNext w:val="0"/>
              <w:keepLines w:val="0"/>
              <w:widowControl w:val="0"/>
              <w:suppressLineNumbers w:val="0"/>
              <w:snapToGrid w:val="0"/>
              <w:spacing w:before="0" w:after="0" w:line="360" w:lineRule="auto"/>
              <w:ind w:left="0" w:right="0"/>
              <w:jc w:val="center"/>
              <w:rPr>
                <w:rFonts w:hint="default" w:eastAsia="宋体" w:cs="宋体"/>
                <w:color w:val="auto"/>
                <w:sz w:val="21"/>
                <w:szCs w:val="21"/>
              </w:rPr>
            </w:pPr>
            <w:r>
              <w:rPr>
                <w:rFonts w:hint="eastAsia" w:eastAsia="宋体" w:cs="宋体"/>
                <w:color w:val="auto"/>
                <w:sz w:val="21"/>
                <w:szCs w:val="21"/>
                <w:lang w:bidi="ar"/>
              </w:rPr>
              <w:t>发票金额合计（单位：万元）</w:t>
            </w:r>
          </w:p>
        </w:tc>
        <w:tc>
          <w:tcPr>
            <w:tcW w:w="1549" w:type="dxa"/>
            <w:tcBorders>
              <w:top w:val="single" w:color="auto" w:sz="4" w:space="0"/>
              <w:left w:val="nil"/>
              <w:bottom w:val="single" w:color="auto" w:sz="4" w:space="0"/>
              <w:right w:val="single" w:color="auto" w:sz="4" w:space="0"/>
            </w:tcBorders>
            <w:shd w:val="clear" w:color="auto" w:fill="auto"/>
            <w:vAlign w:val="center"/>
          </w:tcPr>
          <w:p w14:paraId="4193B702">
            <w:pPr>
              <w:pStyle w:val="40"/>
              <w:keepNext w:val="0"/>
              <w:keepLines w:val="0"/>
              <w:widowControl w:val="0"/>
              <w:suppressLineNumbers w:val="0"/>
              <w:snapToGrid w:val="0"/>
              <w:spacing w:before="0" w:after="0" w:line="360" w:lineRule="auto"/>
              <w:ind w:left="0" w:right="0"/>
              <w:jc w:val="center"/>
              <w:rPr>
                <w:rFonts w:hint="default" w:eastAsia="宋体" w:cs="宋体"/>
                <w:color w:val="auto"/>
                <w:sz w:val="21"/>
                <w:szCs w:val="21"/>
              </w:rPr>
            </w:pPr>
          </w:p>
        </w:tc>
        <w:tc>
          <w:tcPr>
            <w:tcW w:w="1245" w:type="dxa"/>
            <w:tcBorders>
              <w:top w:val="single" w:color="auto" w:sz="4" w:space="0"/>
              <w:left w:val="nil"/>
              <w:bottom w:val="single" w:color="auto" w:sz="4" w:space="0"/>
              <w:right w:val="single" w:color="auto" w:sz="4" w:space="0"/>
            </w:tcBorders>
            <w:shd w:val="clear" w:color="auto" w:fill="auto"/>
            <w:vAlign w:val="center"/>
          </w:tcPr>
          <w:p w14:paraId="356F2E44">
            <w:pPr>
              <w:pStyle w:val="40"/>
              <w:keepNext w:val="0"/>
              <w:keepLines w:val="0"/>
              <w:widowControl w:val="0"/>
              <w:suppressLineNumbers w:val="0"/>
              <w:snapToGrid w:val="0"/>
              <w:spacing w:before="0" w:after="0" w:line="360" w:lineRule="auto"/>
              <w:ind w:left="0" w:right="0"/>
              <w:jc w:val="center"/>
              <w:rPr>
                <w:rFonts w:hint="default" w:eastAsia="宋体" w:cs="宋体"/>
                <w:color w:val="auto"/>
                <w:sz w:val="21"/>
                <w:szCs w:val="21"/>
              </w:rPr>
            </w:pPr>
          </w:p>
        </w:tc>
        <w:tc>
          <w:tcPr>
            <w:tcW w:w="1522" w:type="dxa"/>
            <w:tcBorders>
              <w:top w:val="single" w:color="auto" w:sz="4" w:space="0"/>
              <w:left w:val="nil"/>
              <w:bottom w:val="single" w:color="auto" w:sz="4" w:space="0"/>
              <w:right w:val="single" w:color="auto" w:sz="4" w:space="0"/>
            </w:tcBorders>
            <w:shd w:val="clear" w:color="auto" w:fill="auto"/>
            <w:vAlign w:val="center"/>
          </w:tcPr>
          <w:p w14:paraId="075D5308">
            <w:pPr>
              <w:pStyle w:val="40"/>
              <w:keepNext w:val="0"/>
              <w:keepLines w:val="0"/>
              <w:widowControl w:val="0"/>
              <w:suppressLineNumbers w:val="0"/>
              <w:snapToGrid w:val="0"/>
              <w:spacing w:before="0" w:after="0" w:line="360" w:lineRule="auto"/>
              <w:ind w:left="0" w:right="0"/>
              <w:jc w:val="center"/>
              <w:rPr>
                <w:rFonts w:hint="default" w:eastAsia="宋体" w:cs="宋体"/>
                <w:color w:val="auto"/>
                <w:sz w:val="21"/>
                <w:szCs w:val="21"/>
              </w:rPr>
            </w:pPr>
          </w:p>
        </w:tc>
        <w:tc>
          <w:tcPr>
            <w:tcW w:w="1442" w:type="dxa"/>
            <w:tcBorders>
              <w:top w:val="single" w:color="auto" w:sz="4" w:space="0"/>
              <w:left w:val="nil"/>
              <w:bottom w:val="single" w:color="auto" w:sz="4" w:space="0"/>
              <w:right w:val="single" w:color="auto" w:sz="4" w:space="0"/>
            </w:tcBorders>
            <w:shd w:val="clear" w:color="auto" w:fill="auto"/>
            <w:vAlign w:val="center"/>
          </w:tcPr>
          <w:p w14:paraId="53F5FB06">
            <w:pPr>
              <w:pStyle w:val="40"/>
              <w:keepNext w:val="0"/>
              <w:keepLines w:val="0"/>
              <w:widowControl w:val="0"/>
              <w:suppressLineNumbers w:val="0"/>
              <w:snapToGrid w:val="0"/>
              <w:spacing w:before="0" w:after="0" w:line="360" w:lineRule="auto"/>
              <w:ind w:left="0" w:right="0"/>
              <w:jc w:val="center"/>
              <w:rPr>
                <w:rFonts w:hint="default" w:eastAsia="宋体" w:cs="宋体"/>
                <w:color w:val="auto"/>
                <w:sz w:val="21"/>
                <w:szCs w:val="21"/>
              </w:rPr>
            </w:pPr>
          </w:p>
        </w:tc>
      </w:tr>
    </w:tbl>
    <w:p w14:paraId="33D15987">
      <w:pPr>
        <w:snapToGrid w:val="0"/>
        <w:spacing w:line="360" w:lineRule="auto"/>
        <w:ind w:left="493" w:leftChars="-56" w:hanging="611" w:hangingChars="291"/>
        <w:rPr>
          <w:rFonts w:ascii="宋体" w:hAnsi="宋体" w:eastAsia="宋体" w:cs="宋体"/>
          <w:color w:val="auto"/>
          <w:szCs w:val="21"/>
        </w:rPr>
      </w:pPr>
      <w:r>
        <w:rPr>
          <w:rFonts w:hint="eastAsia" w:ascii="宋体" w:hAnsi="宋体" w:eastAsia="宋体" w:cs="宋体"/>
          <w:color w:val="auto"/>
          <w:szCs w:val="21"/>
          <w:lang w:bidi="ar"/>
        </w:rPr>
        <w:t xml:space="preserve"> </w:t>
      </w:r>
    </w:p>
    <w:p w14:paraId="3FD55C7E">
      <w:pPr>
        <w:snapToGrid w:val="0"/>
        <w:spacing w:line="360" w:lineRule="auto"/>
        <w:ind w:left="493" w:leftChars="-56" w:hanging="611" w:hangingChars="291"/>
        <w:rPr>
          <w:rFonts w:ascii="宋体" w:hAnsi="宋体" w:eastAsia="宋体" w:cs="宋体"/>
          <w:color w:val="auto"/>
          <w:szCs w:val="21"/>
          <w:lang w:bidi="ar"/>
        </w:rPr>
      </w:pPr>
      <w:r>
        <w:rPr>
          <w:rFonts w:hint="eastAsia" w:ascii="宋体" w:hAnsi="宋体" w:eastAsia="宋体" w:cs="宋体"/>
          <w:color w:val="auto"/>
          <w:szCs w:val="21"/>
          <w:lang w:bidi="ar"/>
        </w:rPr>
        <w:t>备注：</w:t>
      </w:r>
    </w:p>
    <w:p w14:paraId="7B13205C">
      <w:pPr>
        <w:snapToGrid w:val="0"/>
        <w:spacing w:line="360" w:lineRule="auto"/>
        <w:ind w:left="493" w:leftChars="-56" w:hanging="611" w:hangingChars="291"/>
        <w:rPr>
          <w:rFonts w:ascii="宋体" w:hAnsi="宋体" w:eastAsia="宋体" w:cs="宋体"/>
          <w:color w:val="auto"/>
          <w:szCs w:val="21"/>
          <w:lang w:bidi="ar"/>
        </w:rPr>
      </w:pPr>
      <w:r>
        <w:rPr>
          <w:rFonts w:hint="eastAsia" w:ascii="宋体" w:hAnsi="宋体" w:eastAsia="宋体" w:cs="宋体"/>
          <w:color w:val="auto"/>
          <w:szCs w:val="21"/>
          <w:lang w:bidi="ar"/>
        </w:rPr>
        <w:t>（1）投标人提供框架式协议或资格入围无明确金额的合同时，须同时提供本统计表及供货发票复印件，本统计表及供货发票复印件应后附于合同复印件；</w:t>
      </w:r>
    </w:p>
    <w:p w14:paraId="47EF21E0">
      <w:pPr>
        <w:snapToGrid w:val="0"/>
        <w:spacing w:line="360" w:lineRule="auto"/>
        <w:ind w:left="493" w:leftChars="-56" w:hanging="611" w:hangingChars="291"/>
        <w:rPr>
          <w:rFonts w:ascii="宋体" w:hAnsi="宋体" w:eastAsia="宋体" w:cs="宋体"/>
          <w:color w:val="auto"/>
          <w:szCs w:val="21"/>
        </w:rPr>
      </w:pPr>
      <w:r>
        <w:rPr>
          <w:rFonts w:hint="eastAsia" w:ascii="宋体" w:hAnsi="宋体" w:eastAsia="宋体" w:cs="宋体"/>
          <w:color w:val="auto"/>
          <w:szCs w:val="21"/>
        </w:rPr>
        <w:t>（2）</w:t>
      </w:r>
      <w:r>
        <w:rPr>
          <w:rFonts w:hint="eastAsia" w:ascii="宋体" w:hAnsi="宋体" w:eastAsia="宋体" w:cs="宋体"/>
          <w:color w:val="auto"/>
          <w:szCs w:val="21"/>
          <w:lang w:bidi="ar"/>
        </w:rPr>
        <w:t>发票抬头应为合同买方，收款人应为投标人，且发票名目、所属时期应与合同约定内容一致，否则不计分；</w:t>
      </w:r>
    </w:p>
    <w:p w14:paraId="6C950975">
      <w:pPr>
        <w:snapToGrid w:val="0"/>
        <w:spacing w:line="360" w:lineRule="auto"/>
        <w:ind w:left="493" w:leftChars="-56" w:hanging="611" w:hangingChars="291"/>
        <w:rPr>
          <w:rFonts w:ascii="宋体" w:hAnsi="宋体" w:eastAsia="宋体" w:cs="Times New Roman"/>
          <w:color w:val="auto"/>
        </w:rPr>
      </w:pPr>
      <w:r>
        <w:rPr>
          <w:rFonts w:hint="eastAsia" w:ascii="宋体" w:hAnsi="宋体" w:eastAsia="宋体" w:cs="Times New Roman"/>
          <w:color w:val="auto"/>
        </w:rPr>
        <w:t>（</w:t>
      </w:r>
      <w:r>
        <w:rPr>
          <w:rFonts w:ascii="宋体" w:hAnsi="宋体" w:eastAsia="宋体" w:cs="Times New Roman"/>
          <w:color w:val="auto"/>
        </w:rPr>
        <w:t>3）发票合计金额视为投标人所提供该项供货业绩的供货金额，并按此金额进行评审。</w:t>
      </w:r>
    </w:p>
    <w:p w14:paraId="577B74B9">
      <w:pPr>
        <w:snapToGrid w:val="0"/>
        <w:spacing w:line="360" w:lineRule="auto"/>
        <w:ind w:left="493" w:leftChars="-56" w:hanging="611" w:hangingChars="291"/>
        <w:rPr>
          <w:rFonts w:ascii="宋体" w:hAnsi="宋体" w:eastAsia="宋体" w:cs="宋体"/>
          <w:color w:val="auto"/>
          <w:szCs w:val="21"/>
          <w:lang w:val="zh-CN"/>
        </w:rPr>
      </w:pPr>
    </w:p>
    <w:bookmarkEnd w:id="587"/>
    <w:bookmarkEnd w:id="588"/>
    <w:p w14:paraId="181C196C">
      <w:pPr>
        <w:pageBreakBefore/>
        <w:spacing w:before="120" w:after="120" w:line="360" w:lineRule="auto"/>
        <w:jc w:val="left"/>
        <w:rPr>
          <w:rFonts w:ascii="宋体" w:hAnsi="宋体" w:eastAsia="宋体" w:cs="宋体"/>
          <w:b/>
          <w:bCs/>
          <w:color w:val="auto"/>
          <w:kern w:val="0"/>
          <w:sz w:val="32"/>
          <w:szCs w:val="32"/>
          <w:lang w:val="zh-CN"/>
        </w:rPr>
      </w:pPr>
      <w:bookmarkStart w:id="589" w:name="_Toc18175_WPSOffice_Level2"/>
      <w:bookmarkStart w:id="590" w:name="_Toc486167719"/>
      <w:bookmarkStart w:id="591" w:name="_Toc94107220"/>
      <w:bookmarkStart w:id="592" w:name="_Toc142508378"/>
      <w:bookmarkStart w:id="593" w:name="_Toc11745"/>
      <w:bookmarkStart w:id="594" w:name="_Toc140596938"/>
      <w:bookmarkStart w:id="595" w:name="_Toc1977737"/>
      <w:bookmarkStart w:id="596" w:name="_Toc13822"/>
      <w:bookmarkStart w:id="597" w:name="_Toc533708132"/>
      <w:bookmarkStart w:id="598" w:name="_Toc102860427"/>
      <w:bookmarkStart w:id="599" w:name="_Toc102860083"/>
      <w:bookmarkStart w:id="600" w:name="_Toc104991885"/>
      <w:r>
        <w:rPr>
          <w:rFonts w:hint="eastAsia" w:ascii="宋体" w:hAnsi="宋体" w:eastAsia="宋体" w:cs="宋体"/>
          <w:b/>
          <w:bCs/>
          <w:color w:val="auto"/>
          <w:kern w:val="0"/>
          <w:sz w:val="32"/>
          <w:szCs w:val="32"/>
          <w:lang w:val="zh-CN"/>
        </w:rPr>
        <w:t>十、投标保证金汇入情况说明</w:t>
      </w:r>
      <w:bookmarkEnd w:id="589"/>
      <w:bookmarkEnd w:id="590"/>
      <w:bookmarkEnd w:id="591"/>
      <w:bookmarkEnd w:id="592"/>
      <w:bookmarkEnd w:id="593"/>
      <w:bookmarkEnd w:id="594"/>
      <w:bookmarkEnd w:id="595"/>
      <w:bookmarkEnd w:id="596"/>
      <w:bookmarkEnd w:id="597"/>
      <w:bookmarkEnd w:id="598"/>
      <w:bookmarkEnd w:id="599"/>
      <w:bookmarkEnd w:id="600"/>
    </w:p>
    <w:p w14:paraId="6820E751">
      <w:pPr>
        <w:autoSpaceDE w:val="0"/>
        <w:autoSpaceDN w:val="0"/>
        <w:adjustRightInd w:val="0"/>
        <w:spacing w:line="360" w:lineRule="auto"/>
        <w:jc w:val="left"/>
        <w:rPr>
          <w:rFonts w:ascii="宋体" w:hAnsi="宋体" w:eastAsia="宋体" w:cs="宋体"/>
          <w:color w:val="auto"/>
          <w:szCs w:val="24"/>
        </w:rPr>
      </w:pPr>
    </w:p>
    <w:p w14:paraId="245CF273">
      <w:pPr>
        <w:autoSpaceDE w:val="0"/>
        <w:autoSpaceDN w:val="0"/>
        <w:adjustRightInd w:val="0"/>
        <w:spacing w:line="360" w:lineRule="auto"/>
        <w:jc w:val="center"/>
        <w:rPr>
          <w:rFonts w:ascii="宋体" w:hAnsi="宋体" w:eastAsia="宋体" w:cs="宋体"/>
          <w:b/>
          <w:bCs/>
          <w:color w:val="auto"/>
          <w:kern w:val="0"/>
          <w:sz w:val="24"/>
          <w:szCs w:val="24"/>
        </w:rPr>
      </w:pPr>
      <w:bookmarkStart w:id="601" w:name="_Toc31832_WPSOffice_Level3"/>
      <w:r>
        <w:rPr>
          <w:rFonts w:hint="eastAsia" w:ascii="宋体" w:hAnsi="宋体" w:eastAsia="宋体" w:cs="宋体"/>
          <w:b/>
          <w:bCs/>
          <w:color w:val="auto"/>
          <w:kern w:val="0"/>
          <w:sz w:val="24"/>
          <w:szCs w:val="24"/>
        </w:rPr>
        <w:t>投标保证金汇入情况说明</w:t>
      </w:r>
      <w:bookmarkEnd w:id="601"/>
    </w:p>
    <w:p w14:paraId="4000E778">
      <w:pPr>
        <w:autoSpaceDE w:val="0"/>
        <w:autoSpaceDN w:val="0"/>
        <w:adjustRightInd w:val="0"/>
        <w:spacing w:line="360" w:lineRule="auto"/>
        <w:jc w:val="center"/>
        <w:rPr>
          <w:rFonts w:ascii="宋体" w:hAnsi="宋体" w:eastAsia="宋体" w:cs="宋体"/>
          <w:b/>
          <w:bCs/>
          <w:color w:val="auto"/>
          <w:kern w:val="0"/>
          <w:szCs w:val="24"/>
        </w:rPr>
      </w:pPr>
    </w:p>
    <w:p w14:paraId="20E94950">
      <w:pPr>
        <w:spacing w:line="360" w:lineRule="auto"/>
        <w:ind w:firstLine="424" w:firstLineChars="202"/>
        <w:rPr>
          <w:rFonts w:ascii="宋体" w:hAnsi="宋体" w:eastAsia="宋体" w:cs="宋体"/>
          <w:color w:val="auto"/>
          <w:szCs w:val="21"/>
        </w:rPr>
      </w:pPr>
      <w:r>
        <w:rPr>
          <w:rFonts w:hint="eastAsia" w:ascii="宋体" w:hAnsi="宋体" w:eastAsia="宋体" w:cs="宋体"/>
          <w:color w:val="auto"/>
          <w:szCs w:val="21"/>
        </w:rPr>
        <w:t>东莞市水务集团有限公司：</w:t>
      </w:r>
    </w:p>
    <w:p w14:paraId="7B9886BE">
      <w:pPr>
        <w:spacing w:line="360" w:lineRule="auto"/>
        <w:ind w:firstLine="424" w:firstLineChars="202"/>
        <w:rPr>
          <w:rFonts w:ascii="宋体" w:hAnsi="宋体" w:eastAsia="宋体" w:cs="宋体"/>
          <w:color w:val="auto"/>
          <w:szCs w:val="21"/>
        </w:rPr>
      </w:pPr>
      <w:r>
        <w:rPr>
          <w:rFonts w:hint="eastAsia" w:ascii="宋体" w:hAnsi="宋体" w:eastAsia="宋体" w:cs="宋体"/>
          <w:color w:val="auto"/>
          <w:szCs w:val="21"/>
        </w:rPr>
        <w:t>本单位已按</w:t>
      </w:r>
      <w:r>
        <w:rPr>
          <w:rFonts w:hint="eastAsia" w:ascii="宋体" w:hAnsi="宋体" w:eastAsia="宋体" w:cs="宋体"/>
          <w:color w:val="auto"/>
          <w:kern w:val="0"/>
          <w:szCs w:val="21"/>
          <w:u w:val="single"/>
          <w:lang w:eastAsia="zh-CN"/>
        </w:rPr>
        <w:t>东莞市水务集团有限公司2025年安全及劳保物资采购项目</w:t>
      </w:r>
      <w:r>
        <w:rPr>
          <w:rFonts w:hint="eastAsia" w:ascii="宋体" w:hAnsi="宋体" w:eastAsia="宋体" w:cs="宋体"/>
          <w:color w:val="auto"/>
          <w:szCs w:val="21"/>
        </w:rPr>
        <w:t>（招标编号：</w:t>
      </w:r>
      <w:r>
        <w:rPr>
          <w:rFonts w:hint="eastAsia" w:ascii="宋体" w:hAnsi="宋体" w:eastAsia="宋体" w:cs="宋体"/>
          <w:color w:val="auto"/>
          <w:szCs w:val="21"/>
          <w:u w:val="single"/>
        </w:rPr>
        <w:t>DGDS2024-079</w:t>
      </w:r>
      <w:r>
        <w:rPr>
          <w:rFonts w:hint="eastAsia" w:ascii="宋体" w:hAnsi="宋体" w:eastAsia="宋体" w:cs="宋体"/>
          <w:color w:val="auto"/>
          <w:szCs w:val="21"/>
        </w:rPr>
        <w:t>）的招标文件要求，于</w:t>
      </w:r>
      <w:r>
        <w:rPr>
          <w:rFonts w:hint="eastAsia" w:ascii="宋体" w:hAnsi="宋体" w:eastAsia="宋体" w:cs="宋体"/>
          <w:color w:val="auto"/>
          <w:szCs w:val="21"/>
          <w:u w:val="single"/>
        </w:rPr>
        <w:t xml:space="preserve">  </w:t>
      </w:r>
      <w:r>
        <w:rPr>
          <w:rFonts w:ascii="宋体" w:hAnsi="宋体" w:eastAsia="宋体" w:cs="宋体"/>
          <w:color w:val="auto"/>
          <w:szCs w:val="21"/>
          <w:u w:val="single"/>
        </w:rPr>
        <w:t xml:space="preserve"> </w:t>
      </w:r>
      <w:r>
        <w:rPr>
          <w:rFonts w:hint="eastAsia" w:ascii="宋体" w:hAnsi="宋体" w:eastAsia="宋体" w:cs="宋体"/>
          <w:color w:val="auto"/>
          <w:szCs w:val="21"/>
        </w:rPr>
        <w:t>年</w:t>
      </w:r>
      <w:r>
        <w:rPr>
          <w:rFonts w:hint="eastAsia" w:ascii="宋体" w:hAnsi="宋体" w:eastAsia="宋体" w:cs="宋体"/>
          <w:color w:val="auto"/>
          <w:szCs w:val="21"/>
          <w:u w:val="single"/>
        </w:rPr>
        <w:t xml:space="preserve">  </w:t>
      </w:r>
      <w:r>
        <w:rPr>
          <w:rFonts w:ascii="宋体" w:hAnsi="宋体" w:eastAsia="宋体" w:cs="宋体"/>
          <w:color w:val="auto"/>
          <w:szCs w:val="21"/>
          <w:u w:val="single"/>
        </w:rPr>
        <w:t xml:space="preserve"> </w:t>
      </w:r>
      <w:r>
        <w:rPr>
          <w:rFonts w:hint="eastAsia" w:ascii="宋体" w:hAnsi="宋体" w:eastAsia="宋体" w:cs="宋体"/>
          <w:color w:val="auto"/>
          <w:szCs w:val="21"/>
        </w:rPr>
        <w:t>月</w:t>
      </w:r>
      <w:r>
        <w:rPr>
          <w:rFonts w:hint="eastAsia" w:ascii="宋体" w:hAnsi="宋体" w:eastAsia="宋体" w:cs="宋体"/>
          <w:color w:val="auto"/>
          <w:szCs w:val="21"/>
          <w:u w:val="single"/>
        </w:rPr>
        <w:t xml:space="preserve">  </w:t>
      </w:r>
      <w:r>
        <w:rPr>
          <w:rFonts w:ascii="宋体" w:hAnsi="宋体" w:eastAsia="宋体" w:cs="宋体"/>
          <w:color w:val="auto"/>
          <w:szCs w:val="21"/>
          <w:u w:val="single"/>
        </w:rPr>
        <w:t xml:space="preserve"> </w:t>
      </w:r>
      <w:r>
        <w:rPr>
          <w:rFonts w:hint="eastAsia" w:ascii="宋体" w:hAnsi="宋体" w:eastAsia="宋体" w:cs="宋体"/>
          <w:color w:val="auto"/>
          <w:szCs w:val="21"/>
        </w:rPr>
        <w:t>日前以</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付款形式）方式汇入指定账户（账户名称：</w:t>
      </w:r>
      <w:r>
        <w:rPr>
          <w:rFonts w:hint="eastAsia" w:ascii="宋体" w:hAnsi="宋体" w:eastAsia="宋体" w:cs="宋体"/>
          <w:b/>
          <w:color w:val="auto"/>
          <w:szCs w:val="21"/>
          <w:u w:val="single"/>
        </w:rPr>
        <w:t xml:space="preserve">                    </w:t>
      </w:r>
      <w:r>
        <w:rPr>
          <w:rFonts w:hint="eastAsia" w:ascii="宋体" w:hAnsi="宋体" w:eastAsia="宋体" w:cs="宋体"/>
          <w:color w:val="auto"/>
          <w:szCs w:val="21"/>
        </w:rPr>
        <w:t>，账号：</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开户银行：</w:t>
      </w:r>
      <w:r>
        <w:rPr>
          <w:rFonts w:hint="eastAsia" w:ascii="宋体" w:hAnsi="宋体" w:eastAsia="宋体" w:cs="宋体"/>
          <w:color w:val="auto"/>
          <w:szCs w:val="21"/>
          <w:u w:val="single"/>
          <w:lang w:val="zh-CN"/>
        </w:rPr>
        <w:t xml:space="preserve"> </w:t>
      </w:r>
      <w:r>
        <w:rPr>
          <w:rFonts w:ascii="宋体" w:hAnsi="宋体" w:eastAsia="宋体" w:cs="宋体"/>
          <w:color w:val="auto"/>
          <w:szCs w:val="21"/>
          <w:u w:val="single"/>
          <w:lang w:val="zh-CN"/>
        </w:rPr>
        <w:t xml:space="preserve">           </w:t>
      </w:r>
      <w:r>
        <w:rPr>
          <w:rFonts w:hint="eastAsia" w:ascii="宋体" w:hAnsi="宋体" w:eastAsia="宋体" w:cs="宋体"/>
          <w:color w:val="auto"/>
          <w:szCs w:val="21"/>
        </w:rPr>
        <w:t>）。</w:t>
      </w:r>
    </w:p>
    <w:p w14:paraId="08AEEF16">
      <w:pPr>
        <w:spacing w:line="360" w:lineRule="auto"/>
        <w:ind w:firstLine="424" w:firstLineChars="202"/>
        <w:rPr>
          <w:rFonts w:ascii="宋体" w:hAnsi="宋体" w:eastAsia="宋体" w:cs="宋体"/>
          <w:color w:val="auto"/>
          <w:szCs w:val="21"/>
        </w:rPr>
      </w:pPr>
      <w:r>
        <w:rPr>
          <w:rFonts w:hint="eastAsia" w:ascii="宋体" w:hAnsi="宋体" w:eastAsia="宋体" w:cs="宋体"/>
          <w:color w:val="auto"/>
          <w:szCs w:val="21"/>
        </w:rPr>
        <w:t>本单位投标保证金的汇款情况：（详见附件－投标保证金进账单）</w:t>
      </w:r>
    </w:p>
    <w:p w14:paraId="46787A0F">
      <w:pPr>
        <w:spacing w:line="360" w:lineRule="auto"/>
        <w:ind w:firstLine="424" w:firstLineChars="202"/>
        <w:rPr>
          <w:rFonts w:ascii="宋体" w:hAnsi="宋体" w:eastAsia="宋体" w:cs="宋体"/>
          <w:color w:val="auto"/>
          <w:szCs w:val="21"/>
        </w:rPr>
      </w:pPr>
      <w:r>
        <w:rPr>
          <w:rFonts w:hint="eastAsia" w:ascii="宋体" w:hAnsi="宋体" w:eastAsia="宋体" w:cs="宋体"/>
          <w:color w:val="auto"/>
          <w:szCs w:val="21"/>
        </w:rPr>
        <w:t>汇出时间：</w:t>
      </w:r>
      <w:r>
        <w:rPr>
          <w:rFonts w:hint="eastAsia" w:ascii="宋体" w:hAnsi="宋体" w:eastAsia="宋体" w:cs="宋体"/>
          <w:color w:val="auto"/>
          <w:szCs w:val="21"/>
          <w:u w:val="single"/>
        </w:rPr>
        <w:t xml:space="preserve">    年   月    日</w:t>
      </w:r>
    </w:p>
    <w:p w14:paraId="36EDD614">
      <w:pPr>
        <w:spacing w:line="360" w:lineRule="auto"/>
        <w:ind w:firstLine="424" w:firstLineChars="202"/>
        <w:rPr>
          <w:rFonts w:ascii="宋体" w:hAnsi="宋体" w:eastAsia="宋体" w:cs="宋体"/>
          <w:color w:val="auto"/>
          <w:szCs w:val="21"/>
          <w:u w:val="single"/>
        </w:rPr>
      </w:pPr>
      <w:r>
        <w:rPr>
          <w:rFonts w:hint="eastAsia" w:ascii="宋体" w:hAnsi="宋体" w:eastAsia="宋体" w:cs="宋体"/>
          <w:color w:val="auto"/>
          <w:szCs w:val="21"/>
        </w:rPr>
        <w:t>汇款金额：</w:t>
      </w:r>
      <w:r>
        <w:rPr>
          <w:rFonts w:hint="eastAsia" w:ascii="宋体" w:hAnsi="宋体" w:eastAsia="宋体" w:cs="宋体"/>
          <w:color w:val="auto"/>
          <w:szCs w:val="21"/>
          <w:u w:val="single"/>
        </w:rPr>
        <w:t>（大写）人民币      元（小写：¥      元）</w:t>
      </w:r>
    </w:p>
    <w:p w14:paraId="4E95305A">
      <w:pPr>
        <w:spacing w:line="360" w:lineRule="auto"/>
        <w:ind w:firstLine="424" w:firstLineChars="202"/>
        <w:rPr>
          <w:rFonts w:ascii="宋体" w:hAnsi="宋体" w:eastAsia="宋体" w:cs="宋体"/>
          <w:color w:val="auto"/>
          <w:szCs w:val="21"/>
        </w:rPr>
      </w:pPr>
      <w:r>
        <w:rPr>
          <w:rFonts w:hint="eastAsia" w:ascii="宋体" w:hAnsi="宋体" w:eastAsia="宋体" w:cs="宋体"/>
          <w:color w:val="auto"/>
          <w:szCs w:val="21"/>
        </w:rPr>
        <w:t>汇款账户名称：</w:t>
      </w:r>
      <w:r>
        <w:rPr>
          <w:rFonts w:hint="eastAsia" w:ascii="宋体" w:hAnsi="宋体" w:eastAsia="宋体" w:cs="宋体"/>
          <w:color w:val="auto"/>
          <w:szCs w:val="21"/>
          <w:u w:val="single"/>
        </w:rPr>
        <w:t>（必须是投标时使用的账户名）</w:t>
      </w:r>
    </w:p>
    <w:p w14:paraId="51FDECCA">
      <w:pPr>
        <w:spacing w:line="360" w:lineRule="auto"/>
        <w:ind w:firstLine="424" w:firstLineChars="202"/>
        <w:rPr>
          <w:rFonts w:ascii="宋体" w:hAnsi="宋体" w:eastAsia="宋体" w:cs="宋体"/>
          <w:color w:val="auto"/>
          <w:szCs w:val="21"/>
        </w:rPr>
      </w:pPr>
      <w:r>
        <w:rPr>
          <w:rFonts w:hint="eastAsia" w:ascii="宋体" w:hAnsi="宋体" w:eastAsia="宋体" w:cs="宋体"/>
          <w:color w:val="auto"/>
          <w:szCs w:val="21"/>
        </w:rPr>
        <w:t>账号：</w:t>
      </w:r>
      <w:r>
        <w:rPr>
          <w:rFonts w:hint="eastAsia" w:ascii="宋体" w:hAnsi="宋体" w:eastAsia="宋体" w:cs="宋体"/>
          <w:color w:val="auto"/>
          <w:szCs w:val="21"/>
          <w:u w:val="single"/>
        </w:rPr>
        <w:t>（必须是投标时使用的账号）</w:t>
      </w:r>
    </w:p>
    <w:p w14:paraId="315FE63C">
      <w:pPr>
        <w:spacing w:line="360" w:lineRule="auto"/>
        <w:ind w:firstLine="424" w:firstLineChars="202"/>
        <w:rPr>
          <w:rFonts w:ascii="宋体" w:hAnsi="宋体" w:eastAsia="宋体" w:cs="宋体"/>
          <w:color w:val="auto"/>
          <w:szCs w:val="21"/>
        </w:rPr>
      </w:pPr>
      <w:r>
        <w:rPr>
          <w:rFonts w:hint="eastAsia" w:ascii="宋体" w:hAnsi="宋体" w:eastAsia="宋体" w:cs="宋体"/>
          <w:color w:val="auto"/>
          <w:szCs w:val="21"/>
        </w:rPr>
        <w:t>开户银行：</w:t>
      </w:r>
      <w:r>
        <w:rPr>
          <w:rFonts w:hint="eastAsia" w:ascii="宋体" w:hAnsi="宋体" w:eastAsia="宋体" w:cs="宋体"/>
          <w:color w:val="auto"/>
          <w:szCs w:val="21"/>
          <w:u w:val="single"/>
        </w:rPr>
        <w:t xml:space="preserve">    </w:t>
      </w:r>
      <w:r>
        <w:rPr>
          <w:rFonts w:ascii="宋体" w:hAnsi="宋体" w:eastAsia="宋体" w:cs="宋体"/>
          <w:color w:val="auto"/>
          <w:szCs w:val="21"/>
          <w:u w:val="single"/>
        </w:rPr>
        <w:t xml:space="preserve">    </w:t>
      </w:r>
      <w:r>
        <w:rPr>
          <w:rFonts w:hint="eastAsia" w:ascii="宋体" w:hAnsi="宋体" w:eastAsia="宋体" w:cs="宋体"/>
          <w:color w:val="auto"/>
          <w:szCs w:val="21"/>
          <w:u w:val="single"/>
        </w:rPr>
        <w:t xml:space="preserve">省    </w:t>
      </w:r>
      <w:r>
        <w:rPr>
          <w:rFonts w:ascii="宋体" w:hAnsi="宋体" w:eastAsia="宋体" w:cs="宋体"/>
          <w:color w:val="auto"/>
          <w:szCs w:val="21"/>
          <w:u w:val="single"/>
        </w:rPr>
        <w:t xml:space="preserve">     </w:t>
      </w:r>
      <w:r>
        <w:rPr>
          <w:rFonts w:hint="eastAsia" w:ascii="宋体" w:hAnsi="宋体" w:eastAsia="宋体" w:cs="宋体"/>
          <w:color w:val="auto"/>
          <w:szCs w:val="21"/>
          <w:u w:val="single"/>
        </w:rPr>
        <w:t xml:space="preserve">市         </w:t>
      </w:r>
    </w:p>
    <w:p w14:paraId="14E4AF16">
      <w:pPr>
        <w:spacing w:line="360" w:lineRule="auto"/>
        <w:ind w:firstLine="424" w:firstLineChars="202"/>
        <w:rPr>
          <w:rFonts w:ascii="宋体" w:hAnsi="宋体" w:eastAsia="宋体" w:cs="宋体"/>
          <w:color w:val="auto"/>
          <w:szCs w:val="21"/>
        </w:rPr>
      </w:pPr>
      <w:r>
        <w:rPr>
          <w:rFonts w:hint="eastAsia" w:ascii="宋体" w:hAnsi="宋体" w:eastAsia="宋体" w:cs="宋体"/>
          <w:color w:val="auto"/>
          <w:szCs w:val="21"/>
        </w:rPr>
        <w:t>本单位谨承诺上述资料是正确、真实的，如因上述证明与事实不符导致的一切损失，本单位保证承担赔偿等一切法律责任。</w:t>
      </w:r>
    </w:p>
    <w:p w14:paraId="302CC812">
      <w:pPr>
        <w:spacing w:line="360" w:lineRule="auto"/>
        <w:ind w:firstLine="424" w:firstLineChars="202"/>
        <w:rPr>
          <w:rFonts w:ascii="宋体" w:hAnsi="宋体" w:eastAsia="宋体" w:cs="宋体"/>
          <w:color w:val="auto"/>
          <w:szCs w:val="21"/>
        </w:rPr>
      </w:pPr>
      <w:r>
        <w:rPr>
          <w:rFonts w:hint="eastAsia" w:ascii="宋体" w:hAnsi="宋体" w:eastAsia="宋体" w:cs="宋体"/>
          <w:color w:val="auto"/>
          <w:szCs w:val="21"/>
        </w:rPr>
        <w:t>投标保证金退回时，请按上述资料退回。</w:t>
      </w:r>
    </w:p>
    <w:p w14:paraId="0572D6D6">
      <w:pPr>
        <w:spacing w:line="360" w:lineRule="auto"/>
        <w:ind w:right="844" w:rightChars="402" w:firstLine="424" w:firstLineChars="202"/>
        <w:jc w:val="right"/>
        <w:rPr>
          <w:rFonts w:ascii="宋体" w:hAnsi="宋体" w:eastAsia="宋体" w:cs="宋体"/>
          <w:color w:val="auto"/>
          <w:szCs w:val="24"/>
        </w:rPr>
      </w:pPr>
      <w:r>
        <w:rPr>
          <w:rFonts w:hint="eastAsia" w:ascii="宋体" w:hAnsi="宋体" w:eastAsia="宋体" w:cs="宋体"/>
          <w:color w:val="auto"/>
          <w:szCs w:val="24"/>
        </w:rPr>
        <w:t>（</w:t>
      </w:r>
      <w:r>
        <w:rPr>
          <w:rFonts w:hint="eastAsia" w:ascii="宋体" w:hAnsi="宋体" w:eastAsia="宋体" w:cs="宋体"/>
          <w:bCs/>
          <w:color w:val="auto"/>
          <w:szCs w:val="24"/>
        </w:rPr>
        <w:t>投标人法人公章</w:t>
      </w:r>
      <w:r>
        <w:rPr>
          <w:rFonts w:hint="eastAsia" w:ascii="宋体" w:hAnsi="宋体" w:eastAsia="宋体" w:cs="宋体"/>
          <w:color w:val="auto"/>
          <w:szCs w:val="24"/>
        </w:rPr>
        <w:t>）</w:t>
      </w:r>
    </w:p>
    <w:p w14:paraId="57CA1E2E">
      <w:pPr>
        <w:spacing w:line="360" w:lineRule="auto"/>
        <w:ind w:right="628" w:rightChars="299" w:firstLine="7774" w:firstLineChars="3702"/>
        <w:jc w:val="left"/>
        <w:rPr>
          <w:rFonts w:ascii="宋体" w:hAnsi="宋体" w:eastAsia="宋体" w:cs="宋体"/>
          <w:color w:val="auto"/>
          <w:szCs w:val="24"/>
        </w:rPr>
      </w:pPr>
      <w:r>
        <w:rPr>
          <w:rFonts w:hint="eastAsia" w:ascii="宋体" w:hAnsi="宋体" w:eastAsia="宋体" w:cs="宋体"/>
          <w:color w:val="auto"/>
          <w:szCs w:val="24"/>
        </w:rPr>
        <w:t>年   月   日</w:t>
      </w:r>
    </w:p>
    <w:p w14:paraId="3C6048D2">
      <w:pPr>
        <w:spacing w:line="360" w:lineRule="auto"/>
        <w:ind w:firstLine="424" w:firstLineChars="202"/>
        <w:rPr>
          <w:rFonts w:ascii="宋体" w:hAnsi="宋体" w:eastAsia="宋体" w:cs="宋体"/>
          <w:color w:val="auto"/>
          <w:szCs w:val="24"/>
        </w:rPr>
      </w:pPr>
      <w:r>
        <w:rPr>
          <w:rFonts w:hint="eastAsia" w:ascii="宋体" w:hAnsi="宋体" w:eastAsia="宋体" w:cs="宋体"/>
          <w:color w:val="auto"/>
          <w:szCs w:val="24"/>
        </w:rPr>
        <w:t>单位名称：</w:t>
      </w:r>
    </w:p>
    <w:p w14:paraId="4CB9E96E">
      <w:pPr>
        <w:spacing w:line="360" w:lineRule="auto"/>
        <w:ind w:firstLine="424" w:firstLineChars="202"/>
        <w:rPr>
          <w:rFonts w:ascii="宋体" w:hAnsi="宋体" w:eastAsia="宋体" w:cs="宋体"/>
          <w:color w:val="auto"/>
          <w:szCs w:val="24"/>
        </w:rPr>
      </w:pPr>
      <w:r>
        <w:rPr>
          <w:rFonts w:hint="eastAsia" w:ascii="宋体" w:hAnsi="宋体" w:eastAsia="宋体" w:cs="宋体"/>
          <w:color w:val="auto"/>
          <w:szCs w:val="24"/>
        </w:rPr>
        <w:t>单位地址：</w:t>
      </w:r>
    </w:p>
    <w:p w14:paraId="7BD50538">
      <w:pPr>
        <w:spacing w:line="360" w:lineRule="auto"/>
        <w:ind w:firstLine="424" w:firstLineChars="202"/>
        <w:rPr>
          <w:rFonts w:ascii="宋体" w:hAnsi="宋体" w:eastAsia="宋体" w:cs="宋体"/>
          <w:color w:val="auto"/>
          <w:szCs w:val="24"/>
        </w:rPr>
      </w:pPr>
      <w:r>
        <w:rPr>
          <w:rFonts w:hint="eastAsia" w:ascii="宋体" w:hAnsi="宋体" w:eastAsia="宋体" w:cs="宋体"/>
          <w:color w:val="auto"/>
          <w:szCs w:val="24"/>
        </w:rPr>
        <w:t>联系人：</w:t>
      </w:r>
    </w:p>
    <w:p w14:paraId="6861C14D">
      <w:pPr>
        <w:spacing w:line="360" w:lineRule="auto"/>
        <w:ind w:firstLine="424" w:firstLineChars="202"/>
        <w:rPr>
          <w:rFonts w:ascii="宋体" w:hAnsi="宋体" w:eastAsia="宋体" w:cs="宋体"/>
          <w:color w:val="auto"/>
          <w:szCs w:val="24"/>
        </w:rPr>
      </w:pPr>
      <w:r>
        <w:rPr>
          <w:rFonts w:hint="eastAsia" w:ascii="宋体" w:hAnsi="宋体" w:eastAsia="宋体" w:cs="宋体"/>
          <w:color w:val="auto"/>
          <w:szCs w:val="24"/>
        </w:rPr>
        <w:t xml:space="preserve">单位电话：                    </w:t>
      </w:r>
    </w:p>
    <w:p w14:paraId="1F8DCD03">
      <w:pPr>
        <w:spacing w:line="360" w:lineRule="auto"/>
        <w:ind w:firstLine="424" w:firstLineChars="202"/>
        <w:rPr>
          <w:rFonts w:ascii="宋体" w:hAnsi="宋体" w:eastAsia="宋体" w:cs="宋体"/>
          <w:color w:val="auto"/>
          <w:szCs w:val="24"/>
        </w:rPr>
      </w:pPr>
      <w:r>
        <w:rPr>
          <w:rFonts w:hint="eastAsia" w:ascii="宋体" w:hAnsi="宋体" w:eastAsia="宋体" w:cs="宋体"/>
          <w:color w:val="auto"/>
          <w:szCs w:val="24"/>
        </w:rPr>
        <w:t>联系人手机：</w:t>
      </w:r>
    </w:p>
    <w:p w14:paraId="3ACFEB38">
      <w:pPr>
        <w:spacing w:line="360" w:lineRule="auto"/>
        <w:ind w:left="340" w:leftChars="162" w:firstLine="425"/>
        <w:rPr>
          <w:rFonts w:ascii="宋体" w:hAnsi="宋体" w:eastAsia="宋体" w:cs="宋体"/>
          <w:b/>
          <w:bCs/>
          <w:color w:val="auto"/>
          <w:szCs w:val="21"/>
        </w:rPr>
      </w:pPr>
      <w:bookmarkStart w:id="602" w:name="_Toc26208_WPSOffice_Level3"/>
      <w:r>
        <w:rPr>
          <w:rFonts w:hint="eastAsia" w:ascii="宋体" w:hAnsi="宋体" w:eastAsia="宋体" w:cs="宋体"/>
          <w:b/>
          <w:bCs/>
          <w:color w:val="auto"/>
          <w:szCs w:val="21"/>
        </w:rPr>
        <w:t>附：1、我方投标保证金汇款凭证（复印件）</w:t>
      </w:r>
      <w:bookmarkEnd w:id="602"/>
    </w:p>
    <w:p w14:paraId="7A2A93B2">
      <w:pPr>
        <w:spacing w:line="360" w:lineRule="auto"/>
        <w:ind w:left="340" w:leftChars="162" w:firstLine="839" w:firstLineChars="398"/>
        <w:rPr>
          <w:rFonts w:ascii="宋体" w:hAnsi="宋体" w:eastAsia="宋体" w:cs="宋体"/>
          <w:b/>
          <w:bCs/>
          <w:color w:val="auto"/>
          <w:szCs w:val="21"/>
        </w:rPr>
      </w:pPr>
      <w:bookmarkStart w:id="603" w:name="_Toc12992_WPSOffice_Level3"/>
      <w:r>
        <w:rPr>
          <w:rFonts w:hint="eastAsia" w:ascii="宋体" w:hAnsi="宋体" w:eastAsia="宋体" w:cs="宋体"/>
          <w:b/>
          <w:bCs/>
          <w:color w:val="auto"/>
          <w:szCs w:val="21"/>
        </w:rPr>
        <w:t>2、我方基本账户开户许可证（复印件）</w:t>
      </w:r>
      <w:bookmarkEnd w:id="603"/>
    </w:p>
    <w:p w14:paraId="6540E320">
      <w:pPr>
        <w:spacing w:line="360" w:lineRule="auto"/>
        <w:ind w:left="340" w:leftChars="162" w:firstLine="736" w:firstLineChars="349"/>
        <w:rPr>
          <w:rFonts w:ascii="宋体" w:hAnsi="宋体" w:eastAsia="宋体" w:cs="宋体"/>
          <w:b/>
          <w:bCs/>
          <w:color w:val="auto"/>
          <w:szCs w:val="21"/>
          <w:lang w:val="zh-CN"/>
        </w:rPr>
      </w:pPr>
      <w:r>
        <w:rPr>
          <w:rFonts w:hint="eastAsia" w:ascii="宋体" w:hAnsi="宋体" w:eastAsia="宋体" w:cs="宋体"/>
          <w:b/>
          <w:bCs/>
          <w:color w:val="auto"/>
          <w:szCs w:val="21"/>
          <w:lang w:val="zh-CN"/>
        </w:rPr>
        <w:t>注：本情况说明手写无效。</w:t>
      </w:r>
    </w:p>
    <w:p w14:paraId="21E620FA">
      <w:pPr>
        <w:autoSpaceDE w:val="0"/>
        <w:autoSpaceDN w:val="0"/>
        <w:adjustRightInd w:val="0"/>
        <w:spacing w:line="360" w:lineRule="auto"/>
        <w:ind w:firstLine="5145" w:firstLineChars="2450"/>
        <w:rPr>
          <w:rFonts w:ascii="宋体" w:hAnsi="宋体" w:eastAsia="宋体" w:cs="宋体"/>
          <w:color w:val="auto"/>
          <w:szCs w:val="24"/>
          <w:lang w:val="zh-CN"/>
        </w:rPr>
      </w:pPr>
    </w:p>
    <w:p w14:paraId="64D8C183">
      <w:pPr>
        <w:spacing w:line="360" w:lineRule="auto"/>
        <w:ind w:firstLine="424" w:firstLineChars="202"/>
        <w:rPr>
          <w:rFonts w:ascii="宋体" w:hAnsi="宋体" w:eastAsia="宋体" w:cs="宋体"/>
          <w:color w:val="auto"/>
          <w:szCs w:val="24"/>
        </w:rPr>
      </w:pPr>
      <w:bookmarkStart w:id="604" w:name="_Toc486167721"/>
    </w:p>
    <w:p w14:paraId="12858A91">
      <w:pPr>
        <w:widowControl/>
        <w:rPr>
          <w:rFonts w:ascii="宋体" w:hAnsi="宋体" w:eastAsia="宋体" w:cs="Times New Roman"/>
          <w:color w:val="auto"/>
          <w:lang w:val="zh-CN"/>
        </w:rPr>
      </w:pPr>
      <w:bookmarkStart w:id="605" w:name="_Toc533708134"/>
    </w:p>
    <w:p w14:paraId="3130890B">
      <w:pPr>
        <w:spacing w:line="360" w:lineRule="auto"/>
        <w:ind w:firstLine="424" w:firstLineChars="202"/>
        <w:rPr>
          <w:rFonts w:ascii="宋体" w:hAnsi="宋体" w:eastAsia="宋体" w:cs="宋体"/>
          <w:color w:val="auto"/>
          <w:szCs w:val="24"/>
        </w:rPr>
      </w:pPr>
    </w:p>
    <w:p w14:paraId="7A657A15">
      <w:pPr>
        <w:widowControl/>
        <w:jc w:val="left"/>
        <w:rPr>
          <w:rFonts w:ascii="宋体" w:hAnsi="宋体" w:eastAsia="宋体" w:cs="宋体"/>
          <w:b/>
          <w:color w:val="auto"/>
          <w:kern w:val="0"/>
          <w:szCs w:val="21"/>
        </w:rPr>
      </w:pPr>
      <w:r>
        <w:rPr>
          <w:rFonts w:ascii="宋体" w:hAnsi="宋体" w:eastAsia="宋体" w:cs="宋体"/>
          <w:b/>
          <w:color w:val="auto"/>
          <w:kern w:val="0"/>
          <w:szCs w:val="21"/>
        </w:rPr>
        <w:br w:type="page"/>
      </w:r>
    </w:p>
    <w:p w14:paraId="2CF3E0E3">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rPr>
        <w:sectPr>
          <w:pgSz w:w="12240" w:h="15840"/>
          <w:pgMar w:top="1191" w:right="1043" w:bottom="1191" w:left="1043" w:header="720" w:footer="720" w:gutter="0"/>
          <w:cols w:space="720" w:num="1"/>
          <w:titlePg/>
          <w:docGrid w:linePitch="326" w:charSpace="0"/>
        </w:sectPr>
      </w:pPr>
      <w:bookmarkStart w:id="606" w:name="_Toc102860084"/>
      <w:bookmarkStart w:id="607" w:name="_Toc16292"/>
      <w:bookmarkStart w:id="608" w:name="_Toc140596939"/>
      <w:bookmarkStart w:id="609" w:name="_Toc142508379"/>
      <w:bookmarkStart w:id="610" w:name="_Toc94107221"/>
      <w:bookmarkStart w:id="611" w:name="_Toc104991886"/>
      <w:bookmarkStart w:id="612" w:name="_Toc1977738"/>
      <w:bookmarkStart w:id="613" w:name="_Toc102860428"/>
      <w:bookmarkStart w:id="614" w:name="_Toc18032"/>
      <w:bookmarkStart w:id="615" w:name="_Toc15040"/>
      <w:r>
        <w:rPr>
          <w:rFonts w:hint="eastAsia" w:ascii="宋体" w:hAnsi="宋体" w:eastAsia="宋体" w:cs="宋体"/>
          <w:b/>
          <w:bCs/>
          <w:color w:val="auto"/>
          <w:kern w:val="0"/>
          <w:sz w:val="32"/>
          <w:szCs w:val="32"/>
          <w:lang w:val="zh-CN"/>
        </w:rPr>
        <w:t>十一、投标人资格证明文件以外的其他资质证书、知识产权证书及获得的相关获奖、认证证书、社会评价资料证明文件复印件等投标人认为有需要证明其具备为本次招标项目提供货物</w:t>
      </w:r>
      <w:r>
        <w:rPr>
          <w:rFonts w:hint="eastAsia" w:ascii="宋体" w:hAnsi="宋体" w:eastAsia="宋体" w:cs="宋体"/>
          <w:b/>
          <w:bCs/>
          <w:color w:val="auto"/>
          <w:kern w:val="0"/>
          <w:sz w:val="32"/>
          <w:szCs w:val="32"/>
        </w:rPr>
        <w:t>及有关</w:t>
      </w:r>
      <w:r>
        <w:rPr>
          <w:rFonts w:hint="eastAsia" w:ascii="宋体" w:hAnsi="宋体" w:eastAsia="宋体" w:cs="宋体"/>
          <w:b/>
          <w:bCs/>
          <w:color w:val="auto"/>
          <w:kern w:val="0"/>
          <w:sz w:val="32"/>
          <w:szCs w:val="32"/>
          <w:lang w:val="zh-CN"/>
        </w:rPr>
        <w:t>服务能力的有关其它商务文件（不做强制要求）</w:t>
      </w:r>
      <w:bookmarkEnd w:id="606"/>
      <w:bookmarkEnd w:id="607"/>
      <w:bookmarkEnd w:id="608"/>
      <w:bookmarkEnd w:id="609"/>
      <w:bookmarkEnd w:id="610"/>
      <w:bookmarkEnd w:id="611"/>
      <w:bookmarkEnd w:id="612"/>
      <w:bookmarkEnd w:id="613"/>
      <w:bookmarkEnd w:id="614"/>
      <w:bookmarkEnd w:id="615"/>
    </w:p>
    <w:p w14:paraId="4FC60001">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rPr>
      </w:pPr>
      <w:bookmarkStart w:id="616" w:name="_Toc15051"/>
      <w:bookmarkStart w:id="617" w:name="_Toc140596940"/>
      <w:bookmarkStart w:id="618" w:name="_Toc102860429"/>
      <w:bookmarkStart w:id="619" w:name="_Toc14341"/>
      <w:bookmarkStart w:id="620" w:name="_Toc102860085"/>
      <w:bookmarkStart w:id="621" w:name="_Toc1977739"/>
      <w:bookmarkStart w:id="622" w:name="_Toc142508380"/>
      <w:bookmarkStart w:id="623" w:name="_Toc104991887"/>
      <w:bookmarkStart w:id="624" w:name="_Toc94107222"/>
      <w:bookmarkStart w:id="625" w:name="_Toc9541"/>
      <w:r>
        <w:rPr>
          <w:rFonts w:hint="eastAsia" w:ascii="宋体" w:hAnsi="宋体" w:eastAsia="宋体" w:cs="宋体"/>
          <w:b/>
          <w:color w:val="auto"/>
          <w:kern w:val="0"/>
          <w:sz w:val="32"/>
          <w:szCs w:val="32"/>
        </w:rPr>
        <w:t>十二、技术响应文件格式</w:t>
      </w:r>
      <w:bookmarkEnd w:id="605"/>
      <w:bookmarkEnd w:id="616"/>
      <w:bookmarkEnd w:id="617"/>
      <w:bookmarkEnd w:id="618"/>
      <w:bookmarkEnd w:id="619"/>
      <w:bookmarkEnd w:id="620"/>
      <w:bookmarkEnd w:id="621"/>
      <w:bookmarkEnd w:id="622"/>
      <w:bookmarkEnd w:id="623"/>
      <w:bookmarkEnd w:id="624"/>
      <w:bookmarkEnd w:id="625"/>
    </w:p>
    <w:p w14:paraId="221D286A">
      <w:pPr>
        <w:tabs>
          <w:tab w:val="left" w:pos="8640"/>
        </w:tabs>
        <w:spacing w:line="360" w:lineRule="auto"/>
        <w:ind w:firstLine="420" w:firstLineChars="200"/>
        <w:rPr>
          <w:rFonts w:ascii="宋体" w:hAnsi="宋体" w:eastAsia="宋体" w:cs="宋体"/>
          <w:color w:val="auto"/>
          <w:kern w:val="0"/>
          <w:szCs w:val="21"/>
        </w:rPr>
      </w:pPr>
      <w:r>
        <w:rPr>
          <w:rFonts w:hint="eastAsia" w:ascii="宋体" w:hAnsi="宋体" w:eastAsia="宋体" w:cs="宋体"/>
          <w:color w:val="auto"/>
          <w:kern w:val="0"/>
          <w:szCs w:val="21"/>
        </w:rPr>
        <w:t>投标人应按照招标文件投标人须知关于投标文件组成部分的要求编制技术文件，主要包括但不限于以下内容：</w:t>
      </w:r>
      <w:r>
        <w:rPr>
          <w:rFonts w:hint="eastAsia" w:ascii="宋体" w:hAnsi="宋体" w:eastAsia="宋体" w:cs="宋体"/>
          <w:b/>
          <w:color w:val="auto"/>
          <w:kern w:val="0"/>
          <w:szCs w:val="24"/>
        </w:rPr>
        <w:t xml:space="preserve"> </w:t>
      </w:r>
    </w:p>
    <w:p w14:paraId="610E7167">
      <w:pPr>
        <w:spacing w:line="360" w:lineRule="auto"/>
        <w:ind w:left="443" w:leftChars="77" w:hanging="281" w:hangingChars="134"/>
        <w:rPr>
          <w:rFonts w:ascii="宋体" w:hAnsi="宋体" w:eastAsia="宋体" w:cs="宋体"/>
          <w:color w:val="auto"/>
          <w:kern w:val="0"/>
          <w:szCs w:val="21"/>
        </w:rPr>
      </w:pPr>
      <w:r>
        <w:rPr>
          <w:rFonts w:hint="eastAsia" w:ascii="宋体" w:hAnsi="宋体" w:eastAsia="宋体" w:cs="宋体"/>
          <w:color w:val="auto"/>
          <w:kern w:val="0"/>
          <w:szCs w:val="21"/>
        </w:rPr>
        <w:t>1、用户需求响应程度（即12.</w:t>
      </w:r>
      <w:r>
        <w:rPr>
          <w:rFonts w:ascii="宋体" w:hAnsi="宋体" w:eastAsia="宋体" w:cs="宋体"/>
          <w:color w:val="auto"/>
          <w:kern w:val="0"/>
          <w:szCs w:val="21"/>
        </w:rPr>
        <w:t>1</w:t>
      </w:r>
      <w:r>
        <w:rPr>
          <w:rFonts w:hint="eastAsia" w:ascii="宋体" w:hAnsi="宋体" w:eastAsia="宋体" w:cs="宋体"/>
          <w:color w:val="auto"/>
          <w:kern w:val="0"/>
          <w:szCs w:val="21"/>
        </w:rPr>
        <w:t>用户需求偏离表格式）；</w:t>
      </w:r>
    </w:p>
    <w:p w14:paraId="2A96CF12">
      <w:pPr>
        <w:spacing w:line="360" w:lineRule="auto"/>
        <w:ind w:left="443" w:leftChars="77" w:hanging="281" w:hangingChars="134"/>
        <w:rPr>
          <w:rFonts w:ascii="宋体" w:hAnsi="宋体" w:eastAsia="宋体" w:cs="宋体"/>
          <w:color w:val="auto"/>
          <w:kern w:val="0"/>
          <w:szCs w:val="21"/>
          <w:lang w:bidi="ar"/>
        </w:rPr>
      </w:pPr>
      <w:r>
        <w:rPr>
          <w:rFonts w:hint="eastAsia" w:ascii="宋体" w:hAnsi="宋体" w:eastAsia="宋体" w:cs="宋体"/>
          <w:color w:val="auto"/>
          <w:kern w:val="0"/>
          <w:szCs w:val="21"/>
          <w:lang w:bidi="ar"/>
        </w:rPr>
        <w:t>2、投标品牌表；</w:t>
      </w:r>
    </w:p>
    <w:p w14:paraId="52854710">
      <w:pPr>
        <w:spacing w:line="360" w:lineRule="auto"/>
        <w:ind w:left="443" w:leftChars="77" w:hanging="281" w:hangingChars="134"/>
        <w:rPr>
          <w:rFonts w:ascii="宋体" w:hAnsi="宋体" w:eastAsia="宋体" w:cs="宋体"/>
          <w:color w:val="auto"/>
          <w:kern w:val="0"/>
          <w:szCs w:val="21"/>
          <w:lang w:bidi="ar"/>
        </w:rPr>
      </w:pPr>
      <w:r>
        <w:rPr>
          <w:rFonts w:hint="eastAsia" w:ascii="宋体" w:hAnsi="宋体" w:eastAsia="宋体" w:cs="宋体"/>
          <w:color w:val="auto"/>
          <w:kern w:val="0"/>
          <w:szCs w:val="21"/>
          <w:lang w:bidi="ar"/>
        </w:rPr>
        <w:t>3、整体供货服务流程；</w:t>
      </w:r>
    </w:p>
    <w:p w14:paraId="7BBF2663">
      <w:pPr>
        <w:spacing w:line="360" w:lineRule="auto"/>
        <w:ind w:left="443" w:leftChars="77" w:hanging="281" w:hangingChars="134"/>
        <w:rPr>
          <w:rFonts w:ascii="宋体" w:hAnsi="宋体" w:eastAsia="宋体" w:cs="宋体"/>
          <w:color w:val="auto"/>
          <w:kern w:val="0"/>
          <w:szCs w:val="21"/>
          <w:lang w:bidi="ar"/>
        </w:rPr>
      </w:pPr>
      <w:r>
        <w:rPr>
          <w:rFonts w:hint="eastAsia" w:ascii="宋体" w:hAnsi="宋体" w:eastAsia="宋体" w:cs="宋体"/>
          <w:color w:val="auto"/>
          <w:kern w:val="0"/>
          <w:szCs w:val="21"/>
          <w:lang w:bidi="ar"/>
        </w:rPr>
        <w:t>4、供货计划及进度保证措施方案；</w:t>
      </w:r>
    </w:p>
    <w:p w14:paraId="679576C6">
      <w:pPr>
        <w:spacing w:line="360" w:lineRule="auto"/>
        <w:ind w:left="443" w:leftChars="77" w:hanging="281" w:hangingChars="134"/>
        <w:rPr>
          <w:rFonts w:ascii="宋体" w:hAnsi="宋体" w:eastAsia="宋体" w:cs="宋体"/>
          <w:color w:val="auto"/>
          <w:kern w:val="0"/>
          <w:szCs w:val="21"/>
          <w:lang w:bidi="ar"/>
        </w:rPr>
      </w:pPr>
      <w:r>
        <w:rPr>
          <w:rFonts w:hint="eastAsia" w:ascii="宋体" w:hAnsi="宋体" w:eastAsia="宋体" w:cs="宋体"/>
          <w:color w:val="auto"/>
          <w:kern w:val="0"/>
          <w:szCs w:val="21"/>
          <w:lang w:bidi="ar"/>
        </w:rPr>
        <w:t>5、售后服务质量保证和承诺；</w:t>
      </w:r>
    </w:p>
    <w:p w14:paraId="6F490F42">
      <w:pPr>
        <w:spacing w:line="360" w:lineRule="auto"/>
        <w:ind w:left="443" w:leftChars="77" w:hanging="281" w:hangingChars="134"/>
        <w:rPr>
          <w:color w:val="auto"/>
        </w:rPr>
      </w:pPr>
      <w:r>
        <w:rPr>
          <w:rFonts w:hint="eastAsia" w:ascii="宋体" w:hAnsi="宋体" w:eastAsia="宋体" w:cs="宋体"/>
          <w:color w:val="auto"/>
          <w:kern w:val="0"/>
          <w:szCs w:val="21"/>
          <w:lang w:bidi="ar"/>
        </w:rPr>
        <w:t>6、投标人认为有必要提供的其它材料（不做强制要求）。</w:t>
      </w:r>
    </w:p>
    <w:p w14:paraId="2DB4EDF2">
      <w:pPr>
        <w:spacing w:line="360" w:lineRule="auto"/>
        <w:ind w:left="443" w:leftChars="77" w:hanging="281" w:hangingChars="134"/>
        <w:rPr>
          <w:rFonts w:ascii="宋体" w:hAnsi="宋体" w:eastAsia="宋体" w:cs="宋体"/>
          <w:color w:val="auto"/>
          <w:kern w:val="0"/>
          <w:szCs w:val="21"/>
        </w:rPr>
      </w:pPr>
    </w:p>
    <w:p w14:paraId="6FBDE5AD">
      <w:pPr>
        <w:rPr>
          <w:rFonts w:ascii="宋体" w:hAnsi="宋体" w:eastAsia="宋体" w:cs="宋体"/>
          <w:b/>
          <w:color w:val="auto"/>
          <w:kern w:val="0"/>
          <w:szCs w:val="21"/>
        </w:rPr>
      </w:pPr>
      <w:r>
        <w:rPr>
          <w:rFonts w:hint="eastAsia" w:ascii="宋体" w:hAnsi="宋体" w:eastAsia="宋体" w:cs="宋体"/>
          <w:b/>
          <w:color w:val="auto"/>
          <w:kern w:val="0"/>
          <w:szCs w:val="21"/>
        </w:rPr>
        <w:br w:type="page"/>
      </w:r>
    </w:p>
    <w:p w14:paraId="65273217">
      <w:pPr>
        <w:spacing w:line="360" w:lineRule="auto"/>
        <w:ind w:left="567" w:leftChars="270"/>
        <w:jc w:val="center"/>
        <w:rPr>
          <w:rFonts w:ascii="宋体" w:hAnsi="宋体" w:eastAsia="宋体" w:cs="宋体"/>
          <w:color w:val="auto"/>
          <w:sz w:val="84"/>
          <w:szCs w:val="20"/>
        </w:rPr>
      </w:pPr>
    </w:p>
    <w:p w14:paraId="7ADCB4CE">
      <w:pPr>
        <w:spacing w:line="360" w:lineRule="auto"/>
        <w:ind w:left="567" w:leftChars="270"/>
        <w:jc w:val="center"/>
        <w:rPr>
          <w:rFonts w:ascii="宋体" w:hAnsi="宋体" w:eastAsia="宋体" w:cs="宋体"/>
          <w:color w:val="auto"/>
          <w:sz w:val="84"/>
          <w:szCs w:val="20"/>
        </w:rPr>
      </w:pPr>
    </w:p>
    <w:p w14:paraId="6C47A410">
      <w:pPr>
        <w:spacing w:line="360" w:lineRule="auto"/>
        <w:ind w:left="567" w:leftChars="270"/>
        <w:jc w:val="center"/>
        <w:rPr>
          <w:rFonts w:ascii="宋体" w:hAnsi="宋体" w:eastAsia="宋体" w:cs="宋体"/>
          <w:color w:val="auto"/>
          <w:sz w:val="84"/>
          <w:szCs w:val="20"/>
        </w:rPr>
      </w:pPr>
      <w:r>
        <w:rPr>
          <w:rFonts w:hint="eastAsia" w:ascii="宋体" w:hAnsi="宋体" w:eastAsia="宋体" w:cs="宋体"/>
          <w:color w:val="auto"/>
          <w:sz w:val="84"/>
          <w:szCs w:val="20"/>
        </w:rPr>
        <w:t>投 标 文 件</w:t>
      </w:r>
    </w:p>
    <w:p w14:paraId="1951BF80">
      <w:pPr>
        <w:spacing w:line="360" w:lineRule="auto"/>
        <w:ind w:left="567" w:leftChars="270"/>
        <w:rPr>
          <w:rFonts w:ascii="宋体" w:hAnsi="宋体" w:eastAsia="宋体" w:cs="宋体"/>
          <w:color w:val="auto"/>
          <w:szCs w:val="20"/>
        </w:rPr>
      </w:pPr>
    </w:p>
    <w:p w14:paraId="78DA33F4">
      <w:pPr>
        <w:spacing w:line="360" w:lineRule="auto"/>
        <w:ind w:left="567" w:leftChars="270"/>
        <w:rPr>
          <w:rFonts w:ascii="宋体" w:hAnsi="宋体" w:eastAsia="宋体" w:cs="宋体"/>
          <w:color w:val="auto"/>
          <w:szCs w:val="20"/>
        </w:rPr>
      </w:pPr>
    </w:p>
    <w:p w14:paraId="5A74D6EC">
      <w:pPr>
        <w:spacing w:line="360" w:lineRule="auto"/>
        <w:ind w:left="567" w:leftChars="270"/>
        <w:rPr>
          <w:rFonts w:ascii="宋体" w:hAnsi="宋体" w:eastAsia="宋体" w:cs="宋体"/>
          <w:color w:val="auto"/>
          <w:szCs w:val="20"/>
        </w:rPr>
      </w:pPr>
    </w:p>
    <w:p w14:paraId="420903B3">
      <w:pPr>
        <w:spacing w:line="360" w:lineRule="auto"/>
        <w:ind w:left="567" w:leftChars="270"/>
        <w:rPr>
          <w:rFonts w:ascii="宋体" w:hAnsi="宋体" w:eastAsia="宋体" w:cs="宋体"/>
          <w:color w:val="auto"/>
          <w:szCs w:val="20"/>
        </w:rPr>
      </w:pPr>
    </w:p>
    <w:p w14:paraId="1AEC7778">
      <w:pPr>
        <w:spacing w:line="360" w:lineRule="auto"/>
        <w:ind w:left="567" w:leftChars="270"/>
        <w:rPr>
          <w:rFonts w:ascii="宋体" w:hAnsi="宋体" w:eastAsia="宋体" w:cs="宋体"/>
          <w:color w:val="auto"/>
          <w:szCs w:val="20"/>
        </w:rPr>
      </w:pPr>
    </w:p>
    <w:p w14:paraId="49FCA1E4">
      <w:pPr>
        <w:spacing w:line="360" w:lineRule="auto"/>
        <w:ind w:left="567" w:leftChars="270"/>
        <w:rPr>
          <w:rFonts w:ascii="宋体" w:hAnsi="宋体" w:eastAsia="宋体" w:cs="宋体"/>
          <w:color w:val="auto"/>
          <w:szCs w:val="20"/>
        </w:rPr>
      </w:pPr>
    </w:p>
    <w:p w14:paraId="0A47FC9C">
      <w:pPr>
        <w:spacing w:line="360" w:lineRule="auto"/>
        <w:ind w:left="567" w:leftChars="270" w:firstLine="1875" w:firstLineChars="625"/>
        <w:rPr>
          <w:rFonts w:ascii="宋体" w:hAnsi="宋体" w:eastAsia="宋体" w:cs="宋体"/>
          <w:color w:val="auto"/>
          <w:sz w:val="30"/>
          <w:szCs w:val="20"/>
        </w:rPr>
      </w:pPr>
      <w:r>
        <w:rPr>
          <w:rFonts w:hint="eastAsia" w:ascii="宋体" w:hAnsi="宋体" w:eastAsia="宋体" w:cs="宋体"/>
          <w:color w:val="auto"/>
          <w:sz w:val="30"/>
          <w:szCs w:val="20"/>
        </w:rPr>
        <w:t>招标编号：</w:t>
      </w:r>
      <w:r>
        <w:rPr>
          <w:rFonts w:hint="eastAsia" w:ascii="宋体" w:hAnsi="宋体" w:eastAsia="宋体" w:cs="宋体"/>
          <w:color w:val="auto"/>
          <w:sz w:val="30"/>
          <w:szCs w:val="20"/>
          <w:u w:val="single"/>
        </w:rPr>
        <w:t xml:space="preserve">                      </w:t>
      </w:r>
    </w:p>
    <w:p w14:paraId="282FD876">
      <w:pPr>
        <w:spacing w:line="360" w:lineRule="auto"/>
        <w:ind w:left="567" w:leftChars="270" w:firstLine="1875" w:firstLineChars="625"/>
        <w:rPr>
          <w:rFonts w:ascii="宋体" w:hAnsi="宋体" w:eastAsia="宋体" w:cs="宋体"/>
          <w:color w:val="auto"/>
          <w:sz w:val="30"/>
          <w:szCs w:val="20"/>
          <w:u w:val="single"/>
        </w:rPr>
      </w:pPr>
      <w:r>
        <w:rPr>
          <w:rFonts w:hint="eastAsia" w:ascii="宋体" w:hAnsi="宋体" w:eastAsia="宋体" w:cs="宋体"/>
          <w:color w:val="auto"/>
          <w:sz w:val="30"/>
          <w:szCs w:val="20"/>
        </w:rPr>
        <w:t>项目名称：</w:t>
      </w:r>
      <w:r>
        <w:rPr>
          <w:rFonts w:hint="eastAsia" w:ascii="宋体" w:hAnsi="宋体" w:eastAsia="宋体" w:cs="宋体"/>
          <w:color w:val="auto"/>
          <w:sz w:val="30"/>
          <w:szCs w:val="20"/>
          <w:u w:val="single"/>
        </w:rPr>
        <w:t xml:space="preserve">                      </w:t>
      </w:r>
    </w:p>
    <w:p w14:paraId="2D4B4BE7">
      <w:pPr>
        <w:spacing w:line="360" w:lineRule="auto"/>
        <w:ind w:left="567" w:leftChars="270" w:firstLine="1875" w:firstLineChars="625"/>
        <w:rPr>
          <w:rFonts w:ascii="宋体" w:hAnsi="宋体" w:eastAsia="宋体" w:cs="宋体"/>
          <w:color w:val="auto"/>
          <w:sz w:val="30"/>
          <w:szCs w:val="20"/>
          <w:u w:val="single"/>
        </w:rPr>
      </w:pPr>
      <w:r>
        <w:rPr>
          <w:rFonts w:hint="eastAsia" w:ascii="宋体" w:hAnsi="宋体" w:eastAsia="宋体" w:cs="宋体"/>
          <w:color w:val="auto"/>
          <w:sz w:val="30"/>
          <w:szCs w:val="20"/>
        </w:rPr>
        <w:t>投标文件内容：</w:t>
      </w:r>
      <w:r>
        <w:rPr>
          <w:rFonts w:hint="eastAsia" w:ascii="宋体" w:hAnsi="宋体" w:eastAsia="宋体" w:cs="宋体"/>
          <w:color w:val="auto"/>
          <w:sz w:val="30"/>
          <w:szCs w:val="20"/>
          <w:u w:val="single"/>
        </w:rPr>
        <w:t xml:space="preserve"> 投标文件技术部分 </w:t>
      </w:r>
    </w:p>
    <w:p w14:paraId="63E4F834">
      <w:pPr>
        <w:spacing w:line="360" w:lineRule="auto"/>
        <w:ind w:left="567" w:leftChars="270" w:firstLine="1875" w:firstLineChars="625"/>
        <w:rPr>
          <w:rFonts w:ascii="宋体" w:hAnsi="宋体" w:eastAsia="宋体" w:cs="宋体"/>
          <w:color w:val="auto"/>
          <w:sz w:val="30"/>
          <w:szCs w:val="20"/>
        </w:rPr>
      </w:pPr>
      <w:r>
        <w:rPr>
          <w:rFonts w:hint="eastAsia" w:ascii="宋体" w:hAnsi="宋体" w:eastAsia="宋体" w:cs="宋体"/>
          <w:color w:val="auto"/>
          <w:sz w:val="30"/>
          <w:szCs w:val="20"/>
        </w:rPr>
        <w:t>招标人：</w:t>
      </w:r>
      <w:r>
        <w:rPr>
          <w:rFonts w:hint="eastAsia" w:ascii="宋体" w:hAnsi="宋体" w:eastAsia="宋体" w:cs="宋体"/>
          <w:color w:val="auto"/>
          <w:sz w:val="30"/>
          <w:szCs w:val="20"/>
          <w:u w:val="single"/>
        </w:rPr>
        <w:t xml:space="preserve">                        </w:t>
      </w:r>
    </w:p>
    <w:p w14:paraId="478005D1">
      <w:pPr>
        <w:spacing w:line="360" w:lineRule="auto"/>
        <w:ind w:left="567" w:leftChars="270" w:firstLine="1875" w:firstLineChars="625"/>
        <w:rPr>
          <w:rFonts w:ascii="宋体" w:hAnsi="宋体" w:eastAsia="宋体" w:cs="宋体"/>
          <w:color w:val="auto"/>
          <w:sz w:val="30"/>
          <w:szCs w:val="20"/>
          <w:u w:val="single"/>
        </w:rPr>
      </w:pPr>
      <w:r>
        <w:rPr>
          <w:rFonts w:hint="eastAsia" w:ascii="宋体" w:hAnsi="宋体" w:eastAsia="宋体" w:cs="宋体"/>
          <w:color w:val="auto"/>
          <w:sz w:val="30"/>
          <w:szCs w:val="20"/>
        </w:rPr>
        <w:t>投标人：</w:t>
      </w:r>
      <w:r>
        <w:rPr>
          <w:rFonts w:hint="eastAsia" w:ascii="宋体" w:hAnsi="宋体" w:eastAsia="宋体" w:cs="宋体"/>
          <w:color w:val="auto"/>
          <w:sz w:val="30"/>
          <w:szCs w:val="20"/>
          <w:u w:val="single"/>
        </w:rPr>
        <w:t xml:space="preserve">                        </w:t>
      </w:r>
    </w:p>
    <w:p w14:paraId="007FD3C6">
      <w:pPr>
        <w:spacing w:line="360" w:lineRule="auto"/>
        <w:ind w:left="567" w:leftChars="270" w:firstLine="1875" w:firstLineChars="625"/>
        <w:rPr>
          <w:rFonts w:ascii="宋体" w:hAnsi="宋体" w:eastAsia="宋体" w:cs="宋体"/>
          <w:color w:val="auto"/>
          <w:sz w:val="30"/>
          <w:szCs w:val="20"/>
        </w:rPr>
      </w:pPr>
      <w:r>
        <w:rPr>
          <w:rFonts w:hint="eastAsia" w:ascii="宋体" w:hAnsi="宋体" w:eastAsia="宋体" w:cs="宋体"/>
          <w:color w:val="auto"/>
          <w:sz w:val="30"/>
          <w:szCs w:val="20"/>
        </w:rPr>
        <w:t>日  期：</w:t>
      </w:r>
      <w:r>
        <w:rPr>
          <w:rFonts w:hint="eastAsia" w:ascii="宋体" w:hAnsi="宋体" w:eastAsia="宋体" w:cs="宋体"/>
          <w:color w:val="auto"/>
          <w:sz w:val="30"/>
          <w:szCs w:val="20"/>
          <w:u w:val="single"/>
        </w:rPr>
        <w:t xml:space="preserve">     </w:t>
      </w:r>
      <w:r>
        <w:rPr>
          <w:rFonts w:hint="eastAsia" w:ascii="宋体" w:hAnsi="宋体" w:eastAsia="宋体" w:cs="宋体"/>
          <w:color w:val="auto"/>
          <w:sz w:val="30"/>
          <w:szCs w:val="20"/>
        </w:rPr>
        <w:t>年</w:t>
      </w:r>
      <w:r>
        <w:rPr>
          <w:rFonts w:hint="eastAsia" w:ascii="宋体" w:hAnsi="宋体" w:eastAsia="宋体" w:cs="宋体"/>
          <w:color w:val="auto"/>
          <w:sz w:val="30"/>
          <w:szCs w:val="20"/>
          <w:u w:val="single"/>
        </w:rPr>
        <w:t xml:space="preserve">    </w:t>
      </w:r>
      <w:r>
        <w:rPr>
          <w:rFonts w:hint="eastAsia" w:ascii="宋体" w:hAnsi="宋体" w:eastAsia="宋体" w:cs="宋体"/>
          <w:color w:val="auto"/>
          <w:sz w:val="30"/>
          <w:szCs w:val="20"/>
        </w:rPr>
        <w:t>月</w:t>
      </w:r>
      <w:r>
        <w:rPr>
          <w:rFonts w:hint="eastAsia" w:ascii="宋体" w:hAnsi="宋体" w:eastAsia="宋体" w:cs="宋体"/>
          <w:color w:val="auto"/>
          <w:sz w:val="30"/>
          <w:szCs w:val="20"/>
          <w:u w:val="single"/>
        </w:rPr>
        <w:t xml:space="preserve">    </w:t>
      </w:r>
      <w:r>
        <w:rPr>
          <w:rFonts w:hint="eastAsia" w:ascii="宋体" w:hAnsi="宋体" w:eastAsia="宋体" w:cs="宋体"/>
          <w:color w:val="auto"/>
          <w:sz w:val="30"/>
          <w:szCs w:val="20"/>
        </w:rPr>
        <w:t>日</w:t>
      </w:r>
    </w:p>
    <w:p w14:paraId="0C93202D">
      <w:pPr>
        <w:spacing w:line="360" w:lineRule="auto"/>
        <w:ind w:left="567" w:leftChars="270"/>
        <w:rPr>
          <w:rFonts w:ascii="宋体" w:hAnsi="宋体" w:eastAsia="宋体" w:cs="宋体"/>
          <w:color w:val="auto"/>
          <w:szCs w:val="20"/>
        </w:rPr>
      </w:pPr>
    </w:p>
    <w:p w14:paraId="31F534A1">
      <w:pPr>
        <w:spacing w:line="360" w:lineRule="auto"/>
        <w:ind w:left="567" w:leftChars="270"/>
        <w:rPr>
          <w:rFonts w:ascii="宋体" w:hAnsi="宋体" w:eastAsia="宋体" w:cs="宋体"/>
          <w:color w:val="auto"/>
          <w:szCs w:val="20"/>
        </w:rPr>
      </w:pPr>
      <w:r>
        <w:rPr>
          <w:rFonts w:hint="eastAsia" w:ascii="宋体" w:hAnsi="宋体" w:eastAsia="宋体" w:cs="宋体"/>
          <w:color w:val="auto"/>
          <w:szCs w:val="20"/>
        </w:rPr>
        <w:br w:type="page"/>
      </w:r>
    </w:p>
    <w:p w14:paraId="34015B0E">
      <w:pPr>
        <w:spacing w:line="360" w:lineRule="auto"/>
        <w:ind w:left="567" w:leftChars="270"/>
        <w:rPr>
          <w:rFonts w:ascii="宋体" w:hAnsi="宋体" w:eastAsia="宋体" w:cs="宋体"/>
          <w:color w:val="auto"/>
          <w:szCs w:val="20"/>
        </w:rPr>
      </w:pPr>
    </w:p>
    <w:p w14:paraId="244CA812">
      <w:pPr>
        <w:pBdr>
          <w:bottom w:val="single" w:color="auto" w:sz="6" w:space="0"/>
        </w:pBdr>
        <w:spacing w:line="480" w:lineRule="auto"/>
        <w:ind w:firstLine="472" w:firstLineChars="224"/>
        <w:jc w:val="center"/>
        <w:rPr>
          <w:rFonts w:ascii="宋体" w:hAnsi="宋体" w:eastAsia="宋体" w:cs="宋体"/>
          <w:b/>
          <w:bCs/>
          <w:color w:val="auto"/>
          <w:szCs w:val="21"/>
        </w:rPr>
      </w:pPr>
      <w:r>
        <w:rPr>
          <w:rFonts w:hint="eastAsia" w:ascii="宋体" w:hAnsi="宋体" w:eastAsia="宋体" w:cs="宋体"/>
          <w:b/>
          <w:bCs/>
          <w:color w:val="auto"/>
          <w:szCs w:val="21"/>
        </w:rPr>
        <w:t>投标文件技术评审部分索引表</w:t>
      </w:r>
    </w:p>
    <w:tbl>
      <w:tblPr>
        <w:tblStyle w:val="45"/>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79"/>
        <w:gridCol w:w="2773"/>
        <w:gridCol w:w="1786"/>
        <w:gridCol w:w="4430"/>
      </w:tblGrid>
      <w:tr w14:paraId="64B551A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65" w:type="pct"/>
            <w:vAlign w:val="center"/>
          </w:tcPr>
          <w:p w14:paraId="613932C1">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Cs/>
                <w:color w:val="auto"/>
                <w:szCs w:val="21"/>
              </w:rPr>
            </w:pPr>
            <w:r>
              <w:rPr>
                <w:rFonts w:hint="eastAsia" w:ascii="宋体" w:hAnsi="宋体" w:eastAsia="宋体" w:cs="宋体"/>
                <w:bCs/>
                <w:color w:val="auto"/>
                <w:szCs w:val="21"/>
              </w:rPr>
              <w:t>序号</w:t>
            </w:r>
          </w:p>
        </w:tc>
        <w:tc>
          <w:tcPr>
            <w:tcW w:w="1337" w:type="pct"/>
            <w:vAlign w:val="center"/>
          </w:tcPr>
          <w:p w14:paraId="095765C7">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Cs/>
                <w:color w:val="auto"/>
                <w:szCs w:val="21"/>
              </w:rPr>
            </w:pPr>
            <w:r>
              <w:rPr>
                <w:rFonts w:hint="eastAsia" w:ascii="宋体" w:hAnsi="宋体" w:eastAsia="宋体" w:cs="宋体"/>
                <w:bCs/>
                <w:color w:val="auto"/>
                <w:szCs w:val="21"/>
              </w:rPr>
              <w:t>评标项目</w:t>
            </w:r>
          </w:p>
        </w:tc>
        <w:tc>
          <w:tcPr>
            <w:tcW w:w="861" w:type="pct"/>
            <w:vAlign w:val="center"/>
          </w:tcPr>
          <w:p w14:paraId="2DE9CDAF">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Cs/>
                <w:color w:val="auto"/>
                <w:szCs w:val="21"/>
              </w:rPr>
            </w:pPr>
            <w:r>
              <w:rPr>
                <w:rFonts w:hint="eastAsia" w:ascii="宋体" w:hAnsi="宋体" w:eastAsia="宋体" w:cs="宋体"/>
                <w:bCs/>
                <w:color w:val="auto"/>
                <w:szCs w:val="21"/>
              </w:rPr>
              <w:t>招标文件上的满分值</w:t>
            </w:r>
          </w:p>
        </w:tc>
        <w:tc>
          <w:tcPr>
            <w:tcW w:w="2136" w:type="pct"/>
            <w:tcBorders>
              <w:left w:val="single" w:color="auto" w:sz="4" w:space="0"/>
            </w:tcBorders>
            <w:vAlign w:val="center"/>
          </w:tcPr>
          <w:p w14:paraId="35AF9938">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Cs/>
                <w:color w:val="auto"/>
                <w:szCs w:val="21"/>
              </w:rPr>
            </w:pPr>
            <w:r>
              <w:rPr>
                <w:rFonts w:hint="eastAsia" w:ascii="宋体" w:hAnsi="宋体" w:eastAsia="宋体" w:cs="宋体"/>
                <w:bCs/>
                <w:color w:val="auto"/>
                <w:szCs w:val="21"/>
              </w:rPr>
              <w:t>页码索引</w:t>
            </w:r>
          </w:p>
        </w:tc>
      </w:tr>
      <w:tr w14:paraId="0C95FB4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65" w:type="pct"/>
            <w:vAlign w:val="center"/>
          </w:tcPr>
          <w:p w14:paraId="63E8653F">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Cs/>
                <w:color w:val="auto"/>
                <w:szCs w:val="21"/>
              </w:rPr>
            </w:pPr>
          </w:p>
        </w:tc>
        <w:tc>
          <w:tcPr>
            <w:tcW w:w="1337" w:type="pct"/>
            <w:vAlign w:val="center"/>
          </w:tcPr>
          <w:p w14:paraId="236A0B03">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Cs/>
                <w:color w:val="auto"/>
                <w:szCs w:val="21"/>
              </w:rPr>
            </w:pPr>
          </w:p>
        </w:tc>
        <w:tc>
          <w:tcPr>
            <w:tcW w:w="861" w:type="pct"/>
            <w:vAlign w:val="center"/>
          </w:tcPr>
          <w:p w14:paraId="6E36B655">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Cs/>
                <w:color w:val="auto"/>
                <w:szCs w:val="21"/>
              </w:rPr>
            </w:pPr>
          </w:p>
        </w:tc>
        <w:tc>
          <w:tcPr>
            <w:tcW w:w="2136" w:type="pct"/>
            <w:tcBorders>
              <w:left w:val="single" w:color="auto" w:sz="4" w:space="0"/>
            </w:tcBorders>
            <w:vAlign w:val="center"/>
          </w:tcPr>
          <w:p w14:paraId="6402A00D">
            <w:pPr>
              <w:keepNext w:val="0"/>
              <w:keepLines w:val="0"/>
              <w:suppressLineNumbers w:val="0"/>
              <w:adjustRightInd w:val="0"/>
              <w:snapToGrid w:val="0"/>
              <w:spacing w:before="0" w:beforeAutospacing="0" w:after="0" w:afterAutospacing="0" w:line="360" w:lineRule="auto"/>
              <w:ind w:left="0" w:right="0"/>
              <w:rPr>
                <w:rFonts w:hint="default" w:ascii="宋体" w:hAnsi="宋体" w:eastAsia="宋体" w:cs="宋体"/>
                <w:bCs/>
                <w:color w:val="auto"/>
                <w:szCs w:val="21"/>
              </w:rPr>
            </w:pPr>
          </w:p>
        </w:tc>
      </w:tr>
      <w:tr w14:paraId="5833BEC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65" w:type="pct"/>
            <w:vAlign w:val="center"/>
          </w:tcPr>
          <w:p w14:paraId="3106437E">
            <w:pPr>
              <w:keepNext w:val="0"/>
              <w:keepLines w:val="0"/>
              <w:suppressLineNumbers w:val="0"/>
              <w:spacing w:before="0" w:beforeAutospacing="0" w:after="0" w:afterAutospacing="0"/>
              <w:ind w:left="0" w:right="0"/>
              <w:rPr>
                <w:rFonts w:hint="default" w:ascii="宋体" w:hAnsi="宋体" w:eastAsia="宋体" w:cs="宋体"/>
                <w:bCs/>
                <w:color w:val="auto"/>
                <w:szCs w:val="21"/>
              </w:rPr>
            </w:pPr>
          </w:p>
        </w:tc>
        <w:tc>
          <w:tcPr>
            <w:tcW w:w="1337" w:type="pct"/>
            <w:vAlign w:val="center"/>
          </w:tcPr>
          <w:p w14:paraId="5529AC35">
            <w:pPr>
              <w:keepNext w:val="0"/>
              <w:keepLines w:val="0"/>
              <w:suppressLineNumbers w:val="0"/>
              <w:spacing w:before="0" w:beforeAutospacing="0" w:after="0" w:afterAutospacing="0"/>
              <w:ind w:left="0" w:right="0"/>
              <w:rPr>
                <w:rFonts w:hint="default" w:ascii="宋体" w:hAnsi="宋体" w:eastAsia="宋体" w:cs="宋体"/>
                <w:bCs/>
                <w:color w:val="auto"/>
                <w:szCs w:val="21"/>
              </w:rPr>
            </w:pPr>
          </w:p>
        </w:tc>
        <w:tc>
          <w:tcPr>
            <w:tcW w:w="861" w:type="pct"/>
            <w:vAlign w:val="center"/>
          </w:tcPr>
          <w:p w14:paraId="16D1A037">
            <w:pPr>
              <w:keepNext w:val="0"/>
              <w:keepLines w:val="0"/>
              <w:suppressLineNumbers w:val="0"/>
              <w:spacing w:before="0" w:beforeAutospacing="0" w:after="0" w:afterAutospacing="0"/>
              <w:ind w:left="0" w:right="0"/>
              <w:rPr>
                <w:rFonts w:hint="default" w:ascii="宋体" w:hAnsi="宋体" w:eastAsia="宋体" w:cs="宋体"/>
                <w:bCs/>
                <w:color w:val="auto"/>
                <w:szCs w:val="21"/>
              </w:rPr>
            </w:pPr>
          </w:p>
        </w:tc>
        <w:tc>
          <w:tcPr>
            <w:tcW w:w="2136" w:type="pct"/>
            <w:tcBorders>
              <w:left w:val="single" w:color="auto" w:sz="4" w:space="0"/>
            </w:tcBorders>
            <w:vAlign w:val="center"/>
          </w:tcPr>
          <w:p w14:paraId="0189939A">
            <w:pPr>
              <w:keepNext w:val="0"/>
              <w:keepLines w:val="0"/>
              <w:suppressLineNumbers w:val="0"/>
              <w:adjustRightInd w:val="0"/>
              <w:snapToGrid w:val="0"/>
              <w:spacing w:before="0" w:beforeAutospacing="0" w:after="0" w:afterAutospacing="0" w:line="360" w:lineRule="auto"/>
              <w:ind w:left="0" w:right="0" w:firstLine="105" w:firstLineChars="50"/>
              <w:rPr>
                <w:rFonts w:hint="default" w:ascii="宋体" w:hAnsi="宋体" w:eastAsia="宋体" w:cs="宋体"/>
                <w:bCs/>
                <w:color w:val="auto"/>
                <w:szCs w:val="21"/>
              </w:rPr>
            </w:pPr>
          </w:p>
        </w:tc>
      </w:tr>
      <w:tr w14:paraId="69EBDD5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65" w:type="pct"/>
            <w:vAlign w:val="center"/>
          </w:tcPr>
          <w:p w14:paraId="72832709">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Cs/>
                <w:color w:val="auto"/>
                <w:szCs w:val="21"/>
              </w:rPr>
            </w:pPr>
          </w:p>
        </w:tc>
        <w:tc>
          <w:tcPr>
            <w:tcW w:w="1337" w:type="pct"/>
            <w:vAlign w:val="center"/>
          </w:tcPr>
          <w:p w14:paraId="152E64A5">
            <w:pPr>
              <w:keepNext w:val="0"/>
              <w:keepLines w:val="0"/>
              <w:suppressLineNumbers w:val="0"/>
              <w:adjustRightInd w:val="0"/>
              <w:snapToGrid w:val="0"/>
              <w:spacing w:before="0" w:beforeAutospacing="0" w:after="0" w:afterAutospacing="0" w:line="360" w:lineRule="auto"/>
              <w:ind w:left="0" w:right="0"/>
              <w:rPr>
                <w:rFonts w:hint="default" w:ascii="宋体" w:hAnsi="宋体" w:eastAsia="宋体" w:cs="宋体"/>
                <w:bCs/>
                <w:color w:val="auto"/>
                <w:szCs w:val="21"/>
              </w:rPr>
            </w:pPr>
          </w:p>
        </w:tc>
        <w:tc>
          <w:tcPr>
            <w:tcW w:w="861" w:type="pct"/>
            <w:vAlign w:val="center"/>
          </w:tcPr>
          <w:p w14:paraId="2CB7F8FD">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Cs/>
                <w:color w:val="auto"/>
                <w:szCs w:val="21"/>
              </w:rPr>
            </w:pPr>
          </w:p>
        </w:tc>
        <w:tc>
          <w:tcPr>
            <w:tcW w:w="2136" w:type="pct"/>
            <w:tcBorders>
              <w:left w:val="single" w:color="auto" w:sz="4" w:space="0"/>
            </w:tcBorders>
            <w:vAlign w:val="center"/>
          </w:tcPr>
          <w:p w14:paraId="0AFB7343">
            <w:pPr>
              <w:keepNext w:val="0"/>
              <w:keepLines w:val="0"/>
              <w:suppressLineNumbers w:val="0"/>
              <w:spacing w:before="0" w:beforeAutospacing="0" w:after="0" w:afterAutospacing="0" w:line="360" w:lineRule="auto"/>
              <w:ind w:left="0" w:right="0" w:firstLine="8" w:firstLineChars="4"/>
              <w:rPr>
                <w:rFonts w:hint="default" w:ascii="宋体" w:hAnsi="宋体" w:eastAsia="宋体" w:cs="宋体"/>
                <w:bCs/>
                <w:color w:val="auto"/>
                <w:szCs w:val="21"/>
              </w:rPr>
            </w:pPr>
          </w:p>
        </w:tc>
      </w:tr>
      <w:tr w14:paraId="0ACC976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65" w:type="pct"/>
            <w:tcBorders>
              <w:top w:val="single" w:color="auto" w:sz="6" w:space="0"/>
              <w:left w:val="single" w:color="auto" w:sz="4" w:space="0"/>
              <w:bottom w:val="outset" w:color="808080" w:sz="6" w:space="0"/>
              <w:right w:val="single" w:color="auto" w:sz="6" w:space="0"/>
            </w:tcBorders>
            <w:vAlign w:val="center"/>
          </w:tcPr>
          <w:p w14:paraId="2FE4B7B0">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Cs/>
                <w:color w:val="auto"/>
                <w:szCs w:val="21"/>
              </w:rPr>
            </w:pPr>
          </w:p>
        </w:tc>
        <w:tc>
          <w:tcPr>
            <w:tcW w:w="1337" w:type="pct"/>
            <w:tcBorders>
              <w:top w:val="single" w:color="auto" w:sz="6" w:space="0"/>
              <w:left w:val="single" w:color="auto" w:sz="6" w:space="0"/>
              <w:bottom w:val="outset" w:color="808080" w:sz="6" w:space="0"/>
              <w:right w:val="single" w:color="auto" w:sz="6" w:space="0"/>
            </w:tcBorders>
            <w:vAlign w:val="center"/>
          </w:tcPr>
          <w:p w14:paraId="3B294898">
            <w:pPr>
              <w:keepNext w:val="0"/>
              <w:keepLines w:val="0"/>
              <w:suppressLineNumbers w:val="0"/>
              <w:adjustRightInd w:val="0"/>
              <w:snapToGrid w:val="0"/>
              <w:spacing w:before="0" w:beforeAutospacing="0" w:after="0" w:afterAutospacing="0" w:line="360" w:lineRule="auto"/>
              <w:ind w:left="0" w:right="0"/>
              <w:rPr>
                <w:rFonts w:hint="default" w:ascii="宋体" w:hAnsi="宋体" w:eastAsia="宋体" w:cs="宋体"/>
                <w:bCs/>
                <w:color w:val="auto"/>
                <w:szCs w:val="21"/>
              </w:rPr>
            </w:pPr>
          </w:p>
        </w:tc>
        <w:tc>
          <w:tcPr>
            <w:tcW w:w="861" w:type="pct"/>
            <w:tcBorders>
              <w:top w:val="single" w:color="auto" w:sz="6" w:space="0"/>
              <w:left w:val="single" w:color="auto" w:sz="6" w:space="0"/>
              <w:bottom w:val="outset" w:color="808080" w:sz="6" w:space="0"/>
              <w:right w:val="single" w:color="auto" w:sz="6" w:space="0"/>
            </w:tcBorders>
            <w:vAlign w:val="center"/>
          </w:tcPr>
          <w:p w14:paraId="711ABFAB">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Cs/>
                <w:color w:val="auto"/>
                <w:szCs w:val="21"/>
              </w:rPr>
            </w:pPr>
          </w:p>
        </w:tc>
        <w:tc>
          <w:tcPr>
            <w:tcW w:w="2136" w:type="pct"/>
            <w:tcBorders>
              <w:top w:val="single" w:color="auto" w:sz="6" w:space="0"/>
              <w:left w:val="single" w:color="auto" w:sz="4" w:space="0"/>
              <w:bottom w:val="outset" w:color="808080" w:sz="6" w:space="0"/>
              <w:right w:val="single" w:color="auto" w:sz="6" w:space="0"/>
            </w:tcBorders>
            <w:vAlign w:val="center"/>
          </w:tcPr>
          <w:p w14:paraId="2F5084D1">
            <w:pPr>
              <w:keepNext w:val="0"/>
              <w:keepLines w:val="0"/>
              <w:suppressLineNumbers w:val="0"/>
              <w:adjustRightInd w:val="0"/>
              <w:snapToGrid w:val="0"/>
              <w:spacing w:before="0" w:beforeAutospacing="0" w:after="0" w:afterAutospacing="0" w:line="360" w:lineRule="auto"/>
              <w:ind w:left="0" w:right="0"/>
              <w:rPr>
                <w:rFonts w:hint="default" w:ascii="宋体" w:hAnsi="宋体" w:eastAsia="宋体" w:cs="宋体"/>
                <w:bCs/>
                <w:color w:val="auto"/>
                <w:szCs w:val="21"/>
              </w:rPr>
            </w:pPr>
          </w:p>
        </w:tc>
      </w:tr>
      <w:tr w14:paraId="4A8283F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02" w:type="pct"/>
            <w:gridSpan w:val="2"/>
            <w:tcBorders>
              <w:bottom w:val="single" w:color="auto" w:sz="4" w:space="0"/>
            </w:tcBorders>
            <w:vAlign w:val="center"/>
          </w:tcPr>
          <w:p w14:paraId="032D6F30">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Cs/>
                <w:color w:val="auto"/>
                <w:szCs w:val="21"/>
              </w:rPr>
            </w:pPr>
            <w:r>
              <w:rPr>
                <w:rFonts w:hint="eastAsia" w:ascii="宋体" w:hAnsi="宋体" w:eastAsia="宋体" w:cs="宋体"/>
                <w:bCs/>
                <w:color w:val="auto"/>
                <w:szCs w:val="21"/>
              </w:rPr>
              <w:t>合计</w:t>
            </w:r>
          </w:p>
        </w:tc>
        <w:tc>
          <w:tcPr>
            <w:tcW w:w="861" w:type="pct"/>
            <w:tcBorders>
              <w:bottom w:val="single" w:color="auto" w:sz="4" w:space="0"/>
            </w:tcBorders>
            <w:vAlign w:val="center"/>
          </w:tcPr>
          <w:p w14:paraId="15C13A04">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Cs/>
                <w:color w:val="auto"/>
                <w:szCs w:val="21"/>
              </w:rPr>
            </w:pPr>
          </w:p>
        </w:tc>
        <w:tc>
          <w:tcPr>
            <w:tcW w:w="2136" w:type="pct"/>
            <w:tcBorders>
              <w:left w:val="single" w:color="auto" w:sz="4" w:space="0"/>
              <w:bottom w:val="single" w:color="auto" w:sz="4" w:space="0"/>
            </w:tcBorders>
            <w:vAlign w:val="center"/>
          </w:tcPr>
          <w:p w14:paraId="21645F6E">
            <w:pPr>
              <w:keepNext w:val="0"/>
              <w:keepLines w:val="0"/>
              <w:suppressLineNumbers w:val="0"/>
              <w:spacing w:before="0" w:beforeAutospacing="0" w:after="0" w:afterAutospacing="0" w:line="360" w:lineRule="auto"/>
              <w:ind w:left="0" w:right="0"/>
              <w:jc w:val="center"/>
              <w:rPr>
                <w:rFonts w:hint="default" w:ascii="宋体" w:hAnsi="宋体" w:eastAsia="宋体" w:cs="宋体"/>
                <w:bCs/>
                <w:color w:val="auto"/>
                <w:szCs w:val="21"/>
              </w:rPr>
            </w:pPr>
          </w:p>
        </w:tc>
      </w:tr>
    </w:tbl>
    <w:p w14:paraId="608014E1">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rPr>
      </w:pPr>
      <w:r>
        <w:rPr>
          <w:rFonts w:hint="eastAsia" w:ascii="宋体" w:hAnsi="宋体" w:eastAsia="宋体" w:cs="宋体"/>
          <w:b/>
          <w:color w:val="auto"/>
          <w:kern w:val="0"/>
          <w:szCs w:val="21"/>
        </w:rPr>
        <w:br w:type="page"/>
      </w:r>
      <w:bookmarkEnd w:id="604"/>
      <w:bookmarkStart w:id="626" w:name="_Toc20630"/>
      <w:bookmarkStart w:id="627" w:name="_Toc94107223"/>
      <w:bookmarkStart w:id="628" w:name="_Toc140596941"/>
      <w:bookmarkStart w:id="629" w:name="_Toc104991888"/>
      <w:bookmarkStart w:id="630" w:name="_Toc1558"/>
      <w:bookmarkStart w:id="631" w:name="_Toc102860086"/>
      <w:bookmarkStart w:id="632" w:name="_Toc1977740"/>
      <w:bookmarkStart w:id="633" w:name="_Toc533708135"/>
      <w:bookmarkStart w:id="634" w:name="_Toc142508381"/>
      <w:bookmarkStart w:id="635" w:name="_Toc102860430"/>
      <w:bookmarkStart w:id="636" w:name="_Toc10630"/>
      <w:r>
        <w:rPr>
          <w:rFonts w:hint="eastAsia" w:ascii="宋体" w:hAnsi="宋体" w:eastAsia="宋体" w:cs="宋体"/>
          <w:b/>
          <w:color w:val="auto"/>
          <w:kern w:val="0"/>
          <w:sz w:val="30"/>
          <w:szCs w:val="30"/>
        </w:rPr>
        <w:t>12.1 用户需求偏离表格式</w:t>
      </w:r>
      <w:bookmarkEnd w:id="626"/>
      <w:bookmarkEnd w:id="627"/>
      <w:bookmarkEnd w:id="628"/>
      <w:bookmarkEnd w:id="629"/>
      <w:bookmarkEnd w:id="630"/>
      <w:bookmarkEnd w:id="631"/>
      <w:bookmarkEnd w:id="632"/>
      <w:bookmarkEnd w:id="633"/>
      <w:bookmarkEnd w:id="634"/>
      <w:bookmarkEnd w:id="635"/>
      <w:bookmarkEnd w:id="636"/>
    </w:p>
    <w:p w14:paraId="5F18B941">
      <w:pPr>
        <w:spacing w:before="120" w:after="120" w:line="360" w:lineRule="auto"/>
        <w:jc w:val="center"/>
        <w:rPr>
          <w:rFonts w:ascii="宋体" w:hAnsi="宋体" w:eastAsia="宋体" w:cs="Times New Roman"/>
          <w:color w:val="auto"/>
          <w:kern w:val="0"/>
          <w:szCs w:val="21"/>
        </w:rPr>
      </w:pPr>
      <w:bookmarkStart w:id="637" w:name="_Toc17449_WPSOffice_Level3"/>
      <w:r>
        <w:rPr>
          <w:rFonts w:hint="eastAsia" w:ascii="宋体" w:hAnsi="宋体" w:eastAsia="宋体" w:cs="宋体"/>
          <w:b/>
          <w:color w:val="auto"/>
          <w:kern w:val="0"/>
          <w:sz w:val="30"/>
          <w:szCs w:val="30"/>
          <w:lang w:val="zh-CN"/>
        </w:rPr>
        <w:t>用户需求偏离表</w:t>
      </w:r>
      <w:bookmarkEnd w:id="637"/>
    </w:p>
    <w:tbl>
      <w:tblPr>
        <w:tblStyle w:val="45"/>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
        <w:gridCol w:w="1107"/>
        <w:gridCol w:w="4034"/>
        <w:gridCol w:w="924"/>
        <w:gridCol w:w="2531"/>
        <w:gridCol w:w="1113"/>
      </w:tblGrid>
      <w:tr w14:paraId="0D658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315" w:type="pct"/>
            <w:vMerge w:val="restart"/>
            <w:vAlign w:val="center"/>
          </w:tcPr>
          <w:p w14:paraId="6BBEB5FD">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Cs w:val="21"/>
              </w:rPr>
            </w:pPr>
            <w:r>
              <w:rPr>
                <w:rFonts w:hint="eastAsia" w:ascii="宋体" w:hAnsi="宋体" w:eastAsia="宋体" w:cs="宋体"/>
                <w:color w:val="auto"/>
                <w:kern w:val="0"/>
                <w:szCs w:val="21"/>
              </w:rPr>
              <w:t>序号</w:t>
            </w:r>
          </w:p>
        </w:tc>
        <w:tc>
          <w:tcPr>
            <w:tcW w:w="2480" w:type="pct"/>
            <w:gridSpan w:val="2"/>
            <w:vAlign w:val="center"/>
          </w:tcPr>
          <w:p w14:paraId="1AB5FCC5">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Cs w:val="21"/>
              </w:rPr>
            </w:pPr>
            <w:r>
              <w:rPr>
                <w:rFonts w:hint="eastAsia" w:ascii="宋体" w:hAnsi="宋体" w:eastAsia="宋体" w:cs="宋体"/>
                <w:color w:val="auto"/>
                <w:kern w:val="0"/>
                <w:szCs w:val="21"/>
              </w:rPr>
              <w:t>招标文件要求</w:t>
            </w:r>
          </w:p>
        </w:tc>
        <w:tc>
          <w:tcPr>
            <w:tcW w:w="2203" w:type="pct"/>
            <w:gridSpan w:val="3"/>
            <w:vAlign w:val="center"/>
          </w:tcPr>
          <w:p w14:paraId="0A24C7F4">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Cs w:val="21"/>
              </w:rPr>
            </w:pPr>
            <w:r>
              <w:rPr>
                <w:rFonts w:hint="eastAsia" w:ascii="宋体" w:hAnsi="宋体" w:eastAsia="宋体" w:cs="宋体"/>
                <w:color w:val="auto"/>
                <w:kern w:val="0"/>
                <w:szCs w:val="21"/>
              </w:rPr>
              <w:t>投标文件内容</w:t>
            </w:r>
          </w:p>
        </w:tc>
      </w:tr>
      <w:tr w14:paraId="6DBE4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315" w:type="pct"/>
            <w:vMerge w:val="continue"/>
            <w:vAlign w:val="center"/>
          </w:tcPr>
          <w:p w14:paraId="35C52ECA">
            <w:pPr>
              <w:keepNext/>
              <w:keepLines/>
              <w:suppressLineNumbers w:val="0"/>
              <w:spacing w:before="0" w:beforeAutospacing="0" w:after="0" w:afterAutospacing="0" w:line="400" w:lineRule="exact"/>
              <w:ind w:left="0" w:right="0"/>
              <w:jc w:val="center"/>
              <w:outlineLvl w:val="0"/>
              <w:rPr>
                <w:rFonts w:hint="default" w:ascii="宋体" w:hAnsi="宋体" w:eastAsia="宋体" w:cs="宋体"/>
                <w:color w:val="auto"/>
                <w:kern w:val="0"/>
                <w:szCs w:val="21"/>
              </w:rPr>
            </w:pPr>
          </w:p>
        </w:tc>
        <w:tc>
          <w:tcPr>
            <w:tcW w:w="534" w:type="pct"/>
            <w:vAlign w:val="center"/>
          </w:tcPr>
          <w:p w14:paraId="22FB4CBA">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Cs w:val="21"/>
              </w:rPr>
            </w:pPr>
            <w:r>
              <w:rPr>
                <w:rFonts w:hint="eastAsia" w:ascii="宋体" w:hAnsi="宋体" w:eastAsia="宋体" w:cs="宋体"/>
                <w:color w:val="auto"/>
                <w:kern w:val="0"/>
                <w:szCs w:val="21"/>
              </w:rPr>
              <w:t>条款号</w:t>
            </w:r>
          </w:p>
        </w:tc>
        <w:tc>
          <w:tcPr>
            <w:tcW w:w="1946" w:type="pct"/>
            <w:vAlign w:val="center"/>
          </w:tcPr>
          <w:p w14:paraId="154A2E24">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Cs w:val="21"/>
              </w:rPr>
            </w:pPr>
            <w:r>
              <w:rPr>
                <w:rFonts w:hint="eastAsia" w:ascii="宋体" w:hAnsi="宋体" w:eastAsia="宋体" w:cs="宋体"/>
                <w:color w:val="auto"/>
                <w:kern w:val="0"/>
                <w:szCs w:val="21"/>
              </w:rPr>
              <w:t>简要内容</w:t>
            </w:r>
          </w:p>
        </w:tc>
        <w:tc>
          <w:tcPr>
            <w:tcW w:w="445" w:type="pct"/>
            <w:vAlign w:val="center"/>
          </w:tcPr>
          <w:p w14:paraId="05F34AD8">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Cs w:val="21"/>
              </w:rPr>
            </w:pPr>
            <w:r>
              <w:rPr>
                <w:rFonts w:hint="eastAsia" w:ascii="宋体" w:hAnsi="宋体" w:eastAsia="宋体" w:cs="宋体"/>
                <w:color w:val="auto"/>
                <w:kern w:val="0"/>
                <w:szCs w:val="21"/>
              </w:rPr>
              <w:t>偏离情况</w:t>
            </w:r>
          </w:p>
        </w:tc>
        <w:tc>
          <w:tcPr>
            <w:tcW w:w="1221" w:type="pct"/>
            <w:vAlign w:val="center"/>
          </w:tcPr>
          <w:p w14:paraId="41C9DEE8">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Cs w:val="21"/>
              </w:rPr>
            </w:pPr>
            <w:r>
              <w:rPr>
                <w:rFonts w:hint="eastAsia" w:ascii="宋体" w:hAnsi="宋体" w:eastAsia="宋体" w:cs="宋体"/>
                <w:color w:val="auto"/>
                <w:kern w:val="0"/>
                <w:szCs w:val="21"/>
              </w:rPr>
              <w:t>实质性响应的具体内容</w:t>
            </w:r>
          </w:p>
        </w:tc>
        <w:tc>
          <w:tcPr>
            <w:tcW w:w="537" w:type="pct"/>
            <w:vAlign w:val="center"/>
          </w:tcPr>
          <w:p w14:paraId="1E3ECB3E">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Cs w:val="21"/>
              </w:rPr>
            </w:pPr>
            <w:r>
              <w:rPr>
                <w:rFonts w:hint="eastAsia" w:ascii="宋体" w:hAnsi="宋体" w:eastAsia="宋体" w:cs="宋体"/>
                <w:color w:val="auto"/>
                <w:kern w:val="0"/>
                <w:szCs w:val="21"/>
              </w:rPr>
              <w:t>对应证明材料页码</w:t>
            </w:r>
          </w:p>
        </w:tc>
      </w:tr>
      <w:tr w14:paraId="701B1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315" w:type="pct"/>
            <w:vAlign w:val="center"/>
          </w:tcPr>
          <w:p w14:paraId="5E8CAE07">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Cs w:val="21"/>
              </w:rPr>
            </w:pPr>
            <w:r>
              <w:rPr>
                <w:rFonts w:hint="default" w:ascii="宋体" w:hAnsi="宋体" w:eastAsia="宋体" w:cs="宋体"/>
                <w:color w:val="auto"/>
                <w:kern w:val="0"/>
                <w:szCs w:val="21"/>
              </w:rPr>
              <w:t>1</w:t>
            </w:r>
          </w:p>
        </w:tc>
        <w:tc>
          <w:tcPr>
            <w:tcW w:w="534" w:type="pct"/>
            <w:vAlign w:val="center"/>
          </w:tcPr>
          <w:p w14:paraId="0A710233">
            <w:pPr>
              <w:keepNext w:val="0"/>
              <w:keepLines w:val="0"/>
              <w:suppressLineNumbers w:val="0"/>
              <w:spacing w:before="0" w:beforeAutospacing="0" w:after="0" w:afterAutospacing="0" w:line="400" w:lineRule="exact"/>
              <w:ind w:left="0" w:right="0"/>
              <w:jc w:val="center"/>
              <w:rPr>
                <w:rFonts w:hint="default" w:ascii="宋体" w:hAnsi="宋体" w:eastAsia="宋体" w:cs="Times New Roman"/>
                <w:bCs/>
                <w:color w:val="auto"/>
                <w:kern w:val="0"/>
                <w:szCs w:val="21"/>
              </w:rPr>
            </w:pPr>
            <w:r>
              <w:rPr>
                <w:rFonts w:hint="eastAsia" w:ascii="宋体" w:hAnsi="宋体" w:eastAsia="宋体" w:cs="Times New Roman"/>
                <w:bCs/>
                <w:color w:val="auto"/>
                <w:kern w:val="0"/>
                <w:szCs w:val="21"/>
              </w:rPr>
              <w:t>二</w:t>
            </w:r>
          </w:p>
        </w:tc>
        <w:tc>
          <w:tcPr>
            <w:tcW w:w="1946" w:type="pct"/>
            <w:vAlign w:val="bottom"/>
          </w:tcPr>
          <w:p w14:paraId="7F3CBC32">
            <w:pPr>
              <w:keepNext w:val="0"/>
              <w:keepLines w:val="0"/>
              <w:suppressLineNumbers w:val="0"/>
              <w:spacing w:before="0" w:beforeAutospacing="0" w:after="0" w:afterAutospacing="0" w:line="400" w:lineRule="exact"/>
              <w:ind w:left="0" w:right="0"/>
              <w:jc w:val="left"/>
              <w:rPr>
                <w:rFonts w:hint="default" w:ascii="宋体" w:hAnsi="宋体" w:eastAsia="宋体" w:cs="Times New Roman"/>
                <w:bCs/>
                <w:color w:val="auto"/>
                <w:kern w:val="0"/>
                <w:szCs w:val="21"/>
              </w:rPr>
            </w:pPr>
            <w:r>
              <w:rPr>
                <w:rFonts w:hint="eastAsia" w:ascii="宋体" w:hAnsi="宋体" w:eastAsia="宋体" w:cs="Times New Roman"/>
                <w:bCs/>
                <w:color w:val="auto"/>
                <w:kern w:val="0"/>
                <w:szCs w:val="21"/>
              </w:rPr>
              <w:t>货物采购需求</w:t>
            </w:r>
          </w:p>
        </w:tc>
        <w:tc>
          <w:tcPr>
            <w:tcW w:w="445" w:type="pct"/>
            <w:vAlign w:val="center"/>
          </w:tcPr>
          <w:p w14:paraId="5E1860BD">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Cs w:val="21"/>
              </w:rPr>
            </w:pPr>
          </w:p>
        </w:tc>
        <w:tc>
          <w:tcPr>
            <w:tcW w:w="1221" w:type="pct"/>
            <w:vAlign w:val="center"/>
          </w:tcPr>
          <w:p w14:paraId="6620498E">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Cs w:val="21"/>
              </w:rPr>
            </w:pPr>
          </w:p>
        </w:tc>
        <w:tc>
          <w:tcPr>
            <w:tcW w:w="537" w:type="pct"/>
            <w:vAlign w:val="center"/>
          </w:tcPr>
          <w:p w14:paraId="50095F7C">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Cs w:val="21"/>
              </w:rPr>
            </w:pPr>
          </w:p>
        </w:tc>
      </w:tr>
      <w:tr w14:paraId="536BD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5" w:type="pct"/>
            <w:vAlign w:val="center"/>
          </w:tcPr>
          <w:p w14:paraId="56EDDC09">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Cs w:val="21"/>
              </w:rPr>
            </w:pPr>
            <w:r>
              <w:rPr>
                <w:rFonts w:hint="eastAsia" w:ascii="宋体" w:hAnsi="宋体" w:eastAsia="宋体" w:cs="宋体"/>
                <w:color w:val="auto"/>
                <w:kern w:val="0"/>
                <w:szCs w:val="21"/>
              </w:rPr>
              <w:t>2</w:t>
            </w:r>
          </w:p>
        </w:tc>
        <w:tc>
          <w:tcPr>
            <w:tcW w:w="534" w:type="pct"/>
            <w:vAlign w:val="center"/>
          </w:tcPr>
          <w:p w14:paraId="3FF890E3">
            <w:pPr>
              <w:keepNext w:val="0"/>
              <w:keepLines w:val="0"/>
              <w:suppressLineNumbers w:val="0"/>
              <w:spacing w:before="0" w:beforeAutospacing="0" w:after="0" w:afterAutospacing="0" w:line="400" w:lineRule="exact"/>
              <w:ind w:left="0" w:right="0"/>
              <w:jc w:val="center"/>
              <w:rPr>
                <w:rFonts w:hint="default" w:ascii="宋体" w:hAnsi="宋体" w:eastAsia="宋体" w:cs="Times New Roman"/>
                <w:bCs/>
                <w:color w:val="auto"/>
                <w:szCs w:val="21"/>
              </w:rPr>
            </w:pPr>
            <w:r>
              <w:rPr>
                <w:rFonts w:hint="eastAsia" w:ascii="宋体" w:hAnsi="宋体" w:eastAsia="宋体" w:cs="Times New Roman"/>
                <w:bCs/>
                <w:color w:val="auto"/>
                <w:kern w:val="0"/>
                <w:szCs w:val="21"/>
              </w:rPr>
              <w:t>三</w:t>
            </w:r>
          </w:p>
        </w:tc>
        <w:tc>
          <w:tcPr>
            <w:tcW w:w="1946" w:type="pct"/>
            <w:vAlign w:val="center"/>
          </w:tcPr>
          <w:p w14:paraId="4BD3A261">
            <w:pPr>
              <w:keepNext w:val="0"/>
              <w:keepLines w:val="0"/>
              <w:suppressLineNumbers w:val="0"/>
              <w:spacing w:before="0" w:beforeAutospacing="0" w:after="0" w:afterAutospacing="0" w:line="400" w:lineRule="exact"/>
              <w:ind w:left="0" w:right="0"/>
              <w:jc w:val="left"/>
              <w:rPr>
                <w:rFonts w:hint="default" w:ascii="宋体" w:hAnsi="宋体" w:eastAsia="宋体" w:cs="Times New Roman"/>
                <w:bCs/>
                <w:color w:val="auto"/>
                <w:kern w:val="0"/>
                <w:szCs w:val="21"/>
              </w:rPr>
            </w:pPr>
            <w:r>
              <w:rPr>
                <w:rFonts w:hint="eastAsia" w:ascii="宋体" w:hAnsi="宋体" w:eastAsia="宋体" w:cs="Times New Roman"/>
                <w:bCs/>
                <w:color w:val="auto"/>
                <w:kern w:val="0"/>
                <w:szCs w:val="21"/>
              </w:rPr>
              <w:t>交货要求</w:t>
            </w:r>
          </w:p>
        </w:tc>
        <w:tc>
          <w:tcPr>
            <w:tcW w:w="445" w:type="pct"/>
            <w:vAlign w:val="center"/>
          </w:tcPr>
          <w:p w14:paraId="65E2797A">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Cs w:val="21"/>
              </w:rPr>
            </w:pPr>
          </w:p>
        </w:tc>
        <w:tc>
          <w:tcPr>
            <w:tcW w:w="1221" w:type="pct"/>
            <w:vAlign w:val="center"/>
          </w:tcPr>
          <w:p w14:paraId="3C8CAE69">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Cs w:val="21"/>
              </w:rPr>
            </w:pPr>
          </w:p>
        </w:tc>
        <w:tc>
          <w:tcPr>
            <w:tcW w:w="537" w:type="pct"/>
            <w:vAlign w:val="center"/>
          </w:tcPr>
          <w:p w14:paraId="5363F31D">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Cs w:val="21"/>
              </w:rPr>
            </w:pPr>
          </w:p>
        </w:tc>
      </w:tr>
      <w:tr w14:paraId="2826A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5" w:type="pct"/>
            <w:vAlign w:val="center"/>
          </w:tcPr>
          <w:p w14:paraId="20B646DC">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Cs w:val="21"/>
              </w:rPr>
            </w:pPr>
            <w:r>
              <w:rPr>
                <w:rFonts w:hint="eastAsia" w:ascii="宋体" w:hAnsi="宋体" w:eastAsia="宋体" w:cs="宋体"/>
                <w:color w:val="auto"/>
                <w:kern w:val="0"/>
                <w:szCs w:val="21"/>
              </w:rPr>
              <w:t>3</w:t>
            </w:r>
          </w:p>
        </w:tc>
        <w:tc>
          <w:tcPr>
            <w:tcW w:w="534" w:type="pct"/>
            <w:vAlign w:val="center"/>
          </w:tcPr>
          <w:p w14:paraId="1ACDC9FC">
            <w:pPr>
              <w:keepNext w:val="0"/>
              <w:keepLines w:val="0"/>
              <w:suppressLineNumbers w:val="0"/>
              <w:spacing w:before="0" w:beforeAutospacing="0" w:after="0" w:afterAutospacing="0" w:line="400" w:lineRule="exact"/>
              <w:ind w:left="0" w:right="0"/>
              <w:jc w:val="center"/>
              <w:rPr>
                <w:rFonts w:hint="default" w:ascii="宋体" w:hAnsi="宋体" w:eastAsia="宋体" w:cs="Times New Roman"/>
                <w:bCs/>
                <w:color w:val="auto"/>
                <w:szCs w:val="21"/>
              </w:rPr>
            </w:pPr>
            <w:r>
              <w:rPr>
                <w:rFonts w:hint="eastAsia" w:ascii="宋体" w:hAnsi="宋体" w:eastAsia="宋体" w:cs="Times New Roman"/>
                <w:bCs/>
                <w:color w:val="auto"/>
                <w:kern w:val="0"/>
                <w:szCs w:val="21"/>
              </w:rPr>
              <w:t>四</w:t>
            </w:r>
          </w:p>
        </w:tc>
        <w:tc>
          <w:tcPr>
            <w:tcW w:w="1946" w:type="pct"/>
            <w:vAlign w:val="center"/>
          </w:tcPr>
          <w:p w14:paraId="576793DC">
            <w:pPr>
              <w:keepNext w:val="0"/>
              <w:keepLines w:val="0"/>
              <w:suppressLineNumbers w:val="0"/>
              <w:spacing w:before="0" w:beforeAutospacing="0" w:after="0" w:afterAutospacing="0" w:line="400" w:lineRule="exact"/>
              <w:ind w:left="0" w:right="0"/>
              <w:jc w:val="left"/>
              <w:rPr>
                <w:rFonts w:hint="default" w:ascii="宋体" w:hAnsi="宋体" w:eastAsia="宋体" w:cs="Times New Roman"/>
                <w:bCs/>
                <w:color w:val="auto"/>
                <w:kern w:val="0"/>
                <w:szCs w:val="21"/>
              </w:rPr>
            </w:pPr>
            <w:r>
              <w:rPr>
                <w:rFonts w:hint="eastAsia" w:ascii="宋体" w:hAnsi="宋体" w:eastAsia="宋体" w:cs="Times New Roman"/>
                <w:bCs/>
                <w:color w:val="auto"/>
                <w:kern w:val="0"/>
                <w:szCs w:val="21"/>
              </w:rPr>
              <w:t>验收要求</w:t>
            </w:r>
          </w:p>
        </w:tc>
        <w:tc>
          <w:tcPr>
            <w:tcW w:w="445" w:type="pct"/>
            <w:vAlign w:val="center"/>
          </w:tcPr>
          <w:p w14:paraId="6C5FBCB9">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Cs w:val="21"/>
              </w:rPr>
            </w:pPr>
          </w:p>
        </w:tc>
        <w:tc>
          <w:tcPr>
            <w:tcW w:w="1221" w:type="pct"/>
            <w:vAlign w:val="center"/>
          </w:tcPr>
          <w:p w14:paraId="2A5D1DFB">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Cs w:val="21"/>
              </w:rPr>
            </w:pPr>
          </w:p>
        </w:tc>
        <w:tc>
          <w:tcPr>
            <w:tcW w:w="537" w:type="pct"/>
            <w:vAlign w:val="center"/>
          </w:tcPr>
          <w:p w14:paraId="44213766">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Cs w:val="21"/>
              </w:rPr>
            </w:pPr>
          </w:p>
        </w:tc>
      </w:tr>
      <w:tr w14:paraId="584A3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5" w:type="pct"/>
            <w:vAlign w:val="center"/>
          </w:tcPr>
          <w:p w14:paraId="2144DCD1">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Cs w:val="21"/>
              </w:rPr>
            </w:pPr>
            <w:r>
              <w:rPr>
                <w:rFonts w:hint="eastAsia" w:ascii="宋体" w:hAnsi="宋体" w:eastAsia="宋体" w:cs="宋体"/>
                <w:color w:val="auto"/>
                <w:kern w:val="0"/>
                <w:szCs w:val="21"/>
              </w:rPr>
              <w:t>4</w:t>
            </w:r>
          </w:p>
        </w:tc>
        <w:tc>
          <w:tcPr>
            <w:tcW w:w="534" w:type="pct"/>
            <w:vAlign w:val="center"/>
          </w:tcPr>
          <w:p w14:paraId="3AE2903D">
            <w:pPr>
              <w:keepNext w:val="0"/>
              <w:keepLines w:val="0"/>
              <w:suppressLineNumbers w:val="0"/>
              <w:spacing w:before="0" w:beforeAutospacing="0" w:after="0" w:afterAutospacing="0" w:line="400" w:lineRule="exact"/>
              <w:ind w:left="0" w:right="0"/>
              <w:jc w:val="center"/>
              <w:rPr>
                <w:rFonts w:hint="default" w:ascii="宋体" w:hAnsi="宋体" w:eastAsia="宋体" w:cs="Times New Roman"/>
                <w:bCs/>
                <w:color w:val="auto"/>
                <w:szCs w:val="21"/>
              </w:rPr>
            </w:pPr>
            <w:r>
              <w:rPr>
                <w:rFonts w:hint="eastAsia" w:ascii="宋体" w:hAnsi="宋体" w:eastAsia="宋体" w:cs="Times New Roman"/>
                <w:bCs/>
                <w:color w:val="auto"/>
                <w:kern w:val="0"/>
                <w:szCs w:val="21"/>
              </w:rPr>
              <w:t>五</w:t>
            </w:r>
          </w:p>
        </w:tc>
        <w:tc>
          <w:tcPr>
            <w:tcW w:w="1946" w:type="pct"/>
            <w:vAlign w:val="center"/>
          </w:tcPr>
          <w:p w14:paraId="172533D8">
            <w:pPr>
              <w:keepNext w:val="0"/>
              <w:keepLines w:val="0"/>
              <w:suppressLineNumbers w:val="0"/>
              <w:spacing w:before="0" w:beforeAutospacing="0" w:after="0" w:afterAutospacing="0" w:line="400" w:lineRule="exact"/>
              <w:ind w:left="0" w:right="0"/>
              <w:jc w:val="left"/>
              <w:rPr>
                <w:rFonts w:hint="default" w:ascii="宋体" w:hAnsi="宋体" w:eastAsia="宋体" w:cs="Times New Roman"/>
                <w:bCs/>
                <w:color w:val="auto"/>
                <w:kern w:val="0"/>
                <w:szCs w:val="21"/>
              </w:rPr>
            </w:pPr>
            <w:r>
              <w:rPr>
                <w:rFonts w:hint="eastAsia" w:ascii="宋体" w:hAnsi="宋体" w:eastAsia="宋体" w:cs="Times New Roman"/>
                <w:bCs/>
                <w:color w:val="auto"/>
                <w:kern w:val="0"/>
                <w:szCs w:val="21"/>
              </w:rPr>
              <w:t>报价及款项支付</w:t>
            </w:r>
          </w:p>
        </w:tc>
        <w:tc>
          <w:tcPr>
            <w:tcW w:w="445" w:type="pct"/>
            <w:vAlign w:val="center"/>
          </w:tcPr>
          <w:p w14:paraId="56F86ACB">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Cs w:val="21"/>
              </w:rPr>
            </w:pPr>
          </w:p>
        </w:tc>
        <w:tc>
          <w:tcPr>
            <w:tcW w:w="1221" w:type="pct"/>
            <w:vAlign w:val="center"/>
          </w:tcPr>
          <w:p w14:paraId="62B46F2F">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Cs w:val="21"/>
              </w:rPr>
            </w:pPr>
          </w:p>
        </w:tc>
        <w:tc>
          <w:tcPr>
            <w:tcW w:w="537" w:type="pct"/>
            <w:vAlign w:val="center"/>
          </w:tcPr>
          <w:p w14:paraId="432625D0">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Cs w:val="21"/>
              </w:rPr>
            </w:pPr>
          </w:p>
        </w:tc>
      </w:tr>
      <w:tr w14:paraId="7735D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5" w:type="pct"/>
            <w:vAlign w:val="center"/>
          </w:tcPr>
          <w:p w14:paraId="6871D0EB">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Cs w:val="21"/>
              </w:rPr>
            </w:pPr>
            <w:r>
              <w:rPr>
                <w:rFonts w:hint="eastAsia" w:ascii="宋体" w:hAnsi="宋体" w:eastAsia="宋体" w:cs="宋体"/>
                <w:color w:val="auto"/>
                <w:kern w:val="0"/>
                <w:szCs w:val="21"/>
              </w:rPr>
              <w:t>5</w:t>
            </w:r>
          </w:p>
        </w:tc>
        <w:tc>
          <w:tcPr>
            <w:tcW w:w="534" w:type="pct"/>
            <w:vAlign w:val="center"/>
          </w:tcPr>
          <w:p w14:paraId="746FCF64">
            <w:pPr>
              <w:keepNext w:val="0"/>
              <w:keepLines w:val="0"/>
              <w:suppressLineNumbers w:val="0"/>
              <w:spacing w:before="0" w:beforeAutospacing="0" w:after="0" w:afterAutospacing="0" w:line="400" w:lineRule="exact"/>
              <w:ind w:left="0" w:right="0"/>
              <w:jc w:val="center"/>
              <w:rPr>
                <w:rFonts w:hint="default" w:ascii="宋体" w:hAnsi="宋体" w:eastAsia="宋体" w:cs="Times New Roman"/>
                <w:bCs/>
                <w:color w:val="auto"/>
                <w:szCs w:val="21"/>
              </w:rPr>
            </w:pPr>
            <w:r>
              <w:rPr>
                <w:rFonts w:hint="eastAsia" w:ascii="宋体" w:hAnsi="宋体" w:eastAsia="宋体" w:cs="Times New Roman"/>
                <w:bCs/>
                <w:color w:val="auto"/>
                <w:kern w:val="0"/>
                <w:szCs w:val="21"/>
              </w:rPr>
              <w:t>六</w:t>
            </w:r>
          </w:p>
        </w:tc>
        <w:tc>
          <w:tcPr>
            <w:tcW w:w="1946" w:type="pct"/>
            <w:vAlign w:val="center"/>
          </w:tcPr>
          <w:p w14:paraId="745DB368">
            <w:pPr>
              <w:keepNext w:val="0"/>
              <w:keepLines w:val="0"/>
              <w:suppressLineNumbers w:val="0"/>
              <w:spacing w:before="0" w:beforeAutospacing="0" w:after="0" w:afterAutospacing="0" w:line="400" w:lineRule="exact"/>
              <w:ind w:left="0" w:right="0"/>
              <w:jc w:val="left"/>
              <w:rPr>
                <w:rFonts w:hint="default" w:ascii="宋体" w:hAnsi="宋体" w:eastAsia="宋体" w:cs="Times New Roman"/>
                <w:bCs/>
                <w:color w:val="auto"/>
                <w:kern w:val="0"/>
                <w:szCs w:val="21"/>
              </w:rPr>
            </w:pPr>
            <w:r>
              <w:rPr>
                <w:rFonts w:hint="eastAsia" w:ascii="宋体" w:hAnsi="宋体" w:eastAsia="宋体" w:cs="Times New Roman"/>
                <w:bCs/>
                <w:color w:val="auto"/>
                <w:kern w:val="0"/>
                <w:szCs w:val="21"/>
              </w:rPr>
              <w:t>履约要求</w:t>
            </w:r>
          </w:p>
        </w:tc>
        <w:tc>
          <w:tcPr>
            <w:tcW w:w="445" w:type="pct"/>
            <w:vAlign w:val="center"/>
          </w:tcPr>
          <w:p w14:paraId="63352E55">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Cs w:val="21"/>
              </w:rPr>
            </w:pPr>
          </w:p>
        </w:tc>
        <w:tc>
          <w:tcPr>
            <w:tcW w:w="1221" w:type="pct"/>
            <w:vAlign w:val="center"/>
          </w:tcPr>
          <w:p w14:paraId="282C5ECC">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Cs w:val="21"/>
              </w:rPr>
            </w:pPr>
          </w:p>
        </w:tc>
        <w:tc>
          <w:tcPr>
            <w:tcW w:w="537" w:type="pct"/>
            <w:vAlign w:val="center"/>
          </w:tcPr>
          <w:p w14:paraId="3827AFF6">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Cs w:val="21"/>
              </w:rPr>
            </w:pPr>
          </w:p>
        </w:tc>
      </w:tr>
      <w:tr w14:paraId="11F8C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5" w:type="pct"/>
            <w:vAlign w:val="center"/>
          </w:tcPr>
          <w:p w14:paraId="442221DC">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Cs w:val="21"/>
              </w:rPr>
            </w:pPr>
            <w:r>
              <w:rPr>
                <w:rFonts w:hint="eastAsia" w:ascii="宋体" w:hAnsi="宋体" w:eastAsia="宋体" w:cs="宋体"/>
                <w:color w:val="auto"/>
                <w:kern w:val="0"/>
                <w:szCs w:val="21"/>
              </w:rPr>
              <w:t>6</w:t>
            </w:r>
          </w:p>
        </w:tc>
        <w:tc>
          <w:tcPr>
            <w:tcW w:w="534" w:type="pct"/>
            <w:vAlign w:val="center"/>
          </w:tcPr>
          <w:p w14:paraId="78B67376">
            <w:pPr>
              <w:keepNext w:val="0"/>
              <w:keepLines w:val="0"/>
              <w:suppressLineNumbers w:val="0"/>
              <w:spacing w:before="0" w:beforeAutospacing="0" w:after="0" w:afterAutospacing="0" w:line="400" w:lineRule="exact"/>
              <w:ind w:left="0" w:right="0"/>
              <w:jc w:val="center"/>
              <w:rPr>
                <w:rFonts w:hint="default" w:ascii="宋体" w:hAnsi="宋体" w:eastAsia="宋体" w:cs="Times New Roman"/>
                <w:bCs/>
                <w:color w:val="auto"/>
                <w:szCs w:val="21"/>
              </w:rPr>
            </w:pPr>
            <w:r>
              <w:rPr>
                <w:rFonts w:hint="eastAsia" w:ascii="宋体" w:hAnsi="宋体" w:eastAsia="宋体" w:cs="Times New Roman"/>
                <w:bCs/>
                <w:color w:val="auto"/>
                <w:kern w:val="0"/>
                <w:szCs w:val="21"/>
              </w:rPr>
              <w:t>七</w:t>
            </w:r>
          </w:p>
        </w:tc>
        <w:tc>
          <w:tcPr>
            <w:tcW w:w="1946" w:type="pct"/>
            <w:vAlign w:val="center"/>
          </w:tcPr>
          <w:p w14:paraId="0D62F7A2">
            <w:pPr>
              <w:keepNext w:val="0"/>
              <w:keepLines w:val="0"/>
              <w:suppressLineNumbers w:val="0"/>
              <w:spacing w:before="0" w:beforeAutospacing="0" w:after="0" w:afterAutospacing="0" w:line="400" w:lineRule="exact"/>
              <w:ind w:left="0" w:right="0"/>
              <w:jc w:val="left"/>
              <w:rPr>
                <w:rFonts w:hint="default" w:ascii="宋体" w:hAnsi="宋体" w:eastAsia="宋体" w:cs="Times New Roman"/>
                <w:bCs/>
                <w:color w:val="auto"/>
                <w:kern w:val="0"/>
                <w:szCs w:val="21"/>
              </w:rPr>
            </w:pPr>
            <w:r>
              <w:rPr>
                <w:rFonts w:hint="eastAsia" w:ascii="宋体" w:hAnsi="宋体" w:eastAsia="宋体" w:cs="Times New Roman"/>
                <w:bCs/>
                <w:color w:val="auto"/>
                <w:kern w:val="0"/>
                <w:szCs w:val="21"/>
              </w:rPr>
              <w:t>质保期要求</w:t>
            </w:r>
          </w:p>
        </w:tc>
        <w:tc>
          <w:tcPr>
            <w:tcW w:w="445" w:type="pct"/>
            <w:vAlign w:val="center"/>
          </w:tcPr>
          <w:p w14:paraId="3865ED87">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Cs w:val="21"/>
              </w:rPr>
            </w:pPr>
          </w:p>
        </w:tc>
        <w:tc>
          <w:tcPr>
            <w:tcW w:w="1221" w:type="pct"/>
            <w:vAlign w:val="center"/>
          </w:tcPr>
          <w:p w14:paraId="47B59E2E">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Cs w:val="21"/>
              </w:rPr>
            </w:pPr>
          </w:p>
        </w:tc>
        <w:tc>
          <w:tcPr>
            <w:tcW w:w="537" w:type="pct"/>
            <w:vAlign w:val="center"/>
          </w:tcPr>
          <w:p w14:paraId="2A4DAE53">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Cs w:val="21"/>
              </w:rPr>
            </w:pPr>
          </w:p>
        </w:tc>
      </w:tr>
      <w:tr w14:paraId="54031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5" w:type="pct"/>
            <w:vAlign w:val="center"/>
          </w:tcPr>
          <w:p w14:paraId="431C55FF">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Cs w:val="21"/>
              </w:rPr>
            </w:pPr>
            <w:r>
              <w:rPr>
                <w:rFonts w:hint="eastAsia" w:ascii="宋体" w:hAnsi="宋体" w:eastAsia="宋体" w:cs="宋体"/>
                <w:color w:val="auto"/>
                <w:kern w:val="0"/>
                <w:szCs w:val="21"/>
              </w:rPr>
              <w:t>7</w:t>
            </w:r>
          </w:p>
        </w:tc>
        <w:tc>
          <w:tcPr>
            <w:tcW w:w="534" w:type="pct"/>
            <w:vAlign w:val="center"/>
          </w:tcPr>
          <w:p w14:paraId="6FAFF5D0">
            <w:pPr>
              <w:keepNext w:val="0"/>
              <w:keepLines w:val="0"/>
              <w:suppressLineNumbers w:val="0"/>
              <w:spacing w:before="0" w:beforeAutospacing="0" w:after="0" w:afterAutospacing="0" w:line="400" w:lineRule="exact"/>
              <w:ind w:left="0" w:right="0"/>
              <w:jc w:val="center"/>
              <w:rPr>
                <w:rFonts w:hint="default" w:ascii="宋体" w:hAnsi="宋体" w:eastAsia="宋体" w:cs="Times New Roman"/>
                <w:bCs/>
                <w:color w:val="auto"/>
                <w:szCs w:val="21"/>
              </w:rPr>
            </w:pPr>
            <w:r>
              <w:rPr>
                <w:rFonts w:hint="eastAsia" w:ascii="宋体" w:hAnsi="宋体" w:eastAsia="宋体" w:cs="Times New Roman"/>
                <w:bCs/>
                <w:color w:val="auto"/>
                <w:kern w:val="0"/>
                <w:szCs w:val="21"/>
              </w:rPr>
              <w:t>八</w:t>
            </w:r>
          </w:p>
        </w:tc>
        <w:tc>
          <w:tcPr>
            <w:tcW w:w="1946" w:type="pct"/>
            <w:vAlign w:val="center"/>
          </w:tcPr>
          <w:p w14:paraId="0B3649BA">
            <w:pPr>
              <w:keepNext w:val="0"/>
              <w:keepLines w:val="0"/>
              <w:suppressLineNumbers w:val="0"/>
              <w:spacing w:before="0" w:beforeAutospacing="0" w:after="0" w:afterAutospacing="0" w:line="400" w:lineRule="exact"/>
              <w:ind w:left="0" w:right="0"/>
              <w:jc w:val="left"/>
              <w:rPr>
                <w:rFonts w:hint="default" w:ascii="宋体" w:hAnsi="宋体" w:eastAsia="宋体" w:cs="Times New Roman"/>
                <w:bCs/>
                <w:color w:val="auto"/>
                <w:kern w:val="0"/>
                <w:szCs w:val="21"/>
              </w:rPr>
            </w:pPr>
            <w:r>
              <w:rPr>
                <w:rFonts w:hint="eastAsia" w:ascii="宋体" w:hAnsi="宋体" w:eastAsia="宋体" w:cs="Times New Roman"/>
                <w:bCs/>
                <w:color w:val="auto"/>
                <w:kern w:val="0"/>
                <w:szCs w:val="21"/>
              </w:rPr>
              <w:t>其他要求</w:t>
            </w:r>
          </w:p>
        </w:tc>
        <w:tc>
          <w:tcPr>
            <w:tcW w:w="445" w:type="pct"/>
            <w:vAlign w:val="center"/>
          </w:tcPr>
          <w:p w14:paraId="3C150832">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Cs w:val="21"/>
              </w:rPr>
            </w:pPr>
          </w:p>
        </w:tc>
        <w:tc>
          <w:tcPr>
            <w:tcW w:w="1221" w:type="pct"/>
            <w:vAlign w:val="center"/>
          </w:tcPr>
          <w:p w14:paraId="08B9567C">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Cs w:val="21"/>
              </w:rPr>
            </w:pPr>
          </w:p>
        </w:tc>
        <w:tc>
          <w:tcPr>
            <w:tcW w:w="537" w:type="pct"/>
            <w:vAlign w:val="center"/>
          </w:tcPr>
          <w:p w14:paraId="7CC643E1">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Cs w:val="21"/>
              </w:rPr>
            </w:pPr>
          </w:p>
        </w:tc>
      </w:tr>
      <w:tr w14:paraId="3D745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5" w:type="pct"/>
            <w:vAlign w:val="center"/>
          </w:tcPr>
          <w:p w14:paraId="558AE3EF">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Cs w:val="21"/>
              </w:rPr>
            </w:pPr>
            <w:r>
              <w:rPr>
                <w:rFonts w:hint="eastAsia" w:ascii="宋体" w:hAnsi="宋体" w:eastAsia="宋体" w:cs="宋体"/>
                <w:color w:val="auto"/>
                <w:kern w:val="0"/>
                <w:szCs w:val="21"/>
              </w:rPr>
              <w:t>8</w:t>
            </w:r>
          </w:p>
        </w:tc>
        <w:tc>
          <w:tcPr>
            <w:tcW w:w="534" w:type="pct"/>
            <w:vAlign w:val="center"/>
          </w:tcPr>
          <w:p w14:paraId="43E4BCA7">
            <w:pPr>
              <w:keepNext w:val="0"/>
              <w:keepLines w:val="0"/>
              <w:suppressLineNumbers w:val="0"/>
              <w:spacing w:before="0" w:beforeAutospacing="0" w:after="0" w:afterAutospacing="0" w:line="400" w:lineRule="exact"/>
              <w:ind w:left="0" w:right="0"/>
              <w:jc w:val="center"/>
              <w:rPr>
                <w:rFonts w:hint="eastAsia" w:ascii="宋体" w:hAnsi="宋体" w:eastAsia="宋体" w:cs="Times New Roman"/>
                <w:bCs/>
                <w:color w:val="auto"/>
                <w:szCs w:val="21"/>
                <w:lang w:eastAsia="zh-CN"/>
              </w:rPr>
            </w:pPr>
            <w:r>
              <w:rPr>
                <w:rFonts w:hint="eastAsia" w:ascii="宋体" w:hAnsi="宋体" w:eastAsia="宋体" w:cs="Times New Roman"/>
                <w:bCs/>
                <w:color w:val="auto"/>
                <w:szCs w:val="21"/>
                <w:lang w:eastAsia="zh-CN"/>
              </w:rPr>
              <w:t>附件一</w:t>
            </w:r>
          </w:p>
        </w:tc>
        <w:tc>
          <w:tcPr>
            <w:tcW w:w="1946" w:type="pct"/>
            <w:vAlign w:val="center"/>
          </w:tcPr>
          <w:p w14:paraId="042D9826">
            <w:pPr>
              <w:keepNext w:val="0"/>
              <w:keepLines w:val="0"/>
              <w:suppressLineNumbers w:val="0"/>
              <w:spacing w:before="0" w:beforeAutospacing="0" w:after="0" w:afterAutospacing="0" w:line="400" w:lineRule="exact"/>
              <w:ind w:left="0" w:right="0"/>
              <w:jc w:val="left"/>
              <w:rPr>
                <w:rFonts w:hint="default" w:ascii="宋体" w:hAnsi="宋体" w:eastAsia="宋体" w:cs="Times New Roman"/>
                <w:bCs/>
                <w:color w:val="auto"/>
                <w:kern w:val="0"/>
                <w:szCs w:val="21"/>
              </w:rPr>
            </w:pPr>
            <w:r>
              <w:rPr>
                <w:rFonts w:hint="eastAsia" w:ascii="宋体" w:hAnsi="宋体" w:eastAsia="宋体" w:cs="Times New Roman"/>
                <w:bCs/>
                <w:color w:val="auto"/>
                <w:kern w:val="0"/>
                <w:szCs w:val="21"/>
                <w:lang w:eastAsia="zh-CN"/>
              </w:rPr>
              <w:t>东莞市水务集团有限公司2025年安全及劳保物资采购项目</w:t>
            </w:r>
            <w:r>
              <w:rPr>
                <w:rFonts w:hint="eastAsia" w:ascii="宋体" w:hAnsi="宋体" w:eastAsia="宋体" w:cs="Times New Roman"/>
                <w:bCs/>
                <w:color w:val="auto"/>
                <w:kern w:val="0"/>
                <w:szCs w:val="21"/>
              </w:rPr>
              <w:t>采购清单</w:t>
            </w:r>
          </w:p>
        </w:tc>
        <w:tc>
          <w:tcPr>
            <w:tcW w:w="445" w:type="pct"/>
            <w:vAlign w:val="center"/>
          </w:tcPr>
          <w:p w14:paraId="5F1B7891">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Cs w:val="21"/>
              </w:rPr>
            </w:pPr>
          </w:p>
        </w:tc>
        <w:tc>
          <w:tcPr>
            <w:tcW w:w="1221" w:type="pct"/>
            <w:vAlign w:val="center"/>
          </w:tcPr>
          <w:p w14:paraId="487A4202">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Cs w:val="21"/>
              </w:rPr>
            </w:pPr>
          </w:p>
        </w:tc>
        <w:tc>
          <w:tcPr>
            <w:tcW w:w="537" w:type="pct"/>
            <w:vAlign w:val="center"/>
          </w:tcPr>
          <w:p w14:paraId="146A5772">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Cs w:val="21"/>
              </w:rPr>
            </w:pPr>
          </w:p>
        </w:tc>
      </w:tr>
    </w:tbl>
    <w:p w14:paraId="18DEC8EA">
      <w:pPr>
        <w:spacing w:line="360" w:lineRule="auto"/>
        <w:rPr>
          <w:rFonts w:ascii="宋体" w:hAnsi="宋体" w:eastAsia="宋体" w:cs="宋体"/>
          <w:color w:val="auto"/>
          <w:szCs w:val="21"/>
        </w:rPr>
      </w:pPr>
      <w:r>
        <w:rPr>
          <w:rFonts w:hint="eastAsia" w:ascii="宋体" w:hAnsi="宋体" w:eastAsia="宋体" w:cs="宋体"/>
          <w:color w:val="auto"/>
          <w:szCs w:val="21"/>
        </w:rPr>
        <w:t>备注：</w:t>
      </w:r>
    </w:p>
    <w:p w14:paraId="498B98C4">
      <w:pPr>
        <w:spacing w:line="360" w:lineRule="auto"/>
        <w:ind w:left="605" w:leftChars="18" w:hanging="567" w:hangingChars="270"/>
        <w:rPr>
          <w:rFonts w:ascii="宋体" w:hAnsi="宋体" w:eastAsia="宋体" w:cs="宋体"/>
          <w:color w:val="auto"/>
          <w:szCs w:val="21"/>
          <w:u w:val="single"/>
        </w:rPr>
      </w:pPr>
      <w:r>
        <w:rPr>
          <w:rFonts w:hint="eastAsia" w:ascii="宋体" w:hAnsi="宋体" w:eastAsia="宋体" w:cs="宋体"/>
          <w:color w:val="auto"/>
          <w:szCs w:val="21"/>
        </w:rPr>
        <w:t>（1）</w:t>
      </w:r>
      <w:r>
        <w:rPr>
          <w:rFonts w:hint="eastAsia" w:ascii="宋体" w:hAnsi="宋体" w:eastAsia="宋体" w:cs="宋体"/>
          <w:b/>
          <w:color w:val="auto"/>
          <w:szCs w:val="21"/>
          <w:u w:val="single"/>
        </w:rPr>
        <w:t>投标人应对照招标文件用户需求书的响应（其中“一、项目信息”除外），逐条逐项、如实地填写“偏离情况”，</w:t>
      </w:r>
      <w:r>
        <w:rPr>
          <w:rFonts w:hint="eastAsia" w:ascii="宋体" w:hAnsi="宋体" w:eastAsia="宋体" w:cs="Times New Roman"/>
          <w:b/>
          <w:color w:val="auto"/>
          <w:kern w:val="0"/>
          <w:szCs w:val="21"/>
          <w:u w:val="single"/>
        </w:rPr>
        <w:t>若发现未填写本表，或虚假填写本表，或伪造、变造证明材料的，按无效投标文件处理</w:t>
      </w:r>
      <w:r>
        <w:rPr>
          <w:rFonts w:hint="eastAsia" w:ascii="宋体" w:hAnsi="宋体" w:eastAsia="宋体" w:cs="宋体"/>
          <w:b/>
          <w:color w:val="auto"/>
          <w:szCs w:val="21"/>
          <w:u w:val="single"/>
        </w:rPr>
        <w:t>。若招标文件用户需求书中有“★”条款须逐条逐项、如实地填写“偏离情况”，未填写“★”条款以外的条款的，视为完全满足招标文件要求。</w:t>
      </w:r>
    </w:p>
    <w:p w14:paraId="623BA85F">
      <w:pPr>
        <w:spacing w:line="360" w:lineRule="auto"/>
        <w:ind w:left="605" w:leftChars="18" w:hanging="567" w:hangingChars="270"/>
        <w:rPr>
          <w:rFonts w:ascii="宋体" w:hAnsi="宋体" w:eastAsia="宋体" w:cs="宋体"/>
          <w:color w:val="auto"/>
          <w:szCs w:val="21"/>
        </w:rPr>
      </w:pPr>
      <w:r>
        <w:rPr>
          <w:rFonts w:hint="eastAsia" w:ascii="宋体" w:hAnsi="宋体" w:eastAsia="宋体" w:cs="宋体"/>
          <w:color w:val="auto"/>
          <w:szCs w:val="21"/>
        </w:rPr>
        <w:t xml:space="preserve">（2）偏离情况（投标文件对招标文件用户需求的响应程度）分为：正偏离、负偏离、无偏离。正偏离是指投标人对用户需求响应优于招标文件的要求；负偏离是指投标人对用户需求响应不满足或不完全满足招标文件的要求；无偏离是指投标人对用户需求响应完全满足招标文件的要求。 </w:t>
      </w:r>
    </w:p>
    <w:p w14:paraId="7EB3AB0D">
      <w:pPr>
        <w:spacing w:line="360" w:lineRule="auto"/>
        <w:ind w:left="607" w:leftChars="18" w:hanging="569" w:hangingChars="270"/>
        <w:rPr>
          <w:rFonts w:ascii="宋体" w:hAnsi="宋体" w:eastAsia="宋体" w:cs="Times New Roman"/>
          <w:b/>
          <w:color w:val="auto"/>
          <w:kern w:val="0"/>
          <w:szCs w:val="21"/>
          <w:u w:val="single"/>
        </w:rPr>
      </w:pPr>
      <w:r>
        <w:rPr>
          <w:rFonts w:hint="eastAsia" w:ascii="宋体" w:hAnsi="宋体" w:eastAsia="宋体" w:cs="宋体"/>
          <w:b/>
          <w:color w:val="auto"/>
          <w:szCs w:val="21"/>
        </w:rPr>
        <w:t>（3）</w:t>
      </w:r>
      <w:r>
        <w:rPr>
          <w:rFonts w:hint="eastAsia" w:ascii="宋体" w:hAnsi="宋体" w:eastAsia="宋体" w:cs="Times New Roman"/>
          <w:b/>
          <w:color w:val="auto"/>
          <w:kern w:val="0"/>
          <w:szCs w:val="21"/>
          <w:u w:val="single"/>
        </w:rPr>
        <w:t>应逐条</w:t>
      </w:r>
      <w:r>
        <w:rPr>
          <w:rFonts w:hint="eastAsia" w:ascii="宋体" w:hAnsi="宋体" w:eastAsia="宋体" w:cs="宋体"/>
          <w:b/>
          <w:color w:val="auto"/>
          <w:szCs w:val="21"/>
          <w:u w:val="single"/>
        </w:rPr>
        <w:t>逐项</w:t>
      </w:r>
      <w:r>
        <w:rPr>
          <w:rFonts w:hint="eastAsia" w:ascii="宋体" w:hAnsi="宋体" w:eastAsia="宋体" w:cs="Times New Roman"/>
          <w:b/>
          <w:color w:val="auto"/>
          <w:kern w:val="0"/>
          <w:szCs w:val="21"/>
          <w:u w:val="single"/>
        </w:rPr>
        <w:t>、如实地填写“偏离情况”。“偏离情况”项为正偏离（或负偏离）的，必须在“实质性响应的具体内容”项内详细说明与招标文件的偏离内容，“偏离情况”项为无偏离的，在“实质性响应的具体内容”项内填“完全响应招标文件要求”即可，也可进一步说明投标响应的具体内容。投标人可将反映投标货物技术参数、性能、功能的技术支持资料作为本表的附件，并在本偏离表“对应证明材料页码”项内注明其在投标文件中的具体页码。</w:t>
      </w:r>
    </w:p>
    <w:p w14:paraId="3DC92808">
      <w:pPr>
        <w:spacing w:line="360" w:lineRule="auto"/>
        <w:ind w:left="607" w:leftChars="18" w:hanging="569" w:hangingChars="270"/>
        <w:rPr>
          <w:rFonts w:ascii="宋体" w:hAnsi="宋体" w:eastAsia="宋体" w:cs="Times New Roman"/>
          <w:b/>
          <w:color w:val="auto"/>
          <w:kern w:val="0"/>
          <w:szCs w:val="21"/>
          <w:u w:val="single"/>
        </w:rPr>
      </w:pPr>
      <w:r>
        <w:rPr>
          <w:rFonts w:hint="eastAsia" w:ascii="宋体" w:hAnsi="宋体" w:eastAsia="宋体" w:cs="宋体"/>
          <w:b/>
          <w:color w:val="auto"/>
          <w:szCs w:val="21"/>
        </w:rPr>
        <w:t>（4）</w:t>
      </w:r>
      <w:r>
        <w:rPr>
          <w:rFonts w:ascii="宋体" w:hAnsi="宋体" w:eastAsia="宋体" w:cs="Times New Roman"/>
          <w:b/>
          <w:color w:val="auto"/>
          <w:kern w:val="0"/>
          <w:szCs w:val="21"/>
          <w:u w:val="single"/>
        </w:rPr>
        <w:t>凡标有“</w:t>
      </w:r>
      <w:r>
        <w:rPr>
          <w:rFonts w:hint="eastAsia" w:ascii="宋体" w:hAnsi="宋体" w:eastAsia="宋体" w:cs="Times New Roman"/>
          <w:b/>
          <w:color w:val="auto"/>
          <w:kern w:val="0"/>
          <w:szCs w:val="21"/>
          <w:u w:val="single"/>
        </w:rPr>
        <w:t>★</w:t>
      </w:r>
      <w:r>
        <w:rPr>
          <w:rFonts w:ascii="宋体" w:hAnsi="宋体" w:eastAsia="宋体" w:cs="Times New Roman"/>
          <w:b/>
          <w:color w:val="auto"/>
          <w:kern w:val="0"/>
          <w:szCs w:val="21"/>
          <w:u w:val="single"/>
        </w:rPr>
        <w:t>”的地方均被视为重要的技术指标要求或性能要求。投标</w:t>
      </w:r>
      <w:r>
        <w:rPr>
          <w:rFonts w:hint="eastAsia" w:ascii="宋体" w:hAnsi="宋体" w:eastAsia="宋体" w:cs="Times New Roman"/>
          <w:b/>
          <w:color w:val="auto"/>
          <w:kern w:val="0"/>
          <w:szCs w:val="21"/>
          <w:u w:val="single"/>
        </w:rPr>
        <w:t>人</w:t>
      </w:r>
      <w:r>
        <w:rPr>
          <w:rFonts w:ascii="宋体" w:hAnsi="宋体" w:eastAsia="宋体" w:cs="Times New Roman"/>
          <w:b/>
          <w:color w:val="auto"/>
          <w:kern w:val="0"/>
          <w:szCs w:val="21"/>
          <w:u w:val="single"/>
        </w:rPr>
        <w:t>要特别加以注意，必须对此回答并完全满足这些要求</w:t>
      </w:r>
      <w:r>
        <w:rPr>
          <w:rFonts w:hint="eastAsia" w:ascii="宋体" w:hAnsi="宋体" w:eastAsia="宋体" w:cs="Times New Roman"/>
          <w:b/>
          <w:color w:val="auto"/>
          <w:kern w:val="0"/>
          <w:szCs w:val="21"/>
          <w:u w:val="single"/>
        </w:rPr>
        <w:t>，</w:t>
      </w:r>
      <w:r>
        <w:rPr>
          <w:rFonts w:ascii="宋体" w:hAnsi="宋体" w:eastAsia="宋体" w:cs="Times New Roman"/>
          <w:b/>
          <w:color w:val="auto"/>
          <w:kern w:val="0"/>
          <w:szCs w:val="21"/>
          <w:u w:val="single"/>
        </w:rPr>
        <w:t>否则若有一项带“</w:t>
      </w:r>
      <w:r>
        <w:rPr>
          <w:rFonts w:hint="eastAsia" w:ascii="宋体" w:hAnsi="宋体" w:eastAsia="宋体" w:cs="Times New Roman"/>
          <w:b/>
          <w:color w:val="auto"/>
          <w:kern w:val="0"/>
          <w:szCs w:val="21"/>
          <w:u w:val="single"/>
        </w:rPr>
        <w:t>★</w:t>
      </w:r>
      <w:r>
        <w:rPr>
          <w:rFonts w:ascii="宋体" w:hAnsi="宋体" w:eastAsia="宋体" w:cs="Times New Roman"/>
          <w:b/>
          <w:color w:val="auto"/>
          <w:kern w:val="0"/>
          <w:szCs w:val="21"/>
          <w:u w:val="single"/>
        </w:rPr>
        <w:t>”的指标未响应或不满足，将按</w:t>
      </w:r>
      <w:r>
        <w:rPr>
          <w:rFonts w:hint="eastAsia" w:ascii="宋体" w:hAnsi="宋体" w:eastAsia="宋体" w:cs="Times New Roman"/>
          <w:b/>
          <w:color w:val="auto"/>
          <w:kern w:val="0"/>
          <w:szCs w:val="21"/>
          <w:u w:val="single"/>
        </w:rPr>
        <w:t>无效投标</w:t>
      </w:r>
      <w:r>
        <w:rPr>
          <w:rFonts w:ascii="宋体" w:hAnsi="宋体" w:eastAsia="宋体" w:cs="Times New Roman"/>
          <w:b/>
          <w:color w:val="auto"/>
          <w:kern w:val="0"/>
          <w:szCs w:val="21"/>
          <w:u w:val="single"/>
        </w:rPr>
        <w:t>处理</w:t>
      </w:r>
      <w:r>
        <w:rPr>
          <w:rFonts w:ascii="宋体" w:hAnsi="宋体" w:eastAsia="宋体" w:cs="Times New Roman"/>
          <w:b/>
          <w:color w:val="auto"/>
          <w:kern w:val="0"/>
          <w:sz w:val="24"/>
          <w:szCs w:val="21"/>
          <w:u w:val="single"/>
          <w:lang w:val="zh-CN"/>
        </w:rPr>
        <w:t>。</w:t>
      </w:r>
    </w:p>
    <w:p w14:paraId="30F23437">
      <w:pPr>
        <w:spacing w:line="360" w:lineRule="auto"/>
        <w:rPr>
          <w:rFonts w:ascii="宋体" w:hAnsi="宋体" w:eastAsia="宋体" w:cs="宋体"/>
          <w:color w:val="auto"/>
          <w:szCs w:val="21"/>
        </w:rPr>
      </w:pPr>
    </w:p>
    <w:p w14:paraId="0E69D774">
      <w:pPr>
        <w:autoSpaceDE w:val="0"/>
        <w:autoSpaceDN w:val="0"/>
        <w:adjustRightInd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 xml:space="preserve">                                              </w:t>
      </w:r>
      <w:r>
        <w:rPr>
          <w:rFonts w:ascii="宋体" w:hAnsi="宋体" w:eastAsia="宋体" w:cs="宋体"/>
          <w:color w:val="auto"/>
          <w:kern w:val="0"/>
          <w:szCs w:val="21"/>
        </w:rPr>
        <w:t xml:space="preserve">      </w:t>
      </w:r>
      <w:r>
        <w:rPr>
          <w:rFonts w:hint="eastAsia" w:ascii="宋体" w:hAnsi="宋体" w:eastAsia="宋体" w:cs="宋体"/>
          <w:color w:val="auto"/>
          <w:kern w:val="0"/>
          <w:szCs w:val="21"/>
        </w:rPr>
        <w:t xml:space="preserve"> </w:t>
      </w:r>
      <w:r>
        <w:rPr>
          <w:rFonts w:ascii="宋体" w:hAnsi="宋体" w:eastAsia="宋体" w:cs="宋体"/>
          <w:color w:val="auto"/>
          <w:kern w:val="0"/>
          <w:szCs w:val="21"/>
        </w:rPr>
        <w:t xml:space="preserve"> </w:t>
      </w:r>
      <w:r>
        <w:rPr>
          <w:rFonts w:hint="eastAsia" w:ascii="宋体" w:hAnsi="宋体" w:eastAsia="宋体" w:cs="宋体"/>
          <w:color w:val="auto"/>
          <w:kern w:val="0"/>
          <w:szCs w:val="21"/>
        </w:rPr>
        <w:t xml:space="preserve">  投标人：（</w:t>
      </w:r>
      <w:r>
        <w:rPr>
          <w:rFonts w:hint="eastAsia" w:ascii="宋体" w:hAnsi="宋体" w:eastAsia="宋体" w:cs="宋体"/>
          <w:color w:val="auto"/>
          <w:szCs w:val="21"/>
          <w:lang w:val="zh-CN"/>
        </w:rPr>
        <w:t>加盖投标人法人公章</w:t>
      </w:r>
      <w:r>
        <w:rPr>
          <w:rFonts w:hint="eastAsia" w:ascii="宋体" w:hAnsi="宋体" w:eastAsia="宋体" w:cs="宋体"/>
          <w:color w:val="auto"/>
          <w:kern w:val="0"/>
          <w:szCs w:val="21"/>
        </w:rPr>
        <w:t>）</w:t>
      </w:r>
    </w:p>
    <w:p w14:paraId="4BC74D7D">
      <w:pPr>
        <w:autoSpaceDE w:val="0"/>
        <w:autoSpaceDN w:val="0"/>
        <w:adjustRightInd w:val="0"/>
        <w:ind w:left="15" w:leftChars="-50" w:hanging="120"/>
        <w:jc w:val="left"/>
        <w:rPr>
          <w:rFonts w:ascii="宋体" w:hAnsi="宋体" w:eastAsia="宋体" w:cs="宋体"/>
          <w:b/>
          <w:bCs/>
          <w:color w:val="auto"/>
          <w:kern w:val="0"/>
          <w:sz w:val="30"/>
          <w:szCs w:val="30"/>
          <w:lang w:bidi="ar"/>
        </w:rPr>
      </w:pPr>
      <w:r>
        <w:rPr>
          <w:rFonts w:hint="eastAsia" w:ascii="宋体" w:hAnsi="宋体" w:eastAsia="宋体" w:cs="宋体"/>
          <w:color w:val="auto"/>
          <w:kern w:val="0"/>
          <w:szCs w:val="21"/>
        </w:rPr>
        <w:t xml:space="preserve">                                            </w:t>
      </w:r>
      <w:r>
        <w:rPr>
          <w:rFonts w:ascii="宋体" w:hAnsi="宋体" w:eastAsia="宋体" w:cs="宋体"/>
          <w:color w:val="auto"/>
          <w:kern w:val="0"/>
          <w:szCs w:val="21"/>
        </w:rPr>
        <w:t xml:space="preserve">                 </w:t>
      </w:r>
      <w:r>
        <w:rPr>
          <w:rFonts w:hint="eastAsia" w:ascii="宋体" w:hAnsi="宋体" w:eastAsia="宋体" w:cs="宋体"/>
          <w:color w:val="auto"/>
          <w:kern w:val="0"/>
          <w:szCs w:val="21"/>
        </w:rPr>
        <w:t xml:space="preserve">  日  期：   年  月  日</w:t>
      </w:r>
      <w:r>
        <w:rPr>
          <w:rFonts w:hint="eastAsia" w:ascii="宋体" w:hAnsi="宋体" w:eastAsia="宋体" w:cs="宋体"/>
          <w:b/>
          <w:bCs/>
          <w:color w:val="auto"/>
          <w:kern w:val="0"/>
          <w:sz w:val="30"/>
          <w:szCs w:val="30"/>
          <w:lang w:bidi="ar"/>
        </w:rPr>
        <w:br w:type="page"/>
      </w:r>
    </w:p>
    <w:p w14:paraId="5AC3E771">
      <w:pPr>
        <w:pageBreakBefore/>
        <w:tabs>
          <w:tab w:val="left" w:pos="567"/>
        </w:tabs>
        <w:autoSpaceDE w:val="0"/>
        <w:autoSpaceDN w:val="0"/>
        <w:adjustRightInd w:val="0"/>
        <w:spacing w:line="360" w:lineRule="auto"/>
        <w:jc w:val="left"/>
        <w:outlineLvl w:val="2"/>
        <w:rPr>
          <w:rFonts w:ascii="宋体" w:hAnsi="宋体" w:eastAsia="宋体" w:cs="宋体"/>
          <w:b/>
          <w:color w:val="auto"/>
          <w:kern w:val="0"/>
          <w:sz w:val="30"/>
          <w:szCs w:val="30"/>
        </w:rPr>
      </w:pPr>
      <w:bookmarkStart w:id="638" w:name="_Toc108528558"/>
      <w:bookmarkStart w:id="639" w:name="_Toc20483"/>
      <w:r>
        <w:rPr>
          <w:rFonts w:hint="eastAsia" w:ascii="宋体" w:hAnsi="宋体" w:eastAsia="宋体" w:cs="宋体"/>
          <w:b/>
          <w:color w:val="auto"/>
          <w:kern w:val="0"/>
          <w:sz w:val="30"/>
          <w:szCs w:val="30"/>
        </w:rPr>
        <w:t xml:space="preserve">12.2 </w:t>
      </w:r>
      <w:bookmarkEnd w:id="638"/>
      <w:r>
        <w:rPr>
          <w:rFonts w:hint="eastAsia" w:ascii="宋体" w:hAnsi="宋体" w:eastAsia="宋体" w:cs="宋体"/>
          <w:b/>
          <w:color w:val="auto"/>
          <w:kern w:val="0"/>
          <w:sz w:val="30"/>
          <w:szCs w:val="30"/>
        </w:rPr>
        <w:t>投标品牌表格式</w:t>
      </w:r>
      <w:bookmarkEnd w:id="639"/>
    </w:p>
    <w:p w14:paraId="60E13411">
      <w:pPr>
        <w:numPr>
          <w:ilvl w:val="255"/>
          <w:numId w:val="0"/>
        </w:numPr>
        <w:tabs>
          <w:tab w:val="left" w:pos="567"/>
        </w:tabs>
        <w:autoSpaceDE w:val="0"/>
        <w:autoSpaceDN w:val="0"/>
        <w:adjustRightInd w:val="0"/>
        <w:spacing w:line="360" w:lineRule="auto"/>
        <w:ind w:right="-23" w:rightChars="-11"/>
        <w:jc w:val="center"/>
        <w:rPr>
          <w:rFonts w:ascii="宋体" w:hAnsi="宋体" w:eastAsia="宋体" w:cs="宋体"/>
          <w:bCs/>
          <w:color w:val="auto"/>
          <w:kern w:val="28"/>
          <w:sz w:val="28"/>
          <w:szCs w:val="28"/>
          <w:lang w:val="zh-CN"/>
        </w:rPr>
      </w:pPr>
      <w:bookmarkStart w:id="640" w:name="_Hlk146289635"/>
      <w:r>
        <w:rPr>
          <w:rFonts w:hint="eastAsia" w:ascii="宋体" w:hAnsi="宋体" w:eastAsia="宋体" w:cs="宋体"/>
          <w:b/>
          <w:color w:val="auto"/>
          <w:kern w:val="28"/>
          <w:sz w:val="28"/>
          <w:szCs w:val="28"/>
          <w:lang w:val="zh-CN"/>
        </w:rPr>
        <w:t>投标品牌表</w:t>
      </w:r>
    </w:p>
    <w:p w14:paraId="408E7B62">
      <w:pPr>
        <w:spacing w:line="360" w:lineRule="auto"/>
        <w:rPr>
          <w:rFonts w:hint="eastAsia" w:ascii="宋体" w:hAnsi="宋体" w:eastAsia="宋体" w:cs="宋体"/>
          <w:color w:val="auto"/>
          <w:szCs w:val="21"/>
          <w:u w:val="single"/>
        </w:rPr>
      </w:pPr>
      <w:r>
        <w:rPr>
          <w:rFonts w:hint="eastAsia" w:ascii="宋体" w:hAnsi="宋体" w:eastAsia="宋体" w:cs="宋体"/>
          <w:b/>
          <w:bCs/>
          <w:color w:val="auto"/>
          <w:szCs w:val="21"/>
        </w:rPr>
        <w:t>项目名称：</w:t>
      </w:r>
      <w:r>
        <w:rPr>
          <w:rFonts w:hint="eastAsia" w:ascii="宋体" w:hAnsi="宋体" w:eastAsia="宋体" w:cs="宋体"/>
          <w:color w:val="auto"/>
          <w:szCs w:val="21"/>
          <w:u w:val="single"/>
          <w:lang w:eastAsia="zh-CN"/>
        </w:rPr>
        <w:t>东莞市水务集团有限公司2025年安全及劳保物资采购项目</w:t>
      </w:r>
    </w:p>
    <w:p w14:paraId="5AACE3A1">
      <w:pPr>
        <w:spacing w:line="360" w:lineRule="auto"/>
        <w:rPr>
          <w:rFonts w:ascii="宋体" w:hAnsi="宋体" w:eastAsia="宋体" w:cs="宋体"/>
          <w:b/>
          <w:color w:val="auto"/>
          <w:szCs w:val="21"/>
        </w:rPr>
      </w:pPr>
      <w:r>
        <w:rPr>
          <w:rFonts w:hint="eastAsia" w:ascii="宋体" w:hAnsi="宋体" w:eastAsia="宋体" w:cs="宋体"/>
          <w:b/>
          <w:color w:val="auto"/>
          <w:szCs w:val="21"/>
        </w:rPr>
        <w:t>招标编号：</w:t>
      </w:r>
      <w:r>
        <w:rPr>
          <w:rFonts w:hint="eastAsia" w:ascii="宋体" w:hAnsi="宋体" w:eastAsia="宋体" w:cs="宋体"/>
          <w:color w:val="auto"/>
          <w:szCs w:val="21"/>
          <w:u w:val="single"/>
          <w:lang w:val="zh-CN"/>
        </w:rPr>
        <w:t>DGDS2024-079</w:t>
      </w:r>
    </w:p>
    <w:p w14:paraId="0DFDB66E">
      <w:pPr>
        <w:spacing w:line="360" w:lineRule="auto"/>
        <w:rPr>
          <w:rFonts w:ascii="宋体" w:hAnsi="宋体" w:eastAsia="宋体" w:cs="宋体"/>
          <w:b/>
          <w:color w:val="auto"/>
          <w:szCs w:val="21"/>
        </w:rPr>
      </w:pPr>
      <w:r>
        <w:rPr>
          <w:rFonts w:hint="eastAsia" w:ascii="宋体" w:hAnsi="宋体" w:eastAsia="宋体" w:cs="宋体"/>
          <w:b/>
          <w:color w:val="auto"/>
          <w:szCs w:val="21"/>
        </w:rPr>
        <w:t>投标品牌填写说明：</w:t>
      </w:r>
    </w:p>
    <w:p w14:paraId="37A86950">
      <w:pPr>
        <w:autoSpaceDE w:val="0"/>
        <w:autoSpaceDN w:val="0"/>
        <w:adjustRightInd w:val="0"/>
        <w:spacing w:line="360" w:lineRule="auto"/>
        <w:ind w:firstLine="422" w:firstLineChars="200"/>
        <w:jc w:val="left"/>
        <w:rPr>
          <w:rFonts w:ascii="宋体" w:hAnsi="宋体" w:eastAsia="宋体" w:cs="宋体"/>
          <w:b/>
          <w:color w:val="auto"/>
          <w:szCs w:val="21"/>
        </w:rPr>
      </w:pPr>
      <w:r>
        <w:rPr>
          <w:rFonts w:hint="eastAsia" w:ascii="宋体" w:hAnsi="宋体" w:eastAsia="宋体" w:cs="宋体"/>
          <w:b/>
          <w:color w:val="auto"/>
          <w:szCs w:val="21"/>
        </w:rPr>
        <w:t>投标人应根据表格要求在不含税中标综合单价不变的前提下，填写每项物资投标人中标后能提供的品牌；中标后，招标人将根据实际需求，每次下单时将在投标人投标时所填报的物资品牌中明确当批次供货物资需求的品牌。</w:t>
      </w:r>
    </w:p>
    <w:tbl>
      <w:tblPr>
        <w:tblStyle w:val="45"/>
        <w:tblW w:w="4615" w:type="pct"/>
        <w:jc w:val="center"/>
        <w:tblLayout w:type="fixed"/>
        <w:tblCellMar>
          <w:top w:w="0" w:type="dxa"/>
          <w:left w:w="108" w:type="dxa"/>
          <w:bottom w:w="0" w:type="dxa"/>
          <w:right w:w="108" w:type="dxa"/>
        </w:tblCellMar>
      </w:tblPr>
      <w:tblGrid>
        <w:gridCol w:w="571"/>
        <w:gridCol w:w="1075"/>
        <w:gridCol w:w="2191"/>
        <w:gridCol w:w="826"/>
        <w:gridCol w:w="691"/>
        <w:gridCol w:w="1702"/>
        <w:gridCol w:w="707"/>
        <w:gridCol w:w="1810"/>
      </w:tblGrid>
      <w:tr w14:paraId="5ECE3ACE">
        <w:tblPrEx>
          <w:tblCellMar>
            <w:top w:w="0" w:type="dxa"/>
            <w:left w:w="108" w:type="dxa"/>
            <w:bottom w:w="0" w:type="dxa"/>
            <w:right w:w="108" w:type="dxa"/>
          </w:tblCellMar>
        </w:tblPrEx>
        <w:trPr>
          <w:trHeight w:val="840" w:hRule="atLeast"/>
          <w:jc w:val="center"/>
        </w:trPr>
        <w:tc>
          <w:tcPr>
            <w:tcW w:w="298" w:type="pct"/>
            <w:tcBorders>
              <w:top w:val="single" w:color="auto" w:sz="4" w:space="0"/>
              <w:left w:val="single" w:color="auto" w:sz="4" w:space="0"/>
              <w:bottom w:val="single" w:color="auto" w:sz="4" w:space="0"/>
              <w:right w:val="single" w:color="auto" w:sz="4" w:space="0"/>
            </w:tcBorders>
            <w:vAlign w:val="center"/>
          </w:tcPr>
          <w:p w14:paraId="0B93CDF2">
            <w:pPr>
              <w:keepNext w:val="0"/>
              <w:keepLines w:val="0"/>
              <w:widowControl/>
              <w:suppressLineNumbers w:val="0"/>
              <w:spacing w:before="0" w:beforeAutospacing="0" w:after="0" w:afterAutospacing="0"/>
              <w:ind w:left="0" w:right="0"/>
              <w:jc w:val="center"/>
              <w:rPr>
                <w:rFonts w:hint="default" w:ascii="宋体" w:hAnsi="宋体" w:eastAsia="宋体" w:cs="宋体"/>
                <w:b/>
                <w:bCs/>
                <w:color w:val="auto"/>
                <w:sz w:val="22"/>
              </w:rPr>
            </w:pPr>
            <w:r>
              <w:rPr>
                <w:rFonts w:hint="eastAsia" w:ascii="宋体" w:hAnsi="宋体" w:eastAsia="宋体" w:cs="宋体"/>
                <w:b/>
                <w:bCs/>
                <w:color w:val="auto"/>
                <w:sz w:val="22"/>
              </w:rPr>
              <w:t>序号</w:t>
            </w:r>
          </w:p>
        </w:tc>
        <w:tc>
          <w:tcPr>
            <w:tcW w:w="561" w:type="pct"/>
            <w:tcBorders>
              <w:top w:val="single" w:color="auto" w:sz="4" w:space="0"/>
              <w:left w:val="single" w:color="auto" w:sz="4" w:space="0"/>
              <w:bottom w:val="single" w:color="auto" w:sz="4" w:space="0"/>
              <w:right w:val="single" w:color="auto" w:sz="4" w:space="0"/>
            </w:tcBorders>
            <w:vAlign w:val="center"/>
          </w:tcPr>
          <w:p w14:paraId="605625AB">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sz w:val="22"/>
              </w:rPr>
            </w:pPr>
            <w:r>
              <w:rPr>
                <w:rFonts w:hint="eastAsia" w:ascii="宋体" w:hAnsi="宋体" w:eastAsia="宋体" w:cs="宋体"/>
                <w:b/>
                <w:bCs/>
                <w:color w:val="auto"/>
                <w:sz w:val="22"/>
                <w:lang w:eastAsia="zh-CN"/>
              </w:rPr>
              <w:t>项目名称</w:t>
            </w:r>
          </w:p>
        </w:tc>
        <w:tc>
          <w:tcPr>
            <w:tcW w:w="1144" w:type="pct"/>
            <w:tcBorders>
              <w:top w:val="single" w:color="auto" w:sz="4" w:space="0"/>
              <w:left w:val="single" w:color="auto" w:sz="4" w:space="0"/>
              <w:bottom w:val="single" w:color="auto" w:sz="4" w:space="0"/>
              <w:right w:val="single" w:color="auto" w:sz="4" w:space="0"/>
            </w:tcBorders>
            <w:vAlign w:val="center"/>
          </w:tcPr>
          <w:p w14:paraId="171965A2">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sz w:val="22"/>
              </w:rPr>
            </w:pPr>
            <w:r>
              <w:rPr>
                <w:rFonts w:hint="eastAsia" w:ascii="宋体" w:hAnsi="宋体" w:eastAsia="宋体" w:cs="宋体"/>
                <w:b/>
                <w:bCs/>
                <w:color w:val="auto"/>
                <w:sz w:val="22"/>
                <w:lang w:eastAsia="zh-CN"/>
              </w:rPr>
              <w:t>项目特征</w:t>
            </w:r>
          </w:p>
        </w:tc>
        <w:tc>
          <w:tcPr>
            <w:tcW w:w="431" w:type="pct"/>
            <w:tcBorders>
              <w:top w:val="single" w:color="auto" w:sz="4" w:space="0"/>
              <w:left w:val="single" w:color="auto" w:sz="4" w:space="0"/>
              <w:bottom w:val="single" w:color="auto" w:sz="4" w:space="0"/>
              <w:right w:val="single" w:color="auto" w:sz="4" w:space="0"/>
            </w:tcBorders>
            <w:vAlign w:val="center"/>
          </w:tcPr>
          <w:p w14:paraId="6FA38589">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sz w:val="22"/>
              </w:rPr>
            </w:pPr>
            <w:r>
              <w:rPr>
                <w:rFonts w:hint="eastAsia" w:ascii="宋体" w:hAnsi="宋体" w:eastAsia="宋体" w:cs="宋体"/>
                <w:b/>
                <w:bCs/>
                <w:color w:val="auto"/>
                <w:sz w:val="22"/>
                <w:lang w:eastAsia="zh-CN"/>
              </w:rPr>
              <w:t>单位</w:t>
            </w:r>
          </w:p>
        </w:tc>
        <w:tc>
          <w:tcPr>
            <w:tcW w:w="360" w:type="pct"/>
            <w:tcBorders>
              <w:top w:val="single" w:color="auto" w:sz="4" w:space="0"/>
              <w:left w:val="single" w:color="auto" w:sz="4" w:space="0"/>
              <w:bottom w:val="single" w:color="auto" w:sz="4" w:space="0"/>
              <w:right w:val="single" w:color="auto" w:sz="4" w:space="0"/>
            </w:tcBorders>
            <w:vAlign w:val="center"/>
          </w:tcPr>
          <w:p w14:paraId="5CC82738">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sz w:val="22"/>
              </w:rPr>
            </w:pPr>
            <w:r>
              <w:rPr>
                <w:rFonts w:hint="eastAsia" w:ascii="宋体" w:hAnsi="宋体" w:eastAsia="宋体" w:cs="宋体"/>
                <w:b/>
                <w:bCs/>
                <w:color w:val="auto"/>
                <w:sz w:val="22"/>
                <w:lang w:eastAsia="zh-CN"/>
              </w:rPr>
              <w:t>数量</w:t>
            </w:r>
          </w:p>
        </w:tc>
        <w:tc>
          <w:tcPr>
            <w:tcW w:w="888" w:type="pct"/>
            <w:tcBorders>
              <w:top w:val="single" w:color="auto" w:sz="4" w:space="0"/>
              <w:left w:val="single" w:color="auto" w:sz="4" w:space="0"/>
              <w:bottom w:val="single" w:color="auto" w:sz="4" w:space="0"/>
              <w:right w:val="single" w:color="auto" w:sz="4" w:space="0"/>
            </w:tcBorders>
            <w:vAlign w:val="center"/>
          </w:tcPr>
          <w:p w14:paraId="1B793E87">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sz w:val="22"/>
              </w:rPr>
            </w:pPr>
            <w:r>
              <w:rPr>
                <w:rFonts w:hint="eastAsia" w:ascii="宋体" w:hAnsi="宋体" w:eastAsia="宋体" w:cs="宋体"/>
                <w:b/>
                <w:bCs/>
                <w:color w:val="auto"/>
                <w:sz w:val="22"/>
                <w:lang w:eastAsia="zh-CN"/>
              </w:rPr>
              <w:t>推荐品牌</w:t>
            </w:r>
          </w:p>
        </w:tc>
        <w:tc>
          <w:tcPr>
            <w:tcW w:w="369" w:type="pct"/>
            <w:tcBorders>
              <w:top w:val="single" w:color="auto" w:sz="4" w:space="0"/>
              <w:left w:val="single" w:color="auto" w:sz="4" w:space="0"/>
              <w:bottom w:val="single" w:color="auto" w:sz="4" w:space="0"/>
              <w:right w:val="single" w:color="auto" w:sz="4" w:space="0"/>
            </w:tcBorders>
            <w:vAlign w:val="center"/>
          </w:tcPr>
          <w:p w14:paraId="66212563">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sz w:val="22"/>
              </w:rPr>
            </w:pPr>
            <w:r>
              <w:rPr>
                <w:rFonts w:hint="eastAsia" w:ascii="宋体" w:hAnsi="宋体" w:eastAsia="宋体" w:cs="宋体"/>
                <w:b/>
                <w:bCs/>
                <w:color w:val="auto"/>
                <w:sz w:val="22"/>
                <w:lang w:eastAsia="zh-CN"/>
              </w:rPr>
              <w:t>备注</w:t>
            </w:r>
          </w:p>
        </w:tc>
        <w:tc>
          <w:tcPr>
            <w:tcW w:w="945" w:type="pct"/>
            <w:tcBorders>
              <w:top w:val="single" w:color="auto" w:sz="4" w:space="0"/>
              <w:left w:val="single" w:color="auto" w:sz="4" w:space="0"/>
              <w:bottom w:val="single" w:color="auto" w:sz="4" w:space="0"/>
              <w:right w:val="single" w:color="auto" w:sz="4" w:space="0"/>
            </w:tcBorders>
            <w:vAlign w:val="center"/>
          </w:tcPr>
          <w:p w14:paraId="60597660">
            <w:pPr>
              <w:keepNext w:val="0"/>
              <w:keepLines w:val="0"/>
              <w:widowControl/>
              <w:suppressLineNumbers w:val="0"/>
              <w:spacing w:before="0" w:beforeAutospacing="0" w:after="0" w:afterAutospacing="0"/>
              <w:ind w:left="0" w:right="0"/>
              <w:jc w:val="center"/>
              <w:rPr>
                <w:rFonts w:hint="default" w:ascii="宋体" w:hAnsi="宋体" w:eastAsia="宋体" w:cs="宋体"/>
                <w:b/>
                <w:bCs/>
                <w:color w:val="auto"/>
                <w:sz w:val="22"/>
              </w:rPr>
            </w:pPr>
            <w:r>
              <w:rPr>
                <w:rFonts w:hint="eastAsia" w:ascii="宋体" w:hAnsi="宋体" w:eastAsia="宋体" w:cs="宋体"/>
                <w:b/>
                <w:bCs/>
                <w:color w:val="auto"/>
                <w:sz w:val="22"/>
              </w:rPr>
              <w:t>投标品牌</w:t>
            </w:r>
          </w:p>
        </w:tc>
      </w:tr>
      <w:tr w14:paraId="4155C5F6">
        <w:tblPrEx>
          <w:tblCellMar>
            <w:top w:w="0" w:type="dxa"/>
            <w:left w:w="108" w:type="dxa"/>
            <w:bottom w:w="0" w:type="dxa"/>
            <w:right w:w="108" w:type="dxa"/>
          </w:tblCellMar>
        </w:tblPrEx>
        <w:trPr>
          <w:trHeight w:val="35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vAlign w:val="center"/>
          </w:tcPr>
          <w:p w14:paraId="140ED18C">
            <w:pPr>
              <w:keepNext w:val="0"/>
              <w:keepLines w:val="0"/>
              <w:widowControl/>
              <w:suppressLineNumbers w:val="0"/>
              <w:spacing w:before="0" w:beforeAutospacing="0" w:after="0" w:afterAutospacing="0"/>
              <w:ind w:left="0" w:right="0"/>
              <w:jc w:val="center"/>
              <w:rPr>
                <w:rFonts w:hint="default" w:ascii="宋体" w:hAnsi="宋体" w:eastAsia="宋体" w:cs="宋体"/>
                <w:color w:val="auto"/>
                <w:sz w:val="20"/>
                <w:szCs w:val="20"/>
              </w:rPr>
            </w:pPr>
            <w:r>
              <w:rPr>
                <w:rFonts w:hint="eastAsia" w:ascii="宋体" w:hAnsi="宋体" w:eastAsia="宋体" w:cs="宋体"/>
                <w:color w:val="auto"/>
                <w:sz w:val="20"/>
                <w:szCs w:val="20"/>
              </w:rPr>
              <w:t>1</w:t>
            </w:r>
          </w:p>
        </w:tc>
        <w:tc>
          <w:tcPr>
            <w:tcW w:w="561" w:type="pct"/>
            <w:tcBorders>
              <w:top w:val="single" w:color="auto" w:sz="4" w:space="0"/>
              <w:left w:val="single" w:color="auto" w:sz="4" w:space="0"/>
              <w:bottom w:val="single" w:color="auto" w:sz="4" w:space="0"/>
              <w:right w:val="single" w:color="auto" w:sz="4" w:space="0"/>
            </w:tcBorders>
            <w:shd w:val="clear" w:color="DDEBF7" w:fill="DDEBF7"/>
            <w:vAlign w:val="center"/>
          </w:tcPr>
          <w:p w14:paraId="16EBE076">
            <w:pPr>
              <w:keepNext w:val="0"/>
              <w:keepLines w:val="0"/>
              <w:widowControl/>
              <w:suppressLineNumbers w:val="0"/>
              <w:spacing w:before="0" w:beforeAutospacing="0" w:after="0" w:afterAutospacing="0"/>
              <w:ind w:left="0" w:right="0"/>
              <w:jc w:val="center"/>
              <w:rPr>
                <w:rFonts w:hint="default" w:ascii="宋体" w:hAnsi="宋体" w:eastAsia="宋体" w:cs="宋体"/>
                <w:color w:val="auto"/>
                <w:sz w:val="20"/>
                <w:szCs w:val="20"/>
              </w:rPr>
            </w:pPr>
          </w:p>
        </w:tc>
        <w:tc>
          <w:tcPr>
            <w:tcW w:w="1144" w:type="pct"/>
            <w:tcBorders>
              <w:top w:val="single" w:color="auto" w:sz="4" w:space="0"/>
              <w:left w:val="single" w:color="auto" w:sz="4" w:space="0"/>
              <w:bottom w:val="single" w:color="auto" w:sz="4" w:space="0"/>
              <w:right w:val="single" w:color="auto" w:sz="4" w:space="0"/>
            </w:tcBorders>
            <w:shd w:val="clear" w:color="DDEBF7" w:fill="DDEBF7"/>
            <w:vAlign w:val="center"/>
          </w:tcPr>
          <w:p w14:paraId="4261CD17">
            <w:pPr>
              <w:keepNext w:val="0"/>
              <w:keepLines w:val="0"/>
              <w:widowControl/>
              <w:suppressLineNumbers w:val="0"/>
              <w:spacing w:before="0" w:beforeAutospacing="0" w:after="0" w:afterAutospacing="0"/>
              <w:ind w:left="0" w:right="0"/>
              <w:jc w:val="center"/>
              <w:rPr>
                <w:rFonts w:hint="default" w:ascii="宋体" w:hAnsi="宋体" w:eastAsia="宋体" w:cs="宋体"/>
                <w:color w:val="auto"/>
                <w:sz w:val="20"/>
                <w:szCs w:val="20"/>
              </w:rPr>
            </w:pPr>
          </w:p>
        </w:tc>
        <w:tc>
          <w:tcPr>
            <w:tcW w:w="431" w:type="pct"/>
            <w:tcBorders>
              <w:top w:val="single" w:color="auto" w:sz="4" w:space="0"/>
              <w:left w:val="single" w:color="auto" w:sz="4" w:space="0"/>
              <w:bottom w:val="single" w:color="auto" w:sz="4" w:space="0"/>
              <w:right w:val="single" w:color="auto" w:sz="4" w:space="0"/>
            </w:tcBorders>
            <w:shd w:val="clear" w:color="DDEBF7" w:fill="DDEBF7"/>
            <w:vAlign w:val="center"/>
          </w:tcPr>
          <w:p w14:paraId="1F34A2AF">
            <w:pPr>
              <w:keepNext w:val="0"/>
              <w:keepLines w:val="0"/>
              <w:widowControl/>
              <w:suppressLineNumbers w:val="0"/>
              <w:spacing w:before="0" w:beforeAutospacing="0" w:after="0" w:afterAutospacing="0"/>
              <w:ind w:left="0" w:right="0"/>
              <w:jc w:val="center"/>
              <w:rPr>
                <w:rFonts w:hint="default" w:ascii="宋体" w:hAnsi="宋体" w:eastAsia="宋体" w:cs="宋体"/>
                <w:color w:val="auto"/>
                <w:sz w:val="20"/>
                <w:szCs w:val="20"/>
              </w:rPr>
            </w:pPr>
          </w:p>
        </w:tc>
        <w:tc>
          <w:tcPr>
            <w:tcW w:w="360" w:type="pct"/>
            <w:tcBorders>
              <w:top w:val="single" w:color="auto" w:sz="4" w:space="0"/>
              <w:left w:val="single" w:color="auto" w:sz="4" w:space="0"/>
              <w:bottom w:val="single" w:color="auto" w:sz="4" w:space="0"/>
              <w:right w:val="single" w:color="auto" w:sz="4" w:space="0"/>
            </w:tcBorders>
            <w:shd w:val="clear" w:color="DDEBF7" w:fill="DDEBF7"/>
            <w:vAlign w:val="center"/>
          </w:tcPr>
          <w:p w14:paraId="12FB2A17">
            <w:pPr>
              <w:keepNext w:val="0"/>
              <w:keepLines w:val="0"/>
              <w:widowControl/>
              <w:suppressLineNumbers w:val="0"/>
              <w:spacing w:before="0" w:beforeAutospacing="0" w:after="0" w:afterAutospacing="0"/>
              <w:ind w:left="0" w:right="0"/>
              <w:jc w:val="center"/>
              <w:rPr>
                <w:rFonts w:hint="default" w:ascii="宋体" w:hAnsi="宋体" w:eastAsia="宋体" w:cs="宋体"/>
                <w:color w:val="auto"/>
                <w:sz w:val="20"/>
                <w:szCs w:val="20"/>
              </w:rPr>
            </w:pPr>
          </w:p>
        </w:tc>
        <w:tc>
          <w:tcPr>
            <w:tcW w:w="888" w:type="pct"/>
            <w:tcBorders>
              <w:top w:val="single" w:color="auto" w:sz="4" w:space="0"/>
              <w:left w:val="single" w:color="auto" w:sz="4" w:space="0"/>
              <w:bottom w:val="single" w:color="auto" w:sz="4" w:space="0"/>
              <w:right w:val="single" w:color="auto" w:sz="4" w:space="0"/>
            </w:tcBorders>
            <w:shd w:val="clear" w:color="DDEBF7" w:fill="DDEBF7"/>
            <w:vAlign w:val="center"/>
          </w:tcPr>
          <w:p w14:paraId="72C512DC">
            <w:pPr>
              <w:keepNext w:val="0"/>
              <w:keepLines w:val="0"/>
              <w:widowControl/>
              <w:suppressLineNumbers w:val="0"/>
              <w:spacing w:before="0" w:beforeAutospacing="0" w:after="0" w:afterAutospacing="0"/>
              <w:ind w:left="0" w:right="0"/>
              <w:jc w:val="center"/>
              <w:rPr>
                <w:rFonts w:hint="default" w:ascii="宋体" w:hAnsi="宋体" w:eastAsia="宋体" w:cs="宋体"/>
                <w:color w:val="auto"/>
                <w:sz w:val="20"/>
                <w:szCs w:val="20"/>
              </w:rPr>
            </w:pPr>
          </w:p>
        </w:tc>
        <w:tc>
          <w:tcPr>
            <w:tcW w:w="369" w:type="pct"/>
            <w:tcBorders>
              <w:top w:val="single" w:color="auto" w:sz="4" w:space="0"/>
              <w:left w:val="single" w:color="auto" w:sz="4" w:space="0"/>
              <w:bottom w:val="single" w:color="auto" w:sz="4" w:space="0"/>
              <w:right w:val="single" w:color="auto" w:sz="4" w:space="0"/>
            </w:tcBorders>
            <w:shd w:val="clear" w:color="DDEBF7" w:fill="DDEBF7"/>
            <w:vAlign w:val="center"/>
          </w:tcPr>
          <w:p w14:paraId="73D5D651">
            <w:pPr>
              <w:keepNext w:val="0"/>
              <w:keepLines w:val="0"/>
              <w:widowControl/>
              <w:suppressLineNumbers w:val="0"/>
              <w:spacing w:before="0" w:beforeAutospacing="0" w:after="0" w:afterAutospacing="0"/>
              <w:ind w:left="0" w:right="0"/>
              <w:jc w:val="center"/>
              <w:rPr>
                <w:rFonts w:hint="default" w:ascii="宋体" w:hAnsi="宋体" w:eastAsia="宋体" w:cs="宋体"/>
                <w:color w:val="auto"/>
                <w:sz w:val="20"/>
                <w:szCs w:val="20"/>
              </w:rPr>
            </w:pPr>
          </w:p>
        </w:tc>
        <w:tc>
          <w:tcPr>
            <w:tcW w:w="945" w:type="pct"/>
            <w:tcBorders>
              <w:top w:val="single" w:color="auto" w:sz="4" w:space="0"/>
              <w:left w:val="single" w:color="auto" w:sz="4" w:space="0"/>
              <w:bottom w:val="single" w:color="auto" w:sz="4" w:space="0"/>
              <w:right w:val="single" w:color="auto" w:sz="4" w:space="0"/>
            </w:tcBorders>
            <w:shd w:val="clear" w:color="DDEBF7" w:fill="DDEBF7"/>
            <w:vAlign w:val="center"/>
          </w:tcPr>
          <w:p w14:paraId="3D426089">
            <w:pPr>
              <w:keepNext w:val="0"/>
              <w:keepLines w:val="0"/>
              <w:widowControl/>
              <w:suppressLineNumbers w:val="0"/>
              <w:spacing w:before="0" w:beforeAutospacing="0" w:after="0" w:afterAutospacing="0"/>
              <w:ind w:left="0" w:right="0"/>
              <w:jc w:val="center"/>
              <w:rPr>
                <w:rFonts w:hint="default" w:ascii="宋体" w:hAnsi="宋体" w:eastAsia="宋体" w:cs="宋体"/>
                <w:color w:val="auto"/>
                <w:sz w:val="20"/>
                <w:szCs w:val="20"/>
              </w:rPr>
            </w:pPr>
          </w:p>
        </w:tc>
      </w:tr>
      <w:tr w14:paraId="1CD59F3B">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vAlign w:val="center"/>
          </w:tcPr>
          <w:p w14:paraId="61DE7EDE">
            <w:pPr>
              <w:keepNext w:val="0"/>
              <w:keepLines w:val="0"/>
              <w:widowControl/>
              <w:suppressLineNumbers w:val="0"/>
              <w:spacing w:before="0" w:beforeAutospacing="0" w:after="0" w:afterAutospacing="0"/>
              <w:ind w:left="0" w:right="0"/>
              <w:jc w:val="center"/>
              <w:rPr>
                <w:rFonts w:hint="default" w:ascii="宋体" w:hAnsi="宋体" w:eastAsia="宋体" w:cs="宋体"/>
                <w:color w:val="auto"/>
                <w:sz w:val="20"/>
                <w:szCs w:val="20"/>
              </w:rPr>
            </w:pPr>
            <w:r>
              <w:rPr>
                <w:rFonts w:hint="eastAsia" w:ascii="宋体" w:hAnsi="宋体" w:eastAsia="宋体" w:cs="宋体"/>
                <w:color w:val="auto"/>
                <w:sz w:val="20"/>
                <w:szCs w:val="20"/>
              </w:rPr>
              <w:t>2</w:t>
            </w:r>
          </w:p>
        </w:tc>
        <w:tc>
          <w:tcPr>
            <w:tcW w:w="561" w:type="pct"/>
            <w:tcBorders>
              <w:top w:val="single" w:color="auto" w:sz="4" w:space="0"/>
              <w:left w:val="single" w:color="auto" w:sz="4" w:space="0"/>
              <w:bottom w:val="single" w:color="auto" w:sz="4" w:space="0"/>
              <w:right w:val="single" w:color="auto" w:sz="4" w:space="0"/>
            </w:tcBorders>
            <w:vAlign w:val="center"/>
          </w:tcPr>
          <w:p w14:paraId="42D138E7">
            <w:pPr>
              <w:keepNext w:val="0"/>
              <w:keepLines w:val="0"/>
              <w:widowControl/>
              <w:suppressLineNumbers w:val="0"/>
              <w:spacing w:before="0" w:beforeAutospacing="0" w:after="0" w:afterAutospacing="0"/>
              <w:ind w:left="0" w:right="0"/>
              <w:jc w:val="center"/>
              <w:rPr>
                <w:rFonts w:hint="default" w:ascii="宋体" w:hAnsi="宋体" w:eastAsia="宋体" w:cs="宋体"/>
                <w:color w:val="auto"/>
                <w:sz w:val="20"/>
                <w:szCs w:val="20"/>
              </w:rPr>
            </w:pPr>
          </w:p>
        </w:tc>
        <w:tc>
          <w:tcPr>
            <w:tcW w:w="1144" w:type="pct"/>
            <w:tcBorders>
              <w:top w:val="single" w:color="auto" w:sz="4" w:space="0"/>
              <w:left w:val="single" w:color="auto" w:sz="4" w:space="0"/>
              <w:bottom w:val="single" w:color="auto" w:sz="4" w:space="0"/>
              <w:right w:val="single" w:color="auto" w:sz="4" w:space="0"/>
            </w:tcBorders>
            <w:vAlign w:val="center"/>
          </w:tcPr>
          <w:p w14:paraId="7C7375EF">
            <w:pPr>
              <w:keepNext w:val="0"/>
              <w:keepLines w:val="0"/>
              <w:widowControl/>
              <w:suppressLineNumbers w:val="0"/>
              <w:spacing w:before="0" w:beforeAutospacing="0" w:after="0" w:afterAutospacing="0"/>
              <w:ind w:left="0" w:right="0"/>
              <w:jc w:val="center"/>
              <w:rPr>
                <w:rFonts w:hint="default" w:ascii="宋体" w:hAnsi="宋体" w:eastAsia="宋体" w:cs="宋体"/>
                <w:color w:val="auto"/>
                <w:sz w:val="20"/>
                <w:szCs w:val="20"/>
              </w:rPr>
            </w:pPr>
          </w:p>
        </w:tc>
        <w:tc>
          <w:tcPr>
            <w:tcW w:w="431" w:type="pct"/>
            <w:tcBorders>
              <w:top w:val="single" w:color="auto" w:sz="4" w:space="0"/>
              <w:left w:val="single" w:color="auto" w:sz="4" w:space="0"/>
              <w:bottom w:val="single" w:color="auto" w:sz="4" w:space="0"/>
              <w:right w:val="single" w:color="auto" w:sz="4" w:space="0"/>
            </w:tcBorders>
            <w:vAlign w:val="center"/>
          </w:tcPr>
          <w:p w14:paraId="4EC26D10">
            <w:pPr>
              <w:keepNext w:val="0"/>
              <w:keepLines w:val="0"/>
              <w:widowControl/>
              <w:suppressLineNumbers w:val="0"/>
              <w:spacing w:before="0" w:beforeAutospacing="0" w:after="0" w:afterAutospacing="0"/>
              <w:ind w:left="0" w:right="0"/>
              <w:jc w:val="center"/>
              <w:rPr>
                <w:rFonts w:hint="default" w:ascii="宋体" w:hAnsi="宋体" w:eastAsia="宋体" w:cs="宋体"/>
                <w:color w:val="auto"/>
                <w:sz w:val="20"/>
                <w:szCs w:val="20"/>
              </w:rPr>
            </w:pPr>
          </w:p>
        </w:tc>
        <w:tc>
          <w:tcPr>
            <w:tcW w:w="360" w:type="pct"/>
            <w:tcBorders>
              <w:top w:val="single" w:color="auto" w:sz="4" w:space="0"/>
              <w:left w:val="single" w:color="auto" w:sz="4" w:space="0"/>
              <w:bottom w:val="single" w:color="auto" w:sz="4" w:space="0"/>
              <w:right w:val="single" w:color="auto" w:sz="4" w:space="0"/>
            </w:tcBorders>
            <w:vAlign w:val="center"/>
          </w:tcPr>
          <w:p w14:paraId="10638C77">
            <w:pPr>
              <w:keepNext w:val="0"/>
              <w:keepLines w:val="0"/>
              <w:widowControl/>
              <w:suppressLineNumbers w:val="0"/>
              <w:spacing w:before="0" w:beforeAutospacing="0" w:after="0" w:afterAutospacing="0"/>
              <w:ind w:left="0" w:right="0"/>
              <w:jc w:val="center"/>
              <w:rPr>
                <w:rFonts w:hint="default" w:ascii="宋体" w:hAnsi="宋体" w:eastAsia="宋体" w:cs="宋体"/>
                <w:color w:val="auto"/>
                <w:sz w:val="20"/>
                <w:szCs w:val="20"/>
              </w:rPr>
            </w:pPr>
          </w:p>
        </w:tc>
        <w:tc>
          <w:tcPr>
            <w:tcW w:w="888" w:type="pct"/>
            <w:tcBorders>
              <w:top w:val="single" w:color="auto" w:sz="4" w:space="0"/>
              <w:left w:val="single" w:color="auto" w:sz="4" w:space="0"/>
              <w:bottom w:val="single" w:color="auto" w:sz="4" w:space="0"/>
              <w:right w:val="single" w:color="auto" w:sz="4" w:space="0"/>
            </w:tcBorders>
            <w:vAlign w:val="center"/>
          </w:tcPr>
          <w:p w14:paraId="06D84273">
            <w:pPr>
              <w:keepNext w:val="0"/>
              <w:keepLines w:val="0"/>
              <w:widowControl/>
              <w:suppressLineNumbers w:val="0"/>
              <w:spacing w:before="0" w:beforeAutospacing="0" w:after="0" w:afterAutospacing="0"/>
              <w:ind w:left="0" w:right="0"/>
              <w:jc w:val="center"/>
              <w:rPr>
                <w:rFonts w:hint="default" w:ascii="宋体" w:hAnsi="宋体" w:eastAsia="宋体" w:cs="宋体"/>
                <w:color w:val="auto"/>
                <w:sz w:val="20"/>
                <w:szCs w:val="20"/>
              </w:rPr>
            </w:pPr>
          </w:p>
        </w:tc>
        <w:tc>
          <w:tcPr>
            <w:tcW w:w="369" w:type="pct"/>
            <w:tcBorders>
              <w:top w:val="single" w:color="auto" w:sz="4" w:space="0"/>
              <w:left w:val="single" w:color="auto" w:sz="4" w:space="0"/>
              <w:bottom w:val="single" w:color="auto" w:sz="4" w:space="0"/>
              <w:right w:val="single" w:color="auto" w:sz="4" w:space="0"/>
            </w:tcBorders>
            <w:vAlign w:val="center"/>
          </w:tcPr>
          <w:p w14:paraId="2E8F1962">
            <w:pPr>
              <w:keepNext w:val="0"/>
              <w:keepLines w:val="0"/>
              <w:widowControl/>
              <w:suppressLineNumbers w:val="0"/>
              <w:spacing w:before="0" w:beforeAutospacing="0" w:after="0" w:afterAutospacing="0"/>
              <w:ind w:left="0" w:right="0"/>
              <w:jc w:val="center"/>
              <w:rPr>
                <w:rFonts w:hint="default" w:ascii="宋体" w:hAnsi="宋体" w:eastAsia="宋体" w:cs="宋体"/>
                <w:color w:val="auto"/>
                <w:sz w:val="20"/>
                <w:szCs w:val="20"/>
              </w:rPr>
            </w:pPr>
          </w:p>
        </w:tc>
        <w:tc>
          <w:tcPr>
            <w:tcW w:w="945" w:type="pct"/>
            <w:tcBorders>
              <w:top w:val="single" w:color="auto" w:sz="4" w:space="0"/>
              <w:left w:val="single" w:color="auto" w:sz="4" w:space="0"/>
              <w:bottom w:val="single" w:color="auto" w:sz="4" w:space="0"/>
              <w:right w:val="single" w:color="auto" w:sz="4" w:space="0"/>
            </w:tcBorders>
            <w:vAlign w:val="center"/>
          </w:tcPr>
          <w:p w14:paraId="5DE9129D">
            <w:pPr>
              <w:keepNext w:val="0"/>
              <w:keepLines w:val="0"/>
              <w:widowControl/>
              <w:suppressLineNumbers w:val="0"/>
              <w:spacing w:before="0" w:beforeAutospacing="0" w:after="0" w:afterAutospacing="0"/>
              <w:ind w:left="0" w:right="0"/>
              <w:jc w:val="center"/>
              <w:rPr>
                <w:rFonts w:hint="default" w:ascii="宋体" w:hAnsi="宋体" w:eastAsia="宋体" w:cs="宋体"/>
                <w:color w:val="auto"/>
                <w:sz w:val="20"/>
                <w:szCs w:val="20"/>
              </w:rPr>
            </w:pPr>
          </w:p>
        </w:tc>
      </w:tr>
      <w:tr w14:paraId="1E41C0AB">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DDEBF7"/>
            <w:vAlign w:val="center"/>
          </w:tcPr>
          <w:p w14:paraId="09FAA917">
            <w:pPr>
              <w:keepNext w:val="0"/>
              <w:keepLines w:val="0"/>
              <w:widowControl/>
              <w:suppressLineNumbers w:val="0"/>
              <w:spacing w:before="0" w:beforeAutospacing="0" w:after="0" w:afterAutospacing="0"/>
              <w:ind w:left="0" w:right="0"/>
              <w:jc w:val="center"/>
              <w:rPr>
                <w:rFonts w:hint="default" w:ascii="宋体" w:hAnsi="宋体" w:eastAsia="宋体" w:cs="宋体"/>
                <w:color w:val="auto"/>
                <w:sz w:val="20"/>
                <w:szCs w:val="20"/>
              </w:rPr>
            </w:pPr>
            <w:r>
              <w:rPr>
                <w:rFonts w:hint="eastAsia" w:ascii="宋体" w:hAnsi="宋体" w:eastAsia="宋体" w:cs="宋体"/>
                <w:color w:val="auto"/>
                <w:sz w:val="20"/>
                <w:szCs w:val="20"/>
              </w:rPr>
              <w:t>3</w:t>
            </w:r>
          </w:p>
        </w:tc>
        <w:tc>
          <w:tcPr>
            <w:tcW w:w="561" w:type="pct"/>
            <w:tcBorders>
              <w:top w:val="single" w:color="auto" w:sz="4" w:space="0"/>
              <w:left w:val="single" w:color="auto" w:sz="4" w:space="0"/>
              <w:bottom w:val="single" w:color="auto" w:sz="4" w:space="0"/>
              <w:right w:val="single" w:color="auto" w:sz="4" w:space="0"/>
            </w:tcBorders>
            <w:shd w:val="clear" w:color="DDEBF7" w:fill="DDEBF7"/>
            <w:vAlign w:val="center"/>
          </w:tcPr>
          <w:p w14:paraId="668A495A">
            <w:pPr>
              <w:keepNext w:val="0"/>
              <w:keepLines w:val="0"/>
              <w:widowControl/>
              <w:suppressLineNumbers w:val="0"/>
              <w:spacing w:before="0" w:beforeAutospacing="0" w:after="0" w:afterAutospacing="0"/>
              <w:ind w:left="0" w:right="0"/>
              <w:jc w:val="center"/>
              <w:rPr>
                <w:rFonts w:hint="default" w:ascii="宋体" w:hAnsi="宋体" w:eastAsia="宋体" w:cs="宋体"/>
                <w:color w:val="auto"/>
                <w:sz w:val="20"/>
                <w:szCs w:val="20"/>
              </w:rPr>
            </w:pPr>
          </w:p>
        </w:tc>
        <w:tc>
          <w:tcPr>
            <w:tcW w:w="1144" w:type="pct"/>
            <w:tcBorders>
              <w:top w:val="single" w:color="auto" w:sz="4" w:space="0"/>
              <w:left w:val="single" w:color="auto" w:sz="4" w:space="0"/>
              <w:bottom w:val="single" w:color="auto" w:sz="4" w:space="0"/>
              <w:right w:val="single" w:color="auto" w:sz="4" w:space="0"/>
            </w:tcBorders>
            <w:shd w:val="clear" w:color="DDEBF7" w:fill="DDEBF7"/>
            <w:vAlign w:val="center"/>
          </w:tcPr>
          <w:p w14:paraId="35BF5C9C">
            <w:pPr>
              <w:keepNext w:val="0"/>
              <w:keepLines w:val="0"/>
              <w:widowControl/>
              <w:suppressLineNumbers w:val="0"/>
              <w:spacing w:before="0" w:beforeAutospacing="0" w:after="0" w:afterAutospacing="0"/>
              <w:ind w:left="0" w:right="0"/>
              <w:jc w:val="center"/>
              <w:rPr>
                <w:rFonts w:hint="default" w:ascii="宋体" w:hAnsi="宋体" w:eastAsia="宋体" w:cs="宋体"/>
                <w:color w:val="auto"/>
                <w:sz w:val="20"/>
                <w:szCs w:val="20"/>
              </w:rPr>
            </w:pPr>
          </w:p>
        </w:tc>
        <w:tc>
          <w:tcPr>
            <w:tcW w:w="431" w:type="pct"/>
            <w:tcBorders>
              <w:top w:val="single" w:color="auto" w:sz="4" w:space="0"/>
              <w:left w:val="single" w:color="auto" w:sz="4" w:space="0"/>
              <w:bottom w:val="single" w:color="auto" w:sz="4" w:space="0"/>
              <w:right w:val="single" w:color="auto" w:sz="4" w:space="0"/>
            </w:tcBorders>
            <w:shd w:val="clear" w:color="DDEBF7" w:fill="DDEBF7"/>
            <w:vAlign w:val="center"/>
          </w:tcPr>
          <w:p w14:paraId="0071CB21">
            <w:pPr>
              <w:keepNext w:val="0"/>
              <w:keepLines w:val="0"/>
              <w:widowControl/>
              <w:suppressLineNumbers w:val="0"/>
              <w:spacing w:before="0" w:beforeAutospacing="0" w:after="0" w:afterAutospacing="0"/>
              <w:ind w:left="0" w:right="0"/>
              <w:jc w:val="center"/>
              <w:rPr>
                <w:rFonts w:hint="default" w:ascii="宋体" w:hAnsi="宋体" w:eastAsia="宋体" w:cs="宋体"/>
                <w:color w:val="auto"/>
                <w:sz w:val="20"/>
                <w:szCs w:val="20"/>
              </w:rPr>
            </w:pPr>
          </w:p>
        </w:tc>
        <w:tc>
          <w:tcPr>
            <w:tcW w:w="360" w:type="pct"/>
            <w:tcBorders>
              <w:top w:val="single" w:color="auto" w:sz="4" w:space="0"/>
              <w:left w:val="single" w:color="auto" w:sz="4" w:space="0"/>
              <w:bottom w:val="single" w:color="auto" w:sz="4" w:space="0"/>
              <w:right w:val="single" w:color="auto" w:sz="4" w:space="0"/>
            </w:tcBorders>
            <w:shd w:val="clear" w:color="DDEBF7" w:fill="DDEBF7"/>
            <w:vAlign w:val="center"/>
          </w:tcPr>
          <w:p w14:paraId="746F0ABB">
            <w:pPr>
              <w:keepNext w:val="0"/>
              <w:keepLines w:val="0"/>
              <w:widowControl/>
              <w:suppressLineNumbers w:val="0"/>
              <w:spacing w:before="0" w:beforeAutospacing="0" w:after="0" w:afterAutospacing="0"/>
              <w:ind w:left="0" w:right="0"/>
              <w:jc w:val="center"/>
              <w:rPr>
                <w:rFonts w:hint="default" w:ascii="宋体" w:hAnsi="宋体" w:eastAsia="宋体" w:cs="宋体"/>
                <w:color w:val="auto"/>
                <w:sz w:val="20"/>
                <w:szCs w:val="20"/>
              </w:rPr>
            </w:pPr>
          </w:p>
        </w:tc>
        <w:tc>
          <w:tcPr>
            <w:tcW w:w="888" w:type="pct"/>
            <w:tcBorders>
              <w:top w:val="single" w:color="auto" w:sz="4" w:space="0"/>
              <w:left w:val="single" w:color="auto" w:sz="4" w:space="0"/>
              <w:bottom w:val="single" w:color="auto" w:sz="4" w:space="0"/>
              <w:right w:val="single" w:color="auto" w:sz="4" w:space="0"/>
            </w:tcBorders>
            <w:shd w:val="clear" w:color="DDEBF7" w:fill="DDEBF7"/>
            <w:vAlign w:val="center"/>
          </w:tcPr>
          <w:p w14:paraId="4EB2BBCE">
            <w:pPr>
              <w:keepNext w:val="0"/>
              <w:keepLines w:val="0"/>
              <w:widowControl/>
              <w:suppressLineNumbers w:val="0"/>
              <w:spacing w:before="0" w:beforeAutospacing="0" w:after="0" w:afterAutospacing="0"/>
              <w:ind w:left="0" w:right="0"/>
              <w:jc w:val="center"/>
              <w:rPr>
                <w:rFonts w:hint="default" w:ascii="宋体" w:hAnsi="宋体" w:eastAsia="宋体" w:cs="宋体"/>
                <w:color w:val="auto"/>
                <w:sz w:val="20"/>
                <w:szCs w:val="20"/>
              </w:rPr>
            </w:pPr>
          </w:p>
        </w:tc>
        <w:tc>
          <w:tcPr>
            <w:tcW w:w="369" w:type="pct"/>
            <w:tcBorders>
              <w:top w:val="single" w:color="auto" w:sz="4" w:space="0"/>
              <w:left w:val="single" w:color="auto" w:sz="4" w:space="0"/>
              <w:bottom w:val="single" w:color="auto" w:sz="4" w:space="0"/>
              <w:right w:val="single" w:color="auto" w:sz="4" w:space="0"/>
            </w:tcBorders>
            <w:shd w:val="clear" w:color="DDEBF7" w:fill="DDEBF7"/>
            <w:vAlign w:val="center"/>
          </w:tcPr>
          <w:p w14:paraId="47CC8CCE">
            <w:pPr>
              <w:keepNext w:val="0"/>
              <w:keepLines w:val="0"/>
              <w:widowControl/>
              <w:suppressLineNumbers w:val="0"/>
              <w:spacing w:before="0" w:beforeAutospacing="0" w:after="0" w:afterAutospacing="0"/>
              <w:ind w:left="0" w:right="0"/>
              <w:jc w:val="center"/>
              <w:rPr>
                <w:rFonts w:hint="default" w:ascii="宋体" w:hAnsi="宋体" w:eastAsia="宋体" w:cs="宋体"/>
                <w:color w:val="auto"/>
                <w:sz w:val="20"/>
                <w:szCs w:val="20"/>
              </w:rPr>
            </w:pPr>
          </w:p>
        </w:tc>
        <w:tc>
          <w:tcPr>
            <w:tcW w:w="945" w:type="pct"/>
            <w:tcBorders>
              <w:top w:val="single" w:color="auto" w:sz="4" w:space="0"/>
              <w:left w:val="single" w:color="auto" w:sz="4" w:space="0"/>
              <w:bottom w:val="single" w:color="auto" w:sz="4" w:space="0"/>
              <w:right w:val="single" w:color="auto" w:sz="4" w:space="0"/>
            </w:tcBorders>
            <w:shd w:val="clear" w:color="DDEBF7" w:fill="DDEBF7"/>
            <w:vAlign w:val="center"/>
          </w:tcPr>
          <w:p w14:paraId="1C5665FB">
            <w:pPr>
              <w:keepNext w:val="0"/>
              <w:keepLines w:val="0"/>
              <w:widowControl/>
              <w:suppressLineNumbers w:val="0"/>
              <w:spacing w:before="0" w:beforeAutospacing="0" w:after="0" w:afterAutospacing="0"/>
              <w:ind w:left="0" w:right="0"/>
              <w:jc w:val="center"/>
              <w:rPr>
                <w:rFonts w:hint="default" w:ascii="宋体" w:hAnsi="宋体" w:eastAsia="宋体" w:cs="宋体"/>
                <w:color w:val="auto"/>
                <w:sz w:val="20"/>
                <w:szCs w:val="20"/>
              </w:rPr>
            </w:pPr>
          </w:p>
        </w:tc>
      </w:tr>
      <w:tr w14:paraId="0E7A3D9B">
        <w:tblPrEx>
          <w:tblCellMar>
            <w:top w:w="0" w:type="dxa"/>
            <w:left w:w="108" w:type="dxa"/>
            <w:bottom w:w="0" w:type="dxa"/>
            <w:right w:w="108" w:type="dxa"/>
          </w:tblCellMar>
        </w:tblPrEx>
        <w:trPr>
          <w:trHeight w:val="330" w:hRule="atLeast"/>
          <w:jc w:val="center"/>
        </w:trPr>
        <w:tc>
          <w:tcPr>
            <w:tcW w:w="298" w:type="pct"/>
            <w:tcBorders>
              <w:top w:val="single" w:color="auto" w:sz="4" w:space="0"/>
              <w:left w:val="single" w:color="auto" w:sz="4" w:space="0"/>
              <w:bottom w:val="single" w:color="auto" w:sz="4" w:space="0"/>
              <w:right w:val="single" w:color="auto" w:sz="4" w:space="0"/>
            </w:tcBorders>
            <w:shd w:val="clear" w:color="DDEBF7" w:fill="auto"/>
            <w:vAlign w:val="center"/>
          </w:tcPr>
          <w:p w14:paraId="649D7318">
            <w:pPr>
              <w:keepNext w:val="0"/>
              <w:keepLines w:val="0"/>
              <w:widowControl/>
              <w:suppressLineNumbers w:val="0"/>
              <w:spacing w:before="0" w:beforeAutospacing="0" w:after="0" w:afterAutospacing="0"/>
              <w:ind w:left="0" w:right="0"/>
              <w:jc w:val="center"/>
              <w:rPr>
                <w:rFonts w:hint="default" w:ascii="宋体" w:hAnsi="宋体" w:eastAsia="宋体" w:cs="宋体"/>
                <w:color w:val="auto"/>
                <w:sz w:val="20"/>
                <w:szCs w:val="20"/>
              </w:rPr>
            </w:pPr>
            <w:r>
              <w:rPr>
                <w:rFonts w:hint="eastAsia" w:ascii="宋体" w:hAnsi="宋体" w:eastAsia="宋体" w:cs="宋体"/>
                <w:color w:val="auto"/>
                <w:sz w:val="20"/>
                <w:szCs w:val="20"/>
              </w:rPr>
              <w:t>...</w:t>
            </w:r>
          </w:p>
        </w:tc>
        <w:tc>
          <w:tcPr>
            <w:tcW w:w="561" w:type="pct"/>
            <w:tcBorders>
              <w:top w:val="single" w:color="auto" w:sz="4" w:space="0"/>
              <w:left w:val="single" w:color="auto" w:sz="4" w:space="0"/>
              <w:bottom w:val="single" w:color="auto" w:sz="4" w:space="0"/>
              <w:right w:val="single" w:color="auto" w:sz="4" w:space="0"/>
            </w:tcBorders>
            <w:shd w:val="clear" w:color="DDEBF7" w:fill="auto"/>
            <w:vAlign w:val="center"/>
          </w:tcPr>
          <w:p w14:paraId="3BDC4928">
            <w:pPr>
              <w:keepNext w:val="0"/>
              <w:keepLines w:val="0"/>
              <w:widowControl/>
              <w:suppressLineNumbers w:val="0"/>
              <w:spacing w:before="0" w:beforeAutospacing="0" w:after="0" w:afterAutospacing="0"/>
              <w:ind w:left="0" w:right="0"/>
              <w:jc w:val="center"/>
              <w:rPr>
                <w:rFonts w:hint="default" w:ascii="宋体" w:hAnsi="宋体" w:eastAsia="宋体" w:cs="宋体"/>
                <w:color w:val="auto"/>
                <w:sz w:val="20"/>
                <w:szCs w:val="20"/>
              </w:rPr>
            </w:pPr>
          </w:p>
        </w:tc>
        <w:tc>
          <w:tcPr>
            <w:tcW w:w="1144" w:type="pct"/>
            <w:tcBorders>
              <w:top w:val="single" w:color="auto" w:sz="4" w:space="0"/>
              <w:left w:val="single" w:color="auto" w:sz="4" w:space="0"/>
              <w:bottom w:val="single" w:color="auto" w:sz="4" w:space="0"/>
              <w:right w:val="single" w:color="auto" w:sz="4" w:space="0"/>
            </w:tcBorders>
            <w:shd w:val="clear" w:color="DDEBF7" w:fill="auto"/>
            <w:vAlign w:val="center"/>
          </w:tcPr>
          <w:p w14:paraId="3F70438F">
            <w:pPr>
              <w:keepNext w:val="0"/>
              <w:keepLines w:val="0"/>
              <w:widowControl/>
              <w:suppressLineNumbers w:val="0"/>
              <w:spacing w:before="0" w:beforeAutospacing="0" w:after="0" w:afterAutospacing="0"/>
              <w:ind w:left="0" w:right="0"/>
              <w:jc w:val="center"/>
              <w:rPr>
                <w:rFonts w:hint="default" w:ascii="宋体" w:hAnsi="宋体" w:eastAsia="宋体" w:cs="宋体"/>
                <w:color w:val="auto"/>
                <w:sz w:val="20"/>
                <w:szCs w:val="20"/>
              </w:rPr>
            </w:pPr>
          </w:p>
        </w:tc>
        <w:tc>
          <w:tcPr>
            <w:tcW w:w="431" w:type="pct"/>
            <w:tcBorders>
              <w:top w:val="single" w:color="auto" w:sz="4" w:space="0"/>
              <w:left w:val="single" w:color="auto" w:sz="4" w:space="0"/>
              <w:bottom w:val="single" w:color="auto" w:sz="4" w:space="0"/>
              <w:right w:val="single" w:color="auto" w:sz="4" w:space="0"/>
            </w:tcBorders>
            <w:shd w:val="clear" w:color="DDEBF7" w:fill="auto"/>
            <w:vAlign w:val="center"/>
          </w:tcPr>
          <w:p w14:paraId="1E73EBAE">
            <w:pPr>
              <w:keepNext w:val="0"/>
              <w:keepLines w:val="0"/>
              <w:widowControl/>
              <w:suppressLineNumbers w:val="0"/>
              <w:spacing w:before="0" w:beforeAutospacing="0" w:after="0" w:afterAutospacing="0"/>
              <w:ind w:left="0" w:right="0"/>
              <w:jc w:val="center"/>
              <w:rPr>
                <w:rFonts w:hint="default" w:ascii="宋体" w:hAnsi="宋体" w:eastAsia="宋体" w:cs="宋体"/>
                <w:color w:val="auto"/>
                <w:sz w:val="20"/>
                <w:szCs w:val="20"/>
              </w:rPr>
            </w:pPr>
          </w:p>
        </w:tc>
        <w:tc>
          <w:tcPr>
            <w:tcW w:w="360" w:type="pct"/>
            <w:tcBorders>
              <w:top w:val="single" w:color="auto" w:sz="4" w:space="0"/>
              <w:left w:val="single" w:color="auto" w:sz="4" w:space="0"/>
              <w:bottom w:val="single" w:color="auto" w:sz="4" w:space="0"/>
              <w:right w:val="single" w:color="auto" w:sz="4" w:space="0"/>
            </w:tcBorders>
            <w:shd w:val="clear" w:color="DDEBF7" w:fill="auto"/>
            <w:vAlign w:val="center"/>
          </w:tcPr>
          <w:p w14:paraId="66F2BEBD">
            <w:pPr>
              <w:keepNext w:val="0"/>
              <w:keepLines w:val="0"/>
              <w:widowControl/>
              <w:suppressLineNumbers w:val="0"/>
              <w:spacing w:before="0" w:beforeAutospacing="0" w:after="0" w:afterAutospacing="0"/>
              <w:ind w:left="0" w:right="0"/>
              <w:jc w:val="center"/>
              <w:rPr>
                <w:rFonts w:hint="default" w:ascii="宋体" w:hAnsi="宋体" w:eastAsia="宋体" w:cs="宋体"/>
                <w:color w:val="auto"/>
                <w:sz w:val="20"/>
                <w:szCs w:val="20"/>
              </w:rPr>
            </w:pPr>
          </w:p>
        </w:tc>
        <w:tc>
          <w:tcPr>
            <w:tcW w:w="888" w:type="pct"/>
            <w:tcBorders>
              <w:top w:val="single" w:color="auto" w:sz="4" w:space="0"/>
              <w:left w:val="single" w:color="auto" w:sz="4" w:space="0"/>
              <w:bottom w:val="single" w:color="auto" w:sz="4" w:space="0"/>
              <w:right w:val="single" w:color="auto" w:sz="4" w:space="0"/>
            </w:tcBorders>
            <w:shd w:val="clear" w:color="DDEBF7" w:fill="auto"/>
            <w:vAlign w:val="center"/>
          </w:tcPr>
          <w:p w14:paraId="26A2F065">
            <w:pPr>
              <w:keepNext w:val="0"/>
              <w:keepLines w:val="0"/>
              <w:widowControl/>
              <w:suppressLineNumbers w:val="0"/>
              <w:spacing w:before="0" w:beforeAutospacing="0" w:after="0" w:afterAutospacing="0"/>
              <w:ind w:left="0" w:right="0"/>
              <w:jc w:val="center"/>
              <w:rPr>
                <w:rFonts w:hint="default" w:ascii="宋体" w:hAnsi="宋体" w:eastAsia="宋体" w:cs="宋体"/>
                <w:color w:val="auto"/>
                <w:sz w:val="20"/>
                <w:szCs w:val="20"/>
              </w:rPr>
            </w:pPr>
          </w:p>
        </w:tc>
        <w:tc>
          <w:tcPr>
            <w:tcW w:w="369" w:type="pct"/>
            <w:tcBorders>
              <w:top w:val="single" w:color="auto" w:sz="4" w:space="0"/>
              <w:left w:val="single" w:color="auto" w:sz="4" w:space="0"/>
              <w:bottom w:val="single" w:color="auto" w:sz="4" w:space="0"/>
              <w:right w:val="single" w:color="auto" w:sz="4" w:space="0"/>
            </w:tcBorders>
            <w:shd w:val="clear" w:color="DDEBF7" w:fill="auto"/>
            <w:vAlign w:val="center"/>
          </w:tcPr>
          <w:p w14:paraId="7292776C">
            <w:pPr>
              <w:keepNext w:val="0"/>
              <w:keepLines w:val="0"/>
              <w:widowControl/>
              <w:suppressLineNumbers w:val="0"/>
              <w:spacing w:before="0" w:beforeAutospacing="0" w:after="0" w:afterAutospacing="0"/>
              <w:ind w:left="0" w:right="0"/>
              <w:jc w:val="center"/>
              <w:rPr>
                <w:rFonts w:hint="default" w:ascii="宋体" w:hAnsi="宋体" w:eastAsia="宋体" w:cs="宋体"/>
                <w:color w:val="auto"/>
                <w:sz w:val="20"/>
                <w:szCs w:val="20"/>
              </w:rPr>
            </w:pPr>
          </w:p>
        </w:tc>
        <w:tc>
          <w:tcPr>
            <w:tcW w:w="945" w:type="pct"/>
            <w:tcBorders>
              <w:top w:val="single" w:color="auto" w:sz="4" w:space="0"/>
              <w:left w:val="single" w:color="auto" w:sz="4" w:space="0"/>
              <w:bottom w:val="single" w:color="auto" w:sz="4" w:space="0"/>
              <w:right w:val="single" w:color="auto" w:sz="4" w:space="0"/>
            </w:tcBorders>
            <w:shd w:val="clear" w:color="DDEBF7" w:fill="auto"/>
            <w:vAlign w:val="center"/>
          </w:tcPr>
          <w:p w14:paraId="19DF5F30">
            <w:pPr>
              <w:keepNext w:val="0"/>
              <w:keepLines w:val="0"/>
              <w:widowControl/>
              <w:suppressLineNumbers w:val="0"/>
              <w:spacing w:before="0" w:beforeAutospacing="0" w:after="0" w:afterAutospacing="0"/>
              <w:ind w:left="0" w:right="0"/>
              <w:jc w:val="center"/>
              <w:rPr>
                <w:rFonts w:hint="default" w:ascii="宋体" w:hAnsi="宋体" w:eastAsia="宋体" w:cs="宋体"/>
                <w:color w:val="auto"/>
                <w:sz w:val="20"/>
                <w:szCs w:val="20"/>
              </w:rPr>
            </w:pPr>
          </w:p>
        </w:tc>
      </w:tr>
    </w:tbl>
    <w:p w14:paraId="6B9C8F41">
      <w:pPr>
        <w:autoSpaceDE w:val="0"/>
        <w:autoSpaceDN w:val="0"/>
        <w:adjustRightInd w:val="0"/>
        <w:snapToGrid w:val="0"/>
        <w:spacing w:line="360" w:lineRule="auto"/>
        <w:jc w:val="left"/>
        <w:rPr>
          <w:rFonts w:ascii="宋体" w:hAnsi="宋体" w:eastAsia="宋体" w:cs="Times New Roman"/>
          <w:color w:val="auto"/>
          <w:kern w:val="0"/>
          <w:szCs w:val="21"/>
        </w:rPr>
      </w:pPr>
    </w:p>
    <w:p w14:paraId="0F475438">
      <w:pPr>
        <w:autoSpaceDE w:val="0"/>
        <w:autoSpaceDN w:val="0"/>
        <w:adjustRightInd w:val="0"/>
        <w:spacing w:line="360" w:lineRule="auto"/>
        <w:jc w:val="left"/>
        <w:rPr>
          <w:rFonts w:ascii="宋体" w:hAnsi="宋体" w:eastAsia="宋体" w:cs="Times New Roman"/>
          <w:color w:val="auto"/>
          <w:kern w:val="3"/>
          <w:szCs w:val="21"/>
        </w:rPr>
      </w:pPr>
    </w:p>
    <w:p w14:paraId="6CF68C20">
      <w:pPr>
        <w:autoSpaceDE w:val="0"/>
        <w:autoSpaceDN w:val="0"/>
        <w:adjustRightInd w:val="0"/>
        <w:spacing w:line="360" w:lineRule="auto"/>
        <w:ind w:firstLine="4200" w:firstLineChars="2000"/>
        <w:jc w:val="left"/>
        <w:rPr>
          <w:rFonts w:ascii="宋体" w:hAnsi="宋体" w:eastAsia="宋体" w:cs="Times New Roman"/>
          <w:color w:val="auto"/>
          <w:kern w:val="0"/>
          <w:szCs w:val="21"/>
        </w:rPr>
      </w:pPr>
      <w:r>
        <w:rPr>
          <w:rFonts w:ascii="宋体" w:hAnsi="宋体" w:eastAsia="宋体" w:cs="Times New Roman"/>
          <w:color w:val="auto"/>
          <w:kern w:val="3"/>
          <w:szCs w:val="21"/>
        </w:rPr>
        <w:t xml:space="preserve">投 标 人（加盖投标人法人公章）：              </w:t>
      </w:r>
    </w:p>
    <w:p w14:paraId="68393D74">
      <w:pPr>
        <w:spacing w:line="360" w:lineRule="auto"/>
        <w:ind w:firstLine="4200" w:firstLineChars="2000"/>
        <w:rPr>
          <w:rFonts w:ascii="宋体" w:hAnsi="宋体" w:eastAsia="宋体" w:cs="Times New Roman"/>
          <w:color w:val="auto"/>
          <w:kern w:val="0"/>
          <w:szCs w:val="21"/>
        </w:rPr>
      </w:pPr>
      <w:r>
        <w:rPr>
          <w:rFonts w:ascii="宋体" w:hAnsi="宋体" w:eastAsia="宋体" w:cs="Times New Roman"/>
          <w:color w:val="auto"/>
          <w:kern w:val="0"/>
          <w:szCs w:val="21"/>
        </w:rPr>
        <w:t>日  期：        年     月     日</w:t>
      </w:r>
    </w:p>
    <w:p w14:paraId="41AD61B0">
      <w:pPr>
        <w:spacing w:line="360" w:lineRule="auto"/>
        <w:ind w:firstLine="6425" w:firstLineChars="2000"/>
        <w:rPr>
          <w:rFonts w:ascii="宋体" w:hAnsi="宋体" w:eastAsia="宋体" w:cs="Times New Roman"/>
          <w:color w:val="auto"/>
          <w:kern w:val="0"/>
          <w:szCs w:val="21"/>
        </w:rPr>
      </w:pPr>
      <w:bookmarkStart w:id="641" w:name="_Toc94107225"/>
      <w:r>
        <w:rPr>
          <w:rFonts w:ascii="宋体" w:hAnsi="宋体" w:eastAsia="宋体" w:cs="Times New Roman"/>
          <w:b/>
          <w:bCs/>
          <w:color w:val="auto"/>
          <w:kern w:val="0"/>
          <w:sz w:val="32"/>
          <w:szCs w:val="21"/>
        </w:rPr>
        <w:br w:type="page"/>
      </w:r>
    </w:p>
    <w:bookmarkEnd w:id="640"/>
    <w:bookmarkEnd w:id="641"/>
    <w:p w14:paraId="1C7045E6">
      <w:pPr>
        <w:autoSpaceDE w:val="0"/>
        <w:autoSpaceDN w:val="0"/>
        <w:adjustRightInd w:val="0"/>
        <w:spacing w:line="360" w:lineRule="auto"/>
        <w:jc w:val="left"/>
        <w:outlineLvl w:val="2"/>
        <w:rPr>
          <w:rFonts w:ascii="宋体" w:hAnsi="宋体" w:eastAsia="宋体" w:cs="宋体"/>
          <w:b/>
          <w:color w:val="auto"/>
          <w:kern w:val="0"/>
          <w:sz w:val="30"/>
          <w:szCs w:val="30"/>
        </w:rPr>
      </w:pPr>
      <w:bookmarkStart w:id="642" w:name="_Toc108528562"/>
      <w:bookmarkStart w:id="643" w:name="_Toc1723"/>
      <w:bookmarkStart w:id="644" w:name="_Toc1977744"/>
      <w:bookmarkStart w:id="645" w:name="_Toc107329043"/>
      <w:bookmarkStart w:id="646" w:name="_Toc102860438"/>
      <w:bookmarkStart w:id="647" w:name="_Toc104991896"/>
      <w:bookmarkStart w:id="648" w:name="_Toc102860094"/>
      <w:r>
        <w:rPr>
          <w:rFonts w:ascii="宋体" w:hAnsi="宋体" w:eastAsia="宋体" w:cs="宋体"/>
          <w:b/>
          <w:color w:val="auto"/>
          <w:kern w:val="0"/>
          <w:sz w:val="30"/>
          <w:szCs w:val="30"/>
        </w:rPr>
        <w:t>1</w:t>
      </w:r>
      <w:r>
        <w:rPr>
          <w:rFonts w:hint="eastAsia" w:ascii="宋体" w:hAnsi="宋体" w:eastAsia="宋体" w:cs="宋体"/>
          <w:b/>
          <w:color w:val="auto"/>
          <w:kern w:val="0"/>
          <w:sz w:val="30"/>
          <w:szCs w:val="30"/>
        </w:rPr>
        <w:t>2.3</w:t>
      </w:r>
      <w:r>
        <w:rPr>
          <w:rFonts w:ascii="宋体" w:hAnsi="宋体" w:eastAsia="宋体" w:cs="宋体"/>
          <w:b/>
          <w:color w:val="auto"/>
          <w:kern w:val="0"/>
          <w:sz w:val="30"/>
          <w:szCs w:val="30"/>
        </w:rPr>
        <w:t xml:space="preserve"> </w:t>
      </w:r>
      <w:bookmarkEnd w:id="642"/>
      <w:r>
        <w:rPr>
          <w:rFonts w:hint="eastAsia" w:ascii="宋体" w:hAnsi="宋体" w:eastAsia="宋体" w:cs="宋体"/>
          <w:b/>
          <w:color w:val="auto"/>
          <w:kern w:val="0"/>
          <w:sz w:val="30"/>
          <w:szCs w:val="30"/>
        </w:rPr>
        <w:t>整体供货服务流程（投标人自行编写）</w:t>
      </w:r>
      <w:bookmarkEnd w:id="643"/>
    </w:p>
    <w:p w14:paraId="003AF2BD">
      <w:pPr>
        <w:widowControl/>
        <w:jc w:val="left"/>
        <w:rPr>
          <w:rFonts w:ascii="宋体" w:hAnsi="宋体" w:eastAsia="宋体" w:cs="宋体"/>
          <w:b/>
          <w:color w:val="auto"/>
          <w:kern w:val="0"/>
          <w:sz w:val="30"/>
          <w:szCs w:val="30"/>
        </w:rPr>
      </w:pPr>
      <w:r>
        <w:rPr>
          <w:rFonts w:ascii="宋体" w:hAnsi="宋体" w:eastAsia="宋体" w:cs="宋体"/>
          <w:b/>
          <w:color w:val="auto"/>
          <w:kern w:val="0"/>
          <w:sz w:val="30"/>
          <w:szCs w:val="30"/>
        </w:rPr>
        <w:br w:type="page"/>
      </w:r>
    </w:p>
    <w:p w14:paraId="1D8DA3A5">
      <w:pPr>
        <w:autoSpaceDE w:val="0"/>
        <w:autoSpaceDN w:val="0"/>
        <w:adjustRightInd w:val="0"/>
        <w:spacing w:line="360" w:lineRule="auto"/>
        <w:jc w:val="left"/>
        <w:outlineLvl w:val="2"/>
        <w:rPr>
          <w:rFonts w:ascii="宋体" w:hAnsi="宋体" w:eastAsia="宋体" w:cs="宋体"/>
          <w:b/>
          <w:color w:val="auto"/>
          <w:kern w:val="0"/>
          <w:sz w:val="30"/>
          <w:szCs w:val="30"/>
        </w:rPr>
      </w:pPr>
      <w:bookmarkStart w:id="649" w:name="_Toc108528563"/>
      <w:bookmarkStart w:id="650" w:name="_Toc22583"/>
      <w:r>
        <w:rPr>
          <w:rFonts w:ascii="宋体" w:hAnsi="宋体" w:eastAsia="宋体" w:cs="宋体"/>
          <w:b/>
          <w:color w:val="auto"/>
          <w:kern w:val="0"/>
          <w:sz w:val="30"/>
          <w:szCs w:val="30"/>
        </w:rPr>
        <w:t>1</w:t>
      </w:r>
      <w:r>
        <w:rPr>
          <w:rFonts w:hint="eastAsia" w:ascii="宋体" w:hAnsi="宋体" w:eastAsia="宋体" w:cs="宋体"/>
          <w:b/>
          <w:color w:val="auto"/>
          <w:kern w:val="0"/>
          <w:sz w:val="30"/>
          <w:szCs w:val="30"/>
        </w:rPr>
        <w:t>2.4</w:t>
      </w:r>
      <w:r>
        <w:rPr>
          <w:rFonts w:ascii="宋体" w:hAnsi="宋体" w:eastAsia="宋体" w:cs="宋体"/>
          <w:b/>
          <w:color w:val="auto"/>
          <w:kern w:val="0"/>
          <w:sz w:val="30"/>
          <w:szCs w:val="30"/>
        </w:rPr>
        <w:t xml:space="preserve"> </w:t>
      </w:r>
      <w:bookmarkEnd w:id="649"/>
      <w:r>
        <w:rPr>
          <w:rFonts w:hint="eastAsia" w:ascii="宋体" w:hAnsi="宋体" w:eastAsia="宋体" w:cs="宋体"/>
          <w:b/>
          <w:color w:val="auto"/>
          <w:kern w:val="0"/>
          <w:sz w:val="30"/>
          <w:szCs w:val="30"/>
        </w:rPr>
        <w:t>供货计划及进度保证措施方案（投标人自行编写）</w:t>
      </w:r>
      <w:bookmarkEnd w:id="650"/>
    </w:p>
    <w:p w14:paraId="5CB6A67B">
      <w:pPr>
        <w:widowControl/>
        <w:jc w:val="left"/>
        <w:rPr>
          <w:rFonts w:ascii="宋体" w:hAnsi="宋体" w:eastAsia="宋体" w:cs="宋体"/>
          <w:b/>
          <w:color w:val="auto"/>
          <w:kern w:val="0"/>
          <w:sz w:val="30"/>
          <w:szCs w:val="30"/>
        </w:rPr>
      </w:pPr>
      <w:r>
        <w:rPr>
          <w:rFonts w:ascii="宋体" w:hAnsi="宋体" w:eastAsia="宋体" w:cs="宋体"/>
          <w:b/>
          <w:color w:val="auto"/>
          <w:kern w:val="0"/>
          <w:sz w:val="30"/>
          <w:szCs w:val="30"/>
        </w:rPr>
        <w:br w:type="page"/>
      </w:r>
    </w:p>
    <w:p w14:paraId="02CBCF9C">
      <w:pPr>
        <w:autoSpaceDE w:val="0"/>
        <w:autoSpaceDN w:val="0"/>
        <w:adjustRightInd w:val="0"/>
        <w:spacing w:line="360" w:lineRule="auto"/>
        <w:jc w:val="left"/>
        <w:outlineLvl w:val="2"/>
        <w:rPr>
          <w:rFonts w:ascii="宋体" w:hAnsi="宋体" w:eastAsia="宋体" w:cs="宋体"/>
          <w:b/>
          <w:color w:val="auto"/>
          <w:kern w:val="0"/>
          <w:sz w:val="30"/>
          <w:szCs w:val="30"/>
        </w:rPr>
      </w:pPr>
      <w:bookmarkStart w:id="651" w:name="_Toc26189"/>
      <w:r>
        <w:rPr>
          <w:rFonts w:ascii="宋体" w:hAnsi="宋体" w:eastAsia="宋体" w:cs="宋体"/>
          <w:b/>
          <w:color w:val="auto"/>
          <w:kern w:val="0"/>
          <w:sz w:val="30"/>
          <w:szCs w:val="30"/>
        </w:rPr>
        <w:t>1</w:t>
      </w:r>
      <w:r>
        <w:rPr>
          <w:rFonts w:hint="eastAsia" w:ascii="宋体" w:hAnsi="宋体" w:eastAsia="宋体" w:cs="宋体"/>
          <w:b/>
          <w:color w:val="auto"/>
          <w:kern w:val="0"/>
          <w:sz w:val="30"/>
          <w:szCs w:val="30"/>
        </w:rPr>
        <w:t>2.5</w:t>
      </w:r>
      <w:r>
        <w:rPr>
          <w:rFonts w:ascii="宋体" w:hAnsi="宋体" w:eastAsia="宋体" w:cs="宋体"/>
          <w:b/>
          <w:color w:val="auto"/>
          <w:kern w:val="0"/>
          <w:sz w:val="30"/>
          <w:szCs w:val="30"/>
        </w:rPr>
        <w:t xml:space="preserve"> </w:t>
      </w:r>
      <w:r>
        <w:rPr>
          <w:rFonts w:hint="eastAsia" w:ascii="宋体" w:hAnsi="宋体" w:eastAsia="宋体" w:cs="宋体"/>
          <w:b/>
          <w:color w:val="auto"/>
          <w:kern w:val="0"/>
          <w:sz w:val="30"/>
          <w:szCs w:val="30"/>
        </w:rPr>
        <w:t>售后服务质量保证和承诺（投标人自行编写）</w:t>
      </w:r>
      <w:bookmarkEnd w:id="651"/>
    </w:p>
    <w:p w14:paraId="1771EE22">
      <w:pPr>
        <w:autoSpaceDE w:val="0"/>
        <w:autoSpaceDN w:val="0"/>
        <w:adjustRightInd w:val="0"/>
        <w:spacing w:line="360" w:lineRule="auto"/>
        <w:jc w:val="left"/>
        <w:rPr>
          <w:rFonts w:ascii="宋体" w:hAnsi="宋体" w:eastAsia="宋体" w:cs="宋体"/>
          <w:b/>
          <w:color w:val="auto"/>
          <w:kern w:val="0"/>
          <w:sz w:val="30"/>
          <w:szCs w:val="30"/>
        </w:rPr>
      </w:pPr>
    </w:p>
    <w:p w14:paraId="5E184EE3">
      <w:pPr>
        <w:rPr>
          <w:rFonts w:ascii="宋体" w:hAnsi="宋体" w:eastAsia="宋体" w:cs="宋体"/>
          <w:b/>
          <w:color w:val="auto"/>
          <w:kern w:val="0"/>
          <w:sz w:val="30"/>
          <w:szCs w:val="30"/>
        </w:rPr>
      </w:pPr>
      <w:r>
        <w:rPr>
          <w:rFonts w:ascii="宋体" w:hAnsi="宋体" w:eastAsia="宋体" w:cs="宋体"/>
          <w:b/>
          <w:color w:val="auto"/>
          <w:kern w:val="0"/>
          <w:sz w:val="30"/>
          <w:szCs w:val="30"/>
        </w:rPr>
        <w:br w:type="page"/>
      </w:r>
    </w:p>
    <w:bookmarkEnd w:id="644"/>
    <w:p w14:paraId="523A605F">
      <w:pPr>
        <w:autoSpaceDE w:val="0"/>
        <w:autoSpaceDN w:val="0"/>
        <w:adjustRightInd w:val="0"/>
        <w:spacing w:line="360" w:lineRule="auto"/>
        <w:jc w:val="left"/>
        <w:outlineLvl w:val="2"/>
        <w:rPr>
          <w:rFonts w:ascii="宋体" w:hAnsi="宋体" w:eastAsia="宋体" w:cs="宋体"/>
          <w:b/>
          <w:color w:val="auto"/>
          <w:kern w:val="0"/>
          <w:sz w:val="30"/>
          <w:szCs w:val="30"/>
        </w:rPr>
      </w:pPr>
      <w:bookmarkStart w:id="652" w:name="_Toc108528564"/>
      <w:bookmarkStart w:id="653" w:name="_Toc18974"/>
      <w:r>
        <w:rPr>
          <w:rFonts w:ascii="宋体" w:hAnsi="宋体" w:eastAsia="宋体" w:cs="宋体"/>
          <w:b/>
          <w:color w:val="auto"/>
          <w:kern w:val="0"/>
          <w:sz w:val="30"/>
          <w:szCs w:val="30"/>
        </w:rPr>
        <w:t>1</w:t>
      </w:r>
      <w:r>
        <w:rPr>
          <w:rFonts w:hint="eastAsia" w:ascii="宋体" w:hAnsi="宋体" w:eastAsia="宋体" w:cs="宋体"/>
          <w:b/>
          <w:color w:val="auto"/>
          <w:kern w:val="0"/>
          <w:sz w:val="30"/>
          <w:szCs w:val="30"/>
        </w:rPr>
        <w:t>2.6</w:t>
      </w:r>
      <w:r>
        <w:rPr>
          <w:rFonts w:ascii="宋体" w:hAnsi="宋体" w:eastAsia="宋体" w:cs="宋体"/>
          <w:b/>
          <w:color w:val="auto"/>
          <w:kern w:val="0"/>
          <w:sz w:val="30"/>
          <w:szCs w:val="30"/>
        </w:rPr>
        <w:t xml:space="preserve"> </w:t>
      </w:r>
      <w:r>
        <w:rPr>
          <w:rFonts w:hint="eastAsia" w:ascii="宋体" w:hAnsi="宋体" w:eastAsia="宋体" w:cs="宋体"/>
          <w:b/>
          <w:color w:val="auto"/>
          <w:kern w:val="0"/>
          <w:sz w:val="30"/>
          <w:szCs w:val="30"/>
        </w:rPr>
        <w:t>投标人认为有需要提供的其它文件（不做强制要求）</w:t>
      </w:r>
      <w:bookmarkEnd w:id="645"/>
      <w:bookmarkEnd w:id="646"/>
      <w:bookmarkEnd w:id="647"/>
      <w:bookmarkEnd w:id="648"/>
      <w:bookmarkEnd w:id="652"/>
      <w:bookmarkEnd w:id="653"/>
    </w:p>
    <w:p w14:paraId="260AA0FD">
      <w:pPr>
        <w:rPr>
          <w:rFonts w:ascii="等线" w:hAnsi="等线" w:eastAsia="等线" w:cs="Times New Roman"/>
          <w:color w:val="auto"/>
        </w:rPr>
      </w:pPr>
    </w:p>
    <w:p w14:paraId="43ED4FEF">
      <w:pPr>
        <w:rPr>
          <w:rFonts w:ascii="等线" w:hAnsi="等线" w:eastAsia="等线" w:cs="Times New Roman"/>
          <w:color w:val="auto"/>
        </w:rPr>
      </w:pPr>
    </w:p>
    <w:p w14:paraId="3336C890">
      <w:pPr>
        <w:rPr>
          <w:rFonts w:ascii="等线" w:hAnsi="等线" w:eastAsia="等线" w:cs="Times New Roman"/>
          <w:color w:val="auto"/>
        </w:rPr>
      </w:pPr>
    </w:p>
    <w:p w14:paraId="1340F7E8">
      <w:pPr>
        <w:rPr>
          <w:rFonts w:ascii="等线" w:hAnsi="等线" w:eastAsia="等线" w:cs="Times New Roman"/>
          <w:color w:val="auto"/>
        </w:rPr>
      </w:pPr>
    </w:p>
    <w:p w14:paraId="78A6F0E6">
      <w:pPr>
        <w:rPr>
          <w:rFonts w:ascii="等线" w:hAnsi="等线" w:eastAsia="等线" w:cs="Times New Roman"/>
          <w:color w:val="auto"/>
        </w:rPr>
      </w:pPr>
    </w:p>
    <w:p w14:paraId="7551DC1C">
      <w:pPr>
        <w:rPr>
          <w:rFonts w:ascii="等线" w:hAnsi="等线" w:eastAsia="等线" w:cs="Times New Roman"/>
          <w:color w:val="auto"/>
        </w:rPr>
      </w:pPr>
    </w:p>
    <w:p w14:paraId="770370F5">
      <w:pPr>
        <w:rPr>
          <w:rFonts w:ascii="等线" w:hAnsi="等线" w:eastAsia="等线" w:cs="Times New Roman"/>
          <w:color w:val="auto"/>
        </w:rPr>
      </w:pPr>
    </w:p>
    <w:p w14:paraId="20A24915">
      <w:pPr>
        <w:rPr>
          <w:rFonts w:ascii="等线" w:hAnsi="等线" w:eastAsia="等线" w:cs="Times New Roman"/>
          <w:color w:val="auto"/>
        </w:rPr>
      </w:pPr>
    </w:p>
    <w:p w14:paraId="7DBF3B54">
      <w:pPr>
        <w:rPr>
          <w:rFonts w:ascii="等线" w:hAnsi="等线" w:eastAsia="等线" w:cs="Times New Roman"/>
          <w:color w:val="auto"/>
        </w:rPr>
      </w:pPr>
    </w:p>
    <w:p w14:paraId="6931252E">
      <w:pPr>
        <w:rPr>
          <w:rFonts w:ascii="等线" w:hAnsi="等线" w:eastAsia="等线" w:cs="Times New Roman"/>
          <w:color w:val="auto"/>
        </w:rPr>
      </w:pPr>
    </w:p>
    <w:p w14:paraId="7820F032">
      <w:pPr>
        <w:rPr>
          <w:rFonts w:ascii="等线" w:hAnsi="等线" w:eastAsia="等线" w:cs="Times New Roman"/>
          <w:color w:val="auto"/>
        </w:rPr>
      </w:pPr>
    </w:p>
    <w:p w14:paraId="058B2101">
      <w:pPr>
        <w:rPr>
          <w:rFonts w:ascii="等线" w:hAnsi="等线" w:eastAsia="等线" w:cs="Times New Roman"/>
          <w:color w:val="auto"/>
        </w:rPr>
      </w:pPr>
    </w:p>
    <w:p w14:paraId="0DA94D4D">
      <w:pPr>
        <w:rPr>
          <w:rFonts w:ascii="等线" w:hAnsi="等线" w:eastAsia="等线" w:cs="Times New Roman"/>
          <w:color w:val="auto"/>
        </w:rPr>
      </w:pPr>
    </w:p>
    <w:p w14:paraId="11266E03">
      <w:pPr>
        <w:rPr>
          <w:rFonts w:ascii="等线" w:hAnsi="等线" w:eastAsia="等线" w:cs="Times New Roman"/>
          <w:color w:val="auto"/>
        </w:rPr>
      </w:pPr>
    </w:p>
    <w:p w14:paraId="33CCCB7D">
      <w:pPr>
        <w:rPr>
          <w:rFonts w:ascii="等线" w:hAnsi="等线" w:eastAsia="等线" w:cs="Times New Roman"/>
          <w:color w:val="auto"/>
        </w:rPr>
      </w:pPr>
    </w:p>
    <w:p w14:paraId="1042D6CD">
      <w:pPr>
        <w:rPr>
          <w:rFonts w:ascii="等线" w:hAnsi="等线" w:eastAsia="等线" w:cs="Times New Roman"/>
          <w:color w:val="auto"/>
        </w:rPr>
      </w:pPr>
    </w:p>
    <w:p w14:paraId="1812B58E">
      <w:pPr>
        <w:rPr>
          <w:rFonts w:ascii="等线" w:hAnsi="等线" w:eastAsia="等线" w:cs="Times New Roman"/>
          <w:color w:val="auto"/>
        </w:rPr>
      </w:pPr>
    </w:p>
    <w:p w14:paraId="02D1B56F">
      <w:pPr>
        <w:rPr>
          <w:rFonts w:ascii="等线" w:hAnsi="等线" w:eastAsia="等线" w:cs="Times New Roman"/>
          <w:color w:val="auto"/>
        </w:rPr>
      </w:pPr>
    </w:p>
    <w:p w14:paraId="119E6299">
      <w:pPr>
        <w:rPr>
          <w:rFonts w:ascii="等线" w:hAnsi="等线" w:eastAsia="等线" w:cs="Times New Roman"/>
          <w:color w:val="auto"/>
        </w:rPr>
      </w:pPr>
    </w:p>
    <w:p w14:paraId="68AD19AD">
      <w:pPr>
        <w:rPr>
          <w:rFonts w:ascii="等线" w:hAnsi="等线" w:eastAsia="等线" w:cs="Times New Roman"/>
          <w:color w:val="auto"/>
        </w:rPr>
      </w:pPr>
    </w:p>
    <w:p w14:paraId="3E0F3663">
      <w:pPr>
        <w:rPr>
          <w:rFonts w:ascii="等线" w:hAnsi="等线" w:eastAsia="等线" w:cs="Times New Roman"/>
          <w:color w:val="auto"/>
        </w:rPr>
      </w:pPr>
    </w:p>
    <w:p w14:paraId="69C7AB17">
      <w:pPr>
        <w:autoSpaceDE w:val="0"/>
        <w:autoSpaceDN w:val="0"/>
        <w:adjustRightInd w:val="0"/>
        <w:jc w:val="left"/>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lang w:bidi="ar"/>
        </w:rPr>
        <w:t xml:space="preserve"> </w:t>
      </w:r>
    </w:p>
    <w:p w14:paraId="232611DF">
      <w:pPr>
        <w:autoSpaceDE w:val="0"/>
        <w:autoSpaceDN w:val="0"/>
        <w:adjustRightInd w:val="0"/>
        <w:spacing w:line="360" w:lineRule="auto"/>
        <w:ind w:firstLine="424" w:firstLineChars="201"/>
        <w:jc w:val="left"/>
        <w:rPr>
          <w:rFonts w:ascii="宋体" w:hAnsi="宋体" w:eastAsia="宋体" w:cs="Times New Roman"/>
          <w:b/>
          <w:color w:val="auto"/>
          <w:kern w:val="0"/>
          <w:szCs w:val="21"/>
        </w:rPr>
      </w:pPr>
      <w:bookmarkStart w:id="654" w:name="_Toc533708139"/>
    </w:p>
    <w:p w14:paraId="0D0CBD13">
      <w:pPr>
        <w:spacing w:line="360" w:lineRule="auto"/>
        <w:rPr>
          <w:rFonts w:ascii="宋体" w:hAnsi="宋体" w:eastAsia="宋体" w:cs="Times New Roman"/>
          <w:color w:val="auto"/>
          <w:kern w:val="0"/>
          <w:szCs w:val="21"/>
        </w:rPr>
      </w:pPr>
    </w:p>
    <w:p w14:paraId="0B0DF92A">
      <w:pPr>
        <w:autoSpaceDE w:val="0"/>
        <w:autoSpaceDN w:val="0"/>
        <w:adjustRightInd w:val="0"/>
        <w:jc w:val="left"/>
        <w:rPr>
          <w:rFonts w:ascii="宋体" w:hAnsi="宋体" w:eastAsia="宋体" w:cs="Times New Roman"/>
          <w:color w:val="auto"/>
          <w:kern w:val="0"/>
          <w:sz w:val="24"/>
          <w:szCs w:val="24"/>
        </w:rPr>
      </w:pPr>
    </w:p>
    <w:p w14:paraId="0CCD8A79">
      <w:pPr>
        <w:autoSpaceDE w:val="0"/>
        <w:autoSpaceDN w:val="0"/>
        <w:adjustRightInd w:val="0"/>
        <w:jc w:val="left"/>
        <w:rPr>
          <w:rFonts w:ascii="宋体" w:hAnsi="宋体" w:eastAsia="宋体" w:cs="Times New Roman"/>
          <w:color w:val="auto"/>
          <w:kern w:val="0"/>
          <w:sz w:val="24"/>
          <w:szCs w:val="24"/>
        </w:rPr>
      </w:pPr>
    </w:p>
    <w:p w14:paraId="1396DF75">
      <w:pPr>
        <w:autoSpaceDE w:val="0"/>
        <w:autoSpaceDN w:val="0"/>
        <w:adjustRightInd w:val="0"/>
        <w:jc w:val="left"/>
        <w:rPr>
          <w:rFonts w:ascii="宋体" w:hAnsi="宋体" w:eastAsia="宋体" w:cs="Times New Roman"/>
          <w:color w:val="auto"/>
          <w:kern w:val="0"/>
          <w:sz w:val="24"/>
          <w:szCs w:val="24"/>
        </w:rPr>
      </w:pPr>
    </w:p>
    <w:p w14:paraId="0C0F82F4">
      <w:pPr>
        <w:widowControl/>
        <w:jc w:val="left"/>
        <w:rPr>
          <w:rFonts w:ascii="宋体" w:hAnsi="宋体" w:eastAsia="宋体" w:cs="Times New Roman"/>
          <w:color w:val="auto"/>
          <w:kern w:val="0"/>
          <w:sz w:val="24"/>
          <w:szCs w:val="24"/>
        </w:rPr>
      </w:pPr>
      <w:r>
        <w:rPr>
          <w:rFonts w:ascii="宋体" w:hAnsi="宋体" w:eastAsia="宋体" w:cs="Times New Roman"/>
          <w:color w:val="auto"/>
          <w:kern w:val="0"/>
          <w:sz w:val="24"/>
          <w:szCs w:val="24"/>
        </w:rPr>
        <w:br w:type="page"/>
      </w:r>
    </w:p>
    <w:p w14:paraId="4BCE86B8">
      <w:pPr>
        <w:autoSpaceDE w:val="0"/>
        <w:autoSpaceDN w:val="0"/>
        <w:adjustRightInd w:val="0"/>
        <w:jc w:val="left"/>
        <w:rPr>
          <w:rFonts w:ascii="宋体" w:hAnsi="宋体" w:eastAsia="宋体" w:cs="Times New Roman"/>
          <w:color w:val="auto"/>
          <w:kern w:val="0"/>
          <w:sz w:val="24"/>
          <w:szCs w:val="24"/>
        </w:rPr>
      </w:pPr>
    </w:p>
    <w:p w14:paraId="5D2B196F">
      <w:pPr>
        <w:tabs>
          <w:tab w:val="left" w:pos="1080"/>
        </w:tabs>
        <w:autoSpaceDE w:val="0"/>
        <w:autoSpaceDN w:val="0"/>
        <w:adjustRightInd w:val="0"/>
        <w:spacing w:line="360" w:lineRule="auto"/>
        <w:jc w:val="left"/>
        <w:outlineLvl w:val="0"/>
        <w:rPr>
          <w:rFonts w:ascii="宋体" w:hAnsi="宋体" w:eastAsia="宋体" w:cs="宋体"/>
          <w:b/>
          <w:bCs/>
          <w:color w:val="auto"/>
          <w:kern w:val="44"/>
          <w:sz w:val="32"/>
          <w:szCs w:val="32"/>
          <w:lang w:val="zh-CN"/>
        </w:rPr>
      </w:pPr>
      <w:bookmarkStart w:id="655" w:name="_Toc142508390"/>
      <w:bookmarkStart w:id="656" w:name="_Toc28845"/>
      <w:bookmarkStart w:id="657" w:name="_Toc173182310"/>
      <w:bookmarkStart w:id="658" w:name="_Toc29538"/>
      <w:bookmarkStart w:id="659" w:name="_Toc522047402"/>
      <w:bookmarkStart w:id="660" w:name="_Toc22601_WPSOffice_Level1"/>
      <w:bookmarkStart w:id="661" w:name="_Toc521918141"/>
      <w:r>
        <w:rPr>
          <w:rFonts w:hint="eastAsia" w:ascii="宋体" w:hAnsi="宋体" w:eastAsia="宋体" w:cs="宋体"/>
          <w:b/>
          <w:bCs/>
          <w:color w:val="auto"/>
          <w:kern w:val="44"/>
          <w:sz w:val="32"/>
          <w:szCs w:val="32"/>
          <w:lang w:val="zh-CN"/>
        </w:rPr>
        <w:t>附件一：评标工作大纲</w:t>
      </w:r>
      <w:bookmarkEnd w:id="655"/>
      <w:bookmarkEnd w:id="656"/>
      <w:bookmarkEnd w:id="657"/>
      <w:bookmarkEnd w:id="658"/>
    </w:p>
    <w:p w14:paraId="36EEDF71">
      <w:pPr>
        <w:autoSpaceDE w:val="0"/>
        <w:autoSpaceDN w:val="0"/>
        <w:adjustRightInd w:val="0"/>
        <w:spacing w:line="400" w:lineRule="atLeast"/>
        <w:jc w:val="center"/>
        <w:rPr>
          <w:rFonts w:ascii="宋体" w:hAnsi="宋体" w:eastAsia="宋体" w:cs="宋体"/>
          <w:b/>
          <w:bCs/>
          <w:color w:val="auto"/>
          <w:szCs w:val="21"/>
        </w:rPr>
      </w:pPr>
    </w:p>
    <w:p w14:paraId="79DED5F8">
      <w:pPr>
        <w:autoSpaceDE w:val="0"/>
        <w:autoSpaceDN w:val="0"/>
        <w:adjustRightInd w:val="0"/>
        <w:spacing w:line="400" w:lineRule="atLeast"/>
        <w:jc w:val="center"/>
        <w:rPr>
          <w:rFonts w:ascii="宋体" w:hAnsi="宋体" w:eastAsia="宋体" w:cs="宋体"/>
          <w:b/>
          <w:bCs/>
          <w:color w:val="auto"/>
          <w:szCs w:val="21"/>
        </w:rPr>
      </w:pPr>
    </w:p>
    <w:p w14:paraId="6B05BC88">
      <w:pPr>
        <w:autoSpaceDE w:val="0"/>
        <w:autoSpaceDN w:val="0"/>
        <w:adjustRightInd w:val="0"/>
        <w:spacing w:line="400" w:lineRule="atLeast"/>
        <w:jc w:val="center"/>
        <w:rPr>
          <w:rFonts w:ascii="宋体" w:hAnsi="宋体" w:eastAsia="宋体" w:cs="宋体"/>
          <w:b/>
          <w:bCs/>
          <w:color w:val="auto"/>
          <w:szCs w:val="21"/>
        </w:rPr>
      </w:pPr>
    </w:p>
    <w:p w14:paraId="76570B23">
      <w:pPr>
        <w:autoSpaceDE w:val="0"/>
        <w:autoSpaceDN w:val="0"/>
        <w:adjustRightInd w:val="0"/>
        <w:spacing w:line="400" w:lineRule="atLeast"/>
        <w:jc w:val="center"/>
        <w:rPr>
          <w:rFonts w:ascii="宋体" w:hAnsi="宋体" w:eastAsia="宋体" w:cs="宋体"/>
          <w:b/>
          <w:bCs/>
          <w:color w:val="auto"/>
          <w:szCs w:val="21"/>
        </w:rPr>
      </w:pPr>
    </w:p>
    <w:p w14:paraId="38C97398">
      <w:pPr>
        <w:autoSpaceDE w:val="0"/>
        <w:autoSpaceDN w:val="0"/>
        <w:adjustRightInd w:val="0"/>
        <w:spacing w:line="360" w:lineRule="auto"/>
        <w:jc w:val="center"/>
        <w:rPr>
          <w:rFonts w:hint="eastAsia" w:ascii="宋体" w:hAnsi="宋体" w:eastAsia="宋体" w:cs="宋体"/>
          <w:b/>
          <w:bCs/>
          <w:color w:val="auto"/>
          <w:sz w:val="36"/>
          <w:szCs w:val="44"/>
        </w:rPr>
      </w:pPr>
      <w:r>
        <w:rPr>
          <w:rFonts w:hint="eastAsia" w:ascii="宋体" w:hAnsi="宋体" w:eastAsia="宋体" w:cs="宋体"/>
          <w:b/>
          <w:bCs/>
          <w:color w:val="auto"/>
          <w:sz w:val="40"/>
          <w:szCs w:val="36"/>
          <w:lang w:eastAsia="zh-CN"/>
        </w:rPr>
        <w:t>东莞市水务集团有限公司2025年安全及劳保物资采购项目</w:t>
      </w:r>
    </w:p>
    <w:p w14:paraId="33E872BB">
      <w:pPr>
        <w:autoSpaceDE w:val="0"/>
        <w:autoSpaceDN w:val="0"/>
        <w:adjustRightInd w:val="0"/>
        <w:spacing w:line="360" w:lineRule="auto"/>
        <w:jc w:val="center"/>
        <w:rPr>
          <w:rFonts w:ascii="宋体" w:hAnsi="宋体" w:eastAsia="宋体" w:cs="宋体"/>
          <w:b/>
          <w:bCs/>
          <w:color w:val="auto"/>
          <w:sz w:val="36"/>
          <w:szCs w:val="36"/>
        </w:rPr>
      </w:pPr>
      <w:bookmarkStart w:id="662" w:name="_Toc14752_WPSOffice_Level1"/>
      <w:r>
        <w:rPr>
          <w:rFonts w:hint="eastAsia" w:ascii="宋体" w:hAnsi="宋体" w:eastAsia="宋体" w:cs="宋体"/>
          <w:b/>
          <w:bCs/>
          <w:color w:val="auto"/>
          <w:sz w:val="36"/>
          <w:szCs w:val="36"/>
          <w:lang w:val="zh-CN"/>
        </w:rPr>
        <w:t>（招标编号：DGDS2024-079）</w:t>
      </w:r>
      <w:bookmarkEnd w:id="662"/>
    </w:p>
    <w:p w14:paraId="797ECB1C">
      <w:pPr>
        <w:autoSpaceDE w:val="0"/>
        <w:autoSpaceDN w:val="0"/>
        <w:adjustRightInd w:val="0"/>
        <w:spacing w:line="400" w:lineRule="atLeast"/>
        <w:jc w:val="center"/>
        <w:rPr>
          <w:rFonts w:ascii="宋体" w:hAnsi="宋体" w:eastAsia="宋体" w:cs="宋体"/>
          <w:b/>
          <w:bCs/>
          <w:color w:val="auto"/>
          <w:sz w:val="36"/>
          <w:szCs w:val="36"/>
        </w:rPr>
      </w:pPr>
    </w:p>
    <w:p w14:paraId="71E46E7C">
      <w:pPr>
        <w:autoSpaceDE w:val="0"/>
        <w:autoSpaceDN w:val="0"/>
        <w:adjustRightInd w:val="0"/>
        <w:spacing w:line="400" w:lineRule="atLeast"/>
        <w:jc w:val="center"/>
        <w:rPr>
          <w:rFonts w:ascii="宋体" w:hAnsi="宋体" w:eastAsia="宋体" w:cs="宋体"/>
          <w:b/>
          <w:bCs/>
          <w:color w:val="auto"/>
          <w:sz w:val="36"/>
          <w:szCs w:val="36"/>
        </w:rPr>
      </w:pPr>
    </w:p>
    <w:p w14:paraId="32A67BE9">
      <w:pPr>
        <w:autoSpaceDE w:val="0"/>
        <w:autoSpaceDN w:val="0"/>
        <w:adjustRightInd w:val="0"/>
        <w:spacing w:line="400" w:lineRule="atLeast"/>
        <w:jc w:val="center"/>
        <w:rPr>
          <w:rFonts w:ascii="宋体" w:hAnsi="宋体" w:eastAsia="宋体" w:cs="宋体"/>
          <w:b/>
          <w:bCs/>
          <w:color w:val="auto"/>
          <w:sz w:val="36"/>
          <w:szCs w:val="36"/>
        </w:rPr>
      </w:pPr>
    </w:p>
    <w:p w14:paraId="64F72481">
      <w:pPr>
        <w:autoSpaceDE w:val="0"/>
        <w:autoSpaceDN w:val="0"/>
        <w:adjustRightInd w:val="0"/>
        <w:spacing w:line="400" w:lineRule="atLeast"/>
        <w:jc w:val="center"/>
        <w:rPr>
          <w:rFonts w:ascii="宋体" w:hAnsi="宋体" w:eastAsia="宋体" w:cs="宋体"/>
          <w:b/>
          <w:bCs/>
          <w:color w:val="auto"/>
          <w:sz w:val="36"/>
          <w:szCs w:val="36"/>
        </w:rPr>
      </w:pPr>
    </w:p>
    <w:p w14:paraId="3E619B29">
      <w:pPr>
        <w:autoSpaceDE w:val="0"/>
        <w:autoSpaceDN w:val="0"/>
        <w:adjustRightInd w:val="0"/>
        <w:spacing w:line="400" w:lineRule="atLeast"/>
        <w:jc w:val="center"/>
        <w:rPr>
          <w:rFonts w:ascii="宋体" w:hAnsi="宋体" w:eastAsia="宋体" w:cs="宋体"/>
          <w:b/>
          <w:bCs/>
          <w:color w:val="auto"/>
          <w:sz w:val="72"/>
          <w:szCs w:val="72"/>
          <w:lang w:val="zh-CN"/>
        </w:rPr>
      </w:pPr>
      <w:bookmarkStart w:id="663" w:name="_Toc18947_WPSOffice_Level2"/>
      <w:r>
        <w:rPr>
          <w:rFonts w:hint="eastAsia" w:ascii="宋体" w:hAnsi="宋体" w:eastAsia="宋体" w:cs="宋体"/>
          <w:b/>
          <w:bCs/>
          <w:color w:val="auto"/>
          <w:sz w:val="72"/>
          <w:szCs w:val="72"/>
          <w:lang w:val="zh-CN"/>
        </w:rPr>
        <w:t>评标工作大纲</w:t>
      </w:r>
      <w:bookmarkEnd w:id="663"/>
    </w:p>
    <w:p w14:paraId="65094961">
      <w:pPr>
        <w:autoSpaceDE w:val="0"/>
        <w:autoSpaceDN w:val="0"/>
        <w:adjustRightInd w:val="0"/>
        <w:spacing w:line="400" w:lineRule="atLeast"/>
        <w:jc w:val="center"/>
        <w:rPr>
          <w:rFonts w:ascii="宋体" w:hAnsi="宋体" w:eastAsia="宋体" w:cs="宋体"/>
          <w:b/>
          <w:bCs/>
          <w:color w:val="auto"/>
          <w:sz w:val="36"/>
          <w:szCs w:val="36"/>
        </w:rPr>
      </w:pPr>
    </w:p>
    <w:p w14:paraId="5E8E9470">
      <w:pPr>
        <w:autoSpaceDE w:val="0"/>
        <w:autoSpaceDN w:val="0"/>
        <w:adjustRightInd w:val="0"/>
        <w:spacing w:line="400" w:lineRule="atLeast"/>
        <w:rPr>
          <w:rFonts w:ascii="宋体" w:hAnsi="宋体" w:eastAsia="宋体" w:cs="宋体"/>
          <w:b/>
          <w:bCs/>
          <w:color w:val="auto"/>
          <w:sz w:val="36"/>
          <w:szCs w:val="36"/>
        </w:rPr>
      </w:pPr>
    </w:p>
    <w:p w14:paraId="2F280DA1">
      <w:pPr>
        <w:autoSpaceDE w:val="0"/>
        <w:autoSpaceDN w:val="0"/>
        <w:adjustRightInd w:val="0"/>
        <w:spacing w:line="400" w:lineRule="atLeast"/>
        <w:jc w:val="center"/>
        <w:rPr>
          <w:rFonts w:ascii="宋体" w:hAnsi="宋体" w:eastAsia="宋体" w:cs="宋体"/>
          <w:b/>
          <w:bCs/>
          <w:color w:val="auto"/>
          <w:sz w:val="36"/>
          <w:szCs w:val="36"/>
        </w:rPr>
      </w:pPr>
    </w:p>
    <w:p w14:paraId="36025086">
      <w:pPr>
        <w:autoSpaceDE w:val="0"/>
        <w:autoSpaceDN w:val="0"/>
        <w:adjustRightInd w:val="0"/>
        <w:spacing w:line="400" w:lineRule="atLeast"/>
        <w:jc w:val="center"/>
        <w:rPr>
          <w:rFonts w:ascii="宋体" w:hAnsi="宋体" w:eastAsia="宋体" w:cs="宋体"/>
          <w:b/>
          <w:bCs/>
          <w:color w:val="auto"/>
          <w:sz w:val="36"/>
          <w:szCs w:val="36"/>
        </w:rPr>
      </w:pPr>
    </w:p>
    <w:p w14:paraId="41890E23">
      <w:pPr>
        <w:autoSpaceDE w:val="0"/>
        <w:autoSpaceDN w:val="0"/>
        <w:adjustRightInd w:val="0"/>
        <w:spacing w:line="400" w:lineRule="atLeast"/>
        <w:jc w:val="center"/>
        <w:rPr>
          <w:rFonts w:ascii="宋体" w:hAnsi="宋体" w:eastAsia="宋体" w:cs="宋体"/>
          <w:b/>
          <w:bCs/>
          <w:color w:val="auto"/>
          <w:sz w:val="36"/>
          <w:szCs w:val="36"/>
        </w:rPr>
      </w:pPr>
    </w:p>
    <w:p w14:paraId="7D64E0C7">
      <w:pPr>
        <w:autoSpaceDE w:val="0"/>
        <w:autoSpaceDN w:val="0"/>
        <w:adjustRightInd w:val="0"/>
        <w:spacing w:line="400" w:lineRule="atLeast"/>
        <w:jc w:val="center"/>
        <w:rPr>
          <w:rFonts w:ascii="宋体" w:hAnsi="宋体" w:eastAsia="宋体" w:cs="宋体"/>
          <w:b/>
          <w:bCs/>
          <w:color w:val="auto"/>
          <w:sz w:val="36"/>
          <w:szCs w:val="36"/>
        </w:rPr>
      </w:pPr>
      <w:r>
        <w:rPr>
          <w:rFonts w:hint="eastAsia" w:ascii="宋体" w:hAnsi="宋体" w:eastAsia="宋体" w:cs="宋体"/>
          <w:b/>
          <w:bCs/>
          <w:color w:val="auto"/>
          <w:sz w:val="36"/>
          <w:szCs w:val="36"/>
          <w:lang w:val="zh-CN"/>
        </w:rPr>
        <w:t>东莞市达盛招标代理有限公司</w:t>
      </w:r>
    </w:p>
    <w:p w14:paraId="0612B73E">
      <w:pPr>
        <w:autoSpaceDE w:val="0"/>
        <w:autoSpaceDN w:val="0"/>
        <w:adjustRightInd w:val="0"/>
        <w:spacing w:line="400" w:lineRule="atLeast"/>
        <w:jc w:val="center"/>
        <w:rPr>
          <w:rFonts w:ascii="宋体" w:hAnsi="宋体" w:eastAsia="宋体" w:cs="宋体"/>
          <w:b/>
          <w:bCs/>
          <w:color w:val="auto"/>
          <w:sz w:val="36"/>
          <w:szCs w:val="36"/>
        </w:rPr>
      </w:pPr>
    </w:p>
    <w:p w14:paraId="5522AE6E">
      <w:pPr>
        <w:autoSpaceDE w:val="0"/>
        <w:autoSpaceDN w:val="0"/>
        <w:adjustRightInd w:val="0"/>
        <w:spacing w:line="400" w:lineRule="atLeast"/>
        <w:jc w:val="center"/>
        <w:rPr>
          <w:rFonts w:ascii="宋体" w:hAnsi="宋体" w:eastAsia="宋体" w:cs="宋体"/>
          <w:b/>
          <w:bCs/>
          <w:color w:val="auto"/>
          <w:sz w:val="36"/>
          <w:szCs w:val="36"/>
        </w:rPr>
      </w:pPr>
      <w:r>
        <w:rPr>
          <w:rFonts w:hint="eastAsia" w:ascii="宋体" w:hAnsi="宋体" w:eastAsia="宋体" w:cs="宋体"/>
          <w:color w:val="auto"/>
          <w:sz w:val="44"/>
          <w:szCs w:val="44"/>
        </w:rPr>
        <w:br w:type="page"/>
      </w:r>
      <w:bookmarkStart w:id="664" w:name="_Toc32395_WPSOffice_Level1"/>
      <w:r>
        <w:rPr>
          <w:rFonts w:hint="eastAsia" w:ascii="宋体" w:hAnsi="宋体" w:eastAsia="宋体" w:cs="宋体"/>
          <w:b/>
          <w:bCs/>
          <w:color w:val="auto"/>
          <w:sz w:val="36"/>
          <w:szCs w:val="36"/>
          <w:lang w:val="zh-CN"/>
        </w:rPr>
        <w:t>目录</w:t>
      </w:r>
      <w:bookmarkEnd w:id="664"/>
    </w:p>
    <w:p w14:paraId="657B5FBC">
      <w:pPr>
        <w:autoSpaceDE w:val="0"/>
        <w:autoSpaceDN w:val="0"/>
        <w:adjustRightInd w:val="0"/>
        <w:spacing w:line="400" w:lineRule="atLeast"/>
        <w:jc w:val="center"/>
        <w:rPr>
          <w:rFonts w:ascii="宋体" w:hAnsi="宋体" w:eastAsia="宋体" w:cs="宋体"/>
          <w:color w:val="auto"/>
          <w:sz w:val="44"/>
          <w:szCs w:val="44"/>
        </w:rPr>
      </w:pPr>
    </w:p>
    <w:p w14:paraId="588B926E">
      <w:pPr>
        <w:autoSpaceDE w:val="0"/>
        <w:autoSpaceDN w:val="0"/>
        <w:adjustRightInd w:val="0"/>
        <w:spacing w:line="360" w:lineRule="auto"/>
        <w:ind w:left="567" w:hanging="567"/>
        <w:rPr>
          <w:rFonts w:ascii="宋体" w:hAnsi="宋体" w:eastAsia="宋体" w:cs="宋体"/>
          <w:color w:val="auto"/>
          <w:szCs w:val="30"/>
        </w:rPr>
      </w:pPr>
      <w:bookmarkStart w:id="665" w:name="_Toc21604_WPSOffice_Level1"/>
      <w:r>
        <w:rPr>
          <w:rFonts w:hint="eastAsia" w:ascii="宋体" w:hAnsi="宋体" w:eastAsia="宋体" w:cs="宋体"/>
          <w:color w:val="auto"/>
          <w:szCs w:val="30"/>
          <w:lang w:val="zh-CN"/>
        </w:rPr>
        <w:t>一、</w:t>
      </w:r>
      <w:r>
        <w:rPr>
          <w:rFonts w:hint="eastAsia" w:ascii="宋体" w:hAnsi="宋体" w:eastAsia="宋体" w:cs="宋体"/>
          <w:color w:val="auto"/>
          <w:szCs w:val="30"/>
          <w:lang w:val="zh-CN"/>
        </w:rPr>
        <w:tab/>
      </w:r>
      <w:r>
        <w:rPr>
          <w:rFonts w:hint="eastAsia" w:ascii="宋体" w:hAnsi="宋体" w:eastAsia="宋体" w:cs="宋体"/>
          <w:color w:val="auto"/>
          <w:szCs w:val="30"/>
          <w:lang w:val="zh-CN"/>
        </w:rPr>
        <w:t>总则</w:t>
      </w:r>
      <w:bookmarkEnd w:id="665"/>
    </w:p>
    <w:p w14:paraId="3DD269BB">
      <w:pPr>
        <w:autoSpaceDE w:val="0"/>
        <w:autoSpaceDN w:val="0"/>
        <w:adjustRightInd w:val="0"/>
        <w:spacing w:line="360" w:lineRule="auto"/>
        <w:ind w:left="567" w:hanging="567"/>
        <w:rPr>
          <w:rFonts w:ascii="宋体" w:hAnsi="宋体" w:eastAsia="宋体" w:cs="宋体"/>
          <w:color w:val="auto"/>
          <w:szCs w:val="30"/>
        </w:rPr>
      </w:pPr>
      <w:bookmarkStart w:id="666" w:name="_Toc1387_WPSOffice_Level1"/>
      <w:r>
        <w:rPr>
          <w:rFonts w:hint="eastAsia" w:ascii="宋体" w:hAnsi="宋体" w:eastAsia="宋体" w:cs="宋体"/>
          <w:color w:val="auto"/>
          <w:szCs w:val="30"/>
          <w:lang w:val="zh-CN"/>
        </w:rPr>
        <w:t>二、</w:t>
      </w:r>
      <w:r>
        <w:rPr>
          <w:rFonts w:hint="eastAsia" w:ascii="宋体" w:hAnsi="宋体" w:eastAsia="宋体" w:cs="宋体"/>
          <w:color w:val="auto"/>
          <w:szCs w:val="30"/>
          <w:lang w:val="zh-CN"/>
        </w:rPr>
        <w:tab/>
      </w:r>
      <w:r>
        <w:rPr>
          <w:rFonts w:hint="eastAsia" w:ascii="宋体" w:hAnsi="宋体" w:eastAsia="宋体" w:cs="宋体"/>
          <w:color w:val="auto"/>
          <w:szCs w:val="30"/>
          <w:lang w:val="zh-CN"/>
        </w:rPr>
        <w:t>投标文件的初审</w:t>
      </w:r>
      <w:bookmarkEnd w:id="666"/>
    </w:p>
    <w:p w14:paraId="05907BF3">
      <w:pPr>
        <w:autoSpaceDE w:val="0"/>
        <w:autoSpaceDN w:val="0"/>
        <w:adjustRightInd w:val="0"/>
        <w:spacing w:line="360" w:lineRule="auto"/>
        <w:ind w:left="567" w:hanging="567"/>
        <w:rPr>
          <w:rFonts w:ascii="宋体" w:hAnsi="宋体" w:eastAsia="宋体" w:cs="宋体"/>
          <w:color w:val="auto"/>
          <w:szCs w:val="30"/>
        </w:rPr>
      </w:pPr>
      <w:bookmarkStart w:id="667" w:name="_Toc30284_WPSOffice_Level1"/>
      <w:r>
        <w:rPr>
          <w:rFonts w:hint="eastAsia" w:ascii="宋体" w:hAnsi="宋体" w:eastAsia="宋体" w:cs="宋体"/>
          <w:color w:val="auto"/>
          <w:szCs w:val="30"/>
          <w:lang w:val="zh-CN"/>
        </w:rPr>
        <w:t>三、</w:t>
      </w:r>
      <w:r>
        <w:rPr>
          <w:rFonts w:hint="eastAsia" w:ascii="宋体" w:hAnsi="宋体" w:eastAsia="宋体" w:cs="宋体"/>
          <w:color w:val="auto"/>
          <w:szCs w:val="30"/>
          <w:lang w:val="zh-CN"/>
        </w:rPr>
        <w:tab/>
      </w:r>
      <w:r>
        <w:rPr>
          <w:rFonts w:hint="eastAsia" w:ascii="宋体" w:hAnsi="宋体" w:eastAsia="宋体" w:cs="宋体"/>
          <w:color w:val="auto"/>
          <w:szCs w:val="30"/>
          <w:lang w:val="zh-CN"/>
        </w:rPr>
        <w:t>澄清有关问题</w:t>
      </w:r>
      <w:bookmarkEnd w:id="667"/>
    </w:p>
    <w:p w14:paraId="39C8D036">
      <w:pPr>
        <w:autoSpaceDE w:val="0"/>
        <w:autoSpaceDN w:val="0"/>
        <w:adjustRightInd w:val="0"/>
        <w:spacing w:line="360" w:lineRule="auto"/>
        <w:ind w:left="567" w:hanging="567"/>
        <w:rPr>
          <w:rFonts w:ascii="宋体" w:hAnsi="宋体" w:eastAsia="宋体" w:cs="宋体"/>
          <w:color w:val="auto"/>
          <w:szCs w:val="30"/>
        </w:rPr>
      </w:pPr>
      <w:bookmarkStart w:id="668" w:name="_Toc1206_WPSOffice_Level1"/>
      <w:r>
        <w:rPr>
          <w:rFonts w:hint="eastAsia" w:ascii="宋体" w:hAnsi="宋体" w:eastAsia="宋体" w:cs="宋体"/>
          <w:color w:val="auto"/>
          <w:szCs w:val="30"/>
        </w:rPr>
        <w:t>四、</w:t>
      </w:r>
      <w:r>
        <w:rPr>
          <w:rFonts w:hint="eastAsia" w:ascii="宋体" w:hAnsi="宋体" w:eastAsia="宋体" w:cs="宋体"/>
          <w:color w:val="auto"/>
          <w:szCs w:val="30"/>
          <w:lang w:val="zh-CN"/>
        </w:rPr>
        <w:tab/>
      </w:r>
      <w:r>
        <w:rPr>
          <w:rFonts w:hint="eastAsia" w:ascii="宋体" w:hAnsi="宋体" w:eastAsia="宋体" w:cs="宋体"/>
          <w:color w:val="auto"/>
          <w:szCs w:val="30"/>
        </w:rPr>
        <w:t>比较和评价</w:t>
      </w:r>
      <w:bookmarkEnd w:id="668"/>
    </w:p>
    <w:p w14:paraId="48DCA853">
      <w:pPr>
        <w:autoSpaceDE w:val="0"/>
        <w:autoSpaceDN w:val="0"/>
        <w:adjustRightInd w:val="0"/>
        <w:spacing w:line="360" w:lineRule="auto"/>
        <w:ind w:left="567" w:hanging="567"/>
        <w:rPr>
          <w:rFonts w:ascii="宋体" w:hAnsi="宋体" w:eastAsia="宋体" w:cs="宋体"/>
          <w:color w:val="auto"/>
          <w:szCs w:val="30"/>
        </w:rPr>
      </w:pPr>
      <w:bookmarkStart w:id="669" w:name="_Toc12163_WPSOffice_Level1"/>
      <w:r>
        <w:rPr>
          <w:rFonts w:hint="eastAsia" w:ascii="宋体" w:hAnsi="宋体" w:eastAsia="宋体" w:cs="宋体"/>
          <w:color w:val="auto"/>
          <w:szCs w:val="30"/>
          <w:lang w:val="zh-CN"/>
        </w:rPr>
        <w:t>五、</w:t>
      </w:r>
      <w:r>
        <w:rPr>
          <w:rFonts w:hint="eastAsia" w:ascii="宋体" w:hAnsi="宋体" w:eastAsia="宋体" w:cs="宋体"/>
          <w:color w:val="auto"/>
          <w:szCs w:val="30"/>
          <w:lang w:val="zh-CN"/>
        </w:rPr>
        <w:tab/>
      </w:r>
      <w:r>
        <w:rPr>
          <w:rFonts w:hint="eastAsia" w:ascii="宋体" w:hAnsi="宋体" w:eastAsia="宋体" w:cs="宋体"/>
          <w:color w:val="auto"/>
          <w:szCs w:val="30"/>
          <w:lang w:val="zh-CN"/>
        </w:rPr>
        <w:t>推荐中标候选人名单</w:t>
      </w:r>
      <w:bookmarkEnd w:id="669"/>
    </w:p>
    <w:p w14:paraId="1AB7DAF2">
      <w:pPr>
        <w:autoSpaceDE w:val="0"/>
        <w:autoSpaceDN w:val="0"/>
        <w:adjustRightInd w:val="0"/>
        <w:spacing w:line="360" w:lineRule="auto"/>
        <w:ind w:left="567" w:hanging="567"/>
        <w:rPr>
          <w:rFonts w:ascii="宋体" w:hAnsi="宋体" w:eastAsia="宋体" w:cs="宋体"/>
          <w:color w:val="auto"/>
          <w:szCs w:val="30"/>
        </w:rPr>
      </w:pPr>
      <w:bookmarkStart w:id="670" w:name="_Toc366_WPSOffice_Level1"/>
      <w:r>
        <w:rPr>
          <w:rFonts w:hint="eastAsia" w:ascii="宋体" w:hAnsi="宋体" w:eastAsia="宋体" w:cs="宋体"/>
          <w:color w:val="auto"/>
          <w:szCs w:val="30"/>
          <w:lang w:val="zh-CN"/>
        </w:rPr>
        <w:t>六、</w:t>
      </w:r>
      <w:r>
        <w:rPr>
          <w:rFonts w:hint="eastAsia" w:ascii="宋体" w:hAnsi="宋体" w:eastAsia="宋体" w:cs="宋体"/>
          <w:color w:val="auto"/>
          <w:szCs w:val="30"/>
          <w:lang w:val="zh-CN"/>
        </w:rPr>
        <w:tab/>
      </w:r>
      <w:r>
        <w:rPr>
          <w:rFonts w:hint="eastAsia" w:ascii="宋体" w:hAnsi="宋体" w:eastAsia="宋体" w:cs="宋体"/>
          <w:color w:val="auto"/>
          <w:szCs w:val="30"/>
          <w:lang w:val="zh-CN"/>
        </w:rPr>
        <w:t>编写评标报告</w:t>
      </w:r>
      <w:bookmarkEnd w:id="670"/>
    </w:p>
    <w:p w14:paraId="6A6953CE">
      <w:pPr>
        <w:autoSpaceDE w:val="0"/>
        <w:autoSpaceDN w:val="0"/>
        <w:adjustRightInd w:val="0"/>
        <w:spacing w:line="360" w:lineRule="auto"/>
        <w:ind w:left="567" w:hanging="567"/>
        <w:rPr>
          <w:rFonts w:ascii="宋体" w:hAnsi="宋体" w:eastAsia="宋体" w:cs="宋体"/>
          <w:color w:val="auto"/>
          <w:szCs w:val="30"/>
        </w:rPr>
      </w:pPr>
      <w:bookmarkStart w:id="671" w:name="_Toc22378_WPSOffice_Level1"/>
      <w:r>
        <w:rPr>
          <w:rFonts w:hint="eastAsia" w:ascii="宋体" w:hAnsi="宋体" w:eastAsia="宋体" w:cs="宋体"/>
          <w:color w:val="auto"/>
          <w:szCs w:val="30"/>
          <w:lang w:val="zh-CN"/>
        </w:rPr>
        <w:t>七、</w:t>
      </w:r>
      <w:r>
        <w:rPr>
          <w:rFonts w:hint="eastAsia" w:ascii="宋体" w:hAnsi="宋体" w:eastAsia="宋体" w:cs="宋体"/>
          <w:color w:val="auto"/>
          <w:szCs w:val="30"/>
          <w:lang w:val="zh-CN"/>
        </w:rPr>
        <w:tab/>
      </w:r>
      <w:r>
        <w:rPr>
          <w:rFonts w:hint="eastAsia" w:ascii="宋体" w:hAnsi="宋体" w:eastAsia="宋体" w:cs="宋体"/>
          <w:color w:val="auto"/>
          <w:szCs w:val="30"/>
          <w:lang w:val="zh-CN"/>
        </w:rPr>
        <w:t>注意事项</w:t>
      </w:r>
      <w:bookmarkEnd w:id="671"/>
    </w:p>
    <w:p w14:paraId="6EFE914D">
      <w:pPr>
        <w:tabs>
          <w:tab w:val="right" w:pos="7320"/>
        </w:tabs>
        <w:autoSpaceDE w:val="0"/>
        <w:autoSpaceDN w:val="0"/>
        <w:adjustRightInd w:val="0"/>
        <w:spacing w:line="360" w:lineRule="auto"/>
        <w:ind w:left="720" w:hanging="720"/>
        <w:rPr>
          <w:rFonts w:ascii="宋体" w:hAnsi="宋体" w:eastAsia="宋体" w:cs="宋体"/>
          <w:color w:val="auto"/>
          <w:szCs w:val="30"/>
        </w:rPr>
      </w:pPr>
    </w:p>
    <w:p w14:paraId="30DF5EB7">
      <w:pPr>
        <w:tabs>
          <w:tab w:val="right" w:pos="7320"/>
        </w:tabs>
        <w:autoSpaceDE w:val="0"/>
        <w:autoSpaceDN w:val="0"/>
        <w:adjustRightInd w:val="0"/>
        <w:spacing w:line="360" w:lineRule="auto"/>
        <w:ind w:left="720" w:hanging="720"/>
        <w:rPr>
          <w:rFonts w:ascii="宋体" w:hAnsi="宋体" w:eastAsia="宋体" w:cs="宋体"/>
          <w:color w:val="auto"/>
          <w:szCs w:val="30"/>
        </w:rPr>
      </w:pPr>
    </w:p>
    <w:p w14:paraId="2F3C2E9B">
      <w:pPr>
        <w:tabs>
          <w:tab w:val="left" w:pos="1080"/>
          <w:tab w:val="right" w:pos="7320"/>
        </w:tabs>
        <w:autoSpaceDE w:val="0"/>
        <w:autoSpaceDN w:val="0"/>
        <w:adjustRightInd w:val="0"/>
        <w:spacing w:line="400" w:lineRule="atLeast"/>
        <w:ind w:left="720" w:hanging="720"/>
        <w:rPr>
          <w:rFonts w:ascii="宋体" w:hAnsi="宋体" w:eastAsia="宋体" w:cs="宋体"/>
          <w:color w:val="auto"/>
          <w:szCs w:val="30"/>
        </w:rPr>
      </w:pPr>
    </w:p>
    <w:p w14:paraId="3A083C73">
      <w:pPr>
        <w:tabs>
          <w:tab w:val="left" w:pos="1140"/>
        </w:tabs>
        <w:autoSpaceDE w:val="0"/>
        <w:autoSpaceDN w:val="0"/>
        <w:adjustRightInd w:val="0"/>
        <w:spacing w:line="360" w:lineRule="auto"/>
        <w:jc w:val="center"/>
        <w:rPr>
          <w:rFonts w:ascii="宋体" w:hAnsi="宋体" w:eastAsia="宋体" w:cs="宋体"/>
          <w:b/>
          <w:bCs/>
          <w:color w:val="auto"/>
          <w:sz w:val="28"/>
          <w:szCs w:val="28"/>
        </w:rPr>
      </w:pPr>
      <w:r>
        <w:rPr>
          <w:rFonts w:hint="eastAsia" w:ascii="宋体" w:hAnsi="宋体" w:eastAsia="宋体" w:cs="宋体"/>
          <w:color w:val="auto"/>
          <w:sz w:val="30"/>
          <w:szCs w:val="30"/>
        </w:rPr>
        <w:br w:type="page"/>
      </w:r>
      <w:bookmarkStart w:id="672" w:name="_Toc27181_WPSOffice_Level1"/>
      <w:r>
        <w:rPr>
          <w:rFonts w:hint="eastAsia" w:ascii="宋体" w:hAnsi="宋体" w:eastAsia="宋体" w:cs="宋体"/>
          <w:color w:val="auto"/>
          <w:sz w:val="28"/>
          <w:szCs w:val="28"/>
          <w:lang w:val="zh-CN"/>
        </w:rPr>
        <w:t>一、</w:t>
      </w:r>
      <w:r>
        <w:rPr>
          <w:rFonts w:hint="eastAsia" w:ascii="宋体" w:hAnsi="宋体" w:eastAsia="宋体" w:cs="宋体"/>
          <w:b/>
          <w:bCs/>
          <w:color w:val="auto"/>
          <w:sz w:val="28"/>
          <w:szCs w:val="28"/>
          <w:lang w:val="zh-CN"/>
        </w:rPr>
        <w:t>总则</w:t>
      </w:r>
      <w:bookmarkEnd w:id="672"/>
    </w:p>
    <w:p w14:paraId="289C8E4B">
      <w:pPr>
        <w:tabs>
          <w:tab w:val="left" w:pos="567"/>
          <w:tab w:val="left" w:pos="600"/>
        </w:tabs>
        <w:autoSpaceDE w:val="0"/>
        <w:autoSpaceDN w:val="0"/>
        <w:adjustRightInd w:val="0"/>
        <w:spacing w:line="360" w:lineRule="auto"/>
        <w:ind w:left="600" w:hanging="600"/>
        <w:rPr>
          <w:rFonts w:ascii="宋体" w:hAnsi="宋体" w:eastAsia="宋体" w:cs="宋体"/>
          <w:b/>
          <w:bCs/>
          <w:color w:val="auto"/>
          <w:szCs w:val="24"/>
          <w:lang w:val="zh-CN"/>
        </w:rPr>
      </w:pPr>
      <w:r>
        <w:rPr>
          <w:rFonts w:hint="eastAsia" w:ascii="宋体" w:hAnsi="宋体" w:eastAsia="宋体" w:cs="宋体"/>
          <w:b/>
          <w:bCs/>
          <w:color w:val="auto"/>
          <w:szCs w:val="24"/>
          <w:lang w:val="zh-CN"/>
        </w:rPr>
        <w:t>1、一般规定</w:t>
      </w:r>
    </w:p>
    <w:p w14:paraId="5B2F1E0E">
      <w:pPr>
        <w:autoSpaceDE w:val="0"/>
        <w:autoSpaceDN w:val="0"/>
        <w:adjustRightInd w:val="0"/>
        <w:spacing w:line="360" w:lineRule="auto"/>
        <w:ind w:left="567" w:hanging="567"/>
        <w:rPr>
          <w:rFonts w:ascii="宋体" w:hAnsi="宋体" w:eastAsia="宋体" w:cs="宋体"/>
          <w:color w:val="auto"/>
          <w:kern w:val="0"/>
          <w:szCs w:val="32"/>
        </w:rPr>
      </w:pPr>
      <w:r>
        <w:rPr>
          <w:rFonts w:hint="eastAsia" w:ascii="宋体" w:hAnsi="宋体" w:eastAsia="宋体" w:cs="宋体"/>
          <w:color w:val="auto"/>
          <w:szCs w:val="21"/>
          <w:lang w:val="zh-CN"/>
        </w:rPr>
        <w:t>1.1</w:t>
      </w:r>
      <w:r>
        <w:rPr>
          <w:rFonts w:hint="eastAsia" w:ascii="宋体" w:hAnsi="宋体" w:eastAsia="宋体" w:cs="宋体"/>
          <w:color w:val="auto"/>
          <w:szCs w:val="21"/>
          <w:lang w:val="zh-CN"/>
        </w:rPr>
        <w:tab/>
      </w:r>
      <w:r>
        <w:rPr>
          <w:rFonts w:hint="eastAsia" w:ascii="宋体" w:hAnsi="宋体" w:eastAsia="宋体" w:cs="宋体"/>
          <w:color w:val="auto"/>
          <w:kern w:val="0"/>
          <w:szCs w:val="21"/>
          <w:lang w:eastAsia="zh-CN"/>
        </w:rPr>
        <w:t>东莞市水务集团有限公司2025年安全及劳保物资采购项目</w:t>
      </w:r>
      <w:r>
        <w:rPr>
          <w:rFonts w:hint="eastAsia" w:ascii="宋体" w:hAnsi="宋体" w:eastAsia="宋体" w:cs="宋体"/>
          <w:color w:val="auto"/>
          <w:szCs w:val="21"/>
          <w:lang w:val="zh-CN"/>
        </w:rPr>
        <w:t>(招标编号：DGDS2024-079</w:t>
      </w:r>
      <w:r>
        <w:rPr>
          <w:rFonts w:hint="eastAsia" w:ascii="宋体" w:hAnsi="宋体" w:eastAsia="宋体" w:cs="宋体"/>
          <w:color w:val="auto"/>
          <w:kern w:val="0"/>
          <w:szCs w:val="32"/>
        </w:rPr>
        <w:t>)的</w:t>
      </w:r>
      <w:r>
        <w:rPr>
          <w:rFonts w:hint="eastAsia" w:ascii="宋体" w:hAnsi="宋体" w:eastAsia="宋体" w:cs="宋体"/>
          <w:color w:val="auto"/>
          <w:szCs w:val="21"/>
          <w:lang w:val="zh-CN"/>
        </w:rPr>
        <w:t>招标</w:t>
      </w:r>
      <w:r>
        <w:rPr>
          <w:rFonts w:hint="eastAsia" w:ascii="宋体" w:hAnsi="宋体" w:eastAsia="宋体" w:cs="宋体"/>
          <w:color w:val="auto"/>
          <w:kern w:val="0"/>
          <w:szCs w:val="32"/>
        </w:rPr>
        <w:t>按照《中华人民共和国招标投标法》等有关规定进行。</w:t>
      </w:r>
    </w:p>
    <w:p w14:paraId="57D0F861">
      <w:pPr>
        <w:autoSpaceDE w:val="0"/>
        <w:autoSpaceDN w:val="0"/>
        <w:adjustRightInd w:val="0"/>
        <w:spacing w:line="360" w:lineRule="auto"/>
        <w:ind w:left="567" w:hanging="567"/>
        <w:rPr>
          <w:rFonts w:ascii="宋体" w:hAnsi="宋体" w:eastAsia="宋体" w:cs="宋体"/>
          <w:color w:val="auto"/>
          <w:szCs w:val="24"/>
          <w:lang w:val="zh-CN"/>
        </w:rPr>
      </w:pPr>
      <w:r>
        <w:rPr>
          <w:rFonts w:hint="eastAsia" w:ascii="宋体" w:hAnsi="宋体" w:eastAsia="宋体" w:cs="宋体"/>
          <w:color w:val="auto"/>
          <w:szCs w:val="24"/>
          <w:lang w:val="zh-CN"/>
        </w:rPr>
        <w:t>1.2</w:t>
      </w:r>
      <w:r>
        <w:rPr>
          <w:rFonts w:hint="eastAsia" w:ascii="宋体" w:hAnsi="宋体" w:eastAsia="宋体" w:cs="宋体"/>
          <w:color w:val="auto"/>
          <w:szCs w:val="24"/>
          <w:lang w:val="zh-CN"/>
        </w:rPr>
        <w:tab/>
      </w:r>
      <w:r>
        <w:rPr>
          <w:rFonts w:hint="eastAsia" w:ascii="宋体" w:hAnsi="宋体" w:eastAsia="宋体" w:cs="宋体"/>
          <w:color w:val="auto"/>
          <w:szCs w:val="24"/>
          <w:lang w:val="zh-CN"/>
        </w:rPr>
        <w:t>评标必须遵循公平、公正、诚实信用的原则。</w:t>
      </w:r>
    </w:p>
    <w:p w14:paraId="3AA8CD78">
      <w:pPr>
        <w:autoSpaceDE w:val="0"/>
        <w:autoSpaceDN w:val="0"/>
        <w:adjustRightInd w:val="0"/>
        <w:spacing w:line="360" w:lineRule="auto"/>
        <w:ind w:left="567" w:hanging="567"/>
        <w:rPr>
          <w:rFonts w:ascii="宋体" w:hAnsi="宋体" w:eastAsia="宋体" w:cs="宋体"/>
          <w:color w:val="auto"/>
          <w:szCs w:val="24"/>
          <w:lang w:val="zh-CN"/>
        </w:rPr>
      </w:pPr>
      <w:r>
        <w:rPr>
          <w:rFonts w:hint="eastAsia" w:ascii="宋体" w:hAnsi="宋体" w:eastAsia="宋体" w:cs="宋体"/>
          <w:color w:val="auto"/>
          <w:szCs w:val="24"/>
          <w:lang w:val="zh-CN"/>
        </w:rPr>
        <w:t>1.3</w:t>
      </w:r>
      <w:r>
        <w:rPr>
          <w:rFonts w:hint="eastAsia" w:ascii="宋体" w:hAnsi="宋体" w:eastAsia="宋体" w:cs="宋体"/>
          <w:color w:val="auto"/>
          <w:szCs w:val="24"/>
          <w:lang w:val="zh-CN"/>
        </w:rPr>
        <w:tab/>
      </w:r>
      <w:r>
        <w:rPr>
          <w:rFonts w:hint="eastAsia" w:ascii="宋体" w:hAnsi="宋体" w:eastAsia="宋体" w:cs="宋体"/>
          <w:color w:val="auto"/>
          <w:szCs w:val="24"/>
          <w:lang w:val="zh-CN"/>
        </w:rPr>
        <w:t>招标代理机构</w:t>
      </w:r>
      <w:r>
        <w:rPr>
          <w:rFonts w:hint="eastAsia" w:ascii="宋体" w:hAnsi="宋体" w:eastAsia="宋体" w:cs="宋体"/>
          <w:color w:val="auto"/>
          <w:kern w:val="0"/>
          <w:szCs w:val="32"/>
        </w:rPr>
        <w:t>(东莞市达盛招标代理有限公司）组</w:t>
      </w:r>
      <w:r>
        <w:rPr>
          <w:rFonts w:hint="eastAsia" w:ascii="宋体" w:hAnsi="宋体" w:eastAsia="宋体" w:cs="宋体"/>
          <w:color w:val="auto"/>
          <w:szCs w:val="24"/>
          <w:lang w:val="zh-CN"/>
        </w:rPr>
        <w:t>织评标工作，全过程接受招标人及相关部门的监督、管理和指导。</w:t>
      </w:r>
    </w:p>
    <w:p w14:paraId="69EDF8F5">
      <w:pPr>
        <w:autoSpaceDE w:val="0"/>
        <w:autoSpaceDN w:val="0"/>
        <w:adjustRightInd w:val="0"/>
        <w:spacing w:line="360" w:lineRule="auto"/>
        <w:ind w:left="567" w:hanging="567"/>
        <w:rPr>
          <w:rFonts w:ascii="宋体" w:hAnsi="宋体" w:eastAsia="宋体" w:cs="宋体"/>
          <w:color w:val="auto"/>
          <w:szCs w:val="24"/>
          <w:lang w:val="zh-CN"/>
        </w:rPr>
      </w:pPr>
      <w:r>
        <w:rPr>
          <w:rFonts w:hint="eastAsia" w:ascii="宋体" w:hAnsi="宋体" w:eastAsia="宋体" w:cs="宋体"/>
          <w:color w:val="auto"/>
          <w:szCs w:val="24"/>
          <w:lang w:val="zh-CN"/>
        </w:rPr>
        <w:t>1.4</w:t>
      </w:r>
      <w:r>
        <w:rPr>
          <w:rFonts w:hint="eastAsia" w:ascii="宋体" w:hAnsi="宋体" w:eastAsia="宋体" w:cs="宋体"/>
          <w:color w:val="auto"/>
          <w:szCs w:val="24"/>
          <w:lang w:val="zh-CN"/>
        </w:rPr>
        <w:tab/>
      </w:r>
      <w:r>
        <w:rPr>
          <w:rFonts w:hint="eastAsia" w:ascii="宋体" w:hAnsi="宋体" w:eastAsia="宋体" w:cs="宋体"/>
          <w:color w:val="auto"/>
          <w:szCs w:val="24"/>
          <w:lang w:val="zh-CN"/>
        </w:rPr>
        <w:t>评标按照招标文件规定的内容进行，采取综合评分</w:t>
      </w:r>
      <w:r>
        <w:rPr>
          <w:rFonts w:hint="eastAsia" w:ascii="宋体" w:hAnsi="宋体" w:eastAsia="宋体" w:cs="宋体"/>
          <w:color w:val="auto"/>
          <w:szCs w:val="21"/>
        </w:rPr>
        <w:t>法进行评审</w:t>
      </w:r>
      <w:r>
        <w:rPr>
          <w:rFonts w:hint="eastAsia" w:ascii="宋体" w:hAnsi="宋体" w:eastAsia="宋体" w:cs="宋体"/>
          <w:color w:val="auto"/>
          <w:szCs w:val="24"/>
          <w:lang w:val="zh-CN"/>
        </w:rPr>
        <w:t>。</w:t>
      </w:r>
    </w:p>
    <w:p w14:paraId="190DC03A">
      <w:pPr>
        <w:numPr>
          <w:ilvl w:val="1"/>
          <w:numId w:val="4"/>
        </w:numPr>
        <w:autoSpaceDE w:val="0"/>
        <w:autoSpaceDN w:val="0"/>
        <w:adjustRightInd w:val="0"/>
        <w:spacing w:line="360" w:lineRule="auto"/>
        <w:ind w:left="565" w:hanging="564" w:hangingChars="269"/>
        <w:jc w:val="left"/>
        <w:rPr>
          <w:rFonts w:ascii="宋体" w:hAnsi="宋体" w:eastAsia="宋体" w:cs="宋体"/>
          <w:color w:val="auto"/>
          <w:szCs w:val="24"/>
          <w:lang w:val="zh-CN"/>
        </w:rPr>
      </w:pPr>
      <w:r>
        <w:rPr>
          <w:rFonts w:hint="eastAsia" w:ascii="宋体" w:hAnsi="宋体" w:eastAsia="宋体" w:cs="宋体"/>
          <w:color w:val="auto"/>
          <w:szCs w:val="24"/>
        </w:rPr>
        <w:t xml:space="preserve"> </w:t>
      </w:r>
      <w:r>
        <w:rPr>
          <w:rFonts w:hint="eastAsia" w:ascii="宋体" w:hAnsi="宋体" w:eastAsia="宋体" w:cs="宋体"/>
          <w:color w:val="auto"/>
          <w:szCs w:val="24"/>
          <w:lang w:val="zh-CN"/>
        </w:rPr>
        <w:t>本办法的评审对象是指投标人按照招标文件要求提供的有效投标文件，包括投标人应评标委员会要求对原投标文件作出的正式书面澄清文件。</w:t>
      </w:r>
    </w:p>
    <w:p w14:paraId="31E03322">
      <w:pPr>
        <w:autoSpaceDE w:val="0"/>
        <w:autoSpaceDN w:val="0"/>
        <w:adjustRightInd w:val="0"/>
        <w:spacing w:line="360" w:lineRule="auto"/>
        <w:rPr>
          <w:rFonts w:ascii="宋体" w:hAnsi="宋体" w:eastAsia="宋体" w:cs="宋体"/>
          <w:color w:val="auto"/>
          <w:sz w:val="24"/>
          <w:szCs w:val="24"/>
          <w:lang w:val="zh-CN"/>
        </w:rPr>
      </w:pPr>
    </w:p>
    <w:p w14:paraId="67CFDDB8">
      <w:pPr>
        <w:tabs>
          <w:tab w:val="left" w:pos="360"/>
          <w:tab w:val="left" w:pos="600"/>
        </w:tabs>
        <w:autoSpaceDE w:val="0"/>
        <w:autoSpaceDN w:val="0"/>
        <w:adjustRightInd w:val="0"/>
        <w:spacing w:line="360" w:lineRule="auto"/>
        <w:ind w:left="600" w:hanging="600"/>
        <w:rPr>
          <w:rFonts w:ascii="宋体" w:hAnsi="宋体" w:eastAsia="宋体" w:cs="宋体"/>
          <w:b/>
          <w:bCs/>
          <w:color w:val="auto"/>
          <w:szCs w:val="24"/>
          <w:lang w:val="zh-CN"/>
        </w:rPr>
      </w:pPr>
      <w:r>
        <w:rPr>
          <w:rFonts w:hint="eastAsia" w:ascii="宋体" w:hAnsi="宋体" w:eastAsia="宋体" w:cs="宋体"/>
          <w:b/>
          <w:bCs/>
          <w:color w:val="auto"/>
          <w:szCs w:val="24"/>
          <w:lang w:val="zh-CN"/>
        </w:rPr>
        <w:t>2、</w:t>
      </w:r>
      <w:r>
        <w:rPr>
          <w:rFonts w:hint="eastAsia" w:ascii="宋体" w:hAnsi="宋体" w:eastAsia="宋体" w:cs="宋体"/>
          <w:b/>
          <w:bCs/>
          <w:color w:val="auto"/>
          <w:szCs w:val="24"/>
          <w:lang w:val="zh-CN"/>
        </w:rPr>
        <w:tab/>
      </w:r>
      <w:r>
        <w:rPr>
          <w:rFonts w:hint="eastAsia" w:ascii="宋体" w:hAnsi="宋体" w:eastAsia="宋体" w:cs="宋体"/>
          <w:b/>
          <w:bCs/>
          <w:color w:val="auto"/>
          <w:szCs w:val="24"/>
          <w:lang w:val="zh-CN"/>
        </w:rPr>
        <w:t>评标组织机构的组成</w:t>
      </w:r>
    </w:p>
    <w:p w14:paraId="7E3F175B">
      <w:pPr>
        <w:tabs>
          <w:tab w:val="left" w:pos="567"/>
          <w:tab w:val="left" w:pos="1145"/>
        </w:tabs>
        <w:autoSpaceDE w:val="0"/>
        <w:autoSpaceDN w:val="0"/>
        <w:adjustRightInd w:val="0"/>
        <w:spacing w:line="360" w:lineRule="auto"/>
        <w:ind w:left="600" w:hanging="600"/>
        <w:rPr>
          <w:rFonts w:ascii="宋体" w:hAnsi="宋体" w:eastAsia="宋体" w:cs="宋体"/>
          <w:color w:val="auto"/>
          <w:szCs w:val="24"/>
          <w:lang w:val="zh-CN"/>
        </w:rPr>
      </w:pPr>
      <w:r>
        <w:rPr>
          <w:rFonts w:hint="eastAsia" w:ascii="宋体" w:hAnsi="宋体" w:eastAsia="宋体" w:cs="宋体"/>
          <w:color w:val="auto"/>
          <w:szCs w:val="24"/>
          <w:lang w:val="zh-CN"/>
        </w:rPr>
        <w:t>2.1</w:t>
      </w:r>
      <w:r>
        <w:rPr>
          <w:rFonts w:hint="eastAsia" w:ascii="宋体" w:hAnsi="宋体" w:eastAsia="宋体" w:cs="宋体"/>
          <w:color w:val="auto"/>
          <w:szCs w:val="24"/>
          <w:lang w:val="zh-CN"/>
        </w:rPr>
        <w:tab/>
      </w:r>
      <w:r>
        <w:rPr>
          <w:rFonts w:hint="eastAsia" w:ascii="宋体" w:hAnsi="宋体" w:eastAsia="宋体" w:cs="宋体"/>
          <w:color w:val="auto"/>
          <w:szCs w:val="24"/>
          <w:lang w:val="zh-CN"/>
        </w:rPr>
        <w:t>评标委员会</w:t>
      </w:r>
      <w:r>
        <w:rPr>
          <w:rFonts w:hint="eastAsia" w:ascii="宋体" w:hAnsi="宋体" w:eastAsia="宋体" w:cs="宋体"/>
          <w:color w:val="auto"/>
          <w:kern w:val="0"/>
          <w:szCs w:val="24"/>
        </w:rPr>
        <w:t>由招标人和技术、经济等方面的专家组成，成员为</w:t>
      </w:r>
      <w:r>
        <w:rPr>
          <w:rFonts w:ascii="宋体" w:hAnsi="宋体" w:eastAsia="宋体" w:cs="宋体"/>
          <w:b/>
          <w:bCs/>
          <w:color w:val="auto"/>
          <w:kern w:val="0"/>
          <w:szCs w:val="24"/>
        </w:rPr>
        <w:t>5人以上（含5人）单数</w:t>
      </w:r>
      <w:r>
        <w:rPr>
          <w:rFonts w:hint="eastAsia" w:ascii="宋体" w:hAnsi="宋体" w:eastAsia="宋体" w:cs="宋体"/>
          <w:color w:val="auto"/>
          <w:kern w:val="0"/>
          <w:szCs w:val="24"/>
        </w:rPr>
        <w:t>，其中技术、经济等方面的专家不少于成员总数的三分之二。</w:t>
      </w:r>
      <w:r>
        <w:rPr>
          <w:rFonts w:hint="eastAsia" w:ascii="宋体" w:hAnsi="宋体" w:eastAsia="宋体" w:cs="宋体"/>
          <w:color w:val="auto"/>
          <w:szCs w:val="24"/>
          <w:lang w:val="zh-CN"/>
        </w:rPr>
        <w:t>专家依法从</w:t>
      </w:r>
      <w:r>
        <w:rPr>
          <w:rFonts w:hint="eastAsia" w:ascii="宋体" w:hAnsi="宋体" w:eastAsia="宋体" w:cs="宋体"/>
          <w:color w:val="auto"/>
          <w:kern w:val="0"/>
          <w:szCs w:val="24"/>
        </w:rPr>
        <w:t>专家库中随机抽取产生。</w:t>
      </w:r>
    </w:p>
    <w:p w14:paraId="04121AA3">
      <w:pPr>
        <w:tabs>
          <w:tab w:val="left" w:pos="567"/>
          <w:tab w:val="left" w:pos="1145"/>
        </w:tabs>
        <w:autoSpaceDE w:val="0"/>
        <w:autoSpaceDN w:val="0"/>
        <w:adjustRightInd w:val="0"/>
        <w:spacing w:line="360" w:lineRule="auto"/>
        <w:ind w:left="600" w:hanging="600"/>
        <w:rPr>
          <w:rFonts w:ascii="宋体" w:hAnsi="宋体" w:eastAsia="宋体" w:cs="宋体"/>
          <w:color w:val="auto"/>
          <w:szCs w:val="24"/>
          <w:lang w:val="zh-CN"/>
        </w:rPr>
      </w:pPr>
      <w:r>
        <w:rPr>
          <w:rFonts w:hint="eastAsia" w:ascii="宋体" w:hAnsi="宋体" w:eastAsia="宋体" w:cs="宋体"/>
          <w:color w:val="auto"/>
          <w:szCs w:val="24"/>
          <w:lang w:val="zh-CN"/>
        </w:rPr>
        <w:t>2.2</w:t>
      </w:r>
      <w:r>
        <w:rPr>
          <w:rFonts w:hint="eastAsia" w:ascii="宋体" w:hAnsi="宋体" w:eastAsia="宋体" w:cs="宋体"/>
          <w:color w:val="auto"/>
          <w:szCs w:val="24"/>
          <w:lang w:val="zh-CN"/>
        </w:rPr>
        <w:tab/>
      </w:r>
      <w:r>
        <w:rPr>
          <w:rFonts w:hint="eastAsia" w:ascii="宋体" w:hAnsi="宋体" w:eastAsia="宋体" w:cs="宋体"/>
          <w:color w:val="auto"/>
          <w:szCs w:val="24"/>
          <w:lang w:val="zh-CN"/>
        </w:rPr>
        <w:t>评标工作组由招标人、招标代理机构及有关专家组成，由评标委员会确认，并接受其领导。</w:t>
      </w:r>
    </w:p>
    <w:p w14:paraId="2545BB6E">
      <w:pPr>
        <w:autoSpaceDE w:val="0"/>
        <w:autoSpaceDN w:val="0"/>
        <w:adjustRightInd w:val="0"/>
        <w:spacing w:line="360" w:lineRule="auto"/>
        <w:ind w:left="600" w:hanging="600"/>
        <w:rPr>
          <w:rFonts w:ascii="宋体" w:hAnsi="宋体" w:eastAsia="宋体" w:cs="宋体"/>
          <w:color w:val="auto"/>
          <w:szCs w:val="24"/>
          <w:lang w:val="zh-CN"/>
        </w:rPr>
      </w:pPr>
      <w:r>
        <w:rPr>
          <w:rFonts w:hint="eastAsia" w:ascii="宋体" w:hAnsi="宋体" w:eastAsia="宋体" w:cs="宋体"/>
          <w:color w:val="auto"/>
          <w:szCs w:val="24"/>
          <w:lang w:val="zh-CN"/>
        </w:rPr>
        <w:t>2.3</w:t>
      </w:r>
      <w:r>
        <w:rPr>
          <w:rFonts w:hint="eastAsia" w:ascii="宋体" w:hAnsi="宋体" w:eastAsia="宋体" w:cs="宋体"/>
          <w:color w:val="auto"/>
          <w:szCs w:val="24"/>
          <w:lang w:val="zh-CN"/>
        </w:rPr>
        <w:tab/>
      </w:r>
      <w:r>
        <w:rPr>
          <w:rFonts w:hint="eastAsia" w:ascii="宋体" w:hAnsi="宋体" w:eastAsia="宋体" w:cs="宋体"/>
          <w:color w:val="auto"/>
          <w:szCs w:val="24"/>
          <w:lang w:val="zh-CN"/>
        </w:rPr>
        <w:t>评标工作组分成评标委员会、秘书组。</w:t>
      </w:r>
    </w:p>
    <w:p w14:paraId="556275E4">
      <w:pPr>
        <w:autoSpaceDE w:val="0"/>
        <w:autoSpaceDN w:val="0"/>
        <w:adjustRightInd w:val="0"/>
        <w:spacing w:line="360" w:lineRule="auto"/>
        <w:ind w:left="600" w:hanging="600"/>
        <w:rPr>
          <w:rFonts w:ascii="宋体" w:hAnsi="宋体" w:eastAsia="宋体" w:cs="宋体"/>
          <w:color w:val="auto"/>
          <w:szCs w:val="24"/>
          <w:lang w:val="zh-CN"/>
        </w:rPr>
      </w:pPr>
      <w:r>
        <w:rPr>
          <w:rFonts w:hint="eastAsia" w:ascii="宋体" w:hAnsi="宋体" w:eastAsia="宋体" w:cs="宋体"/>
          <w:color w:val="auto"/>
          <w:szCs w:val="24"/>
          <w:lang w:val="zh-CN"/>
        </w:rPr>
        <w:t>2.4</w:t>
      </w:r>
      <w:r>
        <w:rPr>
          <w:rFonts w:hint="eastAsia" w:ascii="宋体" w:hAnsi="宋体" w:eastAsia="宋体" w:cs="宋体"/>
          <w:color w:val="auto"/>
          <w:szCs w:val="24"/>
          <w:lang w:val="zh-CN"/>
        </w:rPr>
        <w:tab/>
      </w:r>
      <w:r>
        <w:rPr>
          <w:rFonts w:hint="eastAsia" w:ascii="宋体" w:hAnsi="宋体" w:eastAsia="宋体" w:cs="宋体"/>
          <w:color w:val="auto"/>
          <w:szCs w:val="24"/>
          <w:lang w:val="zh-CN"/>
        </w:rPr>
        <w:t>评标委员会应相对独立工作，负责评审、撰写评标报告。招标代理机构秘书组负责评标过程中资料的保管、发放及回收，协调技术和评标委员会评标工作的进展和整理、汇总评标资料及复核。</w:t>
      </w:r>
    </w:p>
    <w:p w14:paraId="56F5AD82">
      <w:pPr>
        <w:autoSpaceDE w:val="0"/>
        <w:autoSpaceDN w:val="0"/>
        <w:adjustRightInd w:val="0"/>
        <w:spacing w:line="360" w:lineRule="auto"/>
        <w:rPr>
          <w:rFonts w:ascii="宋体" w:hAnsi="宋体" w:eastAsia="宋体" w:cs="宋体"/>
          <w:color w:val="auto"/>
          <w:sz w:val="24"/>
          <w:szCs w:val="24"/>
          <w:lang w:val="zh-CN"/>
        </w:rPr>
      </w:pPr>
    </w:p>
    <w:p w14:paraId="1686E916">
      <w:pPr>
        <w:autoSpaceDE w:val="0"/>
        <w:autoSpaceDN w:val="0"/>
        <w:adjustRightInd w:val="0"/>
        <w:spacing w:line="360" w:lineRule="auto"/>
        <w:rPr>
          <w:rFonts w:ascii="宋体" w:hAnsi="宋体" w:eastAsia="宋体" w:cs="宋体"/>
          <w:color w:val="auto"/>
          <w:sz w:val="24"/>
          <w:szCs w:val="24"/>
          <w:lang w:val="zh-CN"/>
        </w:rPr>
      </w:pPr>
      <w:r>
        <w:rPr>
          <w:rFonts w:hint="eastAsia" w:ascii="宋体" w:hAnsi="宋体" w:eastAsia="宋体" w:cs="宋体"/>
          <w:b/>
          <w:color w:val="auto"/>
          <w:szCs w:val="21"/>
          <w:lang w:val="zh-CN"/>
        </w:rPr>
        <w:t>3、</w:t>
      </w:r>
      <w:r>
        <w:rPr>
          <w:rFonts w:hint="eastAsia" w:ascii="宋体" w:hAnsi="宋体" w:eastAsia="宋体" w:cs="宋体"/>
          <w:b/>
          <w:bCs/>
          <w:color w:val="auto"/>
          <w:szCs w:val="21"/>
          <w:lang w:val="zh-CN"/>
        </w:rPr>
        <w:t>评标</w:t>
      </w:r>
      <w:r>
        <w:rPr>
          <w:rFonts w:hint="eastAsia" w:ascii="宋体" w:hAnsi="宋体" w:eastAsia="宋体" w:cs="宋体"/>
          <w:b/>
          <w:bCs/>
          <w:color w:val="auto"/>
          <w:szCs w:val="24"/>
          <w:lang w:val="zh-CN"/>
        </w:rPr>
        <w:t>委员会职责</w:t>
      </w:r>
    </w:p>
    <w:p w14:paraId="438B6089">
      <w:pPr>
        <w:autoSpaceDE w:val="0"/>
        <w:autoSpaceDN w:val="0"/>
        <w:adjustRightInd w:val="0"/>
        <w:spacing w:line="360" w:lineRule="auto"/>
        <w:jc w:val="left"/>
        <w:rPr>
          <w:rFonts w:ascii="宋体" w:hAnsi="宋体" w:eastAsia="宋体" w:cs="宋体"/>
          <w:color w:val="auto"/>
          <w:kern w:val="0"/>
          <w:szCs w:val="24"/>
          <w:lang w:val="zh-CN"/>
        </w:rPr>
      </w:pPr>
      <w:r>
        <w:rPr>
          <w:rFonts w:hint="eastAsia" w:ascii="宋体" w:hAnsi="宋体" w:eastAsia="宋体" w:cs="宋体"/>
          <w:color w:val="auto"/>
          <w:kern w:val="0"/>
          <w:szCs w:val="24"/>
          <w:lang w:val="zh-CN"/>
        </w:rPr>
        <w:t>3.1  审查投标文件是否符合招标文件要求，并作出评价；</w:t>
      </w:r>
    </w:p>
    <w:p w14:paraId="0A57246A">
      <w:pPr>
        <w:autoSpaceDE w:val="0"/>
        <w:autoSpaceDN w:val="0"/>
        <w:adjustRightInd w:val="0"/>
        <w:spacing w:line="360" w:lineRule="auto"/>
        <w:jc w:val="left"/>
        <w:rPr>
          <w:rFonts w:ascii="宋体" w:hAnsi="宋体" w:eastAsia="宋体" w:cs="宋体"/>
          <w:color w:val="auto"/>
          <w:kern w:val="0"/>
          <w:szCs w:val="24"/>
          <w:lang w:val="zh-CN"/>
        </w:rPr>
      </w:pPr>
      <w:r>
        <w:rPr>
          <w:rFonts w:hint="eastAsia" w:ascii="宋体" w:hAnsi="宋体" w:eastAsia="宋体" w:cs="宋体"/>
          <w:color w:val="auto"/>
          <w:kern w:val="0"/>
          <w:szCs w:val="24"/>
          <w:lang w:val="zh-CN"/>
        </w:rPr>
        <w:t>3.2  要求投标人对投标文件有关事项作出解释或者澄清；</w:t>
      </w:r>
    </w:p>
    <w:p w14:paraId="62D4BFF2">
      <w:pPr>
        <w:autoSpaceDE w:val="0"/>
        <w:autoSpaceDN w:val="0"/>
        <w:adjustRightInd w:val="0"/>
        <w:spacing w:line="360" w:lineRule="auto"/>
        <w:jc w:val="left"/>
        <w:rPr>
          <w:rFonts w:ascii="宋体" w:hAnsi="宋体" w:eastAsia="宋体" w:cs="宋体"/>
          <w:color w:val="auto"/>
          <w:kern w:val="0"/>
          <w:szCs w:val="24"/>
          <w:lang w:val="zh-CN"/>
        </w:rPr>
      </w:pPr>
      <w:r>
        <w:rPr>
          <w:rFonts w:hint="eastAsia" w:ascii="宋体" w:hAnsi="宋体" w:eastAsia="宋体" w:cs="宋体"/>
          <w:color w:val="auto"/>
          <w:kern w:val="0"/>
          <w:szCs w:val="24"/>
          <w:lang w:val="zh-CN"/>
        </w:rPr>
        <w:t>3.3</w:t>
      </w:r>
      <w:r>
        <w:rPr>
          <w:rFonts w:hint="eastAsia" w:ascii="宋体" w:hAnsi="宋体" w:eastAsia="宋体" w:cs="宋体"/>
          <w:color w:val="auto"/>
          <w:kern w:val="0"/>
          <w:szCs w:val="24"/>
          <w:lang w:val="zh-CN"/>
        </w:rPr>
        <w:tab/>
      </w:r>
      <w:r>
        <w:rPr>
          <w:rFonts w:hint="eastAsia" w:ascii="宋体" w:hAnsi="宋体" w:eastAsia="宋体" w:cs="宋体"/>
          <w:color w:val="auto"/>
          <w:kern w:val="0"/>
          <w:szCs w:val="24"/>
          <w:lang w:val="zh-CN"/>
        </w:rPr>
        <w:t xml:space="preserve"> 推荐中标候选人名单及排序；</w:t>
      </w:r>
    </w:p>
    <w:p w14:paraId="4FEA78AE">
      <w:pPr>
        <w:autoSpaceDE w:val="0"/>
        <w:autoSpaceDN w:val="0"/>
        <w:adjustRightInd w:val="0"/>
        <w:spacing w:line="360" w:lineRule="auto"/>
        <w:jc w:val="left"/>
        <w:rPr>
          <w:rFonts w:ascii="宋体" w:hAnsi="宋体" w:eastAsia="宋体" w:cs="宋体"/>
          <w:color w:val="auto"/>
          <w:kern w:val="0"/>
          <w:szCs w:val="24"/>
          <w:lang w:val="zh-CN"/>
        </w:rPr>
      </w:pPr>
      <w:r>
        <w:rPr>
          <w:rFonts w:hint="eastAsia" w:ascii="宋体" w:hAnsi="宋体" w:eastAsia="宋体" w:cs="宋体"/>
          <w:color w:val="auto"/>
          <w:kern w:val="0"/>
          <w:szCs w:val="24"/>
          <w:lang w:val="zh-CN"/>
        </w:rPr>
        <w:t>3.4</w:t>
      </w:r>
      <w:r>
        <w:rPr>
          <w:rFonts w:hint="eastAsia" w:ascii="宋体" w:hAnsi="宋体" w:eastAsia="宋体" w:cs="宋体"/>
          <w:color w:val="auto"/>
          <w:kern w:val="0"/>
          <w:szCs w:val="24"/>
          <w:lang w:val="zh-CN"/>
        </w:rPr>
        <w:tab/>
      </w:r>
      <w:r>
        <w:rPr>
          <w:rFonts w:hint="eastAsia" w:ascii="宋体" w:hAnsi="宋体" w:eastAsia="宋体" w:cs="宋体"/>
          <w:color w:val="auto"/>
          <w:kern w:val="0"/>
          <w:szCs w:val="24"/>
          <w:lang w:val="zh-CN"/>
        </w:rPr>
        <w:t xml:space="preserve"> 向招标人、招标代理机构或者有关部门报告非法干预评标工作的行为。</w:t>
      </w:r>
    </w:p>
    <w:p w14:paraId="237C81B4">
      <w:pPr>
        <w:autoSpaceDE w:val="0"/>
        <w:autoSpaceDN w:val="0"/>
        <w:adjustRightInd w:val="0"/>
        <w:spacing w:line="360" w:lineRule="auto"/>
        <w:jc w:val="left"/>
        <w:rPr>
          <w:rFonts w:ascii="宋体" w:hAnsi="宋体" w:eastAsia="宋体" w:cs="宋体"/>
          <w:color w:val="auto"/>
          <w:kern w:val="0"/>
          <w:sz w:val="24"/>
          <w:szCs w:val="24"/>
          <w:lang w:val="zh-CN"/>
        </w:rPr>
      </w:pPr>
    </w:p>
    <w:p w14:paraId="2D839CF3">
      <w:pPr>
        <w:tabs>
          <w:tab w:val="left" w:pos="720"/>
        </w:tabs>
        <w:autoSpaceDE w:val="0"/>
        <w:autoSpaceDN w:val="0"/>
        <w:adjustRightInd w:val="0"/>
        <w:spacing w:line="360" w:lineRule="auto"/>
        <w:rPr>
          <w:rFonts w:ascii="宋体" w:hAnsi="宋体" w:eastAsia="宋体" w:cs="宋体"/>
          <w:b/>
          <w:bCs/>
          <w:color w:val="auto"/>
          <w:szCs w:val="21"/>
          <w:lang w:val="zh-CN"/>
        </w:rPr>
      </w:pPr>
      <w:r>
        <w:rPr>
          <w:rFonts w:hint="eastAsia" w:ascii="宋体" w:hAnsi="宋体" w:eastAsia="宋体" w:cs="宋体"/>
          <w:b/>
          <w:bCs/>
          <w:color w:val="auto"/>
          <w:szCs w:val="21"/>
          <w:lang w:val="zh-CN"/>
        </w:rPr>
        <w:t>4、评标委员会义务</w:t>
      </w:r>
    </w:p>
    <w:p w14:paraId="3EEF991F">
      <w:pPr>
        <w:autoSpaceDE w:val="0"/>
        <w:autoSpaceDN w:val="0"/>
        <w:adjustRightInd w:val="0"/>
        <w:spacing w:line="360" w:lineRule="auto"/>
        <w:jc w:val="left"/>
        <w:rPr>
          <w:rFonts w:ascii="宋体" w:hAnsi="宋体" w:eastAsia="宋体" w:cs="宋体"/>
          <w:color w:val="auto"/>
          <w:kern w:val="0"/>
          <w:szCs w:val="24"/>
          <w:lang w:val="zh-CN"/>
        </w:rPr>
      </w:pPr>
      <w:r>
        <w:rPr>
          <w:rFonts w:hint="eastAsia" w:ascii="宋体" w:hAnsi="宋体" w:eastAsia="宋体" w:cs="宋体"/>
          <w:color w:val="auto"/>
          <w:kern w:val="0"/>
          <w:szCs w:val="24"/>
          <w:lang w:val="zh-CN"/>
        </w:rPr>
        <w:t>4.1  遵纪守法，客观、公正、廉洁地履行职责；</w:t>
      </w:r>
    </w:p>
    <w:p w14:paraId="32E453DF">
      <w:pPr>
        <w:autoSpaceDE w:val="0"/>
        <w:autoSpaceDN w:val="0"/>
        <w:adjustRightInd w:val="0"/>
        <w:spacing w:line="360" w:lineRule="auto"/>
        <w:jc w:val="left"/>
        <w:rPr>
          <w:rFonts w:ascii="宋体" w:hAnsi="宋体" w:eastAsia="宋体" w:cs="宋体"/>
          <w:color w:val="auto"/>
          <w:kern w:val="0"/>
          <w:szCs w:val="24"/>
          <w:lang w:val="zh-CN"/>
        </w:rPr>
      </w:pPr>
      <w:r>
        <w:rPr>
          <w:rFonts w:hint="eastAsia" w:ascii="宋体" w:hAnsi="宋体" w:eastAsia="宋体" w:cs="宋体"/>
          <w:color w:val="auto"/>
          <w:kern w:val="0"/>
          <w:szCs w:val="24"/>
          <w:lang w:val="zh-CN"/>
        </w:rPr>
        <w:t>4.2  按照招标文件规定的评标方法和评标标准进行评审，对评审意见承担个人责任；</w:t>
      </w:r>
    </w:p>
    <w:p w14:paraId="754F8B9C">
      <w:pPr>
        <w:autoSpaceDE w:val="0"/>
        <w:autoSpaceDN w:val="0"/>
        <w:adjustRightInd w:val="0"/>
        <w:spacing w:line="360" w:lineRule="auto"/>
        <w:jc w:val="left"/>
        <w:rPr>
          <w:rFonts w:ascii="宋体" w:hAnsi="宋体" w:eastAsia="宋体" w:cs="宋体"/>
          <w:color w:val="auto"/>
          <w:kern w:val="0"/>
          <w:szCs w:val="24"/>
          <w:lang w:val="zh-CN"/>
        </w:rPr>
      </w:pPr>
      <w:r>
        <w:rPr>
          <w:rFonts w:hint="eastAsia" w:ascii="宋体" w:hAnsi="宋体" w:eastAsia="宋体" w:cs="宋体"/>
          <w:color w:val="auto"/>
          <w:kern w:val="0"/>
          <w:szCs w:val="24"/>
          <w:lang w:val="zh-CN"/>
        </w:rPr>
        <w:t>4.3  对评标过程和结果，以及投标人的商业秘密保密；</w:t>
      </w:r>
    </w:p>
    <w:p w14:paraId="6CA242C8">
      <w:pPr>
        <w:autoSpaceDE w:val="0"/>
        <w:autoSpaceDN w:val="0"/>
        <w:adjustRightInd w:val="0"/>
        <w:spacing w:line="360" w:lineRule="auto"/>
        <w:jc w:val="left"/>
        <w:rPr>
          <w:rFonts w:ascii="宋体" w:hAnsi="宋体" w:eastAsia="宋体" w:cs="宋体"/>
          <w:color w:val="auto"/>
          <w:kern w:val="0"/>
          <w:szCs w:val="24"/>
          <w:lang w:val="zh-CN"/>
        </w:rPr>
      </w:pPr>
      <w:r>
        <w:rPr>
          <w:rFonts w:hint="eastAsia" w:ascii="宋体" w:hAnsi="宋体" w:eastAsia="宋体" w:cs="宋体"/>
          <w:color w:val="auto"/>
          <w:kern w:val="0"/>
          <w:szCs w:val="24"/>
          <w:lang w:val="zh-CN"/>
        </w:rPr>
        <w:t>4.4  参与评标报告的起草；</w:t>
      </w:r>
    </w:p>
    <w:p w14:paraId="6BBDF67B">
      <w:pPr>
        <w:autoSpaceDE w:val="0"/>
        <w:autoSpaceDN w:val="0"/>
        <w:adjustRightInd w:val="0"/>
        <w:spacing w:line="360" w:lineRule="auto"/>
        <w:jc w:val="left"/>
        <w:rPr>
          <w:rFonts w:ascii="宋体" w:hAnsi="宋体" w:eastAsia="宋体" w:cs="宋体"/>
          <w:color w:val="auto"/>
          <w:kern w:val="0"/>
          <w:szCs w:val="24"/>
          <w:lang w:val="zh-CN"/>
        </w:rPr>
      </w:pPr>
      <w:r>
        <w:rPr>
          <w:rFonts w:hint="eastAsia" w:ascii="宋体" w:hAnsi="宋体" w:eastAsia="宋体" w:cs="宋体"/>
          <w:color w:val="auto"/>
          <w:kern w:val="0"/>
          <w:szCs w:val="24"/>
          <w:lang w:val="zh-CN"/>
        </w:rPr>
        <w:t>4.5  配合有关部门的投诉处理工作；</w:t>
      </w:r>
    </w:p>
    <w:p w14:paraId="783A4EB7">
      <w:pPr>
        <w:autoSpaceDE w:val="0"/>
        <w:autoSpaceDN w:val="0"/>
        <w:adjustRightInd w:val="0"/>
        <w:spacing w:line="360" w:lineRule="auto"/>
        <w:jc w:val="left"/>
        <w:rPr>
          <w:rFonts w:ascii="宋体" w:hAnsi="宋体" w:eastAsia="宋体" w:cs="宋体"/>
          <w:color w:val="auto"/>
          <w:kern w:val="0"/>
          <w:szCs w:val="24"/>
          <w:lang w:val="zh-CN"/>
        </w:rPr>
      </w:pPr>
      <w:r>
        <w:rPr>
          <w:rFonts w:hint="eastAsia" w:ascii="宋体" w:hAnsi="宋体" w:eastAsia="宋体" w:cs="宋体"/>
          <w:color w:val="auto"/>
          <w:kern w:val="0"/>
          <w:szCs w:val="24"/>
          <w:lang w:val="zh-CN"/>
        </w:rPr>
        <w:t>4.6  配合招标人、招标代理机构答复投标人提出的质疑、异议。</w:t>
      </w:r>
    </w:p>
    <w:p w14:paraId="54746CD3">
      <w:pPr>
        <w:tabs>
          <w:tab w:val="left" w:pos="720"/>
        </w:tabs>
        <w:autoSpaceDE w:val="0"/>
        <w:autoSpaceDN w:val="0"/>
        <w:adjustRightInd w:val="0"/>
        <w:spacing w:line="360" w:lineRule="auto"/>
        <w:rPr>
          <w:rFonts w:ascii="宋体" w:hAnsi="宋体" w:eastAsia="宋体" w:cs="宋体"/>
          <w:color w:val="auto"/>
          <w:sz w:val="24"/>
          <w:szCs w:val="24"/>
          <w:lang w:val="zh-CN"/>
        </w:rPr>
      </w:pPr>
    </w:p>
    <w:p w14:paraId="0CBD40DC">
      <w:pPr>
        <w:tabs>
          <w:tab w:val="left" w:pos="1547"/>
        </w:tabs>
        <w:autoSpaceDE w:val="0"/>
        <w:autoSpaceDN w:val="0"/>
        <w:adjustRightInd w:val="0"/>
        <w:spacing w:line="360" w:lineRule="auto"/>
        <w:rPr>
          <w:rFonts w:ascii="宋体" w:hAnsi="宋体" w:eastAsia="宋体" w:cs="Times New Roman"/>
          <w:b/>
          <w:color w:val="auto"/>
          <w:szCs w:val="24"/>
          <w:lang w:val="zh-CN"/>
        </w:rPr>
      </w:pPr>
      <w:r>
        <w:rPr>
          <w:rFonts w:hint="eastAsia" w:ascii="宋体" w:hAnsi="宋体" w:eastAsia="宋体" w:cs="宋体"/>
          <w:b/>
          <w:bCs/>
          <w:color w:val="auto"/>
          <w:szCs w:val="21"/>
          <w:lang w:val="zh-CN"/>
        </w:rPr>
        <w:t>5、评审程序</w:t>
      </w:r>
    </w:p>
    <w:p w14:paraId="73D5DDB8">
      <w:pPr>
        <w:autoSpaceDE w:val="0"/>
        <w:autoSpaceDN w:val="0"/>
        <w:adjustRightInd w:val="0"/>
        <w:spacing w:line="360" w:lineRule="auto"/>
        <w:ind w:left="567" w:hanging="567"/>
        <w:rPr>
          <w:rFonts w:ascii="宋体" w:hAnsi="宋体" w:eastAsia="宋体" w:cs="Times New Roman"/>
          <w:b/>
          <w:color w:val="auto"/>
          <w:szCs w:val="24"/>
          <w:lang w:val="zh-CN"/>
        </w:rPr>
      </w:pPr>
      <w:r>
        <w:rPr>
          <w:rFonts w:hint="eastAsia" w:ascii="宋体" w:hAnsi="宋体" w:eastAsia="宋体" w:cs="Times New Roman"/>
          <w:b/>
          <w:color w:val="auto"/>
          <w:szCs w:val="24"/>
          <w:lang w:val="zh-CN"/>
        </w:rPr>
        <w:t>公开招标：</w:t>
      </w:r>
    </w:p>
    <w:p w14:paraId="2B23D768">
      <w:pPr>
        <w:autoSpaceDE w:val="0"/>
        <w:autoSpaceDN w:val="0"/>
        <w:adjustRightInd w:val="0"/>
        <w:spacing w:line="360" w:lineRule="auto"/>
        <w:ind w:left="567" w:hanging="567"/>
        <w:rPr>
          <w:rFonts w:ascii="宋体" w:hAnsi="宋体" w:eastAsia="宋体" w:cs="Times New Roman"/>
          <w:bCs/>
          <w:color w:val="auto"/>
          <w:szCs w:val="24"/>
          <w:lang w:val="zh-CN"/>
        </w:rPr>
      </w:pPr>
      <w:r>
        <w:rPr>
          <w:rFonts w:ascii="宋体" w:hAnsi="宋体" w:eastAsia="宋体" w:cs="Times New Roman"/>
          <w:color w:val="auto"/>
          <w:szCs w:val="24"/>
          <w:lang w:val="zh-CN"/>
        </w:rPr>
        <w:t>5.</w:t>
      </w:r>
      <w:r>
        <w:rPr>
          <w:rFonts w:hint="eastAsia" w:ascii="宋体" w:hAnsi="宋体" w:eastAsia="宋体" w:cs="Times New Roman"/>
          <w:color w:val="auto"/>
          <w:szCs w:val="24"/>
          <w:lang w:val="zh-CN"/>
        </w:rPr>
        <w:t>1</w:t>
      </w:r>
      <w:r>
        <w:rPr>
          <w:rFonts w:ascii="宋体" w:hAnsi="宋体" w:eastAsia="宋体" w:cs="Times New Roman"/>
          <w:color w:val="auto"/>
          <w:szCs w:val="24"/>
          <w:lang w:val="zh-CN"/>
        </w:rPr>
        <w:tab/>
      </w:r>
      <w:r>
        <w:rPr>
          <w:rFonts w:hint="eastAsia" w:ascii="宋体" w:hAnsi="宋体" w:eastAsia="宋体" w:cs="Times New Roman"/>
          <w:bCs/>
          <w:color w:val="auto"/>
          <w:szCs w:val="24"/>
          <w:lang w:val="zh-CN"/>
        </w:rPr>
        <w:t>评审首先由评标委员会对投标人的</w:t>
      </w:r>
      <w:r>
        <w:rPr>
          <w:rFonts w:hint="eastAsia" w:ascii="宋体" w:hAnsi="宋体" w:eastAsia="宋体" w:cs="Times New Roman"/>
          <w:color w:val="auto"/>
          <w:szCs w:val="24"/>
          <w:lang w:val="zh-CN"/>
        </w:rPr>
        <w:t>投标</w:t>
      </w:r>
      <w:r>
        <w:rPr>
          <w:rFonts w:hint="eastAsia" w:ascii="宋体" w:hAnsi="宋体" w:eastAsia="宋体" w:cs="Times New Roman"/>
          <w:bCs/>
          <w:color w:val="auto"/>
          <w:szCs w:val="24"/>
          <w:lang w:val="zh-CN"/>
        </w:rPr>
        <w:t>文件做初审，对未能通过初审的投标文件不再进入下一阶段评审。</w:t>
      </w:r>
    </w:p>
    <w:p w14:paraId="6A3DDFE9">
      <w:pPr>
        <w:autoSpaceDE w:val="0"/>
        <w:autoSpaceDN w:val="0"/>
        <w:adjustRightInd w:val="0"/>
        <w:spacing w:line="360" w:lineRule="auto"/>
        <w:ind w:left="567" w:hanging="567"/>
        <w:rPr>
          <w:rFonts w:ascii="宋体" w:hAnsi="宋体" w:eastAsia="宋体" w:cs="Times New Roman"/>
          <w:color w:val="auto"/>
          <w:szCs w:val="24"/>
          <w:lang w:val="zh-CN"/>
        </w:rPr>
      </w:pPr>
      <w:r>
        <w:rPr>
          <w:rFonts w:ascii="宋体" w:hAnsi="宋体" w:eastAsia="宋体" w:cs="Times New Roman"/>
          <w:color w:val="auto"/>
          <w:szCs w:val="24"/>
          <w:lang w:val="zh-CN"/>
        </w:rPr>
        <w:t>5.</w:t>
      </w:r>
      <w:r>
        <w:rPr>
          <w:rFonts w:hint="eastAsia" w:ascii="宋体" w:hAnsi="宋体" w:eastAsia="宋体" w:cs="Times New Roman"/>
          <w:color w:val="auto"/>
          <w:szCs w:val="24"/>
          <w:lang w:val="zh-CN"/>
        </w:rPr>
        <w:t>2</w:t>
      </w:r>
      <w:r>
        <w:rPr>
          <w:rFonts w:ascii="宋体" w:hAnsi="宋体" w:eastAsia="宋体" w:cs="Times New Roman"/>
          <w:color w:val="auto"/>
          <w:szCs w:val="24"/>
          <w:lang w:val="zh-CN"/>
        </w:rPr>
        <w:tab/>
      </w:r>
      <w:r>
        <w:rPr>
          <w:rFonts w:hint="eastAsia" w:ascii="宋体" w:hAnsi="宋体" w:eastAsia="宋体" w:cs="Times New Roman"/>
          <w:bCs/>
          <w:color w:val="auto"/>
          <w:szCs w:val="24"/>
          <w:lang w:val="zh-CN"/>
        </w:rPr>
        <w:t>评标</w:t>
      </w:r>
      <w:r>
        <w:rPr>
          <w:rFonts w:hint="eastAsia" w:ascii="宋体" w:hAnsi="宋体" w:eastAsia="宋体" w:cs="Arial"/>
          <w:color w:val="auto"/>
          <w:szCs w:val="24"/>
          <w:lang w:val="zh-CN"/>
        </w:rPr>
        <w:t>委员会</w:t>
      </w:r>
      <w:r>
        <w:rPr>
          <w:rFonts w:hint="eastAsia" w:ascii="宋体" w:hAnsi="宋体" w:eastAsia="宋体" w:cs="Times New Roman"/>
          <w:color w:val="auto"/>
          <w:szCs w:val="24"/>
          <w:lang w:val="zh-CN"/>
        </w:rPr>
        <w:t>对</w:t>
      </w:r>
      <w:r>
        <w:rPr>
          <w:rFonts w:hint="eastAsia" w:ascii="宋体" w:hAnsi="宋体" w:eastAsia="宋体" w:cs="Arial"/>
          <w:color w:val="auto"/>
          <w:szCs w:val="24"/>
          <w:lang w:val="zh-CN"/>
        </w:rPr>
        <w:t>通过初审的</w:t>
      </w:r>
      <w:r>
        <w:rPr>
          <w:rFonts w:hint="eastAsia" w:ascii="宋体" w:hAnsi="宋体" w:eastAsia="宋体" w:cs="Times New Roman"/>
          <w:color w:val="auto"/>
          <w:szCs w:val="24"/>
          <w:lang w:val="zh-CN"/>
        </w:rPr>
        <w:t>投标人的投标文件进行详细的比较和评价。如需要，进行必要的澄清工作。</w:t>
      </w:r>
    </w:p>
    <w:p w14:paraId="58D8D38E">
      <w:pPr>
        <w:autoSpaceDE w:val="0"/>
        <w:autoSpaceDN w:val="0"/>
        <w:adjustRightInd w:val="0"/>
        <w:spacing w:line="360" w:lineRule="auto"/>
        <w:ind w:left="567" w:hanging="567"/>
        <w:rPr>
          <w:rFonts w:ascii="宋体" w:hAnsi="宋体" w:eastAsia="宋体" w:cs="Times New Roman"/>
          <w:color w:val="auto"/>
          <w:szCs w:val="24"/>
          <w:lang w:val="zh-CN"/>
        </w:rPr>
      </w:pPr>
      <w:r>
        <w:rPr>
          <w:rFonts w:ascii="宋体" w:hAnsi="宋体" w:eastAsia="宋体" w:cs="Times New Roman"/>
          <w:color w:val="auto"/>
          <w:szCs w:val="24"/>
          <w:lang w:val="zh-CN"/>
        </w:rPr>
        <w:t>5.</w:t>
      </w:r>
      <w:r>
        <w:rPr>
          <w:rFonts w:hint="eastAsia" w:ascii="宋体" w:hAnsi="宋体" w:eastAsia="宋体" w:cs="Times New Roman"/>
          <w:color w:val="auto"/>
          <w:szCs w:val="24"/>
          <w:lang w:val="zh-CN"/>
        </w:rPr>
        <w:t>3  依据评分标准以及各项权重，各位评标委员会成员单独就每个投标人的商务状况、技术状况进行比较和评价，分别评出其商务得分和技术得分。</w:t>
      </w:r>
    </w:p>
    <w:p w14:paraId="053DBF44">
      <w:pPr>
        <w:autoSpaceDE w:val="0"/>
        <w:autoSpaceDN w:val="0"/>
        <w:adjustRightInd w:val="0"/>
        <w:spacing w:line="360" w:lineRule="auto"/>
        <w:ind w:left="567" w:hanging="567"/>
        <w:rPr>
          <w:rFonts w:ascii="宋体" w:hAnsi="宋体" w:eastAsia="宋体" w:cs="Times New Roman"/>
          <w:color w:val="auto"/>
          <w:szCs w:val="24"/>
          <w:lang w:val="zh-CN"/>
        </w:rPr>
      </w:pPr>
      <w:r>
        <w:rPr>
          <w:rFonts w:hint="eastAsia" w:ascii="宋体" w:hAnsi="宋体" w:eastAsia="宋体" w:cs="Times New Roman"/>
          <w:color w:val="auto"/>
          <w:szCs w:val="24"/>
          <w:lang w:val="zh-CN"/>
        </w:rPr>
        <w:t>5.4</w:t>
      </w:r>
      <w:r>
        <w:rPr>
          <w:rFonts w:ascii="宋体" w:hAnsi="宋体" w:eastAsia="宋体" w:cs="Times New Roman"/>
          <w:color w:val="auto"/>
          <w:szCs w:val="24"/>
          <w:lang w:val="zh-CN"/>
        </w:rPr>
        <w:tab/>
      </w:r>
      <w:r>
        <w:rPr>
          <w:rFonts w:hint="eastAsia" w:ascii="宋体" w:hAnsi="宋体" w:eastAsia="宋体" w:cs="Times New Roman"/>
          <w:color w:val="auto"/>
          <w:kern w:val="0"/>
          <w:szCs w:val="24"/>
          <w:lang w:val="zh-CN"/>
        </w:rPr>
        <w:t>对有效投标人的投标报价进行审查和价格评分。</w:t>
      </w:r>
    </w:p>
    <w:p w14:paraId="317DEE51">
      <w:pPr>
        <w:autoSpaceDE w:val="0"/>
        <w:autoSpaceDN w:val="0"/>
        <w:adjustRightInd w:val="0"/>
        <w:spacing w:line="360" w:lineRule="auto"/>
        <w:ind w:left="567" w:hanging="567"/>
        <w:rPr>
          <w:rFonts w:ascii="宋体" w:hAnsi="宋体" w:eastAsia="宋体" w:cs="Times New Roman"/>
          <w:color w:val="auto"/>
          <w:kern w:val="0"/>
          <w:szCs w:val="24"/>
          <w:lang w:val="zh-CN"/>
        </w:rPr>
      </w:pPr>
      <w:r>
        <w:rPr>
          <w:rFonts w:hint="eastAsia" w:ascii="宋体" w:hAnsi="宋体" w:eastAsia="宋体" w:cs="Times New Roman"/>
          <w:color w:val="auto"/>
          <w:kern w:val="0"/>
          <w:szCs w:val="24"/>
          <w:lang w:val="zh-CN"/>
        </w:rPr>
        <w:t>5.5  将各</w:t>
      </w:r>
      <w:r>
        <w:rPr>
          <w:rFonts w:hint="eastAsia" w:ascii="宋体" w:hAnsi="宋体" w:eastAsia="宋体" w:cs="Times New Roman"/>
          <w:color w:val="auto"/>
          <w:szCs w:val="24"/>
          <w:lang w:val="zh-CN"/>
        </w:rPr>
        <w:t>评委对</w:t>
      </w:r>
      <w:r>
        <w:rPr>
          <w:rFonts w:hint="eastAsia" w:ascii="宋体" w:hAnsi="宋体" w:eastAsia="宋体" w:cs="Times New Roman"/>
          <w:color w:val="auto"/>
          <w:kern w:val="0"/>
          <w:szCs w:val="24"/>
          <w:lang w:val="zh-CN"/>
        </w:rPr>
        <w:t>投标人的技术打分的最终综合得分、商务打分的算术平均值和价格得分相加得出投标人的总分。</w:t>
      </w:r>
    </w:p>
    <w:p w14:paraId="0B25A5CC">
      <w:pPr>
        <w:autoSpaceDE w:val="0"/>
        <w:autoSpaceDN w:val="0"/>
        <w:adjustRightInd w:val="0"/>
        <w:spacing w:line="360" w:lineRule="auto"/>
        <w:ind w:left="567" w:hanging="567"/>
        <w:rPr>
          <w:rFonts w:ascii="宋体" w:hAnsi="宋体" w:eastAsia="宋体" w:cs="Times New Roman"/>
          <w:color w:val="auto"/>
          <w:kern w:val="0"/>
          <w:szCs w:val="21"/>
        </w:rPr>
      </w:pPr>
      <w:r>
        <w:rPr>
          <w:rFonts w:hint="eastAsia" w:ascii="宋体" w:hAnsi="宋体" w:eastAsia="宋体" w:cs="Times New Roman"/>
          <w:bCs/>
          <w:color w:val="auto"/>
          <w:kern w:val="0"/>
          <w:szCs w:val="24"/>
        </w:rPr>
        <w:t xml:space="preserve">5.6  </w:t>
      </w:r>
      <w:r>
        <w:rPr>
          <w:rFonts w:hint="eastAsia" w:ascii="宋体" w:hAnsi="宋体" w:eastAsia="宋体" w:cs="Times New Roman"/>
          <w:color w:val="auto"/>
          <w:kern w:val="0"/>
          <w:szCs w:val="21"/>
        </w:rPr>
        <w:t>评标委员会将向招标人推荐评标最后综合得分最高的前二名投标人为中标候选人，并标明排列顺序。</w:t>
      </w:r>
    </w:p>
    <w:p w14:paraId="3427419C">
      <w:pPr>
        <w:autoSpaceDE w:val="0"/>
        <w:autoSpaceDN w:val="0"/>
        <w:adjustRightInd w:val="0"/>
        <w:spacing w:line="360" w:lineRule="auto"/>
        <w:ind w:left="525" w:hanging="525" w:hangingChars="250"/>
        <w:jc w:val="left"/>
        <w:rPr>
          <w:rFonts w:ascii="宋体" w:hAnsi="宋体" w:eastAsia="宋体" w:cs="Times New Roman"/>
          <w:color w:val="auto"/>
          <w:szCs w:val="24"/>
          <w:lang w:val="zh-CN"/>
        </w:rPr>
      </w:pPr>
      <w:r>
        <w:rPr>
          <w:rFonts w:hint="eastAsia" w:ascii="宋体" w:hAnsi="宋体" w:eastAsia="宋体" w:cs="Times New Roman"/>
          <w:color w:val="auto"/>
          <w:kern w:val="0"/>
          <w:szCs w:val="24"/>
          <w:lang w:val="zh-CN"/>
        </w:rPr>
        <w:t>5.</w:t>
      </w:r>
      <w:r>
        <w:rPr>
          <w:rFonts w:hint="eastAsia" w:ascii="宋体" w:hAnsi="宋体" w:eastAsia="宋体" w:cs="Times New Roman"/>
          <w:color w:val="auto"/>
          <w:szCs w:val="24"/>
          <w:lang w:val="zh-CN"/>
        </w:rPr>
        <w:t>7</w:t>
      </w:r>
      <w:r>
        <w:rPr>
          <w:rFonts w:ascii="宋体" w:hAnsi="宋体" w:eastAsia="宋体" w:cs="Times New Roman"/>
          <w:color w:val="auto"/>
          <w:szCs w:val="24"/>
          <w:lang w:val="zh-CN"/>
        </w:rPr>
        <w:tab/>
      </w:r>
      <w:r>
        <w:rPr>
          <w:rFonts w:hint="eastAsia" w:ascii="宋体" w:hAnsi="宋体" w:eastAsia="宋体" w:cs="Times New Roman"/>
          <w:color w:val="auto"/>
          <w:kern w:val="0"/>
          <w:szCs w:val="24"/>
          <w:lang w:val="zh-CN"/>
        </w:rPr>
        <w:t>评标委员会</w:t>
      </w:r>
      <w:r>
        <w:rPr>
          <w:rFonts w:hint="eastAsia" w:ascii="宋体" w:hAnsi="宋体" w:eastAsia="宋体" w:cs="Times New Roman"/>
          <w:color w:val="auto"/>
          <w:szCs w:val="24"/>
          <w:lang w:val="zh-CN"/>
        </w:rPr>
        <w:t>根据评审结果编写评标报告。</w:t>
      </w:r>
    </w:p>
    <w:p w14:paraId="0F062310">
      <w:pPr>
        <w:autoSpaceDE w:val="0"/>
        <w:autoSpaceDN w:val="0"/>
        <w:adjustRightInd w:val="0"/>
        <w:spacing w:line="360" w:lineRule="auto"/>
        <w:ind w:left="525" w:hanging="525" w:hangingChars="250"/>
        <w:jc w:val="left"/>
        <w:rPr>
          <w:rFonts w:ascii="宋体" w:hAnsi="宋体" w:eastAsia="宋体" w:cs="Times New Roman"/>
          <w:color w:val="auto"/>
          <w:szCs w:val="24"/>
          <w:lang w:val="zh-CN"/>
        </w:rPr>
      </w:pPr>
    </w:p>
    <w:p w14:paraId="75A4B7C6">
      <w:pPr>
        <w:tabs>
          <w:tab w:val="left" w:pos="1140"/>
        </w:tabs>
        <w:autoSpaceDE w:val="0"/>
        <w:autoSpaceDN w:val="0"/>
        <w:adjustRightInd w:val="0"/>
        <w:spacing w:line="360" w:lineRule="auto"/>
        <w:jc w:val="center"/>
        <w:rPr>
          <w:rFonts w:ascii="宋体" w:hAnsi="宋体" w:eastAsia="宋体" w:cs="宋体"/>
          <w:b/>
          <w:bCs/>
          <w:color w:val="auto"/>
          <w:sz w:val="28"/>
          <w:szCs w:val="28"/>
        </w:rPr>
      </w:pPr>
      <w:r>
        <w:rPr>
          <w:rFonts w:hint="eastAsia" w:ascii="宋体" w:hAnsi="宋体" w:eastAsia="宋体" w:cs="宋体"/>
          <w:b/>
          <w:bCs/>
          <w:color w:val="auto"/>
          <w:sz w:val="28"/>
          <w:szCs w:val="28"/>
          <w:lang w:val="zh-CN"/>
        </w:rPr>
        <w:t>二、投标文件的初审</w:t>
      </w:r>
    </w:p>
    <w:p w14:paraId="5CDD6A0A">
      <w:pPr>
        <w:autoSpaceDE w:val="0"/>
        <w:autoSpaceDN w:val="0"/>
        <w:adjustRightInd w:val="0"/>
        <w:spacing w:line="360" w:lineRule="auto"/>
        <w:rPr>
          <w:rFonts w:ascii="宋体" w:hAnsi="宋体" w:eastAsia="宋体" w:cs="宋体"/>
          <w:b/>
          <w:color w:val="auto"/>
          <w:szCs w:val="24"/>
          <w:lang w:val="zh-CN"/>
        </w:rPr>
      </w:pPr>
      <w:r>
        <w:rPr>
          <w:rFonts w:hint="eastAsia" w:ascii="宋体" w:hAnsi="宋体" w:eastAsia="宋体" w:cs="宋体"/>
          <w:b/>
          <w:color w:val="auto"/>
          <w:szCs w:val="24"/>
          <w:lang w:val="zh-CN"/>
        </w:rPr>
        <w:t>6、投标文件的初审分为资格性检查和符合性检查。</w:t>
      </w:r>
    </w:p>
    <w:p w14:paraId="471B2FCD">
      <w:pPr>
        <w:autoSpaceDE w:val="0"/>
        <w:autoSpaceDN w:val="0"/>
        <w:adjustRightInd w:val="0"/>
        <w:spacing w:line="360" w:lineRule="auto"/>
        <w:ind w:left="529" w:hanging="529" w:hangingChars="252"/>
        <w:rPr>
          <w:rFonts w:ascii="宋体" w:hAnsi="宋体" w:eastAsia="宋体" w:cs="宋体"/>
          <w:color w:val="auto"/>
          <w:szCs w:val="24"/>
          <w:lang w:val="zh-CN"/>
        </w:rPr>
      </w:pPr>
      <w:r>
        <w:rPr>
          <w:rFonts w:hint="eastAsia" w:ascii="宋体" w:hAnsi="宋体" w:eastAsia="宋体" w:cs="宋体"/>
          <w:color w:val="auto"/>
          <w:szCs w:val="24"/>
          <w:lang w:val="zh-CN"/>
        </w:rPr>
        <w:t>6.1  资格性检查是指评标委员会依据法律法规和招标文件的规定，对投标文件中的资格证明、投标保证金、投标人（含其不具有独立法人资格的分支机构）信用（由招标代理机构在递交投标文件截止时间当天通过“信用中国”网站对投标人信用进行查询，招标代理机构将查询情况提交评标委员会评审）等进行审查，以确定投标人是否具备投标资格。</w:t>
      </w:r>
    </w:p>
    <w:p w14:paraId="22809D2C">
      <w:pPr>
        <w:autoSpaceDE w:val="0"/>
        <w:autoSpaceDN w:val="0"/>
        <w:adjustRightInd w:val="0"/>
        <w:spacing w:line="360" w:lineRule="auto"/>
        <w:ind w:left="529" w:hanging="529" w:hangingChars="252"/>
        <w:rPr>
          <w:rFonts w:ascii="宋体" w:hAnsi="宋体" w:eastAsia="宋体" w:cs="宋体"/>
          <w:color w:val="auto"/>
          <w:szCs w:val="24"/>
          <w:lang w:val="zh-CN"/>
        </w:rPr>
      </w:pPr>
      <w:r>
        <w:rPr>
          <w:rFonts w:hint="eastAsia" w:ascii="宋体" w:hAnsi="宋体" w:eastAsia="宋体" w:cs="宋体"/>
          <w:color w:val="auto"/>
          <w:szCs w:val="24"/>
          <w:lang w:val="zh-CN"/>
        </w:rPr>
        <w:t>6.2  符合性检查是指评标委员会依据招标文件规定，从投标文件的有效性、完整性和对招标文件的响应程度进行审查，以确定是否对招标文件的实质性要求作出响应。</w:t>
      </w:r>
    </w:p>
    <w:p w14:paraId="6E3758A2">
      <w:pPr>
        <w:autoSpaceDE w:val="0"/>
        <w:autoSpaceDN w:val="0"/>
        <w:adjustRightInd w:val="0"/>
        <w:spacing w:line="360" w:lineRule="auto"/>
        <w:ind w:left="420" w:leftChars="200" w:firstLine="420" w:firstLineChars="200"/>
        <w:rPr>
          <w:rFonts w:ascii="宋体" w:hAnsi="宋体" w:eastAsia="宋体" w:cs="宋体"/>
          <w:color w:val="auto"/>
          <w:szCs w:val="24"/>
          <w:lang w:val="zh-CN"/>
        </w:rPr>
      </w:pPr>
      <w:r>
        <w:rPr>
          <w:rFonts w:hint="eastAsia" w:ascii="宋体" w:hAnsi="宋体" w:eastAsia="宋体" w:cs="宋体"/>
          <w:color w:val="auto"/>
          <w:szCs w:val="24"/>
          <w:lang w:val="zh-CN"/>
        </w:rPr>
        <w:t>实质性响应的投标指的是符合招标文件要求的全部“★”条款和验收标准而无任何重大偏离或保留。重大偏离或保留系指实质上影响到合同项下的</w:t>
      </w:r>
      <w:r>
        <w:rPr>
          <w:rFonts w:hint="eastAsia" w:ascii="宋体" w:hAnsi="宋体" w:eastAsia="宋体" w:cs="宋体"/>
          <w:color w:val="auto"/>
          <w:szCs w:val="24"/>
        </w:rPr>
        <w:t>供货及</w:t>
      </w:r>
      <w:r>
        <w:rPr>
          <w:rFonts w:hint="eastAsia" w:ascii="宋体" w:hAnsi="宋体" w:eastAsia="宋体" w:cs="宋体"/>
          <w:color w:val="auto"/>
          <w:szCs w:val="24"/>
          <w:lang w:val="zh-CN"/>
        </w:rPr>
        <w:t>服务范围、质量</w:t>
      </w:r>
      <w:r>
        <w:rPr>
          <w:rFonts w:hint="eastAsia" w:ascii="宋体" w:hAnsi="宋体" w:eastAsia="宋体" w:cs="宋体"/>
          <w:color w:val="auto"/>
          <w:szCs w:val="24"/>
        </w:rPr>
        <w:t>和性能</w:t>
      </w:r>
      <w:r>
        <w:rPr>
          <w:rFonts w:hint="eastAsia" w:ascii="宋体" w:hAnsi="宋体" w:eastAsia="宋体" w:cs="宋体"/>
          <w:color w:val="auto"/>
          <w:szCs w:val="24"/>
          <w:lang w:val="zh-CN"/>
        </w:rPr>
        <w:t>，或指与招标文件有实质不一致，限制了合同项下委托人的权利和承包人的义务, 或对该重大偏离的修改对提交实质性响应投标的其他投标人将不公平。</w:t>
      </w:r>
    </w:p>
    <w:p w14:paraId="413B7125">
      <w:pPr>
        <w:autoSpaceDE w:val="0"/>
        <w:autoSpaceDN w:val="0"/>
        <w:adjustRightInd w:val="0"/>
        <w:spacing w:line="360" w:lineRule="auto"/>
        <w:ind w:firstLine="840" w:firstLineChars="400"/>
        <w:rPr>
          <w:rFonts w:ascii="宋体" w:hAnsi="宋体" w:eastAsia="宋体" w:cs="宋体"/>
          <w:color w:val="auto"/>
          <w:szCs w:val="24"/>
          <w:lang w:val="zh-CN"/>
        </w:rPr>
      </w:pPr>
      <w:r>
        <w:rPr>
          <w:rFonts w:hint="eastAsia" w:ascii="宋体" w:hAnsi="宋体" w:eastAsia="宋体" w:cs="宋体"/>
          <w:color w:val="auto"/>
          <w:szCs w:val="24"/>
          <w:lang w:val="zh-CN"/>
        </w:rPr>
        <w:t>评标委员会决定投标文件的响应性是基于投标文件的内容本身而不靠外部的证据。</w:t>
      </w:r>
    </w:p>
    <w:p w14:paraId="3CDBB14D">
      <w:pPr>
        <w:autoSpaceDE w:val="0"/>
        <w:autoSpaceDN w:val="0"/>
        <w:adjustRightInd w:val="0"/>
        <w:spacing w:line="360" w:lineRule="auto"/>
        <w:ind w:left="420" w:leftChars="200" w:firstLine="422" w:firstLineChars="200"/>
        <w:rPr>
          <w:rFonts w:ascii="宋体" w:hAnsi="宋体" w:eastAsia="宋体" w:cs="宋体"/>
          <w:b/>
          <w:color w:val="auto"/>
          <w:szCs w:val="24"/>
          <w:lang w:val="zh-CN"/>
        </w:rPr>
      </w:pPr>
      <w:r>
        <w:rPr>
          <w:rFonts w:hint="eastAsia" w:ascii="宋体" w:hAnsi="宋体" w:eastAsia="宋体" w:cs="宋体"/>
          <w:b/>
          <w:color w:val="auto"/>
          <w:szCs w:val="24"/>
          <w:lang w:val="zh-CN"/>
        </w:rPr>
        <w:t>对是否符合实质性响应招标文件有争议的投标文件,评标委员会成员将以记名方式表决,根据少数服</w:t>
      </w:r>
      <w:r>
        <w:rPr>
          <w:rFonts w:hint="eastAsia" w:ascii="宋体" w:hAnsi="宋体" w:eastAsia="宋体" w:cs="宋体"/>
          <w:b/>
          <w:color w:val="auto"/>
          <w:szCs w:val="24"/>
        </w:rPr>
        <w:t>从</w:t>
      </w:r>
      <w:r>
        <w:rPr>
          <w:rFonts w:hint="eastAsia" w:ascii="宋体" w:hAnsi="宋体" w:eastAsia="宋体" w:cs="宋体"/>
          <w:b/>
          <w:color w:val="auto"/>
          <w:szCs w:val="24"/>
          <w:lang w:val="zh-CN"/>
        </w:rPr>
        <w:t>多数的原则，获多数表决通过的投标人才有资格进入下一阶段的评审,否则将被认定为无效投标文件。</w:t>
      </w:r>
    </w:p>
    <w:p w14:paraId="6BB17D47">
      <w:pPr>
        <w:autoSpaceDE w:val="0"/>
        <w:autoSpaceDN w:val="0"/>
        <w:adjustRightInd w:val="0"/>
        <w:spacing w:line="360" w:lineRule="auto"/>
        <w:rPr>
          <w:rFonts w:ascii="宋体" w:hAnsi="宋体" w:eastAsia="宋体" w:cs="宋体"/>
          <w:b/>
          <w:color w:val="auto"/>
          <w:szCs w:val="21"/>
          <w:lang w:val="zh-CN"/>
        </w:rPr>
      </w:pPr>
      <w:r>
        <w:rPr>
          <w:rFonts w:hint="eastAsia" w:ascii="宋体" w:hAnsi="宋体" w:eastAsia="宋体" w:cs="宋体"/>
          <w:b/>
          <w:color w:val="auto"/>
          <w:szCs w:val="21"/>
          <w:lang w:val="zh-CN"/>
        </w:rPr>
        <w:t>7、投标文件出现下列情况之一的，被认定为无效投标：</w:t>
      </w:r>
    </w:p>
    <w:p w14:paraId="66A9C0D7">
      <w:pPr>
        <w:autoSpaceDE w:val="0"/>
        <w:autoSpaceDN w:val="0"/>
        <w:adjustRightInd w:val="0"/>
        <w:spacing w:line="360" w:lineRule="auto"/>
        <w:rPr>
          <w:rFonts w:ascii="宋体" w:hAnsi="宋体" w:eastAsia="宋体" w:cs="宋体"/>
          <w:b/>
          <w:color w:val="auto"/>
          <w:szCs w:val="21"/>
          <w:lang w:val="zh-CN"/>
        </w:rPr>
      </w:pPr>
      <w:r>
        <w:rPr>
          <w:rFonts w:hint="eastAsia" w:ascii="宋体" w:hAnsi="宋体" w:eastAsia="宋体" w:cs="宋体"/>
          <w:b/>
          <w:color w:val="auto"/>
          <w:szCs w:val="21"/>
          <w:lang w:val="zh-CN"/>
        </w:rPr>
        <w:t>7</w:t>
      </w:r>
      <w:r>
        <w:rPr>
          <w:rFonts w:ascii="宋体" w:hAnsi="宋体" w:eastAsia="宋体" w:cs="宋体"/>
          <w:b/>
          <w:color w:val="auto"/>
          <w:szCs w:val="21"/>
          <w:lang w:val="zh-CN"/>
        </w:rPr>
        <w:t xml:space="preserve">.1  </w:t>
      </w:r>
      <w:r>
        <w:rPr>
          <w:rFonts w:hint="eastAsia" w:ascii="宋体" w:hAnsi="宋体" w:eastAsia="宋体" w:cs="宋体"/>
          <w:b/>
          <w:bCs/>
          <w:color w:val="auto"/>
          <w:kern w:val="0"/>
          <w:szCs w:val="21"/>
        </w:rPr>
        <w:t>投标人未按招标文件要求交纳投标保证金的；</w:t>
      </w:r>
    </w:p>
    <w:p w14:paraId="16559301">
      <w:pPr>
        <w:tabs>
          <w:tab w:val="left" w:pos="567"/>
        </w:tabs>
        <w:spacing w:line="360" w:lineRule="auto"/>
        <w:ind w:left="632" w:hanging="632" w:hangingChars="300"/>
        <w:rPr>
          <w:rFonts w:ascii="宋体" w:hAnsi="宋体" w:eastAsia="宋体" w:cs="宋体"/>
          <w:b/>
          <w:bCs/>
          <w:color w:val="auto"/>
          <w:kern w:val="0"/>
          <w:szCs w:val="21"/>
        </w:rPr>
      </w:pPr>
      <w:r>
        <w:rPr>
          <w:rFonts w:hint="eastAsia" w:ascii="宋体" w:hAnsi="宋体" w:eastAsia="宋体" w:cs="宋体"/>
          <w:b/>
          <w:bCs/>
          <w:color w:val="auto"/>
          <w:kern w:val="0"/>
          <w:szCs w:val="21"/>
        </w:rPr>
        <w:t xml:space="preserve">7.2  </w:t>
      </w:r>
      <w:r>
        <w:rPr>
          <w:rFonts w:hint="eastAsia" w:ascii="宋体" w:hAnsi="宋体" w:eastAsia="宋体" w:cs="宋体"/>
          <w:b/>
          <w:color w:val="auto"/>
          <w:kern w:val="0"/>
          <w:szCs w:val="21"/>
        </w:rPr>
        <w:t>投标文件中的投标报价未按照招标文件要求进行折扣系数报价的；</w:t>
      </w:r>
    </w:p>
    <w:p w14:paraId="24186DEE">
      <w:pPr>
        <w:tabs>
          <w:tab w:val="left" w:pos="567"/>
        </w:tabs>
        <w:spacing w:line="360" w:lineRule="auto"/>
        <w:ind w:left="632" w:hanging="632" w:hangingChars="300"/>
        <w:rPr>
          <w:rFonts w:ascii="宋体" w:hAnsi="宋体" w:eastAsia="宋体" w:cs="宋体"/>
          <w:b/>
          <w:color w:val="auto"/>
          <w:kern w:val="0"/>
          <w:szCs w:val="21"/>
        </w:rPr>
      </w:pPr>
      <w:r>
        <w:rPr>
          <w:rFonts w:hint="eastAsia" w:ascii="宋体" w:hAnsi="宋体" w:eastAsia="宋体" w:cs="宋体"/>
          <w:b/>
          <w:color w:val="auto"/>
          <w:kern w:val="0"/>
          <w:szCs w:val="21"/>
        </w:rPr>
        <w:t>7.3  投标人以低于企业成本价报价，且投标人不能合理说明或不能提供相关证明材料；</w:t>
      </w:r>
    </w:p>
    <w:p w14:paraId="6E12462B">
      <w:pPr>
        <w:tabs>
          <w:tab w:val="left" w:pos="567"/>
        </w:tabs>
        <w:spacing w:line="360" w:lineRule="auto"/>
        <w:ind w:left="632" w:hanging="632" w:hangingChars="300"/>
        <w:rPr>
          <w:rFonts w:ascii="宋体" w:hAnsi="宋体" w:eastAsia="宋体" w:cs="宋体"/>
          <w:b/>
          <w:color w:val="auto"/>
          <w:kern w:val="0"/>
          <w:szCs w:val="21"/>
        </w:rPr>
      </w:pPr>
      <w:r>
        <w:rPr>
          <w:rFonts w:hint="eastAsia" w:ascii="宋体" w:hAnsi="宋体" w:eastAsia="宋体" w:cs="宋体"/>
          <w:b/>
          <w:color w:val="auto"/>
          <w:kern w:val="0"/>
          <w:szCs w:val="21"/>
        </w:rPr>
        <w:t>7.4  投标人递交两份或多份内容不同的投标文件，或在一份投标文件中报有两个或多个报价，且未书面声明哪一个有效；</w:t>
      </w:r>
    </w:p>
    <w:p w14:paraId="41C8828D">
      <w:pPr>
        <w:tabs>
          <w:tab w:val="left" w:pos="567"/>
        </w:tabs>
        <w:spacing w:line="360" w:lineRule="auto"/>
        <w:ind w:left="632" w:hanging="632" w:hangingChars="300"/>
        <w:rPr>
          <w:rFonts w:ascii="宋体" w:hAnsi="宋体" w:eastAsia="宋体" w:cs="宋体"/>
          <w:b/>
          <w:bCs/>
          <w:color w:val="auto"/>
          <w:kern w:val="0"/>
          <w:szCs w:val="21"/>
        </w:rPr>
      </w:pPr>
      <w:r>
        <w:rPr>
          <w:rFonts w:hint="eastAsia" w:ascii="宋体" w:hAnsi="宋体" w:eastAsia="宋体" w:cs="宋体"/>
          <w:b/>
          <w:bCs/>
          <w:color w:val="auto"/>
          <w:kern w:val="0"/>
          <w:szCs w:val="21"/>
        </w:rPr>
        <w:t xml:space="preserve">7.5  </w:t>
      </w:r>
      <w:r>
        <w:rPr>
          <w:rFonts w:hint="eastAsia" w:ascii="宋体" w:hAnsi="宋体" w:eastAsia="宋体" w:cs="宋体"/>
          <w:b/>
          <w:color w:val="auto"/>
          <w:kern w:val="0"/>
          <w:szCs w:val="21"/>
        </w:rPr>
        <w:t>投标人不符合合格投标人的基本条件[含未提供资格证明文件，或投标人（含其不具有独立法人资格的分支机构）被列入“信用中国”网站（www.creditchina.gov.cn）失信被执行人、重大税收违法失信主体、政府采购严重违法失信行为记录名单（处罚期限届满的除外）]；</w:t>
      </w:r>
    </w:p>
    <w:p w14:paraId="2A8991B0">
      <w:pPr>
        <w:spacing w:line="360" w:lineRule="auto"/>
        <w:ind w:left="527" w:hanging="527" w:hangingChars="250"/>
        <w:rPr>
          <w:rFonts w:ascii="宋体" w:hAnsi="宋体" w:eastAsia="宋体" w:cs="宋体"/>
          <w:b/>
          <w:bCs/>
          <w:color w:val="auto"/>
          <w:kern w:val="0"/>
          <w:szCs w:val="21"/>
        </w:rPr>
      </w:pPr>
      <w:r>
        <w:rPr>
          <w:rFonts w:hint="eastAsia" w:ascii="宋体" w:hAnsi="宋体" w:eastAsia="宋体" w:cs="宋体"/>
          <w:b/>
          <w:bCs/>
          <w:color w:val="auto"/>
          <w:kern w:val="0"/>
          <w:szCs w:val="21"/>
        </w:rPr>
        <w:t xml:space="preserve">7.6  投标文件未按照招标文件规定要求密封；投标文件无法定代表人或其授权代表签字（或盖私章），或签字人无法定代表人有效授权的；签字盖章不符合招标文件要求的； </w:t>
      </w:r>
    </w:p>
    <w:p w14:paraId="2714D9A4">
      <w:pPr>
        <w:spacing w:line="360" w:lineRule="auto"/>
        <w:ind w:left="527" w:hanging="527" w:hangingChars="250"/>
        <w:rPr>
          <w:rFonts w:ascii="宋体" w:hAnsi="宋体" w:eastAsia="宋体" w:cs="宋体"/>
          <w:b/>
          <w:bCs/>
          <w:color w:val="auto"/>
          <w:kern w:val="0"/>
          <w:szCs w:val="21"/>
        </w:rPr>
      </w:pPr>
      <w:r>
        <w:rPr>
          <w:rFonts w:ascii="宋体" w:hAnsi="宋体" w:eastAsia="宋体" w:cs="宋体"/>
          <w:b/>
          <w:bCs/>
          <w:color w:val="auto"/>
          <w:kern w:val="0"/>
          <w:szCs w:val="21"/>
        </w:rPr>
        <w:t>7.</w:t>
      </w:r>
      <w:r>
        <w:rPr>
          <w:rFonts w:hint="eastAsia" w:ascii="宋体" w:hAnsi="宋体" w:eastAsia="宋体" w:cs="宋体"/>
          <w:b/>
          <w:bCs/>
          <w:color w:val="auto"/>
          <w:kern w:val="0"/>
          <w:szCs w:val="21"/>
        </w:rPr>
        <w:t>7</w:t>
      </w:r>
      <w:r>
        <w:rPr>
          <w:rFonts w:ascii="宋体" w:hAnsi="宋体" w:eastAsia="宋体" w:cs="宋体"/>
          <w:b/>
          <w:bCs/>
          <w:color w:val="auto"/>
          <w:kern w:val="0"/>
          <w:szCs w:val="21"/>
        </w:rPr>
        <w:t xml:space="preserve">  </w:t>
      </w:r>
      <w:r>
        <w:rPr>
          <w:rFonts w:hint="eastAsia" w:ascii="宋体" w:hAnsi="宋体" w:eastAsia="宋体" w:cs="宋体"/>
          <w:b/>
          <w:bCs/>
          <w:color w:val="auto"/>
          <w:kern w:val="0"/>
          <w:szCs w:val="21"/>
        </w:rPr>
        <w:t>投标有效期限不符合要求；</w:t>
      </w:r>
    </w:p>
    <w:p w14:paraId="631A0AE6">
      <w:pPr>
        <w:spacing w:line="360" w:lineRule="auto"/>
        <w:ind w:left="527" w:hanging="527" w:hangingChars="250"/>
        <w:rPr>
          <w:rFonts w:ascii="宋体" w:hAnsi="宋体" w:eastAsia="宋体" w:cs="宋体"/>
          <w:b/>
          <w:bCs/>
          <w:color w:val="auto"/>
          <w:kern w:val="0"/>
          <w:szCs w:val="21"/>
        </w:rPr>
      </w:pPr>
      <w:r>
        <w:rPr>
          <w:rFonts w:hint="eastAsia" w:ascii="宋体" w:hAnsi="宋体" w:eastAsia="宋体" w:cs="宋体"/>
          <w:b/>
          <w:bCs/>
          <w:color w:val="auto"/>
          <w:kern w:val="0"/>
          <w:szCs w:val="21"/>
        </w:rPr>
        <w:t>7.8  投标文件未对招标范围内的全部内容进行投标报价</w:t>
      </w:r>
      <w:r>
        <w:rPr>
          <w:rFonts w:hint="eastAsia" w:ascii="宋体" w:hAnsi="宋体" w:eastAsia="宋体" w:cs="Times New Roman"/>
          <w:b/>
          <w:color w:val="auto"/>
          <w:kern w:val="0"/>
          <w:szCs w:val="21"/>
        </w:rPr>
        <w:t>或投标方案不是唯一</w:t>
      </w:r>
      <w:r>
        <w:rPr>
          <w:rFonts w:hint="eastAsia" w:ascii="宋体" w:hAnsi="宋体" w:eastAsia="宋体" w:cs="宋体"/>
          <w:b/>
          <w:bCs/>
          <w:color w:val="auto"/>
          <w:kern w:val="0"/>
          <w:szCs w:val="21"/>
        </w:rPr>
        <w:t>；</w:t>
      </w:r>
    </w:p>
    <w:p w14:paraId="27D1FED0">
      <w:pPr>
        <w:spacing w:line="360" w:lineRule="auto"/>
        <w:ind w:left="413" w:hanging="413" w:hangingChars="196"/>
        <w:rPr>
          <w:rFonts w:ascii="宋体" w:hAnsi="宋体" w:eastAsia="宋体" w:cs="Times New Roman"/>
          <w:b/>
          <w:color w:val="auto"/>
          <w:kern w:val="0"/>
          <w:szCs w:val="21"/>
        </w:rPr>
      </w:pPr>
      <w:r>
        <w:rPr>
          <w:rFonts w:ascii="宋体" w:hAnsi="宋体" w:eastAsia="宋体" w:cs="Times New Roman"/>
          <w:b/>
          <w:color w:val="auto"/>
          <w:kern w:val="0"/>
          <w:szCs w:val="21"/>
        </w:rPr>
        <w:t>7.</w:t>
      </w:r>
      <w:r>
        <w:rPr>
          <w:rFonts w:hint="eastAsia" w:ascii="宋体" w:hAnsi="宋体" w:eastAsia="宋体" w:cs="Times New Roman"/>
          <w:b/>
          <w:color w:val="auto"/>
          <w:kern w:val="0"/>
          <w:szCs w:val="21"/>
        </w:rPr>
        <w:t>9</w:t>
      </w:r>
      <w:r>
        <w:rPr>
          <w:rFonts w:ascii="宋体" w:hAnsi="宋体" w:eastAsia="宋体" w:cs="Times New Roman"/>
          <w:b/>
          <w:color w:val="auto"/>
          <w:kern w:val="0"/>
          <w:szCs w:val="21"/>
        </w:rPr>
        <w:t xml:space="preserve">  未提供或虚假填写《合同条款偏离表》，或对《合同条款偏离表》有负偏离的；</w:t>
      </w:r>
    </w:p>
    <w:p w14:paraId="3939A8E2">
      <w:pPr>
        <w:spacing w:line="360" w:lineRule="auto"/>
        <w:ind w:left="413" w:hanging="413" w:hangingChars="196"/>
        <w:rPr>
          <w:rFonts w:ascii="宋体" w:hAnsi="宋体" w:eastAsia="宋体" w:cs="Times New Roman"/>
          <w:b/>
          <w:color w:val="auto"/>
          <w:kern w:val="0"/>
          <w:szCs w:val="21"/>
        </w:rPr>
      </w:pPr>
      <w:r>
        <w:rPr>
          <w:rFonts w:ascii="宋体" w:hAnsi="宋体" w:eastAsia="宋体" w:cs="Times New Roman"/>
          <w:b/>
          <w:color w:val="auto"/>
          <w:kern w:val="0"/>
          <w:szCs w:val="21"/>
        </w:rPr>
        <w:t>7.</w:t>
      </w:r>
      <w:r>
        <w:rPr>
          <w:rFonts w:hint="eastAsia" w:ascii="宋体" w:hAnsi="宋体" w:eastAsia="宋体" w:cs="Times New Roman"/>
          <w:b/>
          <w:color w:val="auto"/>
          <w:kern w:val="0"/>
          <w:szCs w:val="21"/>
        </w:rPr>
        <w:t>10</w:t>
      </w:r>
      <w:r>
        <w:rPr>
          <w:rFonts w:ascii="宋体" w:hAnsi="宋体" w:eastAsia="宋体" w:cs="Times New Roman"/>
          <w:b/>
          <w:color w:val="auto"/>
          <w:kern w:val="0"/>
          <w:szCs w:val="21"/>
        </w:rPr>
        <w:t xml:space="preserve">  未填写或虚假填写《用户需求偏离表》的；</w:t>
      </w:r>
    </w:p>
    <w:p w14:paraId="1C1421A8">
      <w:pPr>
        <w:spacing w:line="360" w:lineRule="auto"/>
        <w:ind w:left="413" w:hanging="413" w:hangingChars="196"/>
        <w:rPr>
          <w:rFonts w:ascii="宋体" w:hAnsi="宋体" w:eastAsia="宋体" w:cs="Times New Roman"/>
          <w:b/>
          <w:color w:val="auto"/>
          <w:kern w:val="0"/>
          <w:szCs w:val="21"/>
        </w:rPr>
      </w:pPr>
      <w:r>
        <w:rPr>
          <w:rFonts w:ascii="宋体" w:hAnsi="宋体" w:eastAsia="宋体" w:cs="Times New Roman"/>
          <w:b/>
          <w:color w:val="auto"/>
          <w:kern w:val="0"/>
          <w:szCs w:val="21"/>
        </w:rPr>
        <w:t>7.</w:t>
      </w:r>
      <w:r>
        <w:rPr>
          <w:rFonts w:hint="eastAsia" w:ascii="宋体" w:hAnsi="宋体" w:eastAsia="宋体" w:cs="Times New Roman"/>
          <w:b/>
          <w:color w:val="auto"/>
          <w:kern w:val="0"/>
          <w:szCs w:val="21"/>
        </w:rPr>
        <w:t>11</w:t>
      </w:r>
      <w:r>
        <w:rPr>
          <w:rFonts w:ascii="宋体" w:hAnsi="宋体" w:eastAsia="宋体" w:cs="Times New Roman"/>
          <w:b/>
          <w:color w:val="auto"/>
          <w:kern w:val="0"/>
          <w:szCs w:val="21"/>
        </w:rPr>
        <w:t xml:space="preserve"> </w:t>
      </w:r>
      <w:r>
        <w:rPr>
          <w:rFonts w:hint="eastAsia" w:ascii="宋体" w:hAnsi="宋体" w:eastAsia="宋体" w:cs="Times New Roman"/>
          <w:b/>
          <w:color w:val="auto"/>
          <w:kern w:val="0"/>
          <w:szCs w:val="21"/>
        </w:rPr>
        <w:t xml:space="preserve"> </w:t>
      </w:r>
      <w:r>
        <w:rPr>
          <w:rFonts w:ascii="宋体" w:hAnsi="宋体" w:eastAsia="宋体" w:cs="Times New Roman"/>
          <w:b/>
          <w:color w:val="auto"/>
          <w:kern w:val="0"/>
          <w:szCs w:val="21"/>
        </w:rPr>
        <w:t>未</w:t>
      </w:r>
      <w:r>
        <w:rPr>
          <w:rFonts w:hint="eastAsia" w:ascii="宋体" w:hAnsi="宋体" w:eastAsia="宋体" w:cs="Times New Roman"/>
          <w:b/>
          <w:color w:val="auto"/>
          <w:kern w:val="0"/>
          <w:szCs w:val="21"/>
        </w:rPr>
        <w:t>响应</w:t>
      </w:r>
      <w:r>
        <w:rPr>
          <w:rFonts w:ascii="宋体" w:hAnsi="宋体" w:eastAsia="宋体" w:cs="Times New Roman"/>
          <w:b/>
          <w:color w:val="auto"/>
          <w:kern w:val="0"/>
          <w:szCs w:val="21"/>
        </w:rPr>
        <w:t>招标文件提出的实质性要求和条件（标注★的条款）</w:t>
      </w:r>
      <w:r>
        <w:rPr>
          <w:rFonts w:hint="eastAsia" w:ascii="宋体" w:hAnsi="宋体" w:eastAsia="宋体" w:cs="Times New Roman"/>
          <w:b/>
          <w:color w:val="auto"/>
          <w:kern w:val="0"/>
          <w:szCs w:val="21"/>
        </w:rPr>
        <w:t>。</w:t>
      </w:r>
    </w:p>
    <w:p w14:paraId="6427B0D0">
      <w:pPr>
        <w:autoSpaceDE w:val="0"/>
        <w:autoSpaceDN w:val="0"/>
        <w:adjustRightInd w:val="0"/>
        <w:spacing w:line="360" w:lineRule="auto"/>
        <w:ind w:left="315" w:hanging="315" w:hangingChars="150"/>
        <w:rPr>
          <w:rFonts w:ascii="宋体" w:hAnsi="宋体" w:eastAsia="宋体" w:cs="宋体"/>
          <w:color w:val="auto"/>
          <w:kern w:val="0"/>
          <w:szCs w:val="24"/>
          <w:lang w:val="zh-CN"/>
        </w:rPr>
      </w:pPr>
      <w:r>
        <w:rPr>
          <w:rFonts w:hint="eastAsia" w:ascii="宋体" w:hAnsi="宋体" w:eastAsia="宋体" w:cs="宋体"/>
          <w:bCs/>
          <w:color w:val="auto"/>
          <w:kern w:val="0"/>
          <w:szCs w:val="24"/>
          <w:lang w:val="zh-CN"/>
        </w:rPr>
        <w:t>8、</w:t>
      </w:r>
      <w:r>
        <w:rPr>
          <w:rFonts w:hint="eastAsia" w:ascii="宋体" w:hAnsi="宋体" w:eastAsia="宋体" w:cs="宋体"/>
          <w:color w:val="auto"/>
          <w:kern w:val="0"/>
          <w:szCs w:val="24"/>
          <w:lang w:val="zh-CN"/>
        </w:rPr>
        <w:t>评标委员会应当书面要求存在细微偏差的投标人在开标评审结束前予以补正。细微偏差是指投标文件在实质上响应招标文件要求，但在个别地方存在漏项或者提供了不完整的技术方案信息和数据等情况，并且补正这些遗漏或者不完整不会对其他投标人造成不公平的结果。细微偏差不影响投标文件的有效性。</w:t>
      </w:r>
    </w:p>
    <w:p w14:paraId="79B60D0B">
      <w:pPr>
        <w:spacing w:line="360" w:lineRule="auto"/>
        <w:ind w:left="480"/>
        <w:rPr>
          <w:rFonts w:ascii="宋体" w:hAnsi="宋体" w:eastAsia="宋体" w:cs="宋体"/>
          <w:b/>
          <w:color w:val="auto"/>
          <w:kern w:val="0"/>
          <w:szCs w:val="21"/>
        </w:rPr>
      </w:pPr>
    </w:p>
    <w:p w14:paraId="52C62B88">
      <w:pPr>
        <w:tabs>
          <w:tab w:val="left" w:pos="1140"/>
        </w:tabs>
        <w:autoSpaceDE w:val="0"/>
        <w:autoSpaceDN w:val="0"/>
        <w:adjustRightInd w:val="0"/>
        <w:spacing w:line="360" w:lineRule="auto"/>
        <w:ind w:firstLine="3528" w:firstLineChars="1255"/>
        <w:jc w:val="left"/>
        <w:rPr>
          <w:rFonts w:ascii="宋体" w:hAnsi="宋体" w:eastAsia="宋体" w:cs="宋体"/>
          <w:b/>
          <w:bCs/>
          <w:color w:val="auto"/>
          <w:sz w:val="28"/>
          <w:szCs w:val="28"/>
        </w:rPr>
      </w:pPr>
      <w:r>
        <w:rPr>
          <w:rFonts w:hint="eastAsia" w:ascii="宋体" w:hAnsi="宋体" w:eastAsia="宋体" w:cs="宋体"/>
          <w:b/>
          <w:bCs/>
          <w:color w:val="auto"/>
          <w:sz w:val="28"/>
          <w:szCs w:val="28"/>
          <w:lang w:val="zh-CN"/>
        </w:rPr>
        <w:t>三、澄清有关问题</w:t>
      </w:r>
    </w:p>
    <w:p w14:paraId="05A8EAF8">
      <w:pPr>
        <w:autoSpaceDE w:val="0"/>
        <w:autoSpaceDN w:val="0"/>
        <w:adjustRightInd w:val="0"/>
        <w:spacing w:line="360" w:lineRule="auto"/>
        <w:ind w:left="315" w:hanging="315" w:hangingChars="150"/>
        <w:rPr>
          <w:rFonts w:ascii="宋体" w:hAnsi="宋体" w:eastAsia="宋体" w:cs="宋体"/>
          <w:color w:val="auto"/>
          <w:szCs w:val="24"/>
          <w:lang w:val="zh-CN"/>
        </w:rPr>
      </w:pPr>
      <w:r>
        <w:rPr>
          <w:rFonts w:hint="eastAsia" w:ascii="宋体" w:hAnsi="宋体" w:eastAsia="宋体" w:cs="宋体"/>
          <w:bCs/>
          <w:color w:val="auto"/>
          <w:szCs w:val="24"/>
          <w:lang w:val="zh-CN"/>
        </w:rPr>
        <w:t>9、</w:t>
      </w:r>
      <w:r>
        <w:rPr>
          <w:rFonts w:hint="eastAsia" w:ascii="宋体" w:hAnsi="宋体" w:eastAsia="宋体" w:cs="宋体"/>
          <w:color w:val="auto"/>
          <w:szCs w:val="24"/>
          <w:lang w:val="zh-CN"/>
        </w:rPr>
        <w:t>在</w:t>
      </w:r>
      <w:r>
        <w:rPr>
          <w:rFonts w:hint="eastAsia" w:ascii="宋体" w:hAnsi="宋体" w:eastAsia="宋体" w:cs="宋体"/>
          <w:color w:val="auto"/>
          <w:kern w:val="0"/>
          <w:szCs w:val="24"/>
          <w:lang w:val="zh-CN"/>
        </w:rPr>
        <w:t>投标文件</w:t>
      </w:r>
      <w:r>
        <w:rPr>
          <w:rFonts w:hint="eastAsia" w:ascii="宋体" w:hAnsi="宋体" w:eastAsia="宋体" w:cs="宋体"/>
          <w:color w:val="auto"/>
          <w:szCs w:val="24"/>
          <w:lang w:val="zh-CN"/>
        </w:rPr>
        <w:t>的商务、技术资格性检查及符合性检查过程中，</w:t>
      </w:r>
      <w:r>
        <w:rPr>
          <w:rFonts w:hint="eastAsia" w:ascii="宋体" w:hAnsi="宋体" w:eastAsia="宋体" w:cs="宋体"/>
          <w:color w:val="auto"/>
          <w:kern w:val="0"/>
          <w:szCs w:val="24"/>
          <w:lang w:val="zh-CN"/>
        </w:rPr>
        <w:t>投标人</w:t>
      </w:r>
      <w:r>
        <w:rPr>
          <w:rFonts w:hint="eastAsia" w:ascii="宋体" w:hAnsi="宋体" w:eastAsia="宋体" w:cs="宋体"/>
          <w:color w:val="auto"/>
          <w:szCs w:val="24"/>
          <w:lang w:val="zh-CN"/>
        </w:rPr>
        <w:t>可应评标委员会要求对</w:t>
      </w:r>
      <w:r>
        <w:rPr>
          <w:rFonts w:hint="eastAsia" w:ascii="宋体" w:hAnsi="宋体" w:eastAsia="宋体" w:cs="宋体"/>
          <w:color w:val="auto"/>
          <w:kern w:val="0"/>
          <w:szCs w:val="24"/>
          <w:lang w:val="zh-CN"/>
        </w:rPr>
        <w:t>投标文件</w:t>
      </w:r>
      <w:r>
        <w:rPr>
          <w:rFonts w:hint="eastAsia" w:ascii="宋体" w:hAnsi="宋体" w:eastAsia="宋体" w:cs="宋体"/>
          <w:color w:val="auto"/>
          <w:szCs w:val="24"/>
          <w:lang w:val="zh-CN"/>
        </w:rPr>
        <w:t>中有关问题进行书面澄清。该书面澄清作为其</w:t>
      </w:r>
      <w:r>
        <w:rPr>
          <w:rFonts w:hint="eastAsia" w:ascii="宋体" w:hAnsi="宋体" w:eastAsia="宋体" w:cs="宋体"/>
          <w:color w:val="auto"/>
          <w:kern w:val="0"/>
          <w:szCs w:val="24"/>
          <w:lang w:val="zh-CN"/>
        </w:rPr>
        <w:t>投标文件</w:t>
      </w:r>
      <w:r>
        <w:rPr>
          <w:rFonts w:hint="eastAsia" w:ascii="宋体" w:hAnsi="宋体" w:eastAsia="宋体" w:cs="宋体"/>
          <w:color w:val="auto"/>
          <w:szCs w:val="24"/>
          <w:lang w:val="zh-CN"/>
        </w:rPr>
        <w:t>的一部分。</w:t>
      </w:r>
    </w:p>
    <w:p w14:paraId="49DF1232">
      <w:pPr>
        <w:autoSpaceDE w:val="0"/>
        <w:autoSpaceDN w:val="0"/>
        <w:adjustRightInd w:val="0"/>
        <w:spacing w:line="360" w:lineRule="auto"/>
        <w:ind w:left="529" w:hanging="529" w:hangingChars="252"/>
        <w:rPr>
          <w:rFonts w:ascii="宋体" w:hAnsi="宋体" w:eastAsia="宋体" w:cs="宋体"/>
          <w:color w:val="auto"/>
          <w:szCs w:val="24"/>
          <w:lang w:val="zh-CN"/>
        </w:rPr>
      </w:pPr>
      <w:r>
        <w:rPr>
          <w:rFonts w:hint="eastAsia" w:ascii="宋体" w:hAnsi="宋体" w:eastAsia="宋体" w:cs="宋体"/>
          <w:color w:val="auto"/>
          <w:szCs w:val="24"/>
          <w:lang w:val="zh-CN"/>
        </w:rPr>
        <w:t>9.1  对</w:t>
      </w:r>
      <w:r>
        <w:rPr>
          <w:rFonts w:hint="eastAsia" w:ascii="宋体" w:hAnsi="宋体" w:eastAsia="宋体" w:cs="宋体"/>
          <w:color w:val="auto"/>
          <w:kern w:val="0"/>
          <w:szCs w:val="24"/>
          <w:lang w:val="zh-CN"/>
        </w:rPr>
        <w:t>投标文件</w:t>
      </w:r>
      <w:r>
        <w:rPr>
          <w:rFonts w:hint="eastAsia" w:ascii="宋体" w:hAnsi="宋体" w:eastAsia="宋体" w:cs="宋体"/>
          <w:color w:val="auto"/>
          <w:szCs w:val="24"/>
          <w:lang w:val="zh-CN"/>
        </w:rPr>
        <w:t>中含义不明确、同类问题表述不一致或者有明显文字和计算错误的内容，评标委员会可以书面形式（由评标委员会专家签字）要求投标人作出必要的澄清、说明或者纠正。</w:t>
      </w:r>
    </w:p>
    <w:p w14:paraId="3825CED9">
      <w:pPr>
        <w:autoSpaceDE w:val="0"/>
        <w:autoSpaceDN w:val="0"/>
        <w:adjustRightInd w:val="0"/>
        <w:spacing w:line="360" w:lineRule="auto"/>
        <w:ind w:left="529" w:hanging="529" w:hangingChars="252"/>
        <w:rPr>
          <w:rFonts w:ascii="宋体" w:hAnsi="宋体" w:eastAsia="宋体" w:cs="宋体"/>
          <w:color w:val="auto"/>
          <w:szCs w:val="24"/>
          <w:lang w:val="zh-CN"/>
        </w:rPr>
      </w:pPr>
      <w:r>
        <w:rPr>
          <w:rFonts w:hint="eastAsia" w:ascii="宋体" w:hAnsi="宋体" w:eastAsia="宋体" w:cs="宋体"/>
          <w:color w:val="auto"/>
          <w:szCs w:val="24"/>
          <w:lang w:val="zh-CN"/>
        </w:rPr>
        <w:t>9.2  投标人的澄清、说明或者纠正应当采用书面形式，经加盖其公章或其合法代表人（法定代表人或法定代表人授权书列明的被授权人）签署方有效，并不得超出投标文件的范围或者改变投标文件的实质性内容。</w:t>
      </w:r>
    </w:p>
    <w:p w14:paraId="0F1344FF">
      <w:pPr>
        <w:autoSpaceDE w:val="0"/>
        <w:autoSpaceDN w:val="0"/>
        <w:adjustRightInd w:val="0"/>
        <w:spacing w:line="360" w:lineRule="auto"/>
        <w:ind w:left="529" w:right="18" w:hanging="529" w:hangingChars="252"/>
        <w:rPr>
          <w:rFonts w:ascii="宋体" w:hAnsi="宋体" w:eastAsia="宋体" w:cs="宋体"/>
          <w:color w:val="auto"/>
          <w:szCs w:val="24"/>
          <w:lang w:val="zh-CN"/>
        </w:rPr>
      </w:pPr>
      <w:r>
        <w:rPr>
          <w:rFonts w:hint="eastAsia" w:ascii="宋体" w:hAnsi="宋体" w:eastAsia="宋体" w:cs="宋体"/>
          <w:color w:val="auto"/>
          <w:szCs w:val="24"/>
          <w:lang w:val="zh-CN"/>
        </w:rPr>
        <w:t>9.3  经过澄清后仍不符合要求，则该项目在下一步评审进行评分调整；若重大（实质性）偏差仍存在，且不可接受，投标人则被认为是“不响应招标文件要求的投标人”，不再进入下一步评审。</w:t>
      </w:r>
    </w:p>
    <w:p w14:paraId="7E6E05E2">
      <w:pPr>
        <w:spacing w:line="360" w:lineRule="auto"/>
        <w:ind w:left="424" w:hanging="424" w:hangingChars="202"/>
        <w:rPr>
          <w:rFonts w:ascii="宋体" w:hAnsi="宋体" w:eastAsia="宋体" w:cs="宋体"/>
          <w:color w:val="auto"/>
          <w:kern w:val="0"/>
          <w:szCs w:val="21"/>
        </w:rPr>
      </w:pPr>
      <w:r>
        <w:rPr>
          <w:rFonts w:hint="eastAsia" w:ascii="宋体" w:hAnsi="宋体" w:eastAsia="宋体" w:cs="宋体"/>
          <w:color w:val="auto"/>
          <w:kern w:val="0"/>
          <w:szCs w:val="21"/>
        </w:rPr>
        <w:t>9.4  投标文件报价计算错误的修正</w:t>
      </w:r>
    </w:p>
    <w:p w14:paraId="205EE63F">
      <w:pPr>
        <w:spacing w:line="360" w:lineRule="auto"/>
        <w:ind w:left="567" w:hanging="567" w:hangingChars="270"/>
        <w:jc w:val="left"/>
        <w:rPr>
          <w:rFonts w:ascii="宋体" w:hAnsi="宋体" w:eastAsia="宋体" w:cs="宋体"/>
          <w:color w:val="auto"/>
          <w:kern w:val="0"/>
          <w:szCs w:val="21"/>
        </w:rPr>
      </w:pPr>
      <w:r>
        <w:rPr>
          <w:rFonts w:hint="eastAsia" w:ascii="宋体" w:hAnsi="宋体" w:eastAsia="宋体" w:cs="宋体"/>
          <w:color w:val="auto"/>
          <w:kern w:val="0"/>
          <w:szCs w:val="21"/>
        </w:rPr>
        <w:t>（1）评标委员会将对确定为实质上响应招标文件要求的投标文件进行校核，看其是否有计算或表达上的错误，修正错误的原则为：</w:t>
      </w:r>
    </w:p>
    <w:p w14:paraId="5D4F2749">
      <w:pPr>
        <w:spacing w:line="360" w:lineRule="auto"/>
        <w:ind w:left="630" w:leftChars="300" w:firstLine="420" w:firstLineChars="200"/>
        <w:jc w:val="left"/>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zh-CN"/>
        </w:rPr>
        <w:t>投标报价表内当以数字表示的报价系数与以文字表示的报价系数不一致时，以文字表示的报价系数为准</w:t>
      </w:r>
      <w:r>
        <w:rPr>
          <w:rFonts w:hint="eastAsia" w:ascii="宋体" w:hAnsi="宋体" w:eastAsia="宋体" w:cs="宋体"/>
          <w:color w:val="auto"/>
          <w:kern w:val="0"/>
          <w:szCs w:val="21"/>
          <w:lang w:val="en-US" w:eastAsia="zh-CN"/>
        </w:rPr>
        <w:t>；</w:t>
      </w:r>
      <w:r>
        <w:rPr>
          <w:rFonts w:hint="eastAsia" w:ascii="宋体" w:hAnsi="宋体" w:eastAsia="宋体" w:cs="宋体"/>
          <w:color w:val="auto"/>
          <w:kern w:val="0"/>
          <w:szCs w:val="21"/>
          <w:lang w:val="zh-CN"/>
        </w:rPr>
        <w:t>经双方确认后，作为合同文件的组成部分。</w:t>
      </w:r>
    </w:p>
    <w:p w14:paraId="6EBC69CA">
      <w:pPr>
        <w:spacing w:line="360" w:lineRule="auto"/>
        <w:ind w:left="567" w:hanging="567" w:hangingChars="270"/>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（2）</w:t>
      </w:r>
      <w:r>
        <w:rPr>
          <w:rFonts w:hint="eastAsia" w:ascii="宋体" w:hAnsi="宋体" w:eastAsia="宋体" w:cs="宋体"/>
          <w:b/>
          <w:color w:val="auto"/>
          <w:kern w:val="0"/>
          <w:szCs w:val="21"/>
          <w:u w:val="single"/>
          <w:lang w:val="zh-CN"/>
        </w:rPr>
        <w:t>按上述修正</w:t>
      </w:r>
      <w:r>
        <w:rPr>
          <w:rFonts w:hint="eastAsia" w:ascii="宋体" w:hAnsi="宋体" w:eastAsia="宋体" w:cs="宋体"/>
          <w:b/>
          <w:color w:val="auto"/>
          <w:kern w:val="0"/>
          <w:szCs w:val="21"/>
          <w:u w:val="single"/>
        </w:rPr>
        <w:t>错误</w:t>
      </w:r>
      <w:r>
        <w:rPr>
          <w:rFonts w:hint="eastAsia" w:ascii="宋体" w:hAnsi="宋体" w:eastAsia="宋体" w:cs="宋体"/>
          <w:b/>
          <w:color w:val="auto"/>
          <w:kern w:val="0"/>
          <w:szCs w:val="21"/>
          <w:u w:val="single"/>
          <w:lang w:val="zh-CN"/>
        </w:rPr>
        <w:t>的原则及方法调整或修正投标文件的投标报价，调整后的投标报价对投标人起约束作用。如果投标人不接受修正后的报价，则其投标将被拒绝，作为无效投标处理</w:t>
      </w:r>
      <w:r>
        <w:rPr>
          <w:rFonts w:hint="eastAsia" w:ascii="宋体" w:hAnsi="宋体" w:eastAsia="宋体" w:cs="宋体"/>
          <w:b/>
          <w:color w:val="auto"/>
          <w:kern w:val="0"/>
          <w:szCs w:val="21"/>
          <w:lang w:val="zh-CN"/>
        </w:rPr>
        <w:t>。</w:t>
      </w:r>
    </w:p>
    <w:p w14:paraId="0072170F">
      <w:pPr>
        <w:spacing w:line="360" w:lineRule="auto"/>
        <w:ind w:left="567" w:hanging="567" w:hangingChars="270"/>
        <w:rPr>
          <w:rFonts w:ascii="宋体" w:hAnsi="宋体" w:eastAsia="宋体" w:cs="宋体"/>
          <w:color w:val="auto"/>
          <w:kern w:val="0"/>
          <w:szCs w:val="21"/>
          <w:lang w:val="zh-CN"/>
        </w:rPr>
      </w:pPr>
      <w:r>
        <w:rPr>
          <w:rFonts w:hint="eastAsia" w:ascii="宋体" w:hAnsi="宋体" w:eastAsia="宋体" w:cs="宋体"/>
          <w:color w:val="auto"/>
          <w:kern w:val="0"/>
          <w:szCs w:val="21"/>
          <w:lang w:val="zh-CN"/>
        </w:rPr>
        <w:t>9.5  若投标人出现超低报价，有可能影响服务质量和不能诚信履约的，</w:t>
      </w:r>
      <w:r>
        <w:rPr>
          <w:rFonts w:hint="eastAsia" w:ascii="宋体" w:hAnsi="宋体" w:eastAsia="宋体" w:cs="宋体"/>
          <w:bCs/>
          <w:color w:val="auto"/>
          <w:szCs w:val="21"/>
          <w:lang w:val="zh-CN"/>
        </w:rPr>
        <w:t>评标委员会将要求该投标人作出书面说明并提供相关证明材料，以确定投标人是否以低于企业成本价报价。</w:t>
      </w:r>
      <w:r>
        <w:rPr>
          <w:rFonts w:hint="eastAsia" w:ascii="宋体" w:hAnsi="宋体" w:eastAsia="宋体" w:cs="宋体"/>
          <w:b/>
          <w:color w:val="auto"/>
          <w:szCs w:val="21"/>
          <w:lang w:val="zh-CN"/>
        </w:rPr>
        <w:t>若投标人不能合理说明或不能提供相关证明材料的，评标委员会将认定其投标报价低于成本，同时否决其投标。</w:t>
      </w:r>
    </w:p>
    <w:p w14:paraId="29E0385B">
      <w:pPr>
        <w:autoSpaceDE w:val="0"/>
        <w:autoSpaceDN w:val="0"/>
        <w:adjustRightInd w:val="0"/>
        <w:spacing w:line="360" w:lineRule="auto"/>
        <w:jc w:val="center"/>
        <w:rPr>
          <w:rFonts w:ascii="宋体" w:hAnsi="宋体" w:eastAsia="宋体" w:cs="宋体"/>
          <w:b/>
          <w:bCs/>
          <w:color w:val="auto"/>
          <w:sz w:val="28"/>
          <w:szCs w:val="28"/>
          <w:lang w:val="zh-CN"/>
        </w:rPr>
      </w:pPr>
    </w:p>
    <w:p w14:paraId="281EA473">
      <w:pPr>
        <w:autoSpaceDE w:val="0"/>
        <w:autoSpaceDN w:val="0"/>
        <w:adjustRightInd w:val="0"/>
        <w:spacing w:line="360" w:lineRule="auto"/>
        <w:jc w:val="center"/>
        <w:rPr>
          <w:rFonts w:ascii="宋体" w:hAnsi="宋体" w:eastAsia="宋体" w:cs="宋体"/>
          <w:b/>
          <w:bCs/>
          <w:color w:val="auto"/>
          <w:sz w:val="28"/>
          <w:szCs w:val="28"/>
        </w:rPr>
      </w:pPr>
      <w:r>
        <w:rPr>
          <w:rFonts w:hint="eastAsia" w:ascii="宋体" w:hAnsi="宋体" w:eastAsia="宋体" w:cs="宋体"/>
          <w:b/>
          <w:bCs/>
          <w:color w:val="auto"/>
          <w:sz w:val="28"/>
          <w:szCs w:val="28"/>
          <w:lang w:val="zh-CN"/>
        </w:rPr>
        <w:t>四、比较和评价</w:t>
      </w:r>
    </w:p>
    <w:p w14:paraId="22452247">
      <w:pPr>
        <w:autoSpaceDE w:val="0"/>
        <w:autoSpaceDN w:val="0"/>
        <w:adjustRightInd w:val="0"/>
        <w:spacing w:line="360" w:lineRule="auto"/>
        <w:ind w:left="422" w:leftChars="1" w:hanging="420" w:hangingChars="200"/>
        <w:rPr>
          <w:rFonts w:ascii="宋体" w:hAnsi="宋体" w:eastAsia="宋体" w:cs="宋体"/>
          <w:color w:val="auto"/>
          <w:szCs w:val="24"/>
          <w:lang w:val="zh-CN"/>
        </w:rPr>
      </w:pPr>
      <w:r>
        <w:rPr>
          <w:rFonts w:hint="eastAsia" w:ascii="宋体" w:hAnsi="宋体" w:eastAsia="宋体" w:cs="宋体"/>
          <w:bCs/>
          <w:color w:val="auto"/>
          <w:szCs w:val="24"/>
          <w:lang w:val="zh-CN"/>
        </w:rPr>
        <w:t>10、</w:t>
      </w:r>
      <w:r>
        <w:rPr>
          <w:rFonts w:hint="eastAsia" w:ascii="宋体" w:hAnsi="宋体" w:eastAsia="宋体" w:cs="宋体"/>
          <w:color w:val="auto"/>
          <w:szCs w:val="24"/>
          <w:lang w:val="zh-CN"/>
        </w:rPr>
        <w:t>评标委员会按招标文件中规定的评审方法和标准，对资格性检查和符合性检查合格的投标文件进行商务和技术评审、综合比较与评价；评标委员会根据商务和技术评审的结果，采用综合评分法，分别对投标文件的商务、技术、价格等内容进行打分。</w:t>
      </w:r>
    </w:p>
    <w:p w14:paraId="00536224">
      <w:pPr>
        <w:autoSpaceDE w:val="0"/>
        <w:autoSpaceDN w:val="0"/>
        <w:adjustRightInd w:val="0"/>
        <w:spacing w:line="360" w:lineRule="auto"/>
        <w:ind w:left="422" w:leftChars="1" w:hanging="420" w:hangingChars="200"/>
        <w:rPr>
          <w:rFonts w:ascii="宋体" w:hAnsi="宋体" w:eastAsia="宋体" w:cs="宋体"/>
          <w:color w:val="auto"/>
          <w:szCs w:val="24"/>
          <w:lang w:val="zh-CN"/>
        </w:rPr>
      </w:pPr>
    </w:p>
    <w:p w14:paraId="08C32623">
      <w:pPr>
        <w:tabs>
          <w:tab w:val="left" w:pos="1701"/>
        </w:tabs>
        <w:autoSpaceDE w:val="0"/>
        <w:autoSpaceDN w:val="0"/>
        <w:adjustRightInd w:val="0"/>
        <w:spacing w:line="360" w:lineRule="auto"/>
        <w:rPr>
          <w:rFonts w:ascii="宋体" w:hAnsi="宋体" w:eastAsia="宋体" w:cs="宋体"/>
          <w:b/>
          <w:color w:val="auto"/>
          <w:szCs w:val="24"/>
          <w:lang w:val="zh-CN"/>
        </w:rPr>
      </w:pPr>
      <w:r>
        <w:rPr>
          <w:rFonts w:hint="eastAsia" w:ascii="宋体" w:hAnsi="宋体" w:eastAsia="宋体" w:cs="宋体"/>
          <w:b/>
          <w:color w:val="auto"/>
          <w:szCs w:val="24"/>
          <w:lang w:val="zh-CN"/>
        </w:rPr>
        <w:t>11、评委打分办法</w:t>
      </w:r>
    </w:p>
    <w:p w14:paraId="2FCD1A68">
      <w:pPr>
        <w:autoSpaceDE w:val="0"/>
        <w:autoSpaceDN w:val="0"/>
        <w:adjustRightInd w:val="0"/>
        <w:spacing w:line="360" w:lineRule="auto"/>
        <w:rPr>
          <w:rFonts w:ascii="宋体" w:hAnsi="宋体" w:eastAsia="宋体" w:cs="Times New Roman"/>
          <w:color w:val="auto"/>
          <w:szCs w:val="24"/>
          <w:lang w:val="zh-CN"/>
        </w:rPr>
      </w:pPr>
      <w:r>
        <w:rPr>
          <w:rFonts w:ascii="宋体" w:hAnsi="宋体" w:eastAsia="宋体" w:cs="Times New Roman"/>
          <w:color w:val="auto"/>
          <w:szCs w:val="24"/>
          <w:lang w:val="zh-CN"/>
        </w:rPr>
        <w:t>11</w:t>
      </w:r>
      <w:r>
        <w:rPr>
          <w:rFonts w:hint="eastAsia" w:ascii="宋体" w:hAnsi="宋体" w:eastAsia="宋体" w:cs="Times New Roman"/>
          <w:color w:val="auto"/>
          <w:szCs w:val="24"/>
          <w:lang w:val="zh-CN"/>
        </w:rPr>
        <w:t>.1 参加评分的评委应尽力体现客观、实事求是，避免学派偏见和个人偏好。</w:t>
      </w:r>
    </w:p>
    <w:p w14:paraId="7B83AA2F">
      <w:pPr>
        <w:autoSpaceDE w:val="0"/>
        <w:autoSpaceDN w:val="0"/>
        <w:adjustRightInd w:val="0"/>
        <w:spacing w:line="360" w:lineRule="auto"/>
        <w:ind w:left="565" w:leftChars="-1" w:hanging="567" w:hangingChars="270"/>
        <w:rPr>
          <w:rFonts w:ascii="宋体" w:hAnsi="宋体" w:eastAsia="宋体" w:cs="Times New Roman"/>
          <w:color w:val="auto"/>
          <w:szCs w:val="24"/>
          <w:lang w:val="zh-CN"/>
        </w:rPr>
      </w:pPr>
      <w:r>
        <w:rPr>
          <w:rFonts w:ascii="宋体" w:hAnsi="宋体" w:eastAsia="宋体" w:cs="Times New Roman"/>
          <w:color w:val="auto"/>
          <w:szCs w:val="24"/>
          <w:lang w:val="zh-CN"/>
        </w:rPr>
        <w:t>11</w:t>
      </w:r>
      <w:r>
        <w:rPr>
          <w:rFonts w:hint="eastAsia" w:ascii="宋体" w:hAnsi="宋体" w:eastAsia="宋体" w:cs="Times New Roman"/>
          <w:color w:val="auto"/>
          <w:szCs w:val="24"/>
          <w:lang w:val="zh-CN"/>
        </w:rPr>
        <w:t>.2 衡量、对比的依据，应以招标文件、投标文件、提供的正式试验数据、开标澄清中的文字为准，口头回答和收集的资料只作为参考。</w:t>
      </w:r>
    </w:p>
    <w:p w14:paraId="6DB86C29">
      <w:pPr>
        <w:autoSpaceDE w:val="0"/>
        <w:autoSpaceDN w:val="0"/>
        <w:adjustRightInd w:val="0"/>
        <w:spacing w:line="360" w:lineRule="auto"/>
        <w:ind w:left="565" w:leftChars="-1" w:hanging="567" w:hangingChars="270"/>
        <w:rPr>
          <w:rFonts w:ascii="宋体" w:hAnsi="宋体" w:eastAsia="宋体" w:cs="宋体"/>
          <w:color w:val="auto"/>
          <w:kern w:val="0"/>
          <w:szCs w:val="21"/>
        </w:rPr>
      </w:pPr>
      <w:r>
        <w:rPr>
          <w:rFonts w:ascii="宋体" w:hAnsi="宋体" w:eastAsia="宋体" w:cs="Times New Roman"/>
          <w:color w:val="auto"/>
          <w:szCs w:val="24"/>
          <w:lang w:val="zh-CN"/>
        </w:rPr>
        <w:t>11</w:t>
      </w:r>
      <w:r>
        <w:rPr>
          <w:rFonts w:hint="eastAsia" w:ascii="宋体" w:hAnsi="宋体" w:eastAsia="宋体" w:cs="Times New Roman"/>
          <w:color w:val="auto"/>
          <w:szCs w:val="24"/>
          <w:lang w:val="zh-CN"/>
        </w:rPr>
        <w:t>.3 评分主要是为比较各投标人的商务、技术</w:t>
      </w:r>
      <w:r>
        <w:rPr>
          <w:rFonts w:hint="eastAsia" w:ascii="宋体" w:hAnsi="宋体" w:eastAsia="宋体" w:cs="Times New Roman"/>
          <w:color w:val="auto"/>
          <w:szCs w:val="24"/>
        </w:rPr>
        <w:t>和</w:t>
      </w:r>
      <w:r>
        <w:rPr>
          <w:rFonts w:hint="eastAsia" w:ascii="宋体" w:hAnsi="宋体" w:eastAsia="宋体" w:cs="Times New Roman"/>
          <w:color w:val="auto"/>
          <w:szCs w:val="24"/>
          <w:lang w:val="zh-CN"/>
        </w:rPr>
        <w:t>价格综合排序。</w:t>
      </w:r>
      <w:r>
        <w:rPr>
          <w:rFonts w:hint="eastAsia" w:ascii="宋体" w:hAnsi="宋体" w:eastAsia="宋体" w:cs="宋体"/>
          <w:color w:val="auto"/>
          <w:kern w:val="0"/>
          <w:szCs w:val="21"/>
        </w:rPr>
        <w:t>评标委员会专家组的每一位评委根据招标文件评分标准对投标文件分别评审，对有效投标人投标文件的商务、技术、报价分别评分。</w:t>
      </w:r>
    </w:p>
    <w:p w14:paraId="51852708">
      <w:pPr>
        <w:autoSpaceDE w:val="0"/>
        <w:autoSpaceDN w:val="0"/>
        <w:adjustRightInd w:val="0"/>
        <w:spacing w:line="360" w:lineRule="auto"/>
        <w:ind w:left="565" w:leftChars="-1" w:hanging="567" w:hangingChars="270"/>
        <w:rPr>
          <w:rFonts w:ascii="宋体" w:hAnsi="宋体" w:eastAsia="宋体" w:cs="宋体"/>
          <w:color w:val="auto"/>
          <w:kern w:val="0"/>
          <w:szCs w:val="21"/>
        </w:rPr>
      </w:pPr>
      <w:r>
        <w:rPr>
          <w:rFonts w:hint="eastAsia" w:ascii="宋体" w:hAnsi="宋体" w:eastAsia="宋体" w:cs="宋体"/>
          <w:color w:val="auto"/>
          <w:kern w:val="0"/>
          <w:szCs w:val="21"/>
        </w:rPr>
        <w:t>（1）评标委员会首先对商务标进行评审，按评标标准打分后，取所有评委评分的平均值得出该投标人的商务评分；</w:t>
      </w:r>
    </w:p>
    <w:p w14:paraId="5EC133A4">
      <w:pPr>
        <w:autoSpaceDE w:val="0"/>
        <w:autoSpaceDN w:val="0"/>
        <w:adjustRightInd w:val="0"/>
        <w:spacing w:line="360" w:lineRule="auto"/>
        <w:ind w:left="565" w:leftChars="-1" w:hanging="567" w:hangingChars="270"/>
        <w:rPr>
          <w:rFonts w:ascii="宋体" w:hAnsi="宋体" w:eastAsia="宋体" w:cs="宋体"/>
          <w:color w:val="auto"/>
          <w:szCs w:val="21"/>
        </w:rPr>
      </w:pPr>
      <w:r>
        <w:rPr>
          <w:rFonts w:hint="eastAsia" w:ascii="宋体" w:hAnsi="宋体" w:eastAsia="宋体" w:cs="宋体"/>
          <w:color w:val="auto"/>
          <w:kern w:val="0"/>
          <w:szCs w:val="21"/>
        </w:rPr>
        <w:t>（2）然后评标委员会对技术标进行评审，按评标标准打分后，</w:t>
      </w:r>
      <w:r>
        <w:rPr>
          <w:rFonts w:hint="eastAsia" w:ascii="宋体" w:hAnsi="宋体" w:eastAsia="宋体" w:cs="宋体"/>
          <w:color w:val="auto"/>
          <w:szCs w:val="21"/>
        </w:rPr>
        <w:t>当评标委员会为五人时，在所有评委对同一份投标文件技术标评审的总评分中，去掉一个最高分和一个最低分，计算剩余总评分的算术平均值即为该投标人技术部分的最终综合得分；当评标委员会为七人及以上单数时，在各评委的打分中，同一评委的最高评分减去最低评分，去掉分差最大评委的所有打分（出现分差相同时，按最高评分减去次最低评分进行比较，如此类推），在所有剩余评委对同一份投标文件技术部分评审的总评分中，去掉一个最高分和一个最低分，计算剩余总评分的算术平均值即为该投标人技术部分的最终综合得分；若评标委员会成员对某一项按“优、良、中、差”区间评审的评分因素的评分低于权重分值60%的，应在评标报告中作出说明。</w:t>
      </w:r>
    </w:p>
    <w:p w14:paraId="54AA2AAD">
      <w:pPr>
        <w:autoSpaceDE w:val="0"/>
        <w:autoSpaceDN w:val="0"/>
        <w:adjustRightInd w:val="0"/>
        <w:spacing w:line="360" w:lineRule="auto"/>
        <w:ind w:left="565" w:leftChars="-1" w:hanging="567" w:hangingChars="270"/>
        <w:rPr>
          <w:rFonts w:ascii="宋体" w:hAnsi="宋体" w:eastAsia="宋体" w:cs="Times New Roman"/>
          <w:color w:val="auto"/>
          <w:szCs w:val="24"/>
          <w:lang w:val="zh-CN"/>
        </w:rPr>
      </w:pPr>
      <w:r>
        <w:rPr>
          <w:rFonts w:hint="eastAsia" w:ascii="宋体" w:hAnsi="宋体" w:eastAsia="宋体" w:cs="宋体"/>
          <w:color w:val="auto"/>
          <w:kern w:val="0"/>
          <w:szCs w:val="21"/>
        </w:rPr>
        <w:t>（3）最后评标委员会对报价进行评审，按评标标准计算得出该投标人的报价评分。</w:t>
      </w:r>
    </w:p>
    <w:p w14:paraId="6D4B6A81">
      <w:pPr>
        <w:tabs>
          <w:tab w:val="left" w:pos="600"/>
        </w:tabs>
        <w:autoSpaceDE w:val="0"/>
        <w:autoSpaceDN w:val="0"/>
        <w:adjustRightInd w:val="0"/>
        <w:spacing w:line="360" w:lineRule="auto"/>
        <w:rPr>
          <w:rFonts w:ascii="宋体" w:hAnsi="宋体" w:eastAsia="宋体" w:cs="Times New Roman"/>
          <w:color w:val="auto"/>
          <w:szCs w:val="24"/>
          <w:lang w:val="zh-CN"/>
        </w:rPr>
      </w:pPr>
      <w:r>
        <w:rPr>
          <w:rFonts w:ascii="宋体" w:hAnsi="宋体" w:eastAsia="宋体" w:cs="Times New Roman"/>
          <w:color w:val="auto"/>
          <w:szCs w:val="24"/>
          <w:lang w:val="zh-CN"/>
        </w:rPr>
        <w:t>11</w:t>
      </w:r>
      <w:r>
        <w:rPr>
          <w:rFonts w:hint="eastAsia" w:ascii="宋体" w:hAnsi="宋体" w:eastAsia="宋体" w:cs="Times New Roman"/>
          <w:color w:val="auto"/>
          <w:szCs w:val="24"/>
          <w:lang w:val="zh-CN"/>
        </w:rPr>
        <w:t>.4 评标委员会打分采取记名形式。</w:t>
      </w:r>
    </w:p>
    <w:p w14:paraId="63831BDB">
      <w:pPr>
        <w:autoSpaceDE w:val="0"/>
        <w:autoSpaceDN w:val="0"/>
        <w:adjustRightInd w:val="0"/>
        <w:spacing w:line="360" w:lineRule="auto"/>
        <w:ind w:left="565" w:leftChars="-1" w:hanging="567" w:hangingChars="270"/>
        <w:rPr>
          <w:rFonts w:ascii="宋体" w:hAnsi="宋体" w:eastAsia="宋体" w:cs="Times New Roman"/>
          <w:color w:val="auto"/>
          <w:szCs w:val="24"/>
          <w:lang w:val="zh-CN"/>
        </w:rPr>
      </w:pPr>
      <w:r>
        <w:rPr>
          <w:rFonts w:ascii="宋体" w:hAnsi="宋体" w:eastAsia="宋体" w:cs="Times New Roman"/>
          <w:color w:val="auto"/>
          <w:szCs w:val="24"/>
          <w:lang w:val="zh-CN"/>
        </w:rPr>
        <w:t>11</w:t>
      </w:r>
      <w:r>
        <w:rPr>
          <w:rFonts w:hint="eastAsia" w:ascii="宋体" w:hAnsi="宋体" w:eastAsia="宋体" w:cs="Times New Roman"/>
          <w:color w:val="auto"/>
          <w:szCs w:val="24"/>
          <w:lang w:val="zh-CN"/>
        </w:rPr>
        <w:t>.5 各评委根据秘书组提供的打分表严格按照评标大纲内的评分标准独立自主打分，任何人不得要求评委统一打分或统一确定等次顺序。</w:t>
      </w:r>
    </w:p>
    <w:p w14:paraId="6230A1D1">
      <w:pPr>
        <w:autoSpaceDE w:val="0"/>
        <w:autoSpaceDN w:val="0"/>
        <w:adjustRightInd w:val="0"/>
        <w:spacing w:line="360" w:lineRule="auto"/>
        <w:ind w:left="426" w:hanging="426"/>
        <w:rPr>
          <w:rFonts w:ascii="宋体" w:hAnsi="宋体" w:eastAsia="宋体" w:cs="Times New Roman"/>
          <w:color w:val="auto"/>
          <w:szCs w:val="24"/>
          <w:lang w:val="zh-CN"/>
        </w:rPr>
      </w:pPr>
      <w:r>
        <w:rPr>
          <w:rFonts w:ascii="宋体" w:hAnsi="宋体" w:eastAsia="宋体" w:cs="Times New Roman"/>
          <w:color w:val="auto"/>
          <w:szCs w:val="24"/>
          <w:lang w:val="zh-CN"/>
        </w:rPr>
        <w:t>11</w:t>
      </w:r>
      <w:r>
        <w:rPr>
          <w:rFonts w:hint="eastAsia" w:ascii="宋体" w:hAnsi="宋体" w:eastAsia="宋体" w:cs="Times New Roman"/>
          <w:color w:val="auto"/>
          <w:szCs w:val="24"/>
          <w:lang w:val="zh-CN"/>
        </w:rPr>
        <w:t>.6 对打分表中的每项条款，各评委应根据投标文件、澄清材料、招标文件要求，按满足的程度给投标人打分。</w:t>
      </w:r>
    </w:p>
    <w:p w14:paraId="7DD03857">
      <w:pPr>
        <w:tabs>
          <w:tab w:val="left" w:pos="600"/>
        </w:tabs>
        <w:autoSpaceDE w:val="0"/>
        <w:autoSpaceDN w:val="0"/>
        <w:adjustRightInd w:val="0"/>
        <w:spacing w:line="360" w:lineRule="auto"/>
        <w:rPr>
          <w:rFonts w:ascii="宋体" w:hAnsi="宋体" w:eastAsia="宋体" w:cs="Times New Roman"/>
          <w:color w:val="auto"/>
          <w:szCs w:val="24"/>
          <w:lang w:val="zh-CN"/>
        </w:rPr>
      </w:pPr>
      <w:r>
        <w:rPr>
          <w:rFonts w:ascii="宋体" w:hAnsi="宋体" w:eastAsia="宋体" w:cs="Times New Roman"/>
          <w:color w:val="auto"/>
          <w:szCs w:val="24"/>
          <w:lang w:val="zh-CN"/>
        </w:rPr>
        <w:t>11</w:t>
      </w:r>
      <w:r>
        <w:rPr>
          <w:rFonts w:hint="eastAsia" w:ascii="宋体" w:hAnsi="宋体" w:eastAsia="宋体" w:cs="Times New Roman"/>
          <w:color w:val="auto"/>
          <w:szCs w:val="24"/>
          <w:lang w:val="zh-CN"/>
        </w:rPr>
        <w:t>.7 评分程序</w:t>
      </w:r>
    </w:p>
    <w:p w14:paraId="60549684">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lang w:val="zh-CN"/>
        </w:rPr>
      </w:pPr>
      <w:r>
        <w:rPr>
          <w:rFonts w:hint="eastAsia" w:ascii="宋体" w:hAnsi="宋体" w:eastAsia="宋体" w:cs="Times New Roman"/>
          <w:color w:val="auto"/>
          <w:szCs w:val="24"/>
          <w:lang w:val="zh-CN"/>
        </w:rPr>
        <w:t>（</w:t>
      </w:r>
      <w:r>
        <w:rPr>
          <w:rFonts w:ascii="宋体" w:hAnsi="宋体" w:eastAsia="宋体" w:cs="Times New Roman"/>
          <w:color w:val="auto"/>
          <w:szCs w:val="24"/>
          <w:lang w:val="zh-CN"/>
        </w:rPr>
        <w:t>1</w:t>
      </w:r>
      <w:r>
        <w:rPr>
          <w:rFonts w:hint="eastAsia" w:ascii="宋体" w:hAnsi="宋体" w:eastAsia="宋体" w:cs="Times New Roman"/>
          <w:color w:val="auto"/>
          <w:szCs w:val="24"/>
          <w:lang w:val="zh-CN"/>
        </w:rPr>
        <w:t>）就投标人的投标文件对照整理出商务、技术评标因素对比表、偏差表，并在经过校核的基础上逐项打分。</w:t>
      </w:r>
    </w:p>
    <w:p w14:paraId="17830B94">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lang w:val="zh-CN"/>
        </w:rPr>
      </w:pPr>
      <w:r>
        <w:rPr>
          <w:rFonts w:hint="eastAsia" w:ascii="宋体" w:hAnsi="宋体" w:eastAsia="宋体" w:cs="Times New Roman"/>
          <w:color w:val="auto"/>
          <w:szCs w:val="24"/>
          <w:lang w:val="zh-CN"/>
        </w:rPr>
        <w:t>（</w:t>
      </w:r>
      <w:r>
        <w:rPr>
          <w:rFonts w:ascii="宋体" w:hAnsi="宋体" w:eastAsia="宋体" w:cs="Times New Roman"/>
          <w:color w:val="auto"/>
          <w:szCs w:val="24"/>
          <w:lang w:val="zh-CN"/>
        </w:rPr>
        <w:t>2</w:t>
      </w:r>
      <w:r>
        <w:rPr>
          <w:rFonts w:hint="eastAsia" w:ascii="宋体" w:hAnsi="宋体" w:eastAsia="宋体" w:cs="Times New Roman"/>
          <w:color w:val="auto"/>
          <w:szCs w:val="24"/>
          <w:lang w:val="zh-CN"/>
        </w:rPr>
        <w:t>）各评委独立完成打分后，将统计好的评分表交给招标代理机构秘书组复核。</w:t>
      </w:r>
    </w:p>
    <w:p w14:paraId="5F7B3360">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lang w:val="zh-CN"/>
        </w:rPr>
      </w:pPr>
      <w:r>
        <w:rPr>
          <w:rFonts w:hint="eastAsia" w:ascii="宋体" w:hAnsi="宋体" w:eastAsia="宋体" w:cs="Times New Roman"/>
          <w:color w:val="auto"/>
          <w:szCs w:val="24"/>
          <w:lang w:val="zh-CN"/>
        </w:rPr>
        <w:t>（</w:t>
      </w:r>
      <w:r>
        <w:rPr>
          <w:rFonts w:ascii="宋体" w:hAnsi="宋体" w:eastAsia="宋体" w:cs="Times New Roman"/>
          <w:color w:val="auto"/>
          <w:szCs w:val="24"/>
          <w:lang w:val="zh-CN"/>
        </w:rPr>
        <w:t>3</w:t>
      </w:r>
      <w:r>
        <w:rPr>
          <w:rFonts w:hint="eastAsia" w:ascii="宋体" w:hAnsi="宋体" w:eastAsia="宋体" w:cs="Times New Roman"/>
          <w:color w:val="auto"/>
          <w:szCs w:val="24"/>
          <w:lang w:val="zh-CN"/>
        </w:rPr>
        <w:t>）评分统计表中各投标人技术得分应为最终综合得分，商务和价格得分应为评委打分的算术平均值。</w:t>
      </w:r>
    </w:p>
    <w:p w14:paraId="30195062">
      <w:pPr>
        <w:autoSpaceDE w:val="0"/>
        <w:autoSpaceDN w:val="0"/>
        <w:adjustRightInd w:val="0"/>
        <w:spacing w:line="360" w:lineRule="auto"/>
        <w:rPr>
          <w:rFonts w:ascii="宋体" w:hAnsi="宋体" w:eastAsia="宋体" w:cs="宋体"/>
          <w:color w:val="auto"/>
          <w:szCs w:val="24"/>
          <w:lang w:val="zh-CN"/>
        </w:rPr>
      </w:pPr>
    </w:p>
    <w:p w14:paraId="72E5F252">
      <w:pPr>
        <w:tabs>
          <w:tab w:val="left" w:pos="1701"/>
        </w:tabs>
        <w:autoSpaceDE w:val="0"/>
        <w:autoSpaceDN w:val="0"/>
        <w:adjustRightInd w:val="0"/>
        <w:spacing w:line="360" w:lineRule="auto"/>
        <w:rPr>
          <w:rFonts w:ascii="宋体" w:hAnsi="宋体" w:eastAsia="宋体" w:cs="宋体"/>
          <w:b/>
          <w:color w:val="auto"/>
          <w:szCs w:val="24"/>
          <w:lang w:val="zh-CN"/>
        </w:rPr>
      </w:pPr>
      <w:r>
        <w:rPr>
          <w:rFonts w:hint="eastAsia" w:ascii="宋体" w:hAnsi="宋体" w:eastAsia="宋体" w:cs="宋体"/>
          <w:b/>
          <w:color w:val="auto"/>
          <w:szCs w:val="24"/>
          <w:lang w:val="zh-CN"/>
        </w:rPr>
        <w:t>12、评分因素及分值</w:t>
      </w:r>
    </w:p>
    <w:tbl>
      <w:tblPr>
        <w:tblStyle w:val="45"/>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5197"/>
        <w:gridCol w:w="5173"/>
      </w:tblGrid>
      <w:tr w14:paraId="38FE76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7F8598FE">
            <w:pPr>
              <w:keepNext w:val="0"/>
              <w:keepLines w:val="0"/>
              <w:suppressLineNumbers w:val="0"/>
              <w:spacing w:before="0" w:beforeAutospacing="0" w:after="0" w:afterAutospacing="0" w:line="400" w:lineRule="exact"/>
              <w:ind w:left="0" w:right="0"/>
              <w:jc w:val="center"/>
              <w:rPr>
                <w:rFonts w:hint="default" w:ascii="宋体" w:hAnsi="宋体" w:eastAsia="宋体" w:cs="宋体"/>
                <w:b/>
                <w:color w:val="auto"/>
                <w:kern w:val="0"/>
                <w:sz w:val="22"/>
                <w:lang w:val="zh-CN"/>
              </w:rPr>
            </w:pPr>
            <w:r>
              <w:rPr>
                <w:rFonts w:hint="eastAsia" w:ascii="宋体" w:hAnsi="宋体" w:eastAsia="宋体" w:cs="宋体"/>
                <w:b/>
                <w:color w:val="auto"/>
                <w:kern w:val="0"/>
                <w:sz w:val="22"/>
                <w:lang w:val="zh-CN"/>
              </w:rPr>
              <w:t>评分因素</w:t>
            </w:r>
          </w:p>
        </w:tc>
        <w:tc>
          <w:tcPr>
            <w:tcW w:w="2494" w:type="pct"/>
            <w:tcBorders>
              <w:top w:val="single" w:color="auto" w:sz="4" w:space="0"/>
              <w:left w:val="single" w:color="auto" w:sz="4" w:space="0"/>
              <w:bottom w:val="single" w:color="auto" w:sz="4" w:space="0"/>
              <w:right w:val="single" w:color="auto" w:sz="4" w:space="0"/>
            </w:tcBorders>
            <w:vAlign w:val="center"/>
          </w:tcPr>
          <w:p w14:paraId="215048C1">
            <w:pPr>
              <w:keepNext w:val="0"/>
              <w:keepLines w:val="0"/>
              <w:suppressLineNumbers w:val="0"/>
              <w:spacing w:before="0" w:beforeAutospacing="0" w:after="0" w:afterAutospacing="0" w:line="400" w:lineRule="exact"/>
              <w:ind w:left="0" w:right="0"/>
              <w:jc w:val="center"/>
              <w:rPr>
                <w:rFonts w:hint="default" w:ascii="宋体" w:hAnsi="宋体" w:eastAsia="宋体" w:cs="宋体"/>
                <w:b/>
                <w:color w:val="auto"/>
                <w:kern w:val="0"/>
                <w:sz w:val="22"/>
                <w:lang w:val="zh-CN"/>
              </w:rPr>
            </w:pPr>
            <w:r>
              <w:rPr>
                <w:rFonts w:hint="eastAsia" w:ascii="宋体" w:hAnsi="宋体" w:eastAsia="宋体" w:cs="宋体"/>
                <w:b/>
                <w:color w:val="auto"/>
                <w:kern w:val="0"/>
                <w:sz w:val="22"/>
                <w:lang w:val="zh-CN"/>
              </w:rPr>
              <w:t>分值</w:t>
            </w:r>
          </w:p>
        </w:tc>
      </w:tr>
      <w:tr w14:paraId="55369D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46EEB9F7">
            <w:pPr>
              <w:keepNext w:val="0"/>
              <w:keepLines w:val="0"/>
              <w:suppressLineNumbers w:val="0"/>
              <w:spacing w:before="0" w:beforeAutospacing="0" w:after="0" w:afterAutospacing="0" w:line="400" w:lineRule="exact"/>
              <w:ind w:left="0" w:right="0"/>
              <w:jc w:val="center"/>
              <w:rPr>
                <w:rFonts w:hint="default" w:ascii="宋体" w:hAnsi="宋体" w:eastAsia="宋体" w:cs="宋体"/>
                <w:bCs/>
                <w:color w:val="auto"/>
                <w:kern w:val="0"/>
                <w:sz w:val="22"/>
                <w:lang w:val="zh-CN"/>
              </w:rPr>
            </w:pPr>
            <w:r>
              <w:rPr>
                <w:rFonts w:hint="eastAsia" w:ascii="宋体" w:hAnsi="宋体" w:eastAsia="宋体" w:cs="宋体"/>
                <w:bCs/>
                <w:color w:val="auto"/>
                <w:kern w:val="0"/>
                <w:sz w:val="22"/>
                <w:lang w:val="zh-CN"/>
              </w:rPr>
              <w:t>1、商务</w:t>
            </w:r>
          </w:p>
        </w:tc>
        <w:tc>
          <w:tcPr>
            <w:tcW w:w="2494" w:type="pct"/>
            <w:tcBorders>
              <w:top w:val="single" w:color="auto" w:sz="4" w:space="0"/>
              <w:left w:val="single" w:color="auto" w:sz="4" w:space="0"/>
              <w:bottom w:val="single" w:color="auto" w:sz="4" w:space="0"/>
              <w:right w:val="single" w:color="auto" w:sz="4" w:space="0"/>
            </w:tcBorders>
            <w:vAlign w:val="center"/>
          </w:tcPr>
          <w:p w14:paraId="3C5600D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bCs/>
                <w:color w:val="auto"/>
                <w:kern w:val="0"/>
                <w:sz w:val="22"/>
                <w:lang w:val="zh-CN"/>
              </w:rPr>
            </w:pPr>
            <w:r>
              <w:rPr>
                <w:rFonts w:hint="eastAsia" w:ascii="宋体" w:hAnsi="宋体" w:eastAsia="宋体" w:cs="宋体"/>
                <w:b/>
                <w:color w:val="auto"/>
                <w:szCs w:val="21"/>
                <w:lang w:eastAsia="zh-CN"/>
              </w:rPr>
              <w:t>3</w:t>
            </w:r>
            <w:r>
              <w:rPr>
                <w:rFonts w:hint="eastAsia" w:ascii="宋体" w:hAnsi="宋体" w:eastAsia="宋体" w:cs="宋体"/>
                <w:b/>
                <w:color w:val="auto"/>
                <w:szCs w:val="21"/>
                <w:lang w:val="en-US" w:eastAsia="zh-CN"/>
              </w:rPr>
              <w:t>5</w:t>
            </w:r>
            <w:r>
              <w:rPr>
                <w:rFonts w:hint="eastAsia" w:ascii="宋体" w:hAnsi="宋体" w:eastAsia="宋体" w:cs="宋体"/>
                <w:b/>
                <w:color w:val="auto"/>
                <w:szCs w:val="21"/>
                <w:lang w:val="zh-CN"/>
              </w:rPr>
              <w:t>分</w:t>
            </w:r>
          </w:p>
        </w:tc>
      </w:tr>
      <w:tr w14:paraId="450293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17367194">
            <w:pPr>
              <w:keepNext w:val="0"/>
              <w:keepLines w:val="0"/>
              <w:suppressLineNumbers w:val="0"/>
              <w:spacing w:before="0" w:beforeAutospacing="0" w:after="0" w:afterAutospacing="0" w:line="400" w:lineRule="exact"/>
              <w:ind w:left="0" w:right="0"/>
              <w:jc w:val="center"/>
              <w:rPr>
                <w:rFonts w:hint="default" w:ascii="宋体" w:hAnsi="宋体" w:eastAsia="宋体" w:cs="宋体"/>
                <w:bCs/>
                <w:color w:val="auto"/>
                <w:kern w:val="0"/>
                <w:sz w:val="22"/>
                <w:lang w:val="zh-CN"/>
              </w:rPr>
            </w:pPr>
            <w:r>
              <w:rPr>
                <w:rFonts w:hint="eastAsia" w:ascii="宋体" w:hAnsi="宋体" w:eastAsia="宋体" w:cs="宋体"/>
                <w:bCs/>
                <w:color w:val="auto"/>
                <w:kern w:val="0"/>
                <w:sz w:val="22"/>
                <w:lang w:val="zh-CN"/>
              </w:rPr>
              <w:t>2、技术</w:t>
            </w:r>
          </w:p>
        </w:tc>
        <w:tc>
          <w:tcPr>
            <w:tcW w:w="2494" w:type="pct"/>
            <w:tcBorders>
              <w:top w:val="single" w:color="auto" w:sz="4" w:space="0"/>
              <w:left w:val="single" w:color="auto" w:sz="4" w:space="0"/>
              <w:bottom w:val="single" w:color="auto" w:sz="4" w:space="0"/>
              <w:right w:val="single" w:color="auto" w:sz="4" w:space="0"/>
            </w:tcBorders>
            <w:vAlign w:val="center"/>
          </w:tcPr>
          <w:p w14:paraId="2027E85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bCs/>
                <w:color w:val="auto"/>
                <w:kern w:val="0"/>
                <w:sz w:val="22"/>
                <w:lang w:val="zh-CN"/>
              </w:rPr>
            </w:pPr>
            <w:r>
              <w:rPr>
                <w:rFonts w:hint="eastAsia" w:ascii="宋体" w:hAnsi="宋体" w:eastAsia="宋体" w:cs="宋体"/>
                <w:b/>
                <w:color w:val="auto"/>
                <w:szCs w:val="21"/>
                <w:lang w:val="en-US" w:eastAsia="zh-CN"/>
              </w:rPr>
              <w:t>25</w:t>
            </w:r>
            <w:r>
              <w:rPr>
                <w:rFonts w:hint="eastAsia" w:ascii="宋体" w:hAnsi="宋体" w:eastAsia="宋体" w:cs="宋体"/>
                <w:b/>
                <w:color w:val="auto"/>
                <w:szCs w:val="21"/>
                <w:lang w:val="zh-CN"/>
              </w:rPr>
              <w:t>分</w:t>
            </w:r>
          </w:p>
        </w:tc>
      </w:tr>
      <w:tr w14:paraId="6C3312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0FDE3368">
            <w:pPr>
              <w:keepNext w:val="0"/>
              <w:keepLines w:val="0"/>
              <w:suppressLineNumbers w:val="0"/>
              <w:spacing w:before="0" w:beforeAutospacing="0" w:after="0" w:afterAutospacing="0" w:line="400" w:lineRule="exact"/>
              <w:ind w:left="0" w:right="0"/>
              <w:jc w:val="center"/>
              <w:rPr>
                <w:rFonts w:hint="default" w:ascii="宋体" w:hAnsi="宋体" w:eastAsia="宋体" w:cs="宋体"/>
                <w:bCs/>
                <w:color w:val="auto"/>
                <w:kern w:val="0"/>
                <w:sz w:val="22"/>
                <w:lang w:val="zh-CN"/>
              </w:rPr>
            </w:pPr>
            <w:r>
              <w:rPr>
                <w:rFonts w:hint="eastAsia" w:ascii="宋体" w:hAnsi="宋体" w:eastAsia="宋体" w:cs="宋体"/>
                <w:bCs/>
                <w:color w:val="auto"/>
                <w:kern w:val="0"/>
                <w:sz w:val="22"/>
                <w:lang w:val="zh-CN"/>
              </w:rPr>
              <w:t>3、价格</w:t>
            </w:r>
          </w:p>
        </w:tc>
        <w:tc>
          <w:tcPr>
            <w:tcW w:w="2494" w:type="pct"/>
            <w:tcBorders>
              <w:top w:val="single" w:color="auto" w:sz="4" w:space="0"/>
              <w:left w:val="single" w:color="auto" w:sz="4" w:space="0"/>
              <w:bottom w:val="single" w:color="auto" w:sz="4" w:space="0"/>
              <w:right w:val="single" w:color="auto" w:sz="4" w:space="0"/>
            </w:tcBorders>
            <w:vAlign w:val="center"/>
          </w:tcPr>
          <w:p w14:paraId="74FCFE0D">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bCs/>
                <w:color w:val="auto"/>
                <w:kern w:val="0"/>
                <w:sz w:val="22"/>
                <w:lang w:val="zh-CN"/>
              </w:rPr>
            </w:pPr>
            <w:r>
              <w:rPr>
                <w:rFonts w:hint="eastAsia" w:ascii="宋体" w:hAnsi="宋体" w:eastAsia="宋体" w:cs="宋体"/>
                <w:b/>
                <w:color w:val="auto"/>
                <w:szCs w:val="21"/>
                <w:lang w:val="en-US" w:eastAsia="zh-CN"/>
              </w:rPr>
              <w:t>40</w:t>
            </w:r>
            <w:r>
              <w:rPr>
                <w:rFonts w:hint="eastAsia" w:ascii="宋体" w:hAnsi="宋体" w:eastAsia="宋体" w:cs="宋体"/>
                <w:b/>
                <w:color w:val="auto"/>
                <w:szCs w:val="21"/>
                <w:lang w:val="zh-CN"/>
              </w:rPr>
              <w:t>分</w:t>
            </w:r>
          </w:p>
        </w:tc>
      </w:tr>
    </w:tbl>
    <w:p w14:paraId="31482815">
      <w:pPr>
        <w:tabs>
          <w:tab w:val="left" w:pos="585"/>
        </w:tabs>
        <w:autoSpaceDE w:val="0"/>
        <w:autoSpaceDN w:val="0"/>
        <w:adjustRightInd w:val="0"/>
        <w:spacing w:line="360" w:lineRule="auto"/>
        <w:rPr>
          <w:rFonts w:ascii="宋体" w:hAnsi="宋体" w:eastAsia="宋体" w:cs="宋体"/>
          <w:b/>
          <w:color w:val="auto"/>
          <w:szCs w:val="21"/>
        </w:rPr>
      </w:pPr>
      <w:bookmarkStart w:id="673" w:name="_Toc18349_WPSOffice_Level2"/>
    </w:p>
    <w:p w14:paraId="69F9B6A3">
      <w:pPr>
        <w:tabs>
          <w:tab w:val="left" w:pos="585"/>
        </w:tabs>
        <w:autoSpaceDE w:val="0"/>
        <w:autoSpaceDN w:val="0"/>
        <w:adjustRightInd w:val="0"/>
        <w:spacing w:line="360" w:lineRule="auto"/>
        <w:rPr>
          <w:rFonts w:ascii="宋体" w:hAnsi="宋体" w:eastAsia="宋体" w:cs="宋体"/>
          <w:b/>
          <w:color w:val="auto"/>
          <w:szCs w:val="21"/>
          <w:lang w:val="zh-CN"/>
        </w:rPr>
      </w:pPr>
      <w:r>
        <w:rPr>
          <w:rFonts w:hint="eastAsia" w:ascii="宋体" w:hAnsi="宋体" w:eastAsia="宋体" w:cs="宋体"/>
          <w:b/>
          <w:color w:val="auto"/>
          <w:szCs w:val="21"/>
          <w:lang w:val="zh-CN"/>
        </w:rPr>
        <w:t>（1）商务：</w:t>
      </w:r>
      <w:bookmarkEnd w:id="673"/>
    </w:p>
    <w:tbl>
      <w:tblPr>
        <w:tblStyle w:val="4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0"/>
        <w:gridCol w:w="896"/>
        <w:gridCol w:w="8028"/>
        <w:gridCol w:w="776"/>
      </w:tblGrid>
      <w:tr w14:paraId="180D5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323" w:type="pct"/>
            <w:tcBorders>
              <w:top w:val="single" w:color="auto" w:sz="4" w:space="0"/>
              <w:left w:val="single" w:color="auto" w:sz="4" w:space="0"/>
              <w:bottom w:val="single" w:color="auto" w:sz="4" w:space="0"/>
              <w:right w:val="single" w:color="auto" w:sz="4" w:space="0"/>
            </w:tcBorders>
            <w:vAlign w:val="center"/>
          </w:tcPr>
          <w:p w14:paraId="22EC40BA">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宋体"/>
                <w:b/>
                <w:color w:val="auto"/>
                <w:kern w:val="0"/>
                <w:szCs w:val="21"/>
              </w:rPr>
            </w:pPr>
            <w:r>
              <w:rPr>
                <w:rFonts w:hint="eastAsia" w:ascii="宋体" w:hAnsi="宋体" w:eastAsia="宋体" w:cs="宋体"/>
                <w:b/>
                <w:color w:val="auto"/>
                <w:kern w:val="0"/>
                <w:szCs w:val="21"/>
              </w:rPr>
              <w:t>序号</w:t>
            </w:r>
          </w:p>
        </w:tc>
        <w:tc>
          <w:tcPr>
            <w:tcW w:w="432" w:type="pct"/>
            <w:tcBorders>
              <w:top w:val="single" w:color="auto" w:sz="4" w:space="0"/>
              <w:left w:val="single" w:color="auto" w:sz="4" w:space="0"/>
              <w:bottom w:val="single" w:color="auto" w:sz="4" w:space="0"/>
              <w:right w:val="single" w:color="auto" w:sz="4" w:space="0"/>
            </w:tcBorders>
            <w:vAlign w:val="center"/>
          </w:tcPr>
          <w:p w14:paraId="69C7A275">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宋体"/>
                <w:b/>
                <w:color w:val="auto"/>
                <w:kern w:val="0"/>
                <w:szCs w:val="21"/>
              </w:rPr>
            </w:pPr>
            <w:r>
              <w:rPr>
                <w:rFonts w:hint="eastAsia" w:ascii="宋体" w:hAnsi="宋体" w:eastAsia="宋体" w:cs="宋体"/>
                <w:b/>
                <w:color w:val="auto"/>
                <w:szCs w:val="21"/>
                <w:lang w:val="zh-CN"/>
              </w:rPr>
              <w:t>评审内容</w:t>
            </w:r>
          </w:p>
        </w:tc>
        <w:tc>
          <w:tcPr>
            <w:tcW w:w="3870" w:type="pct"/>
            <w:tcBorders>
              <w:top w:val="single" w:color="auto" w:sz="4" w:space="0"/>
              <w:left w:val="single" w:color="auto" w:sz="4" w:space="0"/>
              <w:bottom w:val="single" w:color="auto" w:sz="4" w:space="0"/>
              <w:right w:val="single" w:color="auto" w:sz="4" w:space="0"/>
            </w:tcBorders>
            <w:vAlign w:val="center"/>
          </w:tcPr>
          <w:p w14:paraId="2DDD8418">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宋体"/>
                <w:b/>
                <w:color w:val="auto"/>
                <w:kern w:val="0"/>
                <w:szCs w:val="21"/>
              </w:rPr>
            </w:pPr>
            <w:r>
              <w:rPr>
                <w:rFonts w:hint="eastAsia" w:ascii="宋体" w:hAnsi="宋体" w:eastAsia="宋体" w:cs="宋体"/>
                <w:b/>
                <w:color w:val="auto"/>
                <w:kern w:val="0"/>
                <w:szCs w:val="21"/>
              </w:rPr>
              <w:t>评审细则</w:t>
            </w:r>
          </w:p>
        </w:tc>
        <w:tc>
          <w:tcPr>
            <w:tcW w:w="374" w:type="pct"/>
            <w:tcBorders>
              <w:top w:val="single" w:color="auto" w:sz="4" w:space="0"/>
              <w:left w:val="single" w:color="auto" w:sz="4" w:space="0"/>
              <w:bottom w:val="single" w:color="auto" w:sz="4" w:space="0"/>
              <w:right w:val="single" w:color="auto" w:sz="4" w:space="0"/>
            </w:tcBorders>
            <w:vAlign w:val="center"/>
          </w:tcPr>
          <w:p w14:paraId="7AB2A524">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宋体"/>
                <w:b/>
                <w:color w:val="auto"/>
                <w:kern w:val="0"/>
                <w:szCs w:val="21"/>
              </w:rPr>
            </w:pPr>
            <w:r>
              <w:rPr>
                <w:rFonts w:hint="eastAsia" w:ascii="宋体" w:hAnsi="宋体" w:eastAsia="宋体" w:cs="宋体"/>
                <w:b/>
                <w:color w:val="auto"/>
                <w:kern w:val="0"/>
                <w:szCs w:val="21"/>
              </w:rPr>
              <w:t>满分值</w:t>
            </w:r>
          </w:p>
        </w:tc>
      </w:tr>
      <w:tr w14:paraId="539C3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9" w:hRule="atLeast"/>
          <w:jc w:val="center"/>
        </w:trPr>
        <w:tc>
          <w:tcPr>
            <w:tcW w:w="323" w:type="pct"/>
            <w:tcBorders>
              <w:top w:val="single" w:color="auto" w:sz="4" w:space="0"/>
              <w:left w:val="single" w:color="auto" w:sz="4" w:space="0"/>
              <w:bottom w:val="single" w:color="auto" w:sz="4" w:space="0"/>
              <w:right w:val="single" w:color="auto" w:sz="4" w:space="0"/>
            </w:tcBorders>
            <w:vAlign w:val="center"/>
          </w:tcPr>
          <w:p w14:paraId="1C0A1CA7">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auto"/>
                <w:kern w:val="0"/>
                <w:szCs w:val="21"/>
              </w:rPr>
            </w:pPr>
            <w:r>
              <w:rPr>
                <w:rFonts w:hint="eastAsia" w:ascii="宋体" w:hAnsi="宋体" w:eastAsia="宋体" w:cs="宋体"/>
                <w:color w:val="auto"/>
                <w:szCs w:val="21"/>
              </w:rPr>
              <w:t>1</w:t>
            </w:r>
          </w:p>
        </w:tc>
        <w:tc>
          <w:tcPr>
            <w:tcW w:w="432" w:type="pct"/>
            <w:tcBorders>
              <w:top w:val="single" w:color="auto" w:sz="4" w:space="0"/>
              <w:left w:val="single" w:color="auto" w:sz="4" w:space="0"/>
              <w:bottom w:val="single" w:color="auto" w:sz="4" w:space="0"/>
              <w:right w:val="single" w:color="auto" w:sz="4" w:space="0"/>
            </w:tcBorders>
            <w:vAlign w:val="center"/>
          </w:tcPr>
          <w:p w14:paraId="149E6F20">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bCs/>
                <w:color w:val="auto"/>
                <w:kern w:val="0"/>
                <w:sz w:val="24"/>
                <w:szCs w:val="21"/>
              </w:rPr>
            </w:pPr>
            <w:r>
              <w:rPr>
                <w:rFonts w:hint="eastAsia" w:ascii="宋体" w:hAnsi="宋体" w:eastAsia="宋体" w:cs="宋体"/>
                <w:color w:val="auto"/>
                <w:szCs w:val="21"/>
                <w:lang w:val="zh-CN"/>
              </w:rPr>
              <w:t>财务状况</w:t>
            </w:r>
          </w:p>
        </w:tc>
        <w:tc>
          <w:tcPr>
            <w:tcW w:w="3870" w:type="pct"/>
            <w:tcBorders>
              <w:top w:val="single" w:color="auto" w:sz="4" w:space="0"/>
              <w:left w:val="single" w:color="auto" w:sz="4" w:space="0"/>
              <w:bottom w:val="single" w:color="auto" w:sz="4" w:space="0"/>
              <w:right w:val="single" w:color="auto" w:sz="4" w:space="0"/>
            </w:tcBorders>
            <w:vAlign w:val="center"/>
          </w:tcPr>
          <w:p w14:paraId="0F258B3C">
            <w:pPr>
              <w:keepNext w:val="0"/>
              <w:keepLines w:val="0"/>
              <w:suppressLineNumbers w:val="0"/>
              <w:snapToGrid w:val="0"/>
              <w:spacing w:before="0" w:beforeAutospacing="0" w:after="0" w:afterAutospacing="0" w:line="360" w:lineRule="auto"/>
              <w:ind w:left="0" w:right="0"/>
              <w:rPr>
                <w:rFonts w:hint="default" w:ascii="宋体" w:hAnsi="宋体" w:eastAsia="宋体" w:cs="宋体"/>
                <w:color w:val="auto"/>
                <w:szCs w:val="21"/>
                <w:lang w:val="zh-CN"/>
              </w:rPr>
            </w:pPr>
            <w:r>
              <w:rPr>
                <w:rFonts w:hint="eastAsia" w:ascii="宋体" w:hAnsi="宋体" w:eastAsia="宋体" w:cs="宋体"/>
                <w:color w:val="auto"/>
                <w:szCs w:val="21"/>
                <w:lang w:val="zh-CN"/>
              </w:rPr>
              <w:t>投标人202</w:t>
            </w:r>
            <w:r>
              <w:rPr>
                <w:rFonts w:hint="eastAsia" w:ascii="宋体" w:hAnsi="宋体" w:eastAsia="宋体" w:cs="宋体"/>
                <w:color w:val="auto"/>
                <w:szCs w:val="21"/>
              </w:rPr>
              <w:t>1</w:t>
            </w:r>
            <w:r>
              <w:rPr>
                <w:rFonts w:hint="eastAsia" w:ascii="宋体" w:hAnsi="宋体" w:eastAsia="宋体" w:cs="宋体"/>
                <w:color w:val="auto"/>
                <w:szCs w:val="21"/>
                <w:lang w:val="zh-CN"/>
              </w:rPr>
              <w:t>年-20</w:t>
            </w:r>
            <w:r>
              <w:rPr>
                <w:rFonts w:hint="eastAsia" w:ascii="宋体" w:hAnsi="宋体" w:eastAsia="宋体" w:cs="宋体"/>
                <w:color w:val="auto"/>
                <w:szCs w:val="21"/>
              </w:rPr>
              <w:t>23</w:t>
            </w:r>
            <w:r>
              <w:rPr>
                <w:rFonts w:hint="eastAsia" w:ascii="宋体" w:hAnsi="宋体" w:eastAsia="宋体" w:cs="宋体"/>
                <w:color w:val="auto"/>
                <w:szCs w:val="21"/>
                <w:lang w:val="zh-CN"/>
              </w:rPr>
              <w:t>年三个年度，每具有1个年度</w:t>
            </w:r>
            <w:r>
              <w:rPr>
                <w:rFonts w:hint="eastAsia" w:ascii="宋体" w:hAnsi="宋体" w:eastAsia="宋体" w:cs="宋体"/>
                <w:color w:val="auto"/>
                <w:szCs w:val="21"/>
              </w:rPr>
              <w:t>盈利</w:t>
            </w:r>
            <w:r>
              <w:rPr>
                <w:rFonts w:hint="eastAsia" w:ascii="宋体" w:hAnsi="宋体" w:eastAsia="宋体" w:cs="宋体"/>
                <w:color w:val="auto"/>
                <w:szCs w:val="21"/>
                <w:lang w:val="zh-CN"/>
              </w:rPr>
              <w:t>的得</w:t>
            </w:r>
            <w:r>
              <w:rPr>
                <w:rFonts w:hint="eastAsia" w:ascii="宋体" w:hAnsi="宋体" w:eastAsia="宋体" w:cs="宋体"/>
                <w:color w:val="auto"/>
                <w:szCs w:val="21"/>
              </w:rPr>
              <w:t>1</w:t>
            </w:r>
            <w:r>
              <w:rPr>
                <w:rFonts w:hint="eastAsia" w:ascii="宋体" w:hAnsi="宋体" w:eastAsia="宋体" w:cs="宋体"/>
                <w:color w:val="auto"/>
                <w:szCs w:val="21"/>
                <w:lang w:val="zh-CN"/>
              </w:rPr>
              <w:t>分，满分</w:t>
            </w:r>
            <w:r>
              <w:rPr>
                <w:rFonts w:hint="eastAsia" w:ascii="宋体" w:hAnsi="宋体" w:eastAsia="宋体" w:cs="宋体"/>
                <w:color w:val="auto"/>
                <w:szCs w:val="21"/>
              </w:rPr>
              <w:t>3</w:t>
            </w:r>
            <w:r>
              <w:rPr>
                <w:rFonts w:hint="eastAsia" w:ascii="宋体" w:hAnsi="宋体" w:eastAsia="宋体" w:cs="宋体"/>
                <w:color w:val="auto"/>
                <w:szCs w:val="21"/>
                <w:lang w:val="zh-CN"/>
              </w:rPr>
              <w:t>分。</w:t>
            </w:r>
          </w:p>
          <w:p w14:paraId="14A984F7">
            <w:pPr>
              <w:keepNext w:val="0"/>
              <w:keepLines w:val="0"/>
              <w:suppressLineNumbers w:val="0"/>
              <w:snapToGrid w:val="0"/>
              <w:spacing w:before="0" w:beforeAutospacing="0" w:after="0" w:afterAutospacing="0" w:line="360" w:lineRule="auto"/>
              <w:ind w:left="0" w:right="0"/>
              <w:rPr>
                <w:rFonts w:hint="default" w:ascii="宋体" w:hAnsi="宋体" w:eastAsia="宋体" w:cs="宋体"/>
                <w:b/>
                <w:color w:val="auto"/>
                <w:kern w:val="0"/>
                <w:szCs w:val="21"/>
                <w:lang w:val="zh-CN"/>
              </w:rPr>
            </w:pPr>
            <w:r>
              <w:rPr>
                <w:rFonts w:hint="eastAsia" w:ascii="宋体" w:hAnsi="宋体" w:eastAsia="宋体" w:cs="宋体"/>
                <w:b/>
                <w:color w:val="auto"/>
                <w:szCs w:val="21"/>
              </w:rPr>
              <w:t>备注：</w:t>
            </w:r>
            <w:r>
              <w:rPr>
                <w:rFonts w:hint="eastAsia" w:ascii="宋体" w:hAnsi="宋体" w:eastAsia="宋体" w:cs="宋体"/>
                <w:b/>
                <w:color w:val="auto"/>
                <w:szCs w:val="21"/>
                <w:lang w:val="zh-CN"/>
              </w:rPr>
              <w:t>盈</w:t>
            </w:r>
            <w:r>
              <w:rPr>
                <w:rFonts w:hint="eastAsia" w:ascii="宋体" w:hAnsi="宋体" w:eastAsia="宋体" w:cs="宋体"/>
                <w:b/>
                <w:color w:val="auto"/>
                <w:szCs w:val="21"/>
              </w:rPr>
              <w:t>利指净利润为正数（非零、非负数），投标人应提供2021年、2022年、2023年三个年度的财务报表，</w:t>
            </w:r>
            <w:r>
              <w:rPr>
                <w:rFonts w:hint="eastAsia" w:ascii="宋体" w:hAnsi="宋体" w:eastAsia="宋体" w:cs="宋体"/>
                <w:b/>
                <w:color w:val="auto"/>
                <w:szCs w:val="21"/>
                <w:lang w:val="zh-CN"/>
              </w:rPr>
              <w:t>净利润以对应年度经审计的财务报表为准，应提供经独立会计师事务所审计过的有效的财务报表复印件；未提供前述财务报表或财务报表未能反映净利润的，不得分。</w:t>
            </w:r>
          </w:p>
        </w:tc>
        <w:tc>
          <w:tcPr>
            <w:tcW w:w="374" w:type="pct"/>
            <w:tcBorders>
              <w:top w:val="single" w:color="auto" w:sz="4" w:space="0"/>
              <w:left w:val="single" w:color="auto" w:sz="4" w:space="0"/>
              <w:bottom w:val="single" w:color="auto" w:sz="4" w:space="0"/>
              <w:right w:val="single" w:color="auto" w:sz="4" w:space="0"/>
            </w:tcBorders>
            <w:vAlign w:val="center"/>
          </w:tcPr>
          <w:p w14:paraId="3DBDC755">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auto"/>
                <w:kern w:val="0"/>
                <w:szCs w:val="21"/>
              </w:rPr>
            </w:pPr>
            <w:r>
              <w:rPr>
                <w:rFonts w:hint="eastAsia" w:ascii="宋体" w:hAnsi="宋体" w:eastAsia="宋体" w:cs="宋体"/>
                <w:color w:val="auto"/>
                <w:szCs w:val="21"/>
              </w:rPr>
              <w:t>3分</w:t>
            </w:r>
          </w:p>
        </w:tc>
      </w:tr>
      <w:tr w14:paraId="00F4C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9" w:hRule="atLeast"/>
          <w:jc w:val="center"/>
        </w:trPr>
        <w:tc>
          <w:tcPr>
            <w:tcW w:w="323" w:type="pct"/>
            <w:tcBorders>
              <w:top w:val="single" w:color="auto" w:sz="4" w:space="0"/>
              <w:left w:val="single" w:color="auto" w:sz="4" w:space="0"/>
              <w:bottom w:val="single" w:color="auto" w:sz="4" w:space="0"/>
              <w:right w:val="single" w:color="auto" w:sz="4" w:space="0"/>
            </w:tcBorders>
            <w:vAlign w:val="center"/>
          </w:tcPr>
          <w:p w14:paraId="4BD415EC">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auto"/>
                <w:kern w:val="0"/>
                <w:szCs w:val="21"/>
              </w:rPr>
            </w:pPr>
            <w:r>
              <w:rPr>
                <w:rFonts w:hint="eastAsia" w:ascii="宋体" w:hAnsi="宋体" w:eastAsia="宋体" w:cs="宋体"/>
                <w:color w:val="auto"/>
                <w:szCs w:val="21"/>
              </w:rPr>
              <w:t>2</w:t>
            </w:r>
          </w:p>
        </w:tc>
        <w:tc>
          <w:tcPr>
            <w:tcW w:w="432" w:type="pct"/>
            <w:tcBorders>
              <w:top w:val="single" w:color="auto" w:sz="4" w:space="0"/>
              <w:left w:val="single" w:color="auto" w:sz="4" w:space="0"/>
              <w:bottom w:val="single" w:color="auto" w:sz="4" w:space="0"/>
              <w:right w:val="single" w:color="auto" w:sz="4" w:space="0"/>
            </w:tcBorders>
            <w:vAlign w:val="center"/>
          </w:tcPr>
          <w:p w14:paraId="312A1323">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auto"/>
                <w:kern w:val="0"/>
                <w:szCs w:val="21"/>
                <w:lang w:val="zh-CN"/>
              </w:rPr>
            </w:pPr>
            <w:r>
              <w:rPr>
                <w:rFonts w:hint="eastAsia" w:ascii="宋体" w:hAnsi="宋体" w:eastAsia="宋体" w:cs="宋体"/>
                <w:color w:val="auto"/>
                <w:szCs w:val="21"/>
              </w:rPr>
              <w:t>标准化程度</w:t>
            </w:r>
          </w:p>
        </w:tc>
        <w:tc>
          <w:tcPr>
            <w:tcW w:w="3870" w:type="pct"/>
            <w:tcBorders>
              <w:top w:val="single" w:color="auto" w:sz="4" w:space="0"/>
              <w:left w:val="single" w:color="auto" w:sz="4" w:space="0"/>
              <w:bottom w:val="single" w:color="auto" w:sz="4" w:space="0"/>
              <w:right w:val="single" w:color="auto" w:sz="4" w:space="0"/>
            </w:tcBorders>
            <w:vAlign w:val="center"/>
          </w:tcPr>
          <w:p w14:paraId="1A870246">
            <w:pPr>
              <w:keepNext w:val="0"/>
              <w:keepLines w:val="0"/>
              <w:suppressLineNumbers w:val="0"/>
              <w:tabs>
                <w:tab w:val="left" w:pos="134"/>
              </w:tabs>
              <w:snapToGrid w:val="0"/>
              <w:spacing w:before="0" w:beforeAutospacing="0" w:after="0" w:afterAutospacing="0" w:line="360" w:lineRule="auto"/>
              <w:ind w:left="0" w:right="0"/>
              <w:rPr>
                <w:rFonts w:hint="default" w:ascii="宋体" w:hAnsi="宋体" w:eastAsia="宋体" w:cs="宋体"/>
                <w:color w:val="auto"/>
                <w:szCs w:val="21"/>
                <w:lang w:val="zh-CN"/>
              </w:rPr>
            </w:pPr>
            <w:r>
              <w:rPr>
                <w:rFonts w:hint="eastAsia" w:ascii="宋体" w:hAnsi="宋体" w:eastAsia="宋体" w:cs="宋体"/>
                <w:color w:val="auto"/>
                <w:szCs w:val="21"/>
                <w:lang w:val="zh-CN"/>
              </w:rPr>
              <w:t>（1）投标人具有有效期内的ISO9001质量管理体系认证证书得1分；</w:t>
            </w:r>
          </w:p>
          <w:p w14:paraId="47985938">
            <w:pPr>
              <w:keepNext w:val="0"/>
              <w:keepLines w:val="0"/>
              <w:suppressLineNumbers w:val="0"/>
              <w:tabs>
                <w:tab w:val="left" w:pos="134"/>
              </w:tabs>
              <w:snapToGrid w:val="0"/>
              <w:spacing w:before="0" w:beforeAutospacing="0" w:after="0" w:afterAutospacing="0" w:line="360" w:lineRule="auto"/>
              <w:ind w:left="0" w:right="0"/>
              <w:rPr>
                <w:rFonts w:hint="default" w:ascii="宋体" w:hAnsi="宋体" w:eastAsia="宋体" w:cs="宋体"/>
                <w:color w:val="auto"/>
                <w:szCs w:val="21"/>
                <w:lang w:val="zh-CN"/>
              </w:rPr>
            </w:pPr>
            <w:r>
              <w:rPr>
                <w:rFonts w:hint="eastAsia" w:ascii="宋体" w:hAnsi="宋体" w:eastAsia="宋体" w:cs="宋体"/>
                <w:color w:val="auto"/>
                <w:szCs w:val="21"/>
                <w:lang w:val="zh-CN"/>
              </w:rPr>
              <w:t>（2）投标人具有有效期内的ISO14001环境管理体系认证证书得1分；</w:t>
            </w:r>
          </w:p>
          <w:p w14:paraId="5F357B47">
            <w:pPr>
              <w:keepNext w:val="0"/>
              <w:keepLines w:val="0"/>
              <w:suppressLineNumbers w:val="0"/>
              <w:tabs>
                <w:tab w:val="left" w:pos="134"/>
              </w:tabs>
              <w:snapToGrid w:val="0"/>
              <w:spacing w:before="0" w:beforeAutospacing="0" w:after="0" w:afterAutospacing="0" w:line="360" w:lineRule="auto"/>
              <w:ind w:left="0" w:right="0"/>
              <w:rPr>
                <w:rFonts w:hint="default" w:ascii="宋体" w:hAnsi="宋体" w:eastAsia="宋体" w:cs="宋体"/>
                <w:color w:val="auto"/>
                <w:szCs w:val="21"/>
              </w:rPr>
            </w:pPr>
            <w:r>
              <w:rPr>
                <w:rFonts w:hint="eastAsia" w:ascii="宋体" w:hAnsi="宋体" w:eastAsia="宋体" w:cs="宋体"/>
                <w:color w:val="auto"/>
                <w:szCs w:val="21"/>
                <w:lang w:val="zh-CN"/>
              </w:rPr>
              <w:t>（3）投标人具有有效期内的OHSAS18001（或GB/T</w:t>
            </w:r>
            <w:r>
              <w:rPr>
                <w:rFonts w:hint="eastAsia" w:ascii="宋体" w:hAnsi="宋体" w:eastAsia="宋体" w:cs="宋体"/>
                <w:color w:val="auto"/>
                <w:szCs w:val="21"/>
              </w:rPr>
              <w:t>45001</w:t>
            </w:r>
            <w:r>
              <w:rPr>
                <w:rFonts w:hint="eastAsia" w:ascii="宋体" w:hAnsi="宋体" w:eastAsia="宋体" w:cs="宋体"/>
                <w:color w:val="auto"/>
                <w:szCs w:val="21"/>
                <w:lang w:val="zh-CN"/>
              </w:rPr>
              <w:t>-20</w:t>
            </w:r>
            <w:r>
              <w:rPr>
                <w:rFonts w:hint="eastAsia" w:ascii="宋体" w:hAnsi="宋体" w:eastAsia="宋体" w:cs="宋体"/>
                <w:color w:val="auto"/>
                <w:szCs w:val="21"/>
              </w:rPr>
              <w:t>20</w:t>
            </w:r>
            <w:r>
              <w:rPr>
                <w:rFonts w:hint="eastAsia" w:ascii="宋体" w:hAnsi="宋体" w:eastAsia="宋体" w:cs="宋体"/>
                <w:color w:val="auto"/>
                <w:szCs w:val="21"/>
                <w:lang w:val="zh-CN"/>
              </w:rPr>
              <w:t>，或ISO45001）职业健康安全管理体系认证证书得1分。</w:t>
            </w:r>
          </w:p>
          <w:p w14:paraId="7B0CD236">
            <w:pPr>
              <w:keepNext w:val="0"/>
              <w:keepLines w:val="0"/>
              <w:suppressLineNumbers w:val="0"/>
              <w:snapToGrid w:val="0"/>
              <w:spacing w:before="0" w:beforeAutospacing="0" w:after="0" w:afterAutospacing="0" w:line="360" w:lineRule="auto"/>
              <w:ind w:left="0" w:right="0"/>
              <w:rPr>
                <w:rFonts w:hint="default" w:ascii="宋体" w:hAnsi="宋体" w:eastAsia="宋体" w:cs="宋体"/>
                <w:b/>
                <w:color w:val="auto"/>
                <w:kern w:val="0"/>
                <w:sz w:val="24"/>
                <w:szCs w:val="24"/>
              </w:rPr>
            </w:pPr>
            <w:r>
              <w:rPr>
                <w:rFonts w:hint="eastAsia" w:ascii="宋体" w:hAnsi="宋体" w:eastAsia="宋体" w:cs="宋体"/>
                <w:b/>
                <w:color w:val="auto"/>
                <w:szCs w:val="21"/>
              </w:rPr>
              <w:t>备注：投标人应提供上述有效证书复印件及能显示证书有效状态的全国认证认可信息公共服务平台（http://cx.cnca.cn/）查询结果凭证[凭证界面需显示有“全国认证认可信息公共服务平台”或“认证证书（需显示网址cx.cnca.cn）”]，否则不得分。</w:t>
            </w:r>
          </w:p>
        </w:tc>
        <w:tc>
          <w:tcPr>
            <w:tcW w:w="374" w:type="pct"/>
            <w:tcBorders>
              <w:top w:val="single" w:color="auto" w:sz="4" w:space="0"/>
              <w:left w:val="single" w:color="auto" w:sz="4" w:space="0"/>
              <w:bottom w:val="single" w:color="auto" w:sz="4" w:space="0"/>
              <w:right w:val="single" w:color="auto" w:sz="4" w:space="0"/>
            </w:tcBorders>
            <w:vAlign w:val="center"/>
          </w:tcPr>
          <w:p w14:paraId="54DE53E8">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auto"/>
                <w:kern w:val="0"/>
                <w:szCs w:val="21"/>
              </w:rPr>
            </w:pPr>
            <w:r>
              <w:rPr>
                <w:rFonts w:hint="eastAsia" w:ascii="宋体" w:hAnsi="宋体" w:eastAsia="宋体" w:cs="宋体"/>
                <w:color w:val="auto"/>
                <w:szCs w:val="21"/>
              </w:rPr>
              <w:t>3分</w:t>
            </w:r>
          </w:p>
        </w:tc>
      </w:tr>
      <w:tr w14:paraId="023C5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9" w:hRule="atLeast"/>
          <w:jc w:val="center"/>
        </w:trPr>
        <w:tc>
          <w:tcPr>
            <w:tcW w:w="323" w:type="pct"/>
            <w:tcBorders>
              <w:top w:val="single" w:color="auto" w:sz="4" w:space="0"/>
              <w:left w:val="single" w:color="auto" w:sz="4" w:space="0"/>
              <w:bottom w:val="single" w:color="auto" w:sz="4" w:space="0"/>
              <w:right w:val="single" w:color="auto" w:sz="4" w:space="0"/>
            </w:tcBorders>
            <w:vAlign w:val="center"/>
          </w:tcPr>
          <w:p w14:paraId="186FA2F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rPr>
            </w:pPr>
            <w:r>
              <w:rPr>
                <w:rFonts w:hint="eastAsia" w:ascii="宋体" w:hAnsi="宋体" w:eastAsia="宋体" w:cs="宋体"/>
                <w:color w:val="auto"/>
                <w:kern w:val="0"/>
                <w:szCs w:val="21"/>
              </w:rPr>
              <w:t>3</w:t>
            </w:r>
          </w:p>
        </w:tc>
        <w:tc>
          <w:tcPr>
            <w:tcW w:w="432" w:type="pct"/>
            <w:tcBorders>
              <w:top w:val="single" w:color="auto" w:sz="4" w:space="0"/>
              <w:left w:val="single" w:color="auto" w:sz="4" w:space="0"/>
              <w:bottom w:val="single" w:color="auto" w:sz="4" w:space="0"/>
              <w:right w:val="single" w:color="auto" w:sz="4" w:space="0"/>
            </w:tcBorders>
            <w:vAlign w:val="center"/>
          </w:tcPr>
          <w:p w14:paraId="58C06FD7">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Cs w:val="21"/>
              </w:rPr>
            </w:pPr>
            <w:r>
              <w:rPr>
                <w:rFonts w:hint="eastAsia" w:ascii="宋体" w:hAnsi="宋体" w:eastAsia="宋体" w:cs="宋体"/>
                <w:color w:val="auto"/>
                <w:kern w:val="0"/>
                <w:szCs w:val="21"/>
              </w:rPr>
              <w:t>业绩</w:t>
            </w:r>
          </w:p>
        </w:tc>
        <w:tc>
          <w:tcPr>
            <w:tcW w:w="3870" w:type="pct"/>
            <w:tcBorders>
              <w:top w:val="single" w:color="auto" w:sz="4" w:space="0"/>
              <w:left w:val="single" w:color="auto" w:sz="4" w:space="0"/>
              <w:bottom w:val="single" w:color="auto" w:sz="4" w:space="0"/>
              <w:right w:val="single" w:color="auto" w:sz="4" w:space="0"/>
            </w:tcBorders>
            <w:vAlign w:val="center"/>
          </w:tcPr>
          <w:p w14:paraId="220F75E2">
            <w:pPr>
              <w:keepNext w:val="0"/>
              <w:keepLines w:val="0"/>
              <w:suppressLineNumbers w:val="0"/>
              <w:spacing w:before="0" w:beforeAutospacing="0" w:after="0" w:afterAutospacing="0" w:line="360" w:lineRule="auto"/>
              <w:ind w:left="0" w:right="0"/>
              <w:rPr>
                <w:rFonts w:hint="default" w:ascii="宋体" w:hAnsi="宋体" w:eastAsia="宋体" w:cs="宋体"/>
                <w:color w:val="auto"/>
                <w:szCs w:val="21"/>
              </w:rPr>
            </w:pPr>
            <w:r>
              <w:rPr>
                <w:rFonts w:hint="eastAsia" w:ascii="宋体" w:hAnsi="宋体" w:eastAsia="宋体" w:cs="宋体"/>
                <w:color w:val="auto"/>
                <w:szCs w:val="21"/>
              </w:rPr>
              <w:t>投标人2021年1月1日以来承接的安全物资或劳保物资在国内的销售业绩，按下列情况评分，</w:t>
            </w:r>
            <w:r>
              <w:rPr>
                <w:rFonts w:hint="eastAsia" w:ascii="宋体" w:hAnsi="宋体" w:eastAsia="宋体" w:cs="宋体"/>
                <w:b/>
                <w:color w:val="auto"/>
                <w:szCs w:val="21"/>
              </w:rPr>
              <w:t>本项业绩评审满分</w:t>
            </w:r>
            <w:r>
              <w:rPr>
                <w:rFonts w:hint="eastAsia" w:ascii="宋体" w:hAnsi="宋体" w:eastAsia="宋体" w:cs="宋体"/>
                <w:b/>
                <w:color w:val="auto"/>
                <w:szCs w:val="21"/>
                <w:lang w:eastAsia="zh-CN"/>
              </w:rPr>
              <w:t>2</w:t>
            </w:r>
            <w:r>
              <w:rPr>
                <w:rFonts w:hint="eastAsia" w:ascii="宋体" w:hAnsi="宋体" w:eastAsia="宋体" w:cs="宋体"/>
                <w:b/>
                <w:color w:val="auto"/>
                <w:szCs w:val="21"/>
                <w:lang w:val="en-US" w:eastAsia="zh-CN"/>
              </w:rPr>
              <w:t>9</w:t>
            </w:r>
            <w:r>
              <w:rPr>
                <w:rFonts w:hint="eastAsia" w:ascii="宋体" w:hAnsi="宋体" w:eastAsia="宋体" w:cs="宋体"/>
                <w:b/>
                <w:color w:val="auto"/>
                <w:szCs w:val="21"/>
              </w:rPr>
              <w:t>分</w:t>
            </w:r>
            <w:r>
              <w:rPr>
                <w:rFonts w:hint="eastAsia" w:ascii="宋体" w:hAnsi="宋体" w:eastAsia="宋体" w:cs="宋体"/>
                <w:color w:val="auto"/>
                <w:szCs w:val="21"/>
              </w:rPr>
              <w:t>。</w:t>
            </w:r>
          </w:p>
          <w:p w14:paraId="74E2F6F1">
            <w:pPr>
              <w:keepNext w:val="0"/>
              <w:keepLines w:val="0"/>
              <w:suppressLineNumbers w:val="0"/>
              <w:spacing w:before="0" w:beforeAutospacing="0" w:after="0" w:afterAutospacing="0" w:line="360" w:lineRule="auto"/>
              <w:ind w:left="0" w:right="0"/>
              <w:rPr>
                <w:rFonts w:hint="default" w:ascii="宋体" w:hAnsi="宋体" w:eastAsia="宋体" w:cs="宋体"/>
                <w:color w:val="auto"/>
                <w:szCs w:val="21"/>
              </w:rPr>
            </w:pPr>
            <w:r>
              <w:rPr>
                <w:rFonts w:hint="eastAsia" w:ascii="宋体" w:hAnsi="宋体" w:eastAsia="宋体" w:cs="宋体"/>
                <w:color w:val="auto"/>
                <w:szCs w:val="21"/>
              </w:rPr>
              <w:t>（1）单项合同金额≥</w:t>
            </w:r>
            <w:r>
              <w:rPr>
                <w:rFonts w:hint="eastAsia" w:ascii="宋体" w:hAnsi="宋体" w:eastAsia="宋体" w:cs="宋体"/>
                <w:color w:val="auto"/>
                <w:szCs w:val="21"/>
                <w:lang w:val="en-US" w:eastAsia="zh-CN"/>
              </w:rPr>
              <w:t>250</w:t>
            </w:r>
            <w:r>
              <w:rPr>
                <w:rFonts w:hint="eastAsia" w:ascii="宋体" w:hAnsi="宋体" w:eastAsia="宋体" w:cs="宋体"/>
                <w:color w:val="auto"/>
                <w:szCs w:val="21"/>
              </w:rPr>
              <w:t>万元的前述业绩，每项得4分。</w:t>
            </w:r>
          </w:p>
          <w:p w14:paraId="101C0188">
            <w:pPr>
              <w:keepNext w:val="0"/>
              <w:keepLines w:val="0"/>
              <w:suppressLineNumbers w:val="0"/>
              <w:spacing w:before="0" w:beforeAutospacing="0" w:after="0" w:afterAutospacing="0" w:line="360" w:lineRule="auto"/>
              <w:ind w:left="0" w:right="0"/>
              <w:rPr>
                <w:rFonts w:hint="default" w:ascii="宋体" w:hAnsi="宋体" w:eastAsia="宋体" w:cs="宋体"/>
                <w:color w:val="auto"/>
                <w:szCs w:val="21"/>
              </w:rPr>
            </w:pPr>
            <w:r>
              <w:rPr>
                <w:rFonts w:hint="eastAsia" w:ascii="宋体" w:hAnsi="宋体" w:eastAsia="宋体" w:cs="宋体"/>
                <w:color w:val="auto"/>
                <w:szCs w:val="21"/>
              </w:rPr>
              <w:t>（2）</w:t>
            </w:r>
            <w:r>
              <w:rPr>
                <w:rFonts w:hint="eastAsia" w:ascii="宋体" w:hAnsi="宋体" w:eastAsia="宋体" w:cs="宋体"/>
                <w:color w:val="auto"/>
                <w:szCs w:val="21"/>
                <w:lang w:val="en-US" w:eastAsia="zh-CN"/>
              </w:rPr>
              <w:t>125</w:t>
            </w:r>
            <w:r>
              <w:rPr>
                <w:rFonts w:hint="eastAsia" w:ascii="宋体" w:hAnsi="宋体" w:eastAsia="宋体" w:cs="宋体"/>
                <w:color w:val="auto"/>
                <w:szCs w:val="21"/>
              </w:rPr>
              <w:t>万元≤单项合同金额＜</w:t>
            </w:r>
            <w:r>
              <w:rPr>
                <w:rFonts w:hint="eastAsia" w:ascii="宋体" w:hAnsi="宋体" w:eastAsia="宋体" w:cs="宋体"/>
                <w:color w:val="auto"/>
                <w:szCs w:val="21"/>
                <w:lang w:val="en-US" w:eastAsia="zh-CN"/>
              </w:rPr>
              <w:t>250</w:t>
            </w:r>
            <w:r>
              <w:rPr>
                <w:rFonts w:hint="eastAsia" w:ascii="宋体" w:hAnsi="宋体" w:eastAsia="宋体" w:cs="宋体"/>
                <w:color w:val="auto"/>
                <w:szCs w:val="21"/>
              </w:rPr>
              <w:t>万元的前述业绩，每项得3分。</w:t>
            </w:r>
          </w:p>
          <w:p w14:paraId="66AA5523">
            <w:pPr>
              <w:keepNext w:val="0"/>
              <w:keepLines w:val="0"/>
              <w:suppressLineNumbers w:val="0"/>
              <w:spacing w:before="0" w:beforeAutospacing="0" w:after="0" w:afterAutospacing="0" w:line="360" w:lineRule="auto"/>
              <w:ind w:left="0" w:right="0"/>
              <w:rPr>
                <w:rFonts w:hint="default" w:ascii="宋体" w:hAnsi="宋体" w:eastAsia="宋体" w:cs="宋体"/>
                <w:color w:val="auto"/>
                <w:szCs w:val="21"/>
              </w:rPr>
            </w:pPr>
            <w:r>
              <w:rPr>
                <w:rFonts w:hint="eastAsia" w:ascii="宋体" w:hAnsi="宋体" w:eastAsia="宋体" w:cs="宋体"/>
                <w:color w:val="auto"/>
                <w:szCs w:val="21"/>
              </w:rPr>
              <w:t>（3）</w:t>
            </w:r>
            <w:r>
              <w:rPr>
                <w:rFonts w:hint="eastAsia" w:ascii="宋体" w:hAnsi="宋体" w:eastAsia="宋体" w:cs="宋体"/>
                <w:color w:val="auto"/>
                <w:szCs w:val="21"/>
                <w:lang w:val="en-US" w:eastAsia="zh-CN"/>
              </w:rPr>
              <w:t>60</w:t>
            </w:r>
            <w:r>
              <w:rPr>
                <w:rFonts w:hint="eastAsia" w:ascii="宋体" w:hAnsi="宋体" w:eastAsia="宋体" w:cs="宋体"/>
                <w:color w:val="auto"/>
                <w:szCs w:val="21"/>
              </w:rPr>
              <w:t>万元≤单项合同金额＜</w:t>
            </w:r>
            <w:r>
              <w:rPr>
                <w:rFonts w:hint="eastAsia" w:ascii="宋体" w:hAnsi="宋体" w:eastAsia="宋体" w:cs="宋体"/>
                <w:color w:val="auto"/>
                <w:szCs w:val="21"/>
                <w:lang w:val="en-US" w:eastAsia="zh-CN"/>
              </w:rPr>
              <w:t>125</w:t>
            </w:r>
            <w:r>
              <w:rPr>
                <w:rFonts w:hint="eastAsia" w:ascii="宋体" w:hAnsi="宋体" w:eastAsia="宋体" w:cs="宋体"/>
                <w:color w:val="auto"/>
                <w:szCs w:val="21"/>
              </w:rPr>
              <w:t>万元的前述业绩，每项得2分。</w:t>
            </w:r>
          </w:p>
          <w:p w14:paraId="079033B2">
            <w:pPr>
              <w:keepNext w:val="0"/>
              <w:keepLines w:val="0"/>
              <w:suppressLineNumbers w:val="0"/>
              <w:spacing w:before="0" w:beforeAutospacing="0" w:after="0" w:afterAutospacing="0" w:line="360" w:lineRule="auto"/>
              <w:ind w:left="0" w:right="0"/>
              <w:rPr>
                <w:rFonts w:hint="default" w:ascii="宋体" w:hAnsi="宋体" w:eastAsia="宋体" w:cs="宋体"/>
                <w:color w:val="auto"/>
                <w:szCs w:val="21"/>
                <w:lang w:bidi="ar"/>
              </w:rPr>
            </w:pPr>
            <w:r>
              <w:rPr>
                <w:rFonts w:hint="eastAsia" w:ascii="宋体" w:hAnsi="宋体" w:eastAsia="宋体" w:cs="宋体"/>
                <w:color w:val="auto"/>
                <w:szCs w:val="21"/>
                <w:lang w:bidi="ar"/>
              </w:rPr>
              <w:t>（4）</w:t>
            </w:r>
            <w:r>
              <w:rPr>
                <w:rFonts w:hint="eastAsia" w:ascii="宋体" w:hAnsi="宋体" w:eastAsia="宋体" w:cs="宋体"/>
                <w:color w:val="auto"/>
                <w:szCs w:val="21"/>
                <w:lang w:val="en-US" w:eastAsia="zh-CN" w:bidi="ar"/>
              </w:rPr>
              <w:t>30</w:t>
            </w:r>
            <w:r>
              <w:rPr>
                <w:rFonts w:hint="eastAsia" w:ascii="宋体" w:hAnsi="宋体" w:eastAsia="宋体" w:cs="宋体"/>
                <w:color w:val="auto"/>
                <w:szCs w:val="21"/>
                <w:lang w:bidi="ar"/>
              </w:rPr>
              <w:t>万元≤单项合同金额＜</w:t>
            </w:r>
            <w:r>
              <w:rPr>
                <w:rFonts w:hint="eastAsia" w:ascii="宋体" w:hAnsi="宋体" w:eastAsia="宋体" w:cs="宋体"/>
                <w:color w:val="auto"/>
                <w:szCs w:val="21"/>
                <w:lang w:val="en-US" w:eastAsia="zh-CN" w:bidi="ar"/>
              </w:rPr>
              <w:t>60</w:t>
            </w:r>
            <w:r>
              <w:rPr>
                <w:rFonts w:hint="eastAsia" w:ascii="宋体" w:hAnsi="宋体" w:eastAsia="宋体" w:cs="宋体"/>
                <w:color w:val="auto"/>
                <w:szCs w:val="21"/>
                <w:lang w:bidi="ar"/>
              </w:rPr>
              <w:t>万元的前述业绩，每项得1分，本子项满分</w:t>
            </w:r>
            <w:r>
              <w:rPr>
                <w:rFonts w:hint="eastAsia" w:ascii="宋体" w:hAnsi="宋体" w:eastAsia="宋体" w:cs="宋体"/>
                <w:color w:val="auto"/>
                <w:szCs w:val="21"/>
                <w:lang w:val="en-US" w:eastAsia="zh-CN" w:bidi="ar"/>
              </w:rPr>
              <w:t>12</w:t>
            </w:r>
            <w:r>
              <w:rPr>
                <w:rFonts w:hint="eastAsia" w:ascii="宋体" w:hAnsi="宋体" w:eastAsia="宋体" w:cs="宋体"/>
                <w:color w:val="auto"/>
                <w:szCs w:val="21"/>
                <w:lang w:bidi="ar"/>
              </w:rPr>
              <w:t>分。</w:t>
            </w:r>
          </w:p>
          <w:p w14:paraId="5C6142F1">
            <w:pPr>
              <w:keepNext w:val="0"/>
              <w:keepLines w:val="0"/>
              <w:suppressLineNumbers w:val="0"/>
              <w:spacing w:before="0" w:beforeAutospacing="0" w:after="0" w:afterAutospacing="0" w:line="360" w:lineRule="auto"/>
              <w:ind w:left="0" w:right="0"/>
              <w:rPr>
                <w:rFonts w:hint="default" w:ascii="宋体" w:hAnsi="宋体" w:eastAsia="宋体" w:cs="宋体"/>
                <w:b/>
                <w:color w:val="auto"/>
                <w:szCs w:val="21"/>
              </w:rPr>
            </w:pPr>
            <w:r>
              <w:rPr>
                <w:rFonts w:hint="eastAsia" w:ascii="宋体" w:hAnsi="宋体" w:eastAsia="宋体" w:cs="宋体"/>
                <w:b/>
                <w:color w:val="auto"/>
                <w:szCs w:val="21"/>
              </w:rPr>
              <w:t>备注：</w:t>
            </w:r>
          </w:p>
          <w:p w14:paraId="2EBED859">
            <w:pPr>
              <w:keepNext w:val="0"/>
              <w:keepLines w:val="0"/>
              <w:suppressLineNumbers w:val="0"/>
              <w:tabs>
                <w:tab w:val="left" w:pos="134"/>
              </w:tabs>
              <w:autoSpaceDE w:val="0"/>
              <w:autoSpaceDN w:val="0"/>
              <w:adjustRightInd w:val="0"/>
              <w:spacing w:before="0" w:beforeAutospacing="0" w:after="0" w:afterAutospacing="0" w:line="400" w:lineRule="exact"/>
              <w:ind w:left="0" w:right="0"/>
              <w:rPr>
                <w:rFonts w:hint="default" w:ascii="宋体" w:hAnsi="宋体" w:eastAsia="宋体" w:cs="Times New Roman"/>
                <w:b/>
                <w:color w:val="auto"/>
                <w:kern w:val="0"/>
                <w:szCs w:val="21"/>
              </w:rPr>
            </w:pPr>
            <w:r>
              <w:rPr>
                <w:rFonts w:hint="eastAsia" w:ascii="宋体" w:hAnsi="宋体" w:eastAsia="宋体" w:cs="Times New Roman"/>
                <w:b/>
                <w:color w:val="auto"/>
                <w:kern w:val="0"/>
                <w:szCs w:val="21"/>
              </w:rPr>
              <w:t>①投标人符合评审细则的同一个项目业绩同时包含安全物资和劳保物资时，只按其中一类业绩计分（即不重复计分）；</w:t>
            </w:r>
          </w:p>
          <w:p w14:paraId="76F6ADBB">
            <w:pPr>
              <w:keepNext w:val="0"/>
              <w:keepLines w:val="0"/>
              <w:suppressLineNumbers w:val="0"/>
              <w:tabs>
                <w:tab w:val="left" w:pos="134"/>
              </w:tabs>
              <w:autoSpaceDE w:val="0"/>
              <w:autoSpaceDN w:val="0"/>
              <w:adjustRightInd w:val="0"/>
              <w:spacing w:before="0" w:beforeAutospacing="0" w:after="0" w:afterAutospacing="0" w:line="400" w:lineRule="exact"/>
              <w:ind w:left="0" w:right="0"/>
              <w:rPr>
                <w:rFonts w:hint="default" w:ascii="宋体" w:hAnsi="宋体" w:eastAsia="宋体" w:cs="Times New Roman"/>
                <w:b/>
                <w:color w:val="auto"/>
                <w:kern w:val="0"/>
                <w:szCs w:val="21"/>
              </w:rPr>
            </w:pPr>
            <w:r>
              <w:rPr>
                <w:rFonts w:hint="eastAsia" w:ascii="宋体" w:hAnsi="宋体" w:eastAsia="宋体" w:cs="Times New Roman"/>
                <w:b/>
                <w:color w:val="auto"/>
                <w:kern w:val="0"/>
                <w:szCs w:val="21"/>
              </w:rPr>
              <w:t>②业绩须附安全物资或劳保物资销售合同复印件（合同卖方为投标人），否则不得分；</w:t>
            </w:r>
          </w:p>
          <w:p w14:paraId="311B8743">
            <w:pPr>
              <w:keepNext w:val="0"/>
              <w:keepLines w:val="0"/>
              <w:suppressLineNumbers w:val="0"/>
              <w:tabs>
                <w:tab w:val="left" w:pos="134"/>
              </w:tabs>
              <w:autoSpaceDE w:val="0"/>
              <w:autoSpaceDN w:val="0"/>
              <w:adjustRightInd w:val="0"/>
              <w:spacing w:before="0" w:beforeAutospacing="0" w:after="0" w:afterAutospacing="0" w:line="400" w:lineRule="exact"/>
              <w:ind w:left="0" w:right="0"/>
              <w:rPr>
                <w:rFonts w:hint="default" w:ascii="宋体" w:hAnsi="宋体" w:eastAsia="宋体" w:cs="Times New Roman"/>
                <w:b/>
                <w:color w:val="auto"/>
                <w:kern w:val="0"/>
                <w:szCs w:val="21"/>
              </w:rPr>
            </w:pPr>
            <w:r>
              <w:rPr>
                <w:rFonts w:hint="eastAsia" w:ascii="宋体" w:hAnsi="宋体" w:eastAsia="宋体" w:cs="Times New Roman"/>
                <w:b/>
                <w:color w:val="auto"/>
                <w:kern w:val="0"/>
                <w:szCs w:val="21"/>
              </w:rPr>
              <w:t>③若合同无法反映评分条件（合同签订日期为2021年1月1日或以后、合同标的必须包含安全物资或劳保物资、合同金额），还需提供合同买方出具的书面补充说明文件复印件作为辅助证明（补充说明文件复印件能显示合同买方公章）</w:t>
            </w:r>
            <w:r>
              <w:rPr>
                <w:rFonts w:hint="eastAsia" w:ascii="宋体" w:hAnsi="宋体" w:eastAsia="宋体" w:cs="宋体"/>
                <w:b/>
                <w:color w:val="auto"/>
                <w:szCs w:val="21"/>
              </w:rPr>
              <w:t>，否则不得分</w:t>
            </w:r>
            <w:r>
              <w:rPr>
                <w:rFonts w:hint="eastAsia" w:ascii="宋体" w:hAnsi="宋体" w:eastAsia="宋体" w:cs="Times New Roman"/>
                <w:b/>
                <w:color w:val="auto"/>
                <w:kern w:val="0"/>
                <w:szCs w:val="21"/>
              </w:rPr>
              <w:t>；</w:t>
            </w:r>
          </w:p>
          <w:p w14:paraId="7CBA65C2">
            <w:pPr>
              <w:keepNext w:val="0"/>
              <w:keepLines w:val="0"/>
              <w:suppressLineNumbers w:val="0"/>
              <w:tabs>
                <w:tab w:val="left" w:pos="134"/>
              </w:tabs>
              <w:autoSpaceDE w:val="0"/>
              <w:autoSpaceDN w:val="0"/>
              <w:adjustRightInd w:val="0"/>
              <w:spacing w:before="0" w:beforeAutospacing="0" w:after="0" w:afterAutospacing="0" w:line="400" w:lineRule="exact"/>
              <w:ind w:left="0" w:right="0"/>
              <w:rPr>
                <w:rFonts w:hint="default" w:ascii="宋体" w:hAnsi="宋体" w:eastAsia="宋体" w:cs="Times New Roman"/>
                <w:b/>
                <w:color w:val="auto"/>
                <w:kern w:val="0"/>
                <w:szCs w:val="21"/>
              </w:rPr>
            </w:pPr>
            <w:r>
              <w:rPr>
                <w:rFonts w:hint="eastAsia" w:ascii="宋体" w:hAnsi="宋体" w:eastAsia="宋体" w:cs="Times New Roman"/>
                <w:b/>
                <w:color w:val="auto"/>
                <w:kern w:val="0"/>
                <w:szCs w:val="21"/>
              </w:rPr>
              <w:t>④若业绩为框架式协议或资格入围无明确金额的合同，必须同时提供合同期限内已供货产品发票金额统计表和发票复印件</w:t>
            </w:r>
            <w:r>
              <w:rPr>
                <w:rFonts w:hint="eastAsia" w:ascii="宋体" w:hAnsi="宋体" w:eastAsia="宋体" w:cs="宋体"/>
                <w:b/>
                <w:color w:val="auto"/>
                <w:szCs w:val="21"/>
              </w:rPr>
              <w:t>，否则不得分</w:t>
            </w:r>
            <w:r>
              <w:rPr>
                <w:rFonts w:hint="eastAsia" w:ascii="宋体" w:hAnsi="宋体" w:eastAsia="宋体" w:cs="Times New Roman"/>
                <w:b/>
                <w:color w:val="auto"/>
                <w:kern w:val="0"/>
                <w:szCs w:val="21"/>
              </w:rPr>
              <w:t>；</w:t>
            </w:r>
          </w:p>
          <w:p w14:paraId="703E687D">
            <w:pPr>
              <w:keepNext w:val="0"/>
              <w:keepLines w:val="0"/>
              <w:suppressLineNumbers w:val="0"/>
              <w:tabs>
                <w:tab w:val="left" w:pos="134"/>
              </w:tabs>
              <w:autoSpaceDE w:val="0"/>
              <w:autoSpaceDN w:val="0"/>
              <w:adjustRightInd w:val="0"/>
              <w:spacing w:before="0" w:beforeAutospacing="0" w:after="0" w:afterAutospacing="0" w:line="400" w:lineRule="exact"/>
              <w:ind w:left="0" w:right="0"/>
              <w:rPr>
                <w:rFonts w:hint="default" w:ascii="宋体" w:hAnsi="宋体" w:eastAsia="宋体" w:cs="Times New Roman"/>
                <w:b/>
                <w:color w:val="auto"/>
                <w:kern w:val="0"/>
                <w:szCs w:val="21"/>
              </w:rPr>
            </w:pPr>
            <w:r>
              <w:rPr>
                <w:rFonts w:hint="eastAsia" w:ascii="宋体" w:hAnsi="宋体" w:eastAsia="宋体" w:cs="Times New Roman"/>
                <w:b/>
                <w:color w:val="auto"/>
                <w:kern w:val="0"/>
                <w:szCs w:val="21"/>
              </w:rPr>
              <w:t>⑤未按上述要求提供证明材料的业绩，或所附材料无法证明填报项目符合本项评分要求的业绩，在评标时将不予考虑。</w:t>
            </w:r>
          </w:p>
        </w:tc>
        <w:tc>
          <w:tcPr>
            <w:tcW w:w="374" w:type="pct"/>
            <w:tcBorders>
              <w:top w:val="single" w:color="auto" w:sz="4" w:space="0"/>
              <w:left w:val="single" w:color="auto" w:sz="4" w:space="0"/>
              <w:bottom w:val="single" w:color="auto" w:sz="4" w:space="0"/>
              <w:right w:val="single" w:color="auto" w:sz="4" w:space="0"/>
            </w:tcBorders>
            <w:vAlign w:val="center"/>
          </w:tcPr>
          <w:p w14:paraId="6288145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szCs w:val="24"/>
              </w:rPr>
            </w:pPr>
            <w:r>
              <w:rPr>
                <w:rFonts w:hint="eastAsia" w:ascii="宋体" w:hAnsi="宋体" w:eastAsia="宋体" w:cs="宋体"/>
                <w:color w:val="auto"/>
                <w:szCs w:val="24"/>
                <w:lang w:eastAsia="zh-CN"/>
              </w:rPr>
              <w:t>2</w:t>
            </w:r>
            <w:r>
              <w:rPr>
                <w:rFonts w:hint="eastAsia" w:ascii="宋体" w:hAnsi="宋体" w:eastAsia="宋体" w:cs="宋体"/>
                <w:color w:val="auto"/>
                <w:szCs w:val="24"/>
                <w:lang w:val="en-US" w:eastAsia="zh-CN"/>
              </w:rPr>
              <w:t>9</w:t>
            </w:r>
            <w:r>
              <w:rPr>
                <w:rFonts w:hint="eastAsia" w:ascii="宋体" w:hAnsi="宋体" w:eastAsia="宋体" w:cs="宋体"/>
                <w:color w:val="auto"/>
                <w:szCs w:val="24"/>
              </w:rPr>
              <w:t>分</w:t>
            </w:r>
          </w:p>
        </w:tc>
      </w:tr>
    </w:tbl>
    <w:p w14:paraId="698B7F2E">
      <w:pPr>
        <w:autoSpaceDE w:val="0"/>
        <w:autoSpaceDN w:val="0"/>
        <w:adjustRightInd w:val="0"/>
        <w:ind w:right="-26" w:firstLine="480"/>
        <w:jc w:val="center"/>
        <w:rPr>
          <w:rFonts w:ascii="宋体" w:hAnsi="宋体" w:eastAsia="宋体" w:cs="Times New Roman"/>
          <w:b/>
          <w:bCs/>
          <w:color w:val="auto"/>
          <w:kern w:val="0"/>
          <w:sz w:val="24"/>
          <w:szCs w:val="24"/>
        </w:rPr>
      </w:pPr>
    </w:p>
    <w:p w14:paraId="4D4F5925">
      <w:pPr>
        <w:tabs>
          <w:tab w:val="left" w:pos="585"/>
        </w:tabs>
        <w:autoSpaceDE w:val="0"/>
        <w:autoSpaceDN w:val="0"/>
        <w:adjustRightInd w:val="0"/>
        <w:spacing w:line="360" w:lineRule="auto"/>
        <w:rPr>
          <w:rFonts w:ascii="宋体" w:hAnsi="宋体" w:eastAsia="宋体" w:cs="宋体"/>
          <w:b/>
          <w:color w:val="auto"/>
          <w:szCs w:val="21"/>
          <w:lang w:val="zh-CN"/>
        </w:rPr>
      </w:pPr>
      <w:r>
        <w:rPr>
          <w:rFonts w:hint="eastAsia" w:ascii="宋体" w:hAnsi="宋体" w:eastAsia="宋体" w:cs="Times New Roman"/>
          <w:b/>
          <w:color w:val="auto"/>
          <w:szCs w:val="21"/>
          <w:lang w:val="zh-CN"/>
        </w:rPr>
        <w:t>（</w:t>
      </w:r>
      <w:r>
        <w:rPr>
          <w:rFonts w:hint="eastAsia" w:ascii="宋体" w:hAnsi="宋体" w:eastAsia="宋体" w:cs="宋体"/>
          <w:b/>
          <w:color w:val="auto"/>
          <w:szCs w:val="24"/>
        </w:rPr>
        <w:t>2）</w:t>
      </w:r>
      <w:r>
        <w:rPr>
          <w:rFonts w:hint="eastAsia" w:ascii="宋体" w:hAnsi="宋体" w:eastAsia="宋体" w:cs="宋体"/>
          <w:b/>
          <w:color w:val="auto"/>
          <w:szCs w:val="24"/>
          <w:lang w:val="zh-CN"/>
        </w:rPr>
        <w:t>技术：</w:t>
      </w:r>
    </w:p>
    <w:tbl>
      <w:tblPr>
        <w:tblStyle w:val="4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0"/>
        <w:gridCol w:w="1133"/>
        <w:gridCol w:w="7660"/>
        <w:gridCol w:w="907"/>
      </w:tblGrid>
      <w:tr w14:paraId="00E28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323" w:type="pct"/>
            <w:tcBorders>
              <w:top w:val="single" w:color="auto" w:sz="4" w:space="0"/>
              <w:left w:val="single" w:color="auto" w:sz="4" w:space="0"/>
              <w:bottom w:val="single" w:color="auto" w:sz="4" w:space="0"/>
              <w:right w:val="single" w:color="auto" w:sz="4" w:space="0"/>
            </w:tcBorders>
            <w:vAlign w:val="center"/>
          </w:tcPr>
          <w:p w14:paraId="02A21018">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宋体"/>
                <w:b/>
                <w:color w:val="auto"/>
                <w:kern w:val="0"/>
                <w:szCs w:val="21"/>
              </w:rPr>
            </w:pPr>
            <w:bookmarkStart w:id="674" w:name="_Hlk104987779"/>
            <w:r>
              <w:rPr>
                <w:rFonts w:hint="eastAsia" w:ascii="宋体" w:hAnsi="宋体" w:eastAsia="宋体" w:cs="宋体"/>
                <w:b/>
                <w:color w:val="auto"/>
                <w:kern w:val="0"/>
                <w:szCs w:val="21"/>
              </w:rPr>
              <w:t>序号</w:t>
            </w:r>
          </w:p>
        </w:tc>
        <w:tc>
          <w:tcPr>
            <w:tcW w:w="546" w:type="pct"/>
            <w:tcBorders>
              <w:top w:val="single" w:color="auto" w:sz="4" w:space="0"/>
              <w:left w:val="single" w:color="auto" w:sz="4" w:space="0"/>
              <w:bottom w:val="single" w:color="auto" w:sz="4" w:space="0"/>
              <w:right w:val="single" w:color="auto" w:sz="4" w:space="0"/>
            </w:tcBorders>
            <w:vAlign w:val="center"/>
          </w:tcPr>
          <w:p w14:paraId="27E1ADFC">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宋体"/>
                <w:b/>
                <w:color w:val="auto"/>
                <w:kern w:val="0"/>
                <w:szCs w:val="21"/>
              </w:rPr>
            </w:pPr>
            <w:r>
              <w:rPr>
                <w:rFonts w:hint="eastAsia" w:ascii="宋体" w:hAnsi="宋体" w:eastAsia="宋体" w:cs="宋体"/>
                <w:b/>
                <w:color w:val="auto"/>
                <w:szCs w:val="21"/>
                <w:lang w:val="zh-CN"/>
              </w:rPr>
              <w:t>评审内容</w:t>
            </w:r>
          </w:p>
        </w:tc>
        <w:tc>
          <w:tcPr>
            <w:tcW w:w="3692" w:type="pct"/>
            <w:tcBorders>
              <w:top w:val="single" w:color="auto" w:sz="4" w:space="0"/>
              <w:left w:val="single" w:color="auto" w:sz="4" w:space="0"/>
              <w:bottom w:val="single" w:color="auto" w:sz="4" w:space="0"/>
              <w:right w:val="single" w:color="auto" w:sz="4" w:space="0"/>
            </w:tcBorders>
            <w:vAlign w:val="center"/>
          </w:tcPr>
          <w:p w14:paraId="2FB2E1B6">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宋体"/>
                <w:b/>
                <w:color w:val="auto"/>
                <w:kern w:val="0"/>
                <w:szCs w:val="21"/>
              </w:rPr>
            </w:pPr>
            <w:r>
              <w:rPr>
                <w:rFonts w:hint="eastAsia" w:ascii="宋体" w:hAnsi="宋体" w:eastAsia="宋体" w:cs="宋体"/>
                <w:b/>
                <w:color w:val="auto"/>
                <w:kern w:val="0"/>
                <w:szCs w:val="21"/>
              </w:rPr>
              <w:t>评审细则</w:t>
            </w:r>
          </w:p>
        </w:tc>
        <w:tc>
          <w:tcPr>
            <w:tcW w:w="437" w:type="pct"/>
            <w:tcBorders>
              <w:top w:val="single" w:color="auto" w:sz="4" w:space="0"/>
              <w:left w:val="single" w:color="auto" w:sz="4" w:space="0"/>
              <w:bottom w:val="single" w:color="auto" w:sz="4" w:space="0"/>
              <w:right w:val="single" w:color="auto" w:sz="4" w:space="0"/>
            </w:tcBorders>
            <w:vAlign w:val="center"/>
          </w:tcPr>
          <w:p w14:paraId="7E226B16">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宋体"/>
                <w:b/>
                <w:color w:val="auto"/>
                <w:kern w:val="0"/>
                <w:szCs w:val="21"/>
              </w:rPr>
            </w:pPr>
            <w:r>
              <w:rPr>
                <w:rFonts w:hint="eastAsia" w:ascii="宋体" w:hAnsi="宋体" w:eastAsia="宋体" w:cs="宋体"/>
                <w:b/>
                <w:color w:val="auto"/>
                <w:kern w:val="0"/>
                <w:szCs w:val="21"/>
              </w:rPr>
              <w:t>满分值</w:t>
            </w:r>
          </w:p>
        </w:tc>
      </w:tr>
      <w:tr w14:paraId="5DFB9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3" w:hRule="atLeast"/>
          <w:jc w:val="center"/>
        </w:trPr>
        <w:tc>
          <w:tcPr>
            <w:tcW w:w="323" w:type="pct"/>
            <w:tcBorders>
              <w:top w:val="single" w:color="auto" w:sz="4" w:space="0"/>
              <w:left w:val="single" w:color="auto" w:sz="4" w:space="0"/>
              <w:bottom w:val="single" w:color="auto" w:sz="4" w:space="0"/>
              <w:right w:val="single" w:color="auto" w:sz="4" w:space="0"/>
            </w:tcBorders>
            <w:vAlign w:val="center"/>
          </w:tcPr>
          <w:p w14:paraId="259B310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rPr>
            </w:pPr>
            <w:r>
              <w:rPr>
                <w:rFonts w:hint="eastAsia" w:ascii="宋体" w:hAnsi="宋体" w:eastAsia="宋体" w:cs="宋体"/>
                <w:color w:val="auto"/>
                <w:kern w:val="0"/>
                <w:szCs w:val="21"/>
              </w:rPr>
              <w:t>1</w:t>
            </w:r>
          </w:p>
        </w:tc>
        <w:tc>
          <w:tcPr>
            <w:tcW w:w="546" w:type="pct"/>
            <w:tcBorders>
              <w:top w:val="single" w:color="auto" w:sz="4" w:space="0"/>
              <w:left w:val="single" w:color="auto" w:sz="4" w:space="0"/>
              <w:bottom w:val="single" w:color="auto" w:sz="4" w:space="0"/>
              <w:right w:val="single" w:color="auto" w:sz="4" w:space="0"/>
            </w:tcBorders>
            <w:vAlign w:val="center"/>
          </w:tcPr>
          <w:p w14:paraId="530D9361">
            <w:pPr>
              <w:keepNext w:val="0"/>
              <w:keepLines w:val="0"/>
              <w:suppressLineNumbers w:val="0"/>
              <w:wordWrap w:val="0"/>
              <w:autoSpaceDE w:val="0"/>
              <w:autoSpaceDN w:val="0"/>
              <w:adjustRightInd w:val="0"/>
              <w:spacing w:before="0" w:beforeAutospacing="0" w:after="0" w:afterAutospacing="0" w:line="360" w:lineRule="exact"/>
              <w:ind w:left="0" w:right="0"/>
              <w:jc w:val="center"/>
              <w:rPr>
                <w:rFonts w:hint="default" w:ascii="宋体" w:hAnsi="宋体" w:eastAsia="宋体" w:cs="宋体"/>
                <w:color w:val="auto"/>
                <w:kern w:val="0"/>
                <w:szCs w:val="21"/>
              </w:rPr>
            </w:pPr>
            <w:r>
              <w:rPr>
                <w:rFonts w:hint="eastAsia" w:ascii="宋体" w:hAnsi="宋体" w:eastAsia="宋体" w:cs="宋体"/>
                <w:color w:val="auto"/>
                <w:szCs w:val="21"/>
                <w:lang w:val="zh-CN"/>
              </w:rPr>
              <w:t>用户需求响应程度</w:t>
            </w:r>
          </w:p>
        </w:tc>
        <w:tc>
          <w:tcPr>
            <w:tcW w:w="3692" w:type="pct"/>
            <w:tcBorders>
              <w:top w:val="single" w:color="auto" w:sz="4" w:space="0"/>
              <w:left w:val="single" w:color="auto" w:sz="4" w:space="0"/>
              <w:bottom w:val="single" w:color="auto" w:sz="4" w:space="0"/>
              <w:right w:val="single" w:color="auto" w:sz="4" w:space="0"/>
            </w:tcBorders>
            <w:vAlign w:val="center"/>
          </w:tcPr>
          <w:p w14:paraId="51C97DA2">
            <w:pPr>
              <w:keepNext w:val="0"/>
              <w:keepLines w:val="0"/>
              <w:suppressLineNumbers w:val="0"/>
              <w:spacing w:before="0" w:beforeAutospacing="0" w:after="0" w:afterAutospacing="0" w:line="360" w:lineRule="auto"/>
              <w:ind w:left="0" w:right="0"/>
              <w:rPr>
                <w:rFonts w:hint="default" w:ascii="宋体" w:hAnsi="宋体" w:eastAsia="宋体" w:cs="宋体"/>
                <w:color w:val="auto"/>
                <w:kern w:val="0"/>
                <w:szCs w:val="21"/>
              </w:rPr>
            </w:pPr>
            <w:r>
              <w:rPr>
                <w:rFonts w:hint="eastAsia" w:ascii="宋体" w:hAnsi="宋体" w:eastAsia="宋体" w:cs="宋体"/>
                <w:color w:val="auto"/>
                <w:szCs w:val="21"/>
                <w:lang w:val="zh-CN"/>
              </w:rPr>
              <w:t>根据用户需求偏离表的偏离情况进行评审计分，完全满足用户需求的要求得满分，每一处负偏离，扣</w:t>
            </w:r>
            <w:r>
              <w:rPr>
                <w:rFonts w:hint="eastAsia" w:ascii="宋体" w:hAnsi="宋体" w:eastAsia="宋体" w:cs="宋体"/>
                <w:color w:val="auto"/>
                <w:szCs w:val="21"/>
                <w:lang w:val="en-US" w:eastAsia="zh-CN"/>
              </w:rPr>
              <w:t>1</w:t>
            </w:r>
            <w:r>
              <w:rPr>
                <w:rFonts w:hint="eastAsia" w:ascii="宋体" w:hAnsi="宋体" w:eastAsia="宋体" w:cs="宋体"/>
                <w:color w:val="auto"/>
                <w:szCs w:val="21"/>
                <w:lang w:val="zh-CN"/>
              </w:rPr>
              <w:t>分；同时参照其投标文件中技术资料的内容进行对比，每发现一处投标人填写为无偏离或正偏离，但评标委员会评审认定其为负偏离的，每处扣</w:t>
            </w:r>
            <w:r>
              <w:rPr>
                <w:rFonts w:hint="eastAsia" w:ascii="宋体" w:hAnsi="宋体" w:eastAsia="宋体" w:cs="宋体"/>
                <w:color w:val="auto"/>
                <w:szCs w:val="21"/>
                <w:lang w:val="en-US" w:eastAsia="zh-CN"/>
              </w:rPr>
              <w:t>2</w:t>
            </w:r>
            <w:r>
              <w:rPr>
                <w:rFonts w:hint="eastAsia" w:ascii="宋体" w:hAnsi="宋体" w:eastAsia="宋体" w:cs="宋体"/>
                <w:color w:val="auto"/>
                <w:szCs w:val="21"/>
                <w:lang w:val="zh-CN"/>
              </w:rPr>
              <w:t>分；本项最低分为0分。</w:t>
            </w:r>
          </w:p>
        </w:tc>
        <w:tc>
          <w:tcPr>
            <w:tcW w:w="437" w:type="pct"/>
            <w:tcBorders>
              <w:top w:val="single" w:color="auto" w:sz="4" w:space="0"/>
              <w:left w:val="single" w:color="auto" w:sz="4" w:space="0"/>
              <w:bottom w:val="single" w:color="auto" w:sz="4" w:space="0"/>
              <w:right w:val="single" w:color="auto" w:sz="4" w:space="0"/>
            </w:tcBorders>
            <w:vAlign w:val="center"/>
          </w:tcPr>
          <w:p w14:paraId="0FD3F93F">
            <w:pPr>
              <w:keepNext w:val="0"/>
              <w:keepLines w:val="0"/>
              <w:suppressLineNumbers w:val="0"/>
              <w:wordWrap w:val="0"/>
              <w:autoSpaceDE w:val="0"/>
              <w:autoSpaceDN w:val="0"/>
              <w:adjustRightInd w:val="0"/>
              <w:spacing w:before="0" w:beforeAutospacing="0" w:after="0" w:afterAutospacing="0" w:line="360" w:lineRule="exact"/>
              <w:ind w:left="0" w:right="0"/>
              <w:jc w:val="center"/>
              <w:rPr>
                <w:rFonts w:hint="default" w:ascii="宋体" w:hAnsi="宋体" w:eastAsia="宋体" w:cs="宋体"/>
                <w:color w:val="auto"/>
                <w:kern w:val="0"/>
                <w:szCs w:val="21"/>
              </w:rPr>
            </w:pPr>
            <w:r>
              <w:rPr>
                <w:rFonts w:hint="eastAsia" w:ascii="宋体" w:hAnsi="宋体" w:eastAsia="宋体" w:cs="宋体"/>
                <w:color w:val="auto"/>
                <w:szCs w:val="21"/>
                <w:lang w:val="en-US" w:eastAsia="zh-CN"/>
              </w:rPr>
              <w:t>4</w:t>
            </w:r>
            <w:r>
              <w:rPr>
                <w:rFonts w:hint="eastAsia" w:ascii="宋体" w:hAnsi="宋体" w:eastAsia="宋体" w:cs="宋体"/>
                <w:color w:val="auto"/>
                <w:szCs w:val="21"/>
              </w:rPr>
              <w:t>分</w:t>
            </w:r>
          </w:p>
        </w:tc>
      </w:tr>
      <w:tr w14:paraId="4B7E2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3" w:type="pct"/>
            <w:tcBorders>
              <w:top w:val="single" w:color="auto" w:sz="4" w:space="0"/>
              <w:left w:val="single" w:color="auto" w:sz="4" w:space="0"/>
              <w:bottom w:val="single" w:color="auto" w:sz="4" w:space="0"/>
              <w:right w:val="single" w:color="auto" w:sz="4" w:space="0"/>
            </w:tcBorders>
            <w:vAlign w:val="center"/>
          </w:tcPr>
          <w:p w14:paraId="05F4C5D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rPr>
            </w:pPr>
            <w:r>
              <w:rPr>
                <w:rFonts w:hint="eastAsia" w:ascii="宋体" w:hAnsi="宋体" w:eastAsia="宋体" w:cs="宋体"/>
                <w:color w:val="auto"/>
                <w:kern w:val="0"/>
                <w:szCs w:val="21"/>
              </w:rPr>
              <w:t>2</w:t>
            </w:r>
          </w:p>
        </w:tc>
        <w:tc>
          <w:tcPr>
            <w:tcW w:w="546" w:type="pct"/>
            <w:tcBorders>
              <w:top w:val="single" w:color="auto" w:sz="4" w:space="0"/>
              <w:left w:val="single" w:color="auto" w:sz="4" w:space="0"/>
              <w:bottom w:val="single" w:color="auto" w:sz="4" w:space="0"/>
              <w:right w:val="single" w:color="auto" w:sz="4" w:space="0"/>
            </w:tcBorders>
            <w:vAlign w:val="center"/>
          </w:tcPr>
          <w:p w14:paraId="2AC807A4">
            <w:pPr>
              <w:keepNext w:val="0"/>
              <w:keepLines w:val="0"/>
              <w:suppressLineNumbers w:val="0"/>
              <w:wordWrap w:val="0"/>
              <w:autoSpaceDE w:val="0"/>
              <w:autoSpaceDN w:val="0"/>
              <w:adjustRightInd w:val="0"/>
              <w:spacing w:before="0" w:beforeAutospacing="0" w:after="0" w:afterAutospacing="0" w:line="360" w:lineRule="exact"/>
              <w:ind w:left="0" w:right="0"/>
              <w:jc w:val="center"/>
              <w:rPr>
                <w:rFonts w:hint="default" w:ascii="宋体" w:hAnsi="宋体" w:eastAsia="宋体" w:cs="宋体"/>
                <w:color w:val="auto"/>
                <w:kern w:val="0"/>
                <w:szCs w:val="21"/>
              </w:rPr>
            </w:pPr>
            <w:r>
              <w:rPr>
                <w:rFonts w:hint="eastAsia" w:ascii="宋体" w:hAnsi="宋体" w:eastAsia="宋体" w:cs="宋体"/>
                <w:color w:val="auto"/>
                <w:szCs w:val="21"/>
              </w:rPr>
              <w:t>所投安全及劳保物资品牌</w:t>
            </w:r>
          </w:p>
        </w:tc>
        <w:tc>
          <w:tcPr>
            <w:tcW w:w="3692" w:type="pct"/>
            <w:tcBorders>
              <w:top w:val="single" w:color="auto" w:sz="4" w:space="0"/>
              <w:left w:val="single" w:color="auto" w:sz="4" w:space="0"/>
              <w:bottom w:val="single" w:color="auto" w:sz="4" w:space="0"/>
              <w:right w:val="single" w:color="auto" w:sz="4" w:space="0"/>
            </w:tcBorders>
            <w:vAlign w:val="center"/>
          </w:tcPr>
          <w:p w14:paraId="62BFF4F4">
            <w:pPr>
              <w:keepNext w:val="0"/>
              <w:keepLines w:val="0"/>
              <w:suppressLineNumbers w:val="0"/>
              <w:wordWrap w:val="0"/>
              <w:autoSpaceDE w:val="0"/>
              <w:autoSpaceDN w:val="0"/>
              <w:adjustRightInd w:val="0"/>
              <w:spacing w:before="0" w:beforeAutospacing="0" w:after="0" w:afterAutospacing="0" w:line="360" w:lineRule="auto"/>
              <w:ind w:left="0" w:right="0"/>
              <w:rPr>
                <w:rFonts w:hint="default" w:ascii="宋体" w:hAnsi="宋体" w:eastAsia="宋体" w:cs="宋体"/>
                <w:color w:val="auto"/>
                <w:szCs w:val="21"/>
              </w:rPr>
            </w:pPr>
            <w:r>
              <w:rPr>
                <w:rFonts w:hint="eastAsia" w:ascii="宋体" w:hAnsi="宋体" w:eastAsia="宋体" w:cs="宋体"/>
                <w:color w:val="auto"/>
                <w:szCs w:val="21"/>
              </w:rPr>
              <w:t>对各投标人所投安全及劳保物资的品牌与采购清单中安全及劳保物资推荐品牌的匹配情况进行评审：投标人所投安全及劳保物资的品牌与采购清单中安全及劳保物资推荐品牌都匹配的得满分。每有1项的投标人所投安全及劳保物资的品牌与采购清单中安全及劳保物资推荐品牌不匹配的，扣2分，扣完为止。</w:t>
            </w:r>
          </w:p>
          <w:p w14:paraId="6C02E527">
            <w:pPr>
              <w:keepNext w:val="0"/>
              <w:keepLines w:val="0"/>
              <w:suppressLineNumbers w:val="0"/>
              <w:tabs>
                <w:tab w:val="left" w:pos="134"/>
              </w:tabs>
              <w:snapToGrid w:val="0"/>
              <w:spacing w:before="0" w:beforeAutospacing="0" w:after="0" w:afterAutospacing="0" w:line="360" w:lineRule="auto"/>
              <w:ind w:left="0" w:right="0"/>
              <w:rPr>
                <w:rFonts w:hint="default" w:ascii="宋体" w:hAnsi="宋体" w:eastAsia="宋体" w:cs="宋体"/>
                <w:b/>
                <w:bCs/>
                <w:color w:val="auto"/>
                <w:szCs w:val="21"/>
              </w:rPr>
            </w:pPr>
            <w:r>
              <w:rPr>
                <w:rFonts w:hint="eastAsia" w:ascii="宋体" w:hAnsi="宋体" w:eastAsia="宋体" w:cs="宋体"/>
                <w:b/>
                <w:bCs/>
                <w:color w:val="auto"/>
                <w:szCs w:val="21"/>
              </w:rPr>
              <w:t>备注：</w:t>
            </w:r>
          </w:p>
          <w:p w14:paraId="1FE89A62">
            <w:pPr>
              <w:keepNext w:val="0"/>
              <w:keepLines w:val="0"/>
              <w:suppressLineNumbers w:val="0"/>
              <w:tabs>
                <w:tab w:val="left" w:pos="134"/>
              </w:tabs>
              <w:snapToGrid w:val="0"/>
              <w:spacing w:before="0" w:beforeAutospacing="0" w:after="0" w:afterAutospacing="0" w:line="360" w:lineRule="auto"/>
              <w:ind w:left="0" w:right="0"/>
              <w:rPr>
                <w:rFonts w:hint="default" w:ascii="宋体" w:hAnsi="宋体" w:eastAsia="宋体" w:cs="宋体"/>
                <w:b/>
                <w:bCs/>
                <w:color w:val="auto"/>
                <w:szCs w:val="21"/>
              </w:rPr>
            </w:pPr>
            <w:r>
              <w:rPr>
                <w:rFonts w:hint="eastAsia" w:ascii="宋体" w:hAnsi="宋体" w:eastAsia="宋体" w:cs="宋体"/>
                <w:b/>
                <w:bCs/>
                <w:color w:val="auto"/>
                <w:szCs w:val="21"/>
              </w:rPr>
              <w:t>①投标人应提供投标品牌表，否则不得分。</w:t>
            </w:r>
          </w:p>
          <w:p w14:paraId="6E151ED0">
            <w:pPr>
              <w:keepNext w:val="0"/>
              <w:keepLines w:val="0"/>
              <w:suppressLineNumbers w:val="0"/>
              <w:tabs>
                <w:tab w:val="left" w:pos="134"/>
              </w:tabs>
              <w:snapToGrid w:val="0"/>
              <w:spacing w:before="0" w:beforeAutospacing="0" w:after="0" w:afterAutospacing="0" w:line="360" w:lineRule="auto"/>
              <w:ind w:left="0" w:right="0"/>
              <w:rPr>
                <w:rFonts w:hint="default" w:ascii="等线" w:hAnsi="等线" w:eastAsia="等线" w:cs="Times New Roman"/>
                <w:color w:val="auto"/>
              </w:rPr>
            </w:pPr>
            <w:r>
              <w:rPr>
                <w:rFonts w:hint="eastAsia" w:ascii="宋体" w:hAnsi="宋体" w:eastAsia="宋体" w:cs="宋体"/>
                <w:b/>
                <w:bCs/>
                <w:color w:val="auto"/>
                <w:szCs w:val="21"/>
              </w:rPr>
              <w:t>②投标人所投安全及劳保物资的投标品牌与采购清单中安全及劳保物资的推荐品牌中至少有一个品牌一致的即为匹配；若采购清单中安全及劳保物资的推荐品牌为任意品牌的，投标人所投品牌视为匹配。</w:t>
            </w:r>
          </w:p>
        </w:tc>
        <w:tc>
          <w:tcPr>
            <w:tcW w:w="437" w:type="pct"/>
            <w:tcBorders>
              <w:top w:val="single" w:color="auto" w:sz="4" w:space="0"/>
              <w:left w:val="single" w:color="auto" w:sz="4" w:space="0"/>
              <w:bottom w:val="single" w:color="auto" w:sz="4" w:space="0"/>
              <w:right w:val="single" w:color="auto" w:sz="4" w:space="0"/>
            </w:tcBorders>
            <w:vAlign w:val="center"/>
          </w:tcPr>
          <w:p w14:paraId="35441054">
            <w:pPr>
              <w:keepNext w:val="0"/>
              <w:keepLines w:val="0"/>
              <w:suppressLineNumbers w:val="0"/>
              <w:wordWrap w:val="0"/>
              <w:autoSpaceDE w:val="0"/>
              <w:autoSpaceDN w:val="0"/>
              <w:adjustRightInd w:val="0"/>
              <w:spacing w:before="0" w:beforeAutospacing="0" w:after="0" w:afterAutospacing="0" w:line="360" w:lineRule="exact"/>
              <w:ind w:left="0" w:right="0"/>
              <w:jc w:val="center"/>
              <w:rPr>
                <w:rFonts w:hint="default" w:ascii="宋体" w:hAnsi="宋体" w:eastAsia="宋体" w:cs="宋体"/>
                <w:color w:val="auto"/>
                <w:kern w:val="0"/>
                <w:szCs w:val="21"/>
              </w:rPr>
            </w:pPr>
            <w:r>
              <w:rPr>
                <w:rFonts w:hint="eastAsia" w:ascii="宋体" w:hAnsi="宋体" w:eastAsia="宋体" w:cs="宋体"/>
                <w:color w:val="auto"/>
                <w:szCs w:val="21"/>
                <w:lang w:val="en-US" w:eastAsia="zh-CN"/>
              </w:rPr>
              <w:t>13</w:t>
            </w:r>
            <w:r>
              <w:rPr>
                <w:rFonts w:hint="eastAsia" w:ascii="宋体" w:hAnsi="宋体" w:eastAsia="宋体" w:cs="宋体"/>
                <w:color w:val="auto"/>
                <w:szCs w:val="21"/>
              </w:rPr>
              <w:t>分</w:t>
            </w:r>
          </w:p>
        </w:tc>
      </w:tr>
      <w:tr w14:paraId="54848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3" w:type="pct"/>
            <w:tcBorders>
              <w:top w:val="single" w:color="auto" w:sz="4" w:space="0"/>
              <w:left w:val="single" w:color="auto" w:sz="4" w:space="0"/>
              <w:bottom w:val="single" w:color="auto" w:sz="4" w:space="0"/>
              <w:right w:val="single" w:color="auto" w:sz="4" w:space="0"/>
            </w:tcBorders>
            <w:vAlign w:val="center"/>
          </w:tcPr>
          <w:p w14:paraId="0EF3638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rPr>
            </w:pPr>
            <w:r>
              <w:rPr>
                <w:rFonts w:hint="eastAsia" w:ascii="宋体" w:hAnsi="宋体" w:eastAsia="宋体" w:cs="宋体"/>
                <w:color w:val="auto"/>
                <w:kern w:val="0"/>
                <w:szCs w:val="21"/>
              </w:rPr>
              <w:t>3</w:t>
            </w:r>
          </w:p>
        </w:tc>
        <w:tc>
          <w:tcPr>
            <w:tcW w:w="546" w:type="pct"/>
            <w:tcBorders>
              <w:top w:val="single" w:color="auto" w:sz="4" w:space="0"/>
              <w:left w:val="single" w:color="auto" w:sz="4" w:space="0"/>
              <w:bottom w:val="single" w:color="auto" w:sz="4" w:space="0"/>
              <w:right w:val="single" w:color="auto" w:sz="4" w:space="0"/>
            </w:tcBorders>
            <w:vAlign w:val="center"/>
          </w:tcPr>
          <w:p w14:paraId="05BF2346">
            <w:pPr>
              <w:keepNext w:val="0"/>
              <w:keepLines w:val="0"/>
              <w:suppressLineNumbers w:val="0"/>
              <w:autoSpaceDE w:val="0"/>
              <w:autoSpaceDN w:val="0"/>
              <w:adjustRightInd w:val="0"/>
              <w:spacing w:before="0" w:beforeAutospacing="0" w:after="0" w:afterAutospacing="0" w:line="360" w:lineRule="exact"/>
              <w:ind w:left="0" w:right="0"/>
              <w:jc w:val="center"/>
              <w:rPr>
                <w:rFonts w:hint="default" w:ascii="宋体" w:hAnsi="宋体" w:eastAsia="宋体" w:cs="宋体"/>
                <w:color w:val="auto"/>
                <w:kern w:val="0"/>
                <w:szCs w:val="21"/>
              </w:rPr>
            </w:pPr>
            <w:r>
              <w:rPr>
                <w:rFonts w:hint="eastAsia" w:ascii="宋体" w:hAnsi="宋体" w:eastAsia="宋体" w:cs="宋体"/>
                <w:color w:val="auto"/>
                <w:szCs w:val="21"/>
              </w:rPr>
              <w:t>整体供货服务流程</w:t>
            </w:r>
          </w:p>
        </w:tc>
        <w:tc>
          <w:tcPr>
            <w:tcW w:w="3692" w:type="pct"/>
            <w:tcBorders>
              <w:top w:val="single" w:color="auto" w:sz="4" w:space="0"/>
              <w:left w:val="single" w:color="auto" w:sz="4" w:space="0"/>
              <w:bottom w:val="single" w:color="auto" w:sz="4" w:space="0"/>
              <w:right w:val="single" w:color="auto" w:sz="4" w:space="0"/>
            </w:tcBorders>
            <w:vAlign w:val="center"/>
          </w:tcPr>
          <w:p w14:paraId="0A49E066">
            <w:pPr>
              <w:keepNext w:val="0"/>
              <w:keepLines w:val="0"/>
              <w:suppressLineNumbers w:val="0"/>
              <w:autoSpaceDE w:val="0"/>
              <w:autoSpaceDN w:val="0"/>
              <w:adjustRightInd w:val="0"/>
              <w:spacing w:before="0" w:beforeAutospacing="0" w:after="0" w:afterAutospacing="0" w:line="400" w:lineRule="exact"/>
              <w:ind w:left="0" w:right="0"/>
              <w:rPr>
                <w:rFonts w:hint="default" w:ascii="宋体" w:hAnsi="宋体" w:eastAsia="宋体" w:cs="宋体"/>
                <w:color w:val="auto"/>
                <w:szCs w:val="21"/>
              </w:rPr>
            </w:pPr>
            <w:r>
              <w:rPr>
                <w:rFonts w:hint="eastAsia" w:ascii="宋体" w:hAnsi="宋体" w:eastAsia="宋体" w:cs="宋体"/>
                <w:color w:val="auto"/>
                <w:szCs w:val="21"/>
              </w:rPr>
              <w:t>对各投标人所提供的整体供货服务流程内容是否全面、思路清晰，对本项目工作的重点、难点分析是否准确、透彻，对应措施是否科学、可操作性强，服务计划是否完善、统筹是否合理等进行综合评审：</w:t>
            </w:r>
          </w:p>
          <w:p w14:paraId="42DF8DB1">
            <w:pPr>
              <w:keepNext w:val="0"/>
              <w:keepLines w:val="0"/>
              <w:suppressLineNumbers w:val="0"/>
              <w:autoSpaceDE w:val="0"/>
              <w:autoSpaceDN w:val="0"/>
              <w:adjustRightInd w:val="0"/>
              <w:spacing w:before="0" w:beforeAutospacing="0" w:after="0" w:afterAutospacing="0" w:line="400" w:lineRule="exact"/>
              <w:ind w:left="0" w:right="0"/>
              <w:rPr>
                <w:rFonts w:hint="default" w:ascii="宋体" w:hAnsi="宋体" w:eastAsia="宋体" w:cs="宋体"/>
                <w:color w:val="auto"/>
                <w:szCs w:val="21"/>
              </w:rPr>
            </w:pPr>
            <w:r>
              <w:rPr>
                <w:rFonts w:hint="eastAsia" w:ascii="宋体" w:hAnsi="宋体" w:eastAsia="宋体" w:cs="宋体"/>
                <w:b/>
                <w:bCs/>
                <w:color w:val="auto"/>
                <w:szCs w:val="21"/>
              </w:rPr>
              <w:t>优：</w:t>
            </w:r>
            <w:r>
              <w:rPr>
                <w:rFonts w:hint="eastAsia" w:ascii="宋体" w:hAnsi="宋体" w:eastAsia="宋体" w:cs="宋体"/>
                <w:color w:val="auto"/>
                <w:szCs w:val="21"/>
              </w:rPr>
              <w:t>所提供的整体供货服务流程内容全面、思路清晰，对本项目工作的重点、难点分析准确、透彻，对应措施科学、可操作性强，服务计划完善、统筹合理的，得[</w:t>
            </w:r>
            <w:r>
              <w:rPr>
                <w:rFonts w:hint="eastAsia" w:ascii="宋体" w:hAnsi="宋体" w:eastAsia="宋体" w:cs="宋体"/>
                <w:color w:val="auto"/>
                <w:szCs w:val="21"/>
                <w:lang w:val="en-US" w:eastAsia="zh-CN"/>
              </w:rPr>
              <w:t>3-2</w:t>
            </w:r>
            <w:r>
              <w:rPr>
                <w:rFonts w:hint="eastAsia" w:ascii="宋体" w:hAnsi="宋体" w:eastAsia="宋体" w:cs="宋体"/>
                <w:color w:val="auto"/>
                <w:szCs w:val="21"/>
              </w:rPr>
              <w:t>]分；</w:t>
            </w:r>
          </w:p>
          <w:p w14:paraId="0A087F82">
            <w:pPr>
              <w:keepNext w:val="0"/>
              <w:keepLines w:val="0"/>
              <w:suppressLineNumbers w:val="0"/>
              <w:autoSpaceDE w:val="0"/>
              <w:autoSpaceDN w:val="0"/>
              <w:adjustRightInd w:val="0"/>
              <w:spacing w:before="0" w:beforeAutospacing="0" w:after="0" w:afterAutospacing="0" w:line="400" w:lineRule="exact"/>
              <w:ind w:left="0" w:right="0"/>
              <w:rPr>
                <w:rFonts w:hint="default" w:ascii="宋体" w:hAnsi="宋体" w:eastAsia="宋体" w:cs="宋体"/>
                <w:color w:val="auto"/>
                <w:szCs w:val="21"/>
              </w:rPr>
            </w:pPr>
            <w:r>
              <w:rPr>
                <w:rFonts w:hint="eastAsia" w:ascii="宋体" w:hAnsi="宋体" w:eastAsia="宋体" w:cs="宋体"/>
                <w:b/>
                <w:bCs/>
                <w:color w:val="auto"/>
                <w:szCs w:val="21"/>
              </w:rPr>
              <w:t>良：</w:t>
            </w:r>
            <w:r>
              <w:rPr>
                <w:rFonts w:hint="eastAsia" w:ascii="宋体" w:hAnsi="宋体" w:eastAsia="宋体" w:cs="宋体"/>
                <w:color w:val="auto"/>
                <w:szCs w:val="21"/>
              </w:rPr>
              <w:t>所提供的整体供货服务流程内容较全面、思路较清晰，对本项目工作的重点、难点分析较准确的，对应措施较科学、可操作性较强，服务计划较完善、统筹较合理的，得（</w:t>
            </w:r>
            <w:r>
              <w:rPr>
                <w:rFonts w:hint="eastAsia" w:ascii="宋体" w:hAnsi="宋体" w:eastAsia="宋体" w:cs="宋体"/>
                <w:color w:val="auto"/>
                <w:szCs w:val="21"/>
                <w:lang w:val="en-US" w:eastAsia="zh-CN"/>
              </w:rPr>
              <w:t>2-1.5</w:t>
            </w:r>
            <w:r>
              <w:rPr>
                <w:rFonts w:hint="eastAsia" w:ascii="宋体" w:hAnsi="宋体" w:eastAsia="宋体" w:cs="宋体"/>
                <w:color w:val="auto"/>
                <w:szCs w:val="21"/>
              </w:rPr>
              <w:t>]分；</w:t>
            </w:r>
          </w:p>
          <w:p w14:paraId="2B68C8B4">
            <w:pPr>
              <w:keepNext w:val="0"/>
              <w:keepLines w:val="0"/>
              <w:suppressLineNumbers w:val="0"/>
              <w:autoSpaceDE w:val="0"/>
              <w:autoSpaceDN w:val="0"/>
              <w:adjustRightInd w:val="0"/>
              <w:spacing w:before="0" w:beforeAutospacing="0" w:after="0" w:afterAutospacing="0" w:line="400" w:lineRule="exact"/>
              <w:ind w:left="0" w:right="0"/>
              <w:rPr>
                <w:rFonts w:hint="default" w:ascii="宋体" w:hAnsi="宋体" w:eastAsia="宋体" w:cs="宋体"/>
                <w:color w:val="auto"/>
                <w:szCs w:val="21"/>
              </w:rPr>
            </w:pPr>
            <w:r>
              <w:rPr>
                <w:rFonts w:hint="eastAsia" w:ascii="宋体" w:hAnsi="宋体" w:eastAsia="宋体" w:cs="宋体"/>
                <w:b/>
                <w:bCs/>
                <w:color w:val="auto"/>
                <w:szCs w:val="21"/>
              </w:rPr>
              <w:t>中：</w:t>
            </w:r>
            <w:r>
              <w:rPr>
                <w:rFonts w:hint="eastAsia" w:ascii="宋体" w:hAnsi="宋体" w:eastAsia="宋体" w:cs="宋体"/>
                <w:color w:val="auto"/>
                <w:szCs w:val="21"/>
              </w:rPr>
              <w:t>所提供的整体供货服务流程有基本内容，对本项目工作的重点、难点有基本分析的，有基本的对应措施，有基本的服务计划的，得（</w:t>
            </w:r>
            <w:r>
              <w:rPr>
                <w:rFonts w:hint="eastAsia" w:ascii="宋体" w:hAnsi="宋体" w:eastAsia="宋体" w:cs="宋体"/>
                <w:color w:val="auto"/>
                <w:szCs w:val="21"/>
                <w:lang w:eastAsia="zh-CN"/>
              </w:rPr>
              <w:t>1</w:t>
            </w:r>
            <w:r>
              <w:rPr>
                <w:rFonts w:hint="eastAsia" w:ascii="宋体" w:hAnsi="宋体" w:eastAsia="宋体" w:cs="宋体"/>
                <w:color w:val="auto"/>
                <w:szCs w:val="21"/>
                <w:lang w:val="en-US" w:eastAsia="zh-CN"/>
              </w:rPr>
              <w:t>.5</w:t>
            </w:r>
            <w:r>
              <w:rPr>
                <w:rFonts w:hint="eastAsia" w:ascii="宋体" w:hAnsi="宋体" w:eastAsia="宋体" w:cs="宋体"/>
                <w:color w:val="auto"/>
                <w:szCs w:val="21"/>
              </w:rPr>
              <w:t>-1]分；</w:t>
            </w:r>
          </w:p>
          <w:p w14:paraId="0F1C0035">
            <w:pPr>
              <w:keepNext w:val="0"/>
              <w:keepLines w:val="0"/>
              <w:suppressLineNumbers w:val="0"/>
              <w:autoSpaceDE w:val="0"/>
              <w:autoSpaceDN w:val="0"/>
              <w:adjustRightInd w:val="0"/>
              <w:spacing w:before="0" w:beforeAutospacing="0" w:after="0" w:afterAutospacing="0" w:line="400" w:lineRule="exact"/>
              <w:ind w:left="0" w:right="0"/>
              <w:rPr>
                <w:rFonts w:hint="default" w:ascii="宋体" w:hAnsi="宋体" w:eastAsia="宋体" w:cs="宋体"/>
                <w:color w:val="auto"/>
                <w:kern w:val="0"/>
                <w:szCs w:val="21"/>
              </w:rPr>
            </w:pPr>
            <w:r>
              <w:rPr>
                <w:rFonts w:hint="eastAsia" w:ascii="宋体" w:hAnsi="宋体" w:eastAsia="宋体" w:cs="宋体"/>
                <w:b/>
                <w:bCs/>
                <w:color w:val="auto"/>
                <w:szCs w:val="21"/>
              </w:rPr>
              <w:t>差：</w:t>
            </w:r>
            <w:r>
              <w:rPr>
                <w:rFonts w:hint="eastAsia" w:ascii="宋体" w:hAnsi="宋体" w:eastAsia="宋体" w:cs="宋体"/>
                <w:color w:val="auto"/>
                <w:szCs w:val="21"/>
              </w:rPr>
              <w:t>所提供的整体供货服务流程内容不全，对本项目工作的重点、难点分析不准确的，对应措施内容不全，服务计划不全的，得（1-0]分。</w:t>
            </w:r>
          </w:p>
        </w:tc>
        <w:tc>
          <w:tcPr>
            <w:tcW w:w="437" w:type="pct"/>
            <w:tcBorders>
              <w:top w:val="single" w:color="auto" w:sz="4" w:space="0"/>
              <w:left w:val="single" w:color="auto" w:sz="4" w:space="0"/>
              <w:bottom w:val="single" w:color="auto" w:sz="4" w:space="0"/>
              <w:right w:val="single" w:color="auto" w:sz="4" w:space="0"/>
            </w:tcBorders>
            <w:vAlign w:val="center"/>
          </w:tcPr>
          <w:p w14:paraId="368CB49E">
            <w:pPr>
              <w:keepNext w:val="0"/>
              <w:keepLines w:val="0"/>
              <w:suppressLineNumbers w:val="0"/>
              <w:autoSpaceDE w:val="0"/>
              <w:autoSpaceDN w:val="0"/>
              <w:adjustRightInd w:val="0"/>
              <w:spacing w:before="0" w:beforeAutospacing="0" w:after="0" w:afterAutospacing="0" w:line="360" w:lineRule="exact"/>
              <w:ind w:left="0" w:right="0"/>
              <w:jc w:val="center"/>
              <w:rPr>
                <w:rFonts w:hint="default" w:ascii="宋体" w:hAnsi="宋体" w:eastAsia="宋体" w:cs="宋体"/>
                <w:color w:val="auto"/>
                <w:kern w:val="0"/>
                <w:szCs w:val="21"/>
              </w:rPr>
            </w:pPr>
            <w:r>
              <w:rPr>
                <w:rFonts w:hint="eastAsia" w:ascii="宋体" w:hAnsi="宋体" w:eastAsia="宋体" w:cs="宋体"/>
                <w:color w:val="auto"/>
                <w:szCs w:val="21"/>
                <w:lang w:val="en-US" w:eastAsia="zh-CN"/>
              </w:rPr>
              <w:t>3</w:t>
            </w:r>
            <w:r>
              <w:rPr>
                <w:rFonts w:hint="eastAsia" w:ascii="宋体" w:hAnsi="宋体" w:eastAsia="宋体" w:cs="宋体"/>
                <w:color w:val="auto"/>
                <w:szCs w:val="21"/>
              </w:rPr>
              <w:t>分</w:t>
            </w:r>
          </w:p>
        </w:tc>
      </w:tr>
      <w:tr w14:paraId="2E76E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3" w:type="pct"/>
            <w:tcBorders>
              <w:top w:val="single" w:color="auto" w:sz="4" w:space="0"/>
              <w:left w:val="single" w:color="auto" w:sz="4" w:space="0"/>
              <w:bottom w:val="single" w:color="auto" w:sz="4" w:space="0"/>
              <w:right w:val="single" w:color="auto" w:sz="4" w:space="0"/>
            </w:tcBorders>
            <w:vAlign w:val="center"/>
          </w:tcPr>
          <w:p w14:paraId="36D0425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rPr>
            </w:pPr>
            <w:r>
              <w:rPr>
                <w:rFonts w:hint="eastAsia" w:ascii="宋体" w:hAnsi="宋体" w:eastAsia="宋体" w:cs="宋体"/>
                <w:color w:val="auto"/>
                <w:kern w:val="0"/>
                <w:szCs w:val="21"/>
              </w:rPr>
              <w:t>4</w:t>
            </w:r>
          </w:p>
        </w:tc>
        <w:tc>
          <w:tcPr>
            <w:tcW w:w="546" w:type="pct"/>
            <w:tcBorders>
              <w:top w:val="single" w:color="auto" w:sz="4" w:space="0"/>
              <w:left w:val="single" w:color="auto" w:sz="4" w:space="0"/>
              <w:bottom w:val="single" w:color="auto" w:sz="4" w:space="0"/>
              <w:right w:val="single" w:color="auto" w:sz="4" w:space="0"/>
            </w:tcBorders>
            <w:vAlign w:val="center"/>
          </w:tcPr>
          <w:p w14:paraId="6AB1F66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rPr>
            </w:pPr>
            <w:r>
              <w:rPr>
                <w:rFonts w:hint="eastAsia" w:ascii="宋体" w:hAnsi="宋体" w:eastAsia="宋体" w:cs="宋体"/>
                <w:color w:val="auto"/>
                <w:szCs w:val="21"/>
                <w:lang w:val="zh-CN"/>
              </w:rPr>
              <w:t>供货计划及进度保证措施方案</w:t>
            </w:r>
          </w:p>
        </w:tc>
        <w:tc>
          <w:tcPr>
            <w:tcW w:w="3692" w:type="pct"/>
            <w:tcBorders>
              <w:top w:val="single" w:color="auto" w:sz="4" w:space="0"/>
              <w:left w:val="single" w:color="auto" w:sz="4" w:space="0"/>
              <w:bottom w:val="single" w:color="auto" w:sz="4" w:space="0"/>
              <w:right w:val="single" w:color="auto" w:sz="4" w:space="0"/>
            </w:tcBorders>
            <w:vAlign w:val="center"/>
          </w:tcPr>
          <w:p w14:paraId="7E2B96F5">
            <w:pPr>
              <w:keepNext w:val="0"/>
              <w:keepLines w:val="0"/>
              <w:suppressLineNumbers w:val="0"/>
              <w:autoSpaceDE w:val="0"/>
              <w:autoSpaceDN w:val="0"/>
              <w:adjustRightInd w:val="0"/>
              <w:spacing w:before="0" w:beforeAutospacing="0" w:after="0" w:afterAutospacing="0" w:line="400" w:lineRule="exact"/>
              <w:ind w:left="0" w:right="0"/>
              <w:rPr>
                <w:rFonts w:hint="default" w:ascii="宋体" w:hAnsi="宋体" w:eastAsia="宋体" w:cs="宋体"/>
                <w:color w:val="auto"/>
                <w:szCs w:val="21"/>
              </w:rPr>
            </w:pPr>
            <w:r>
              <w:rPr>
                <w:rFonts w:hint="eastAsia" w:ascii="宋体" w:hAnsi="宋体" w:eastAsia="宋体" w:cs="宋体"/>
                <w:color w:val="auto"/>
                <w:szCs w:val="21"/>
              </w:rPr>
              <w:t>对各投标人所提供的供货计划是否实质性满足或优于本项目需求，进度保证措施具体、可行性进行综合评审：</w:t>
            </w:r>
          </w:p>
          <w:p w14:paraId="7E825EC9">
            <w:pPr>
              <w:keepNext w:val="0"/>
              <w:keepLines w:val="0"/>
              <w:suppressLineNumbers w:val="0"/>
              <w:autoSpaceDE w:val="0"/>
              <w:autoSpaceDN w:val="0"/>
              <w:adjustRightInd w:val="0"/>
              <w:spacing w:before="0" w:beforeAutospacing="0" w:after="0" w:afterAutospacing="0" w:line="400" w:lineRule="exact"/>
              <w:ind w:left="0" w:right="0"/>
              <w:rPr>
                <w:rFonts w:hint="default" w:ascii="宋体" w:hAnsi="宋体" w:eastAsia="宋体" w:cs="宋体"/>
                <w:color w:val="auto"/>
                <w:szCs w:val="21"/>
              </w:rPr>
            </w:pPr>
            <w:r>
              <w:rPr>
                <w:rFonts w:hint="eastAsia" w:ascii="宋体" w:hAnsi="宋体" w:eastAsia="宋体" w:cs="宋体"/>
                <w:b/>
                <w:bCs/>
                <w:color w:val="auto"/>
                <w:szCs w:val="21"/>
              </w:rPr>
              <w:t>优：</w:t>
            </w:r>
            <w:r>
              <w:rPr>
                <w:rFonts w:hint="eastAsia" w:ascii="宋体" w:hAnsi="宋体" w:eastAsia="宋体" w:cs="宋体"/>
                <w:color w:val="auto"/>
                <w:szCs w:val="21"/>
              </w:rPr>
              <w:t>所提供的供货计划优于本项目需求，进度保证措施具体、可行性强的，得[</w:t>
            </w:r>
            <w:r>
              <w:rPr>
                <w:rFonts w:hint="eastAsia" w:ascii="宋体" w:hAnsi="宋体" w:eastAsia="宋体" w:cs="宋体"/>
                <w:color w:val="auto"/>
                <w:szCs w:val="21"/>
                <w:lang w:val="en-US" w:eastAsia="zh-CN"/>
              </w:rPr>
              <w:t>3-2</w:t>
            </w:r>
            <w:r>
              <w:rPr>
                <w:rFonts w:hint="eastAsia" w:ascii="宋体" w:hAnsi="宋体" w:eastAsia="宋体" w:cs="宋体"/>
                <w:color w:val="auto"/>
                <w:szCs w:val="21"/>
              </w:rPr>
              <w:t>]分；</w:t>
            </w:r>
          </w:p>
          <w:p w14:paraId="42E2FAE3">
            <w:pPr>
              <w:keepNext w:val="0"/>
              <w:keepLines w:val="0"/>
              <w:suppressLineNumbers w:val="0"/>
              <w:autoSpaceDE w:val="0"/>
              <w:autoSpaceDN w:val="0"/>
              <w:adjustRightInd w:val="0"/>
              <w:spacing w:before="0" w:beforeAutospacing="0" w:after="0" w:afterAutospacing="0" w:line="400" w:lineRule="exact"/>
              <w:ind w:left="0" w:right="0"/>
              <w:rPr>
                <w:rFonts w:hint="default" w:ascii="宋体" w:hAnsi="宋体" w:eastAsia="宋体" w:cs="宋体"/>
                <w:color w:val="auto"/>
                <w:szCs w:val="21"/>
              </w:rPr>
            </w:pPr>
            <w:r>
              <w:rPr>
                <w:rFonts w:hint="eastAsia" w:ascii="宋体" w:hAnsi="宋体" w:eastAsia="宋体" w:cs="宋体"/>
                <w:b/>
                <w:bCs/>
                <w:color w:val="auto"/>
                <w:szCs w:val="21"/>
              </w:rPr>
              <w:t>良：</w:t>
            </w:r>
            <w:r>
              <w:rPr>
                <w:rFonts w:hint="eastAsia" w:ascii="宋体" w:hAnsi="宋体" w:eastAsia="宋体" w:cs="宋体"/>
                <w:color w:val="auto"/>
                <w:szCs w:val="21"/>
              </w:rPr>
              <w:t>所提供的供货计划实质性满足本项目需求，进度保证措施较具体、可行性较强的，得（</w:t>
            </w:r>
            <w:r>
              <w:rPr>
                <w:rFonts w:hint="eastAsia" w:ascii="宋体" w:hAnsi="宋体" w:eastAsia="宋体" w:cs="宋体"/>
                <w:color w:val="auto"/>
                <w:szCs w:val="21"/>
                <w:lang w:val="en-US" w:eastAsia="zh-CN"/>
              </w:rPr>
              <w:t>2-1.5</w:t>
            </w:r>
            <w:r>
              <w:rPr>
                <w:rFonts w:hint="eastAsia" w:ascii="宋体" w:hAnsi="宋体" w:eastAsia="宋体" w:cs="宋体"/>
                <w:color w:val="auto"/>
                <w:szCs w:val="21"/>
              </w:rPr>
              <w:t>]分；</w:t>
            </w:r>
          </w:p>
          <w:p w14:paraId="5B94647B">
            <w:pPr>
              <w:keepNext w:val="0"/>
              <w:keepLines w:val="0"/>
              <w:suppressLineNumbers w:val="0"/>
              <w:autoSpaceDE w:val="0"/>
              <w:autoSpaceDN w:val="0"/>
              <w:adjustRightInd w:val="0"/>
              <w:spacing w:before="0" w:beforeAutospacing="0" w:after="0" w:afterAutospacing="0" w:line="400" w:lineRule="exact"/>
              <w:ind w:left="0" w:right="0"/>
              <w:rPr>
                <w:rFonts w:hint="default" w:ascii="宋体" w:hAnsi="宋体" w:eastAsia="宋体" w:cs="宋体"/>
                <w:color w:val="auto"/>
                <w:szCs w:val="21"/>
              </w:rPr>
            </w:pPr>
            <w:r>
              <w:rPr>
                <w:rFonts w:hint="eastAsia" w:ascii="宋体" w:hAnsi="宋体" w:eastAsia="宋体" w:cs="宋体"/>
                <w:b/>
                <w:bCs/>
                <w:color w:val="auto"/>
                <w:szCs w:val="21"/>
              </w:rPr>
              <w:t>中：</w:t>
            </w:r>
            <w:r>
              <w:rPr>
                <w:rFonts w:hint="eastAsia" w:ascii="宋体" w:hAnsi="宋体" w:eastAsia="宋体" w:cs="宋体"/>
                <w:color w:val="auto"/>
                <w:szCs w:val="21"/>
              </w:rPr>
              <w:t>所提供的供货计划基本满足本项目需求，进度保证措施一般的，得（</w:t>
            </w:r>
            <w:r>
              <w:rPr>
                <w:rFonts w:hint="eastAsia" w:ascii="宋体" w:hAnsi="宋体" w:eastAsia="宋体" w:cs="宋体"/>
                <w:color w:val="auto"/>
                <w:szCs w:val="21"/>
                <w:lang w:val="en-US" w:eastAsia="zh-CN"/>
              </w:rPr>
              <w:t>1.5</w:t>
            </w:r>
            <w:r>
              <w:rPr>
                <w:rFonts w:hint="eastAsia" w:ascii="宋体" w:hAnsi="宋体" w:eastAsia="宋体" w:cs="宋体"/>
                <w:color w:val="auto"/>
                <w:szCs w:val="21"/>
              </w:rPr>
              <w:t>-1]分；</w:t>
            </w:r>
          </w:p>
          <w:p w14:paraId="7A634464">
            <w:pPr>
              <w:keepNext w:val="0"/>
              <w:keepLines w:val="0"/>
              <w:suppressLineNumbers w:val="0"/>
              <w:autoSpaceDE w:val="0"/>
              <w:autoSpaceDN w:val="0"/>
              <w:adjustRightInd w:val="0"/>
              <w:spacing w:before="0" w:beforeAutospacing="0" w:after="0" w:afterAutospacing="0" w:line="400" w:lineRule="exact"/>
              <w:ind w:left="0" w:right="0"/>
              <w:rPr>
                <w:rFonts w:hint="default" w:ascii="宋体" w:hAnsi="宋体" w:eastAsia="宋体" w:cs="宋体"/>
                <w:color w:val="auto"/>
                <w:kern w:val="0"/>
                <w:szCs w:val="21"/>
              </w:rPr>
            </w:pPr>
            <w:r>
              <w:rPr>
                <w:rFonts w:hint="eastAsia" w:ascii="宋体" w:hAnsi="宋体" w:eastAsia="宋体" w:cs="宋体"/>
                <w:b/>
                <w:bCs/>
                <w:color w:val="auto"/>
                <w:szCs w:val="21"/>
              </w:rPr>
              <w:t>差：</w:t>
            </w:r>
            <w:r>
              <w:rPr>
                <w:rFonts w:hint="eastAsia" w:ascii="宋体" w:hAnsi="宋体" w:eastAsia="宋体" w:cs="宋体"/>
                <w:color w:val="auto"/>
                <w:szCs w:val="21"/>
              </w:rPr>
              <w:t>所提供的供货计划不满足本项目需求，进度保证措施差的，得（1-0]分。</w:t>
            </w:r>
          </w:p>
        </w:tc>
        <w:tc>
          <w:tcPr>
            <w:tcW w:w="437" w:type="pct"/>
            <w:tcBorders>
              <w:top w:val="single" w:color="auto" w:sz="4" w:space="0"/>
              <w:left w:val="single" w:color="auto" w:sz="4" w:space="0"/>
              <w:bottom w:val="single" w:color="auto" w:sz="4" w:space="0"/>
              <w:right w:val="single" w:color="auto" w:sz="4" w:space="0"/>
            </w:tcBorders>
            <w:vAlign w:val="center"/>
          </w:tcPr>
          <w:p w14:paraId="53AC8D0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rPr>
            </w:pPr>
            <w:r>
              <w:rPr>
                <w:rFonts w:hint="eastAsia" w:ascii="宋体" w:hAnsi="宋体" w:eastAsia="宋体" w:cs="宋体"/>
                <w:color w:val="auto"/>
                <w:szCs w:val="21"/>
                <w:lang w:val="en-US" w:eastAsia="zh-CN"/>
              </w:rPr>
              <w:t>3</w:t>
            </w:r>
            <w:r>
              <w:rPr>
                <w:rFonts w:hint="eastAsia" w:ascii="宋体" w:hAnsi="宋体" w:eastAsia="宋体" w:cs="宋体"/>
                <w:color w:val="auto"/>
                <w:szCs w:val="21"/>
              </w:rPr>
              <w:t>分</w:t>
            </w:r>
          </w:p>
        </w:tc>
      </w:tr>
      <w:tr w14:paraId="66C8F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3" w:type="pct"/>
            <w:tcBorders>
              <w:top w:val="single" w:color="auto" w:sz="4" w:space="0"/>
              <w:left w:val="single" w:color="auto" w:sz="4" w:space="0"/>
              <w:bottom w:val="single" w:color="auto" w:sz="4" w:space="0"/>
              <w:right w:val="single" w:color="auto" w:sz="4" w:space="0"/>
            </w:tcBorders>
            <w:vAlign w:val="center"/>
          </w:tcPr>
          <w:p w14:paraId="63CA1EF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rPr>
            </w:pPr>
            <w:r>
              <w:rPr>
                <w:rFonts w:hint="eastAsia" w:ascii="宋体" w:hAnsi="宋体" w:eastAsia="宋体" w:cs="宋体"/>
                <w:color w:val="auto"/>
                <w:kern w:val="0"/>
                <w:szCs w:val="21"/>
              </w:rPr>
              <w:t>5</w:t>
            </w:r>
          </w:p>
        </w:tc>
        <w:tc>
          <w:tcPr>
            <w:tcW w:w="546" w:type="pct"/>
            <w:tcBorders>
              <w:top w:val="single" w:color="auto" w:sz="4" w:space="0"/>
              <w:left w:val="single" w:color="auto" w:sz="4" w:space="0"/>
              <w:bottom w:val="single" w:color="auto" w:sz="4" w:space="0"/>
              <w:right w:val="single" w:color="auto" w:sz="4" w:space="0"/>
            </w:tcBorders>
            <w:vAlign w:val="center"/>
          </w:tcPr>
          <w:p w14:paraId="39272991">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rPr>
            </w:pPr>
            <w:r>
              <w:rPr>
                <w:rFonts w:hint="eastAsia" w:ascii="宋体" w:hAnsi="宋体" w:eastAsia="宋体" w:cs="宋体"/>
                <w:color w:val="auto"/>
                <w:szCs w:val="21"/>
              </w:rPr>
              <w:t>售后服务质量保证和承诺</w:t>
            </w:r>
          </w:p>
        </w:tc>
        <w:tc>
          <w:tcPr>
            <w:tcW w:w="3692" w:type="pct"/>
            <w:tcBorders>
              <w:top w:val="single" w:color="auto" w:sz="4" w:space="0"/>
              <w:left w:val="single" w:color="auto" w:sz="4" w:space="0"/>
              <w:bottom w:val="single" w:color="auto" w:sz="4" w:space="0"/>
              <w:right w:val="single" w:color="auto" w:sz="4" w:space="0"/>
            </w:tcBorders>
            <w:vAlign w:val="center"/>
          </w:tcPr>
          <w:p w14:paraId="34A57875">
            <w:pPr>
              <w:keepNext w:val="0"/>
              <w:keepLines w:val="0"/>
              <w:suppressLineNumbers w:val="0"/>
              <w:autoSpaceDE w:val="0"/>
              <w:autoSpaceDN w:val="0"/>
              <w:adjustRightInd w:val="0"/>
              <w:spacing w:before="0" w:beforeAutospacing="0" w:after="0" w:afterAutospacing="0" w:line="360" w:lineRule="auto"/>
              <w:ind w:left="0" w:right="-28"/>
              <w:jc w:val="left"/>
              <w:rPr>
                <w:rFonts w:hint="default" w:ascii="宋体" w:hAnsi="宋体" w:eastAsia="宋体" w:cs="宋体"/>
                <w:bCs/>
                <w:color w:val="auto"/>
                <w:szCs w:val="21"/>
                <w:lang w:val="zh-CN"/>
              </w:rPr>
            </w:pPr>
            <w:r>
              <w:rPr>
                <w:rFonts w:hint="eastAsia" w:ascii="宋体" w:hAnsi="宋体" w:eastAsia="宋体" w:cs="宋体"/>
                <w:bCs/>
                <w:color w:val="auto"/>
                <w:szCs w:val="21"/>
                <w:lang w:val="zh-CN"/>
              </w:rPr>
              <w:t>对各投标人的售后服务质量保证和承诺方案内容的完整性、可行性，售后服务机构的便利性、技术服务人员数量及水平，以及服务响应时间等方面进行综合评审：</w:t>
            </w:r>
          </w:p>
          <w:p w14:paraId="0B03F701">
            <w:pPr>
              <w:keepNext w:val="0"/>
              <w:keepLines w:val="0"/>
              <w:suppressLineNumbers w:val="0"/>
              <w:autoSpaceDE w:val="0"/>
              <w:autoSpaceDN w:val="0"/>
              <w:adjustRightInd w:val="0"/>
              <w:spacing w:before="0" w:beforeAutospacing="0" w:after="0" w:afterAutospacing="0" w:line="360" w:lineRule="auto"/>
              <w:ind w:left="0" w:right="-28"/>
              <w:jc w:val="left"/>
              <w:rPr>
                <w:rFonts w:hint="default" w:ascii="宋体" w:hAnsi="宋体" w:eastAsia="宋体" w:cs="宋体"/>
                <w:bCs/>
                <w:color w:val="auto"/>
                <w:szCs w:val="21"/>
                <w:lang w:val="zh-CN"/>
              </w:rPr>
            </w:pPr>
            <w:r>
              <w:rPr>
                <w:rFonts w:hint="eastAsia" w:ascii="宋体" w:hAnsi="宋体" w:eastAsia="宋体" w:cs="宋体"/>
                <w:b/>
                <w:color w:val="auto"/>
                <w:szCs w:val="21"/>
                <w:lang w:val="zh-CN"/>
              </w:rPr>
              <w:t>优：</w:t>
            </w:r>
            <w:r>
              <w:rPr>
                <w:rFonts w:hint="eastAsia" w:ascii="宋体" w:hAnsi="宋体" w:eastAsia="宋体" w:cs="宋体"/>
                <w:bCs/>
                <w:color w:val="auto"/>
                <w:szCs w:val="21"/>
                <w:lang w:val="zh-CN"/>
              </w:rPr>
              <w:t>非常详实完善、科学合理和保障及时充分，得[</w:t>
            </w:r>
            <w:r>
              <w:rPr>
                <w:rFonts w:hint="eastAsia" w:ascii="宋体" w:hAnsi="宋体" w:eastAsia="宋体" w:cs="宋体"/>
                <w:bCs/>
                <w:color w:val="auto"/>
                <w:szCs w:val="21"/>
                <w:lang w:val="en-US" w:eastAsia="zh-CN"/>
              </w:rPr>
              <w:t>2-1.5</w:t>
            </w:r>
            <w:r>
              <w:rPr>
                <w:rFonts w:hint="eastAsia" w:ascii="宋体" w:hAnsi="宋体" w:eastAsia="宋体" w:cs="宋体"/>
                <w:bCs/>
                <w:color w:val="auto"/>
                <w:szCs w:val="21"/>
                <w:lang w:val="zh-CN"/>
              </w:rPr>
              <w:t>]分；</w:t>
            </w:r>
          </w:p>
          <w:p w14:paraId="6F9319D0">
            <w:pPr>
              <w:keepNext w:val="0"/>
              <w:keepLines w:val="0"/>
              <w:suppressLineNumbers w:val="0"/>
              <w:autoSpaceDE w:val="0"/>
              <w:autoSpaceDN w:val="0"/>
              <w:adjustRightInd w:val="0"/>
              <w:spacing w:before="0" w:beforeAutospacing="0" w:after="0" w:afterAutospacing="0" w:line="360" w:lineRule="auto"/>
              <w:ind w:left="0" w:right="-28"/>
              <w:jc w:val="left"/>
              <w:rPr>
                <w:rFonts w:hint="default" w:ascii="宋体" w:hAnsi="宋体" w:eastAsia="宋体" w:cs="宋体"/>
                <w:bCs/>
                <w:color w:val="auto"/>
                <w:szCs w:val="21"/>
                <w:lang w:val="zh-CN"/>
              </w:rPr>
            </w:pPr>
            <w:r>
              <w:rPr>
                <w:rFonts w:hint="eastAsia" w:ascii="宋体" w:hAnsi="宋体" w:eastAsia="宋体" w:cs="宋体"/>
                <w:b/>
                <w:color w:val="auto"/>
                <w:szCs w:val="21"/>
                <w:lang w:val="zh-CN"/>
              </w:rPr>
              <w:t>良：</w:t>
            </w:r>
            <w:r>
              <w:rPr>
                <w:rFonts w:hint="eastAsia" w:ascii="宋体" w:hAnsi="宋体" w:eastAsia="宋体" w:cs="宋体"/>
                <w:bCs/>
                <w:color w:val="auto"/>
                <w:szCs w:val="21"/>
                <w:lang w:val="zh-CN"/>
              </w:rPr>
              <w:t>比较详实完善、可行性较好、保障性和及时性较佳，得（</w:t>
            </w:r>
            <w:r>
              <w:rPr>
                <w:rFonts w:hint="eastAsia" w:ascii="宋体" w:hAnsi="宋体" w:eastAsia="宋体" w:cs="宋体"/>
                <w:bCs/>
                <w:color w:val="auto"/>
                <w:szCs w:val="21"/>
                <w:lang w:val="en-US" w:eastAsia="zh-CN"/>
              </w:rPr>
              <w:t>1.5</w:t>
            </w:r>
            <w:r>
              <w:rPr>
                <w:rFonts w:hint="eastAsia" w:ascii="宋体" w:hAnsi="宋体" w:eastAsia="宋体" w:cs="宋体"/>
                <w:bCs/>
                <w:color w:val="auto"/>
                <w:szCs w:val="21"/>
                <w:lang w:val="zh-CN"/>
              </w:rPr>
              <w:t>-</w:t>
            </w:r>
            <w:r>
              <w:rPr>
                <w:rFonts w:hint="eastAsia" w:ascii="宋体" w:hAnsi="宋体" w:eastAsia="宋体" w:cs="宋体"/>
                <w:bCs/>
                <w:color w:val="auto"/>
                <w:szCs w:val="21"/>
                <w:lang w:val="en-US" w:eastAsia="zh-CN"/>
              </w:rPr>
              <w:t>1</w:t>
            </w:r>
            <w:r>
              <w:rPr>
                <w:rFonts w:hint="eastAsia" w:ascii="宋体" w:hAnsi="宋体" w:eastAsia="宋体" w:cs="宋体"/>
                <w:bCs/>
                <w:color w:val="auto"/>
                <w:szCs w:val="21"/>
                <w:lang w:val="zh-CN"/>
              </w:rPr>
              <w:t>]分；</w:t>
            </w:r>
          </w:p>
          <w:p w14:paraId="6BF93E59">
            <w:pPr>
              <w:keepNext w:val="0"/>
              <w:keepLines w:val="0"/>
              <w:suppressLineNumbers w:val="0"/>
              <w:autoSpaceDE w:val="0"/>
              <w:autoSpaceDN w:val="0"/>
              <w:adjustRightInd w:val="0"/>
              <w:spacing w:before="0" w:beforeAutospacing="0" w:after="0" w:afterAutospacing="0" w:line="360" w:lineRule="auto"/>
              <w:ind w:left="0" w:right="-28"/>
              <w:jc w:val="left"/>
              <w:rPr>
                <w:rFonts w:hint="default" w:ascii="宋体" w:hAnsi="宋体" w:eastAsia="宋体" w:cs="宋体"/>
                <w:bCs/>
                <w:color w:val="auto"/>
                <w:szCs w:val="21"/>
                <w:lang w:val="zh-CN"/>
              </w:rPr>
            </w:pPr>
            <w:r>
              <w:rPr>
                <w:rFonts w:hint="eastAsia" w:ascii="宋体" w:hAnsi="宋体" w:eastAsia="宋体" w:cs="宋体"/>
                <w:b/>
                <w:color w:val="auto"/>
                <w:szCs w:val="21"/>
                <w:lang w:val="zh-CN"/>
              </w:rPr>
              <w:t>中：</w:t>
            </w:r>
            <w:r>
              <w:rPr>
                <w:rFonts w:hint="eastAsia" w:ascii="宋体" w:hAnsi="宋体" w:eastAsia="宋体" w:cs="宋体"/>
                <w:bCs/>
                <w:color w:val="auto"/>
                <w:szCs w:val="21"/>
                <w:lang w:val="zh-CN"/>
              </w:rPr>
              <w:t>有基本内容、可行性一般、保障性和及时性一般，得（</w:t>
            </w:r>
            <w:r>
              <w:rPr>
                <w:rFonts w:hint="eastAsia" w:ascii="宋体" w:hAnsi="宋体" w:eastAsia="宋体" w:cs="宋体"/>
                <w:bCs/>
                <w:color w:val="auto"/>
                <w:szCs w:val="21"/>
                <w:lang w:val="en-US" w:eastAsia="zh-CN"/>
              </w:rPr>
              <w:t>1-0.5</w:t>
            </w:r>
            <w:r>
              <w:rPr>
                <w:rFonts w:hint="eastAsia" w:ascii="宋体" w:hAnsi="宋体" w:eastAsia="宋体" w:cs="宋体"/>
                <w:bCs/>
                <w:color w:val="auto"/>
                <w:szCs w:val="21"/>
                <w:lang w:val="zh-CN"/>
              </w:rPr>
              <w:t>]分；</w:t>
            </w:r>
          </w:p>
          <w:p w14:paraId="51517430">
            <w:pPr>
              <w:keepNext w:val="0"/>
              <w:keepLines w:val="0"/>
              <w:suppressLineNumbers w:val="0"/>
              <w:autoSpaceDE w:val="0"/>
              <w:autoSpaceDN w:val="0"/>
              <w:adjustRightInd w:val="0"/>
              <w:spacing w:before="0" w:beforeAutospacing="0" w:after="0" w:afterAutospacing="0" w:line="360" w:lineRule="auto"/>
              <w:ind w:left="0" w:right="-28"/>
              <w:jc w:val="left"/>
              <w:rPr>
                <w:rFonts w:hint="default" w:ascii="宋体" w:hAnsi="宋体" w:eastAsia="宋体" w:cs="宋体"/>
                <w:b/>
                <w:bCs/>
                <w:color w:val="auto"/>
                <w:kern w:val="0"/>
                <w:szCs w:val="21"/>
                <w:lang w:val="zh-CN"/>
              </w:rPr>
            </w:pPr>
            <w:r>
              <w:rPr>
                <w:rFonts w:hint="eastAsia" w:ascii="宋体" w:hAnsi="宋体" w:eastAsia="宋体" w:cs="宋体"/>
                <w:b/>
                <w:color w:val="auto"/>
                <w:szCs w:val="21"/>
                <w:lang w:val="zh-CN"/>
              </w:rPr>
              <w:t>差：</w:t>
            </w:r>
            <w:r>
              <w:rPr>
                <w:rFonts w:hint="eastAsia" w:ascii="宋体" w:hAnsi="宋体" w:eastAsia="宋体" w:cs="宋体"/>
                <w:bCs/>
                <w:color w:val="auto"/>
                <w:szCs w:val="21"/>
                <w:lang w:val="zh-CN"/>
              </w:rPr>
              <w:t>内容存在缺失、可行性较低、保障性和及时性较差，得（</w:t>
            </w:r>
            <w:r>
              <w:rPr>
                <w:rFonts w:hint="eastAsia" w:ascii="宋体" w:hAnsi="宋体" w:eastAsia="宋体" w:cs="宋体"/>
                <w:bCs/>
                <w:color w:val="auto"/>
                <w:szCs w:val="21"/>
                <w:lang w:val="en-US" w:eastAsia="zh-CN"/>
              </w:rPr>
              <w:t>0.5-0</w:t>
            </w:r>
            <w:r>
              <w:rPr>
                <w:rFonts w:hint="eastAsia" w:ascii="宋体" w:hAnsi="宋体" w:eastAsia="宋体" w:cs="宋体"/>
                <w:bCs/>
                <w:color w:val="auto"/>
                <w:szCs w:val="21"/>
                <w:lang w:val="zh-CN"/>
              </w:rPr>
              <w:t>]分。</w:t>
            </w:r>
          </w:p>
        </w:tc>
        <w:tc>
          <w:tcPr>
            <w:tcW w:w="437" w:type="pct"/>
            <w:tcBorders>
              <w:top w:val="single" w:color="auto" w:sz="4" w:space="0"/>
              <w:left w:val="single" w:color="auto" w:sz="4" w:space="0"/>
              <w:bottom w:val="single" w:color="auto" w:sz="4" w:space="0"/>
              <w:right w:val="single" w:color="auto" w:sz="4" w:space="0"/>
            </w:tcBorders>
            <w:vAlign w:val="center"/>
          </w:tcPr>
          <w:p w14:paraId="6A52F1F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rPr>
            </w:pPr>
            <w:r>
              <w:rPr>
                <w:rFonts w:hint="eastAsia" w:ascii="宋体" w:hAnsi="宋体" w:eastAsia="宋体" w:cs="宋体"/>
                <w:color w:val="auto"/>
                <w:szCs w:val="21"/>
                <w:lang w:eastAsia="zh-CN"/>
              </w:rPr>
              <w:t>2</w:t>
            </w:r>
            <w:r>
              <w:rPr>
                <w:rFonts w:hint="eastAsia" w:ascii="宋体" w:hAnsi="宋体" w:eastAsia="宋体" w:cs="宋体"/>
                <w:color w:val="auto"/>
                <w:szCs w:val="21"/>
              </w:rPr>
              <w:t>分</w:t>
            </w:r>
          </w:p>
        </w:tc>
      </w:tr>
      <w:bookmarkEnd w:id="674"/>
    </w:tbl>
    <w:p w14:paraId="697BA67B">
      <w:pPr>
        <w:autoSpaceDE w:val="0"/>
        <w:autoSpaceDN w:val="0"/>
        <w:adjustRightInd w:val="0"/>
        <w:spacing w:line="360" w:lineRule="auto"/>
        <w:ind w:left="420" w:leftChars="200" w:firstLine="420" w:firstLineChars="200"/>
        <w:rPr>
          <w:rFonts w:ascii="宋体" w:hAnsi="宋体" w:eastAsia="宋体" w:cs="宋体"/>
          <w:color w:val="auto"/>
          <w:szCs w:val="24"/>
          <w:lang w:val="zh-CN"/>
        </w:rPr>
      </w:pPr>
      <w:r>
        <w:rPr>
          <w:rFonts w:hint="eastAsia" w:ascii="宋体" w:hAnsi="宋体" w:eastAsia="宋体" w:cs="宋体"/>
          <w:color w:val="auto"/>
          <w:szCs w:val="24"/>
          <w:lang w:val="zh-CN"/>
        </w:rPr>
        <w:t>备注：</w:t>
      </w:r>
    </w:p>
    <w:p w14:paraId="685DE67F">
      <w:pPr>
        <w:autoSpaceDE w:val="0"/>
        <w:autoSpaceDN w:val="0"/>
        <w:adjustRightInd w:val="0"/>
        <w:spacing w:line="360" w:lineRule="auto"/>
        <w:ind w:left="420" w:leftChars="200" w:firstLine="420" w:firstLineChars="200"/>
        <w:rPr>
          <w:rFonts w:ascii="宋体" w:hAnsi="宋体" w:eastAsia="宋体" w:cs="宋体"/>
          <w:color w:val="auto"/>
          <w:szCs w:val="24"/>
          <w:lang w:val="zh-CN"/>
        </w:rPr>
      </w:pPr>
      <w:r>
        <w:rPr>
          <w:rFonts w:hint="eastAsia" w:ascii="宋体" w:hAnsi="宋体" w:eastAsia="宋体" w:cs="宋体"/>
          <w:color w:val="auto"/>
          <w:szCs w:val="24"/>
          <w:lang w:val="zh-CN"/>
        </w:rPr>
        <w:t>①表中“</w:t>
      </w:r>
      <w:r>
        <w:rPr>
          <w:rFonts w:ascii="宋体" w:hAnsi="宋体" w:eastAsia="宋体" w:cs="宋体"/>
          <w:color w:val="auto"/>
          <w:szCs w:val="24"/>
          <w:lang w:val="zh-CN"/>
        </w:rPr>
        <w:t>[”代表闭区间，“]”代表闭区间，如[0，1]代表该分数段范围为大于等</w:t>
      </w:r>
      <w:r>
        <w:rPr>
          <w:rFonts w:hint="eastAsia" w:ascii="宋体" w:hAnsi="宋体" w:eastAsia="宋体" w:cs="宋体"/>
          <w:color w:val="auto"/>
          <w:szCs w:val="24"/>
          <w:lang w:val="zh-CN"/>
        </w:rPr>
        <w:t>于</w:t>
      </w:r>
      <w:r>
        <w:rPr>
          <w:rFonts w:ascii="宋体" w:hAnsi="宋体" w:eastAsia="宋体" w:cs="宋体"/>
          <w:color w:val="auto"/>
          <w:szCs w:val="24"/>
          <w:lang w:val="zh-CN"/>
        </w:rPr>
        <w:t>0且小于等于1。表中“（”代表开区间，“]”代表闭区间，如（1，2]代表该分数段范</w:t>
      </w:r>
      <w:r>
        <w:rPr>
          <w:rFonts w:hint="eastAsia" w:ascii="宋体" w:hAnsi="宋体" w:eastAsia="宋体" w:cs="宋体"/>
          <w:color w:val="auto"/>
          <w:szCs w:val="24"/>
          <w:lang w:val="zh-CN"/>
        </w:rPr>
        <w:t>围为大于</w:t>
      </w:r>
      <w:r>
        <w:rPr>
          <w:rFonts w:ascii="宋体" w:hAnsi="宋体" w:eastAsia="宋体" w:cs="宋体"/>
          <w:color w:val="auto"/>
          <w:szCs w:val="24"/>
          <w:lang w:val="zh-CN"/>
        </w:rPr>
        <w:t>1且小于等于2。</w:t>
      </w:r>
    </w:p>
    <w:p w14:paraId="030DE9A8">
      <w:pPr>
        <w:autoSpaceDE w:val="0"/>
        <w:autoSpaceDN w:val="0"/>
        <w:adjustRightInd w:val="0"/>
        <w:spacing w:line="360" w:lineRule="auto"/>
        <w:ind w:left="420" w:leftChars="200" w:firstLine="420" w:firstLineChars="200"/>
        <w:rPr>
          <w:rFonts w:ascii="宋体" w:hAnsi="宋体" w:eastAsia="宋体" w:cs="宋体"/>
          <w:color w:val="auto"/>
          <w:szCs w:val="24"/>
          <w:lang w:val="zh-CN"/>
        </w:rPr>
      </w:pPr>
      <w:r>
        <w:rPr>
          <w:rFonts w:ascii="宋体" w:hAnsi="宋体" w:eastAsia="宋体" w:cs="宋体"/>
          <w:color w:val="auto"/>
          <w:szCs w:val="24"/>
          <w:lang w:val="zh-CN"/>
        </w:rPr>
        <w:t>②分数出现小数点，保留小数点后2位，从小数点后第3位四</w:t>
      </w:r>
      <w:r>
        <w:rPr>
          <w:rFonts w:hint="eastAsia" w:ascii="宋体" w:hAnsi="宋体" w:eastAsia="宋体" w:cs="宋体"/>
          <w:color w:val="auto"/>
          <w:szCs w:val="24"/>
          <w:lang w:val="zh-CN"/>
        </w:rPr>
        <w:t>舍五入。</w:t>
      </w:r>
    </w:p>
    <w:p w14:paraId="30510043">
      <w:pPr>
        <w:autoSpaceDE w:val="0"/>
        <w:autoSpaceDN w:val="0"/>
        <w:adjustRightInd w:val="0"/>
        <w:spacing w:line="360" w:lineRule="auto"/>
        <w:ind w:left="420" w:leftChars="200" w:firstLine="422" w:firstLineChars="200"/>
        <w:rPr>
          <w:rFonts w:ascii="宋体" w:hAnsi="宋体" w:eastAsia="宋体" w:cs="宋体"/>
          <w:b/>
          <w:color w:val="auto"/>
          <w:szCs w:val="24"/>
          <w:lang w:val="zh-CN"/>
        </w:rPr>
      </w:pPr>
      <w:r>
        <w:rPr>
          <w:rFonts w:hint="eastAsia" w:ascii="宋体" w:hAnsi="宋体" w:eastAsia="宋体" w:cs="宋体"/>
          <w:b/>
          <w:color w:val="auto"/>
          <w:szCs w:val="24"/>
          <w:lang w:val="zh-CN"/>
        </w:rPr>
        <w:t>③上述“评分项目”中按“优、良、中、差”区间评审的，若低于该项满分分值</w:t>
      </w:r>
      <w:r>
        <w:rPr>
          <w:rFonts w:ascii="宋体" w:hAnsi="宋体" w:eastAsia="宋体" w:cs="宋体"/>
          <w:b/>
          <w:color w:val="auto"/>
          <w:szCs w:val="24"/>
          <w:lang w:val="zh-CN"/>
        </w:rPr>
        <w:t>60%时，评标专家需详细填写该项低分的充分理由，例如：该项目内容存在违反国家有关标</w:t>
      </w:r>
      <w:r>
        <w:rPr>
          <w:rFonts w:hint="eastAsia" w:ascii="宋体" w:hAnsi="宋体" w:eastAsia="宋体" w:cs="宋体"/>
          <w:b/>
          <w:color w:val="auto"/>
          <w:szCs w:val="24"/>
          <w:lang w:val="zh-CN"/>
        </w:rPr>
        <w:t>准和规范或与项目实际不符等原则性问题。</w:t>
      </w:r>
    </w:p>
    <w:p w14:paraId="6F4CF659">
      <w:pPr>
        <w:autoSpaceDE w:val="0"/>
        <w:autoSpaceDN w:val="0"/>
        <w:adjustRightInd w:val="0"/>
        <w:spacing w:line="360" w:lineRule="auto"/>
        <w:ind w:left="420" w:leftChars="200" w:firstLine="422" w:firstLineChars="200"/>
        <w:rPr>
          <w:rFonts w:ascii="宋体" w:hAnsi="宋体" w:eastAsia="宋体" w:cs="宋体"/>
          <w:b/>
          <w:color w:val="auto"/>
          <w:szCs w:val="24"/>
        </w:rPr>
      </w:pPr>
      <w:r>
        <w:rPr>
          <w:rFonts w:hint="eastAsia" w:ascii="宋体" w:hAnsi="宋体" w:eastAsia="宋体" w:cs="宋体"/>
          <w:b/>
          <w:color w:val="auto"/>
          <w:szCs w:val="24"/>
        </w:rPr>
        <w:t>④</w:t>
      </w:r>
      <w:r>
        <w:rPr>
          <w:rFonts w:hint="eastAsia" w:ascii="宋体" w:hAnsi="宋体" w:eastAsia="宋体" w:cs="宋体"/>
          <w:b/>
          <w:color w:val="auto"/>
          <w:kern w:val="0"/>
          <w:szCs w:val="21"/>
          <w:lang w:val="zh-CN"/>
        </w:rPr>
        <w:t>对</w:t>
      </w:r>
      <w:r>
        <w:rPr>
          <w:rFonts w:hint="eastAsia" w:ascii="宋体" w:hAnsi="宋体" w:eastAsia="宋体" w:cs="宋体"/>
          <w:b/>
          <w:color w:val="auto"/>
          <w:kern w:val="0"/>
          <w:szCs w:val="21"/>
        </w:rPr>
        <w:t>于各</w:t>
      </w:r>
      <w:r>
        <w:rPr>
          <w:rFonts w:hint="eastAsia" w:ascii="宋体" w:hAnsi="宋体" w:eastAsia="宋体" w:cs="宋体"/>
          <w:b/>
          <w:color w:val="auto"/>
          <w:kern w:val="0"/>
          <w:szCs w:val="21"/>
          <w:lang w:val="zh-CN"/>
        </w:rPr>
        <w:t>评标委员会成员</w:t>
      </w:r>
      <w:r>
        <w:rPr>
          <w:rFonts w:hint="eastAsia" w:ascii="宋体" w:hAnsi="宋体" w:eastAsia="宋体" w:cs="宋体"/>
          <w:b/>
          <w:color w:val="auto"/>
          <w:kern w:val="0"/>
          <w:szCs w:val="21"/>
        </w:rPr>
        <w:t>存在客观分打分不一致时</w:t>
      </w:r>
      <w:r>
        <w:rPr>
          <w:rFonts w:hint="eastAsia" w:ascii="宋体" w:hAnsi="宋体" w:eastAsia="宋体" w:cs="宋体"/>
          <w:b/>
          <w:color w:val="auto"/>
          <w:kern w:val="0"/>
          <w:szCs w:val="21"/>
          <w:lang w:val="zh-CN"/>
        </w:rPr>
        <w:t>,根据少数服</w:t>
      </w:r>
      <w:r>
        <w:rPr>
          <w:rFonts w:hint="eastAsia" w:ascii="宋体" w:hAnsi="宋体" w:eastAsia="宋体" w:cs="宋体"/>
          <w:b/>
          <w:color w:val="auto"/>
          <w:kern w:val="0"/>
          <w:szCs w:val="21"/>
        </w:rPr>
        <w:t>从</w:t>
      </w:r>
      <w:r>
        <w:rPr>
          <w:rFonts w:hint="eastAsia" w:ascii="宋体" w:hAnsi="宋体" w:eastAsia="宋体" w:cs="宋体"/>
          <w:b/>
          <w:color w:val="auto"/>
          <w:kern w:val="0"/>
          <w:szCs w:val="21"/>
          <w:lang w:val="zh-CN"/>
        </w:rPr>
        <w:t>多数的原则，以记名方式表决</w:t>
      </w:r>
      <w:r>
        <w:rPr>
          <w:rFonts w:hint="eastAsia" w:ascii="宋体" w:hAnsi="宋体" w:eastAsia="宋体" w:cs="宋体"/>
          <w:b/>
          <w:color w:val="auto"/>
          <w:kern w:val="0"/>
          <w:szCs w:val="21"/>
        </w:rPr>
        <w:t>确定该项的评分。</w:t>
      </w:r>
    </w:p>
    <w:p w14:paraId="4121CFB4">
      <w:pPr>
        <w:tabs>
          <w:tab w:val="left" w:pos="1701"/>
        </w:tabs>
        <w:autoSpaceDE w:val="0"/>
        <w:autoSpaceDN w:val="0"/>
        <w:adjustRightInd w:val="0"/>
        <w:spacing w:line="360" w:lineRule="auto"/>
        <w:rPr>
          <w:rFonts w:ascii="宋体" w:hAnsi="宋体" w:eastAsia="宋体" w:cs="宋体"/>
          <w:b/>
          <w:color w:val="auto"/>
          <w:szCs w:val="24"/>
          <w:lang w:val="zh-CN"/>
        </w:rPr>
      </w:pPr>
      <w:r>
        <w:rPr>
          <w:rFonts w:hint="eastAsia" w:ascii="宋体" w:hAnsi="宋体" w:eastAsia="宋体" w:cs="宋体"/>
          <w:b/>
          <w:color w:val="auto"/>
          <w:szCs w:val="24"/>
          <w:lang w:val="zh-CN"/>
        </w:rPr>
        <w:t>（3）价格评分方法</w:t>
      </w:r>
    </w:p>
    <w:p w14:paraId="39CE0491">
      <w:pPr>
        <w:spacing w:line="360" w:lineRule="auto"/>
        <w:ind w:left="480" w:firstLine="211" w:firstLineChars="100"/>
        <w:rPr>
          <w:rFonts w:ascii="宋体" w:hAnsi="宋体" w:eastAsia="宋体" w:cs="宋体"/>
          <w:b/>
          <w:bCs/>
          <w:color w:val="auto"/>
          <w:kern w:val="0"/>
          <w:szCs w:val="21"/>
          <w:lang w:val="zh-CN"/>
        </w:rPr>
      </w:pPr>
      <w:r>
        <w:rPr>
          <w:rFonts w:hint="eastAsia" w:ascii="宋体" w:hAnsi="宋体" w:eastAsia="宋体" w:cs="宋体"/>
          <w:b/>
          <w:bCs/>
          <w:color w:val="auto"/>
          <w:kern w:val="0"/>
          <w:szCs w:val="28"/>
          <w:lang w:val="zh-CN"/>
        </w:rPr>
        <w:t xml:space="preserve">1）经济文件的符合性审查 </w:t>
      </w:r>
    </w:p>
    <w:p w14:paraId="396DD0A1">
      <w:pPr>
        <w:spacing w:line="360" w:lineRule="auto"/>
        <w:ind w:left="420" w:leftChars="200" w:firstLine="420" w:firstLineChars="200"/>
        <w:rPr>
          <w:rFonts w:ascii="宋体" w:hAnsi="宋体" w:eastAsia="宋体" w:cs="宋体"/>
          <w:color w:val="auto"/>
          <w:kern w:val="0"/>
          <w:szCs w:val="21"/>
          <w:lang w:val="zh-CN"/>
        </w:rPr>
      </w:pPr>
      <w:r>
        <w:rPr>
          <w:rFonts w:hint="eastAsia" w:ascii="宋体" w:hAnsi="宋体" w:eastAsia="宋体" w:cs="宋体"/>
          <w:color w:val="auto"/>
          <w:kern w:val="0"/>
          <w:szCs w:val="21"/>
          <w:lang w:val="zh-CN"/>
        </w:rPr>
        <w:t>评标委员会对合格的投标人的投标报价，进行详细分析、核准，检查其是否存在计算错误。评标委员会将按照本评标大纲的规定修正计算错误的投标报价，经投标人代表确认后，调整后的价格对投标人具有约束力。</w:t>
      </w:r>
      <w:r>
        <w:rPr>
          <w:rFonts w:hint="eastAsia" w:ascii="宋体" w:hAnsi="宋体" w:eastAsia="宋体" w:cs="宋体"/>
          <w:b/>
          <w:color w:val="auto"/>
          <w:kern w:val="0"/>
          <w:szCs w:val="21"/>
          <w:u w:val="single"/>
          <w:lang w:val="zh-CN"/>
        </w:rPr>
        <w:t>如果投标人不接受修正后的报价，则其投标将被拒绝，作为无效投标处理</w:t>
      </w:r>
      <w:r>
        <w:rPr>
          <w:rFonts w:hint="eastAsia" w:ascii="宋体" w:hAnsi="宋体" w:eastAsia="宋体" w:cs="宋体"/>
          <w:b/>
          <w:color w:val="auto"/>
          <w:kern w:val="0"/>
          <w:szCs w:val="21"/>
          <w:lang w:val="zh-CN"/>
        </w:rPr>
        <w:t>。</w:t>
      </w:r>
    </w:p>
    <w:p w14:paraId="4B90EE8F">
      <w:pPr>
        <w:autoSpaceDE w:val="0"/>
        <w:autoSpaceDN w:val="0"/>
        <w:adjustRightInd w:val="0"/>
        <w:spacing w:line="360" w:lineRule="auto"/>
        <w:ind w:left="420" w:leftChars="200" w:firstLine="420" w:firstLineChars="200"/>
        <w:rPr>
          <w:rFonts w:ascii="宋体" w:hAnsi="宋体" w:eastAsia="宋体" w:cs="宋体"/>
          <w:b/>
          <w:color w:val="auto"/>
          <w:szCs w:val="24"/>
          <w:u w:val="single"/>
          <w:lang w:val="zh-CN"/>
        </w:rPr>
      </w:pPr>
      <w:r>
        <w:rPr>
          <w:rFonts w:hint="eastAsia" w:ascii="宋体" w:hAnsi="宋体" w:eastAsia="宋体" w:cs="宋体"/>
          <w:color w:val="auto"/>
          <w:szCs w:val="24"/>
          <w:lang w:val="zh-CN"/>
        </w:rPr>
        <w:t>若投标人出现超低报价，</w:t>
      </w:r>
      <w:r>
        <w:rPr>
          <w:rFonts w:hint="eastAsia" w:ascii="宋体" w:hAnsi="宋体" w:eastAsia="宋体" w:cs="宋体"/>
          <w:color w:val="auto"/>
          <w:kern w:val="0"/>
          <w:szCs w:val="21"/>
        </w:rPr>
        <w:t>有可能影响服务质量和不能诚信履约的，</w:t>
      </w:r>
      <w:r>
        <w:rPr>
          <w:rFonts w:hint="eastAsia" w:ascii="宋体" w:hAnsi="宋体" w:eastAsia="宋体" w:cs="宋体"/>
          <w:color w:val="auto"/>
          <w:szCs w:val="24"/>
          <w:lang w:val="zh-CN"/>
        </w:rPr>
        <w:t>评标委员会</w:t>
      </w:r>
      <w:r>
        <w:rPr>
          <w:rFonts w:hint="eastAsia" w:ascii="宋体" w:hAnsi="宋体" w:eastAsia="宋体" w:cs="宋体"/>
          <w:color w:val="auto"/>
          <w:kern w:val="0"/>
          <w:szCs w:val="21"/>
          <w:lang w:val="zh-CN"/>
        </w:rPr>
        <w:t>将要求该投标人作出书面说明并提供相关证明材料，</w:t>
      </w:r>
      <w:r>
        <w:rPr>
          <w:rFonts w:hint="eastAsia" w:ascii="宋体" w:hAnsi="宋体" w:eastAsia="宋体" w:cs="宋体"/>
          <w:color w:val="auto"/>
          <w:szCs w:val="24"/>
          <w:lang w:val="zh-CN"/>
        </w:rPr>
        <w:t>以确定投标人是否以低于企业成本价报价。</w:t>
      </w:r>
      <w:r>
        <w:rPr>
          <w:rFonts w:hint="eastAsia" w:ascii="宋体" w:hAnsi="宋体" w:eastAsia="宋体" w:cs="宋体"/>
          <w:b/>
          <w:color w:val="auto"/>
          <w:szCs w:val="24"/>
          <w:u w:val="single"/>
          <w:lang w:val="zh-CN"/>
        </w:rPr>
        <w:t>若投标人不能合理说明或不能提供相关证明材料的，评标委员会将认定其投标报价低于成本，同时否决其投标。</w:t>
      </w:r>
    </w:p>
    <w:p w14:paraId="034D0BC4">
      <w:pPr>
        <w:spacing w:line="360" w:lineRule="auto"/>
        <w:ind w:left="420" w:leftChars="200" w:firstLine="422" w:firstLineChars="200"/>
        <w:rPr>
          <w:rFonts w:ascii="宋体" w:hAnsi="宋体" w:eastAsia="宋体" w:cs="宋体"/>
          <w:b/>
          <w:color w:val="auto"/>
          <w:kern w:val="0"/>
          <w:szCs w:val="21"/>
          <w:lang w:val="zh-CN"/>
        </w:rPr>
      </w:pPr>
      <w:r>
        <w:rPr>
          <w:rFonts w:hint="eastAsia" w:ascii="宋体" w:hAnsi="宋体" w:eastAsia="宋体" w:cs="宋体"/>
          <w:b/>
          <w:color w:val="auto"/>
          <w:kern w:val="0"/>
          <w:szCs w:val="21"/>
          <w:lang w:val="zh-CN"/>
        </w:rPr>
        <w:t>对是否低于企业成本价报价的事宜有争议的投标文件,评标委员会成员将以记名方式表决,根据少数服</w:t>
      </w:r>
      <w:r>
        <w:rPr>
          <w:rFonts w:hint="eastAsia" w:ascii="宋体" w:hAnsi="宋体" w:eastAsia="宋体" w:cs="宋体"/>
          <w:b/>
          <w:color w:val="auto"/>
          <w:kern w:val="0"/>
          <w:szCs w:val="21"/>
        </w:rPr>
        <w:t>从</w:t>
      </w:r>
      <w:r>
        <w:rPr>
          <w:rFonts w:hint="eastAsia" w:ascii="宋体" w:hAnsi="宋体" w:eastAsia="宋体" w:cs="宋体"/>
          <w:b/>
          <w:color w:val="auto"/>
          <w:kern w:val="0"/>
          <w:szCs w:val="21"/>
          <w:lang w:val="zh-CN"/>
        </w:rPr>
        <w:t>多数的原则，获多数表决通过的投标人才有资格进入下一阶段的评审,否则将按无效投标处理。</w:t>
      </w:r>
    </w:p>
    <w:p w14:paraId="0AB33CA6">
      <w:pPr>
        <w:spacing w:line="360" w:lineRule="auto"/>
        <w:ind w:left="480" w:firstLine="211" w:firstLineChars="100"/>
        <w:rPr>
          <w:rFonts w:ascii="宋体" w:hAnsi="宋体" w:eastAsia="宋体" w:cs="宋体"/>
          <w:b/>
          <w:bCs/>
          <w:color w:val="auto"/>
          <w:kern w:val="0"/>
          <w:szCs w:val="21"/>
        </w:rPr>
      </w:pPr>
      <w:r>
        <w:rPr>
          <w:rFonts w:ascii="宋体" w:hAnsi="宋体" w:eastAsia="宋体" w:cs="宋体"/>
          <w:b/>
          <w:bCs/>
          <w:color w:val="auto"/>
          <w:kern w:val="0"/>
          <w:szCs w:val="21"/>
          <w:lang w:val="zh-CN"/>
        </w:rPr>
        <w:t>2</w:t>
      </w:r>
      <w:r>
        <w:rPr>
          <w:rFonts w:hint="eastAsia" w:ascii="宋体" w:hAnsi="宋体" w:eastAsia="宋体" w:cs="宋体"/>
          <w:b/>
          <w:bCs/>
          <w:color w:val="auto"/>
          <w:kern w:val="0"/>
          <w:szCs w:val="21"/>
          <w:lang w:val="zh-CN"/>
        </w:rPr>
        <w:t>）</w:t>
      </w:r>
      <w:r>
        <w:rPr>
          <w:rFonts w:hint="eastAsia" w:ascii="宋体" w:hAnsi="宋体" w:eastAsia="宋体" w:cs="宋体"/>
          <w:b/>
          <w:bCs/>
          <w:color w:val="auto"/>
          <w:kern w:val="0"/>
          <w:szCs w:val="28"/>
          <w:lang w:val="zh-CN"/>
        </w:rPr>
        <w:t>价格评分</w:t>
      </w:r>
      <w:r>
        <w:rPr>
          <w:rFonts w:hint="eastAsia" w:ascii="宋体" w:hAnsi="宋体" w:eastAsia="宋体" w:cs="宋体"/>
          <w:b/>
          <w:bCs/>
          <w:color w:val="auto"/>
          <w:kern w:val="0"/>
          <w:szCs w:val="21"/>
        </w:rPr>
        <w:t>：</w:t>
      </w:r>
      <w:r>
        <w:rPr>
          <w:rFonts w:hint="eastAsia" w:ascii="宋体" w:hAnsi="宋体" w:eastAsia="宋体" w:cs="宋体"/>
          <w:b/>
          <w:bCs/>
          <w:color w:val="auto"/>
          <w:kern w:val="0"/>
          <w:szCs w:val="21"/>
          <w:lang w:val="zh-CN"/>
        </w:rPr>
        <w:t>总分</w:t>
      </w:r>
      <w:r>
        <w:rPr>
          <w:rFonts w:hint="eastAsia" w:ascii="宋体" w:hAnsi="宋体" w:eastAsia="宋体" w:cs="宋体"/>
          <w:b/>
          <w:bCs/>
          <w:color w:val="auto"/>
          <w:kern w:val="0"/>
          <w:szCs w:val="21"/>
          <w:lang w:val="en-US" w:eastAsia="zh-CN"/>
        </w:rPr>
        <w:t>40</w:t>
      </w:r>
      <w:r>
        <w:rPr>
          <w:rFonts w:hint="eastAsia" w:ascii="宋体" w:hAnsi="宋体" w:eastAsia="宋体" w:cs="宋体"/>
          <w:b/>
          <w:bCs/>
          <w:color w:val="auto"/>
          <w:kern w:val="0"/>
          <w:szCs w:val="21"/>
          <w:lang w:val="zh-CN"/>
        </w:rPr>
        <w:t>分</w:t>
      </w:r>
    </w:p>
    <w:p w14:paraId="452B6057">
      <w:pPr>
        <w:adjustRightInd w:val="0"/>
        <w:snapToGrid w:val="0"/>
        <w:spacing w:line="360" w:lineRule="auto"/>
        <w:ind w:left="420" w:leftChars="100" w:hanging="210" w:hangingChars="100"/>
        <w:rPr>
          <w:rFonts w:ascii="宋体" w:hAnsi="宋体" w:eastAsia="宋体" w:cs="宋体"/>
          <w:color w:val="auto"/>
          <w:kern w:val="0"/>
          <w:szCs w:val="21"/>
          <w:lang w:bidi="ar"/>
        </w:rPr>
      </w:pPr>
      <w:r>
        <w:rPr>
          <w:rFonts w:hint="eastAsia" w:ascii="宋体" w:hAnsi="宋体" w:eastAsia="宋体" w:cs="宋体"/>
          <w:color w:val="auto"/>
          <w:kern w:val="0"/>
          <w:szCs w:val="21"/>
          <w:lang w:bidi="ar"/>
        </w:rPr>
        <w:t>A、根据有效投标人的投标“折扣系数”，最低投标“折扣系数”作为基准系数（Y）。投标人投标“折扣系数”（X）等于基准系数的得满分</w:t>
      </w:r>
      <w:r>
        <w:rPr>
          <w:rFonts w:hint="eastAsia" w:ascii="宋体" w:hAnsi="宋体" w:eastAsia="宋体" w:cs="宋体"/>
          <w:color w:val="auto"/>
          <w:kern w:val="0"/>
          <w:szCs w:val="21"/>
          <w:lang w:val="en-US" w:eastAsia="zh-CN" w:bidi="ar"/>
        </w:rPr>
        <w:t>40</w:t>
      </w:r>
      <w:r>
        <w:rPr>
          <w:rFonts w:hint="eastAsia" w:ascii="宋体" w:hAnsi="宋体" w:eastAsia="宋体" w:cs="宋体"/>
          <w:color w:val="auto"/>
          <w:kern w:val="0"/>
          <w:szCs w:val="21"/>
          <w:lang w:bidi="ar"/>
        </w:rPr>
        <w:t>分，其他投标人的价格得分统一按照下列公式计算：</w:t>
      </w:r>
    </w:p>
    <w:p w14:paraId="285BC542">
      <w:pPr>
        <w:adjustRightInd w:val="0"/>
        <w:snapToGrid w:val="0"/>
        <w:spacing w:line="360" w:lineRule="auto"/>
        <w:ind w:left="420" w:leftChars="100" w:hanging="210" w:hangingChars="100"/>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bidi="ar"/>
        </w:rPr>
        <w:t xml:space="preserve">    价格得分=（基准系数／投标“折扣系数”）×</w:t>
      </w:r>
      <w:r>
        <w:rPr>
          <w:rFonts w:hint="eastAsia" w:ascii="宋体" w:hAnsi="宋体" w:eastAsia="宋体" w:cs="宋体"/>
          <w:color w:val="auto"/>
          <w:kern w:val="0"/>
          <w:szCs w:val="21"/>
          <w:lang w:val="en-US" w:eastAsia="zh-CN" w:bidi="ar"/>
        </w:rPr>
        <w:t>40</w:t>
      </w:r>
    </w:p>
    <w:p w14:paraId="4515A539">
      <w:pPr>
        <w:adjustRightInd w:val="0"/>
        <w:snapToGrid w:val="0"/>
        <w:spacing w:line="360" w:lineRule="auto"/>
        <w:ind w:firstLine="210" w:firstLineChars="100"/>
        <w:rPr>
          <w:rFonts w:ascii="宋体" w:hAnsi="宋体" w:eastAsia="宋体" w:cs="宋体"/>
          <w:color w:val="auto"/>
          <w:kern w:val="0"/>
          <w:szCs w:val="21"/>
        </w:rPr>
      </w:pPr>
      <w:r>
        <w:rPr>
          <w:rFonts w:hint="eastAsia" w:ascii="宋体" w:hAnsi="宋体" w:eastAsia="宋体" w:cs="宋体"/>
          <w:color w:val="auto"/>
          <w:kern w:val="0"/>
          <w:szCs w:val="21"/>
          <w:lang w:bidi="ar"/>
        </w:rPr>
        <w:t>B、分数出现小数点，保留小数点后2位，从小数点后第3位四舍五入。</w:t>
      </w:r>
    </w:p>
    <w:p w14:paraId="0B290150">
      <w:pPr>
        <w:tabs>
          <w:tab w:val="left" w:pos="585"/>
        </w:tabs>
        <w:autoSpaceDE w:val="0"/>
        <w:autoSpaceDN w:val="0"/>
        <w:adjustRightInd w:val="0"/>
        <w:spacing w:line="400" w:lineRule="exact"/>
        <w:rPr>
          <w:rFonts w:ascii="宋体" w:hAnsi="宋体" w:eastAsia="宋体" w:cs="宋体"/>
          <w:b/>
          <w:color w:val="auto"/>
          <w:szCs w:val="21"/>
          <w:lang w:val="zh-CN"/>
        </w:rPr>
      </w:pPr>
      <w:r>
        <w:rPr>
          <w:rFonts w:hint="eastAsia" w:ascii="宋体" w:hAnsi="宋体" w:eastAsia="宋体" w:cs="宋体"/>
          <w:b/>
          <w:color w:val="auto"/>
          <w:szCs w:val="21"/>
          <w:lang w:val="zh-CN"/>
        </w:rPr>
        <w:t>（4）综合得分</w:t>
      </w:r>
    </w:p>
    <w:p w14:paraId="404BA123">
      <w:pPr>
        <w:spacing w:line="400" w:lineRule="exact"/>
        <w:ind w:firstLine="848" w:firstLineChars="404"/>
        <w:rPr>
          <w:rFonts w:ascii="宋体" w:hAnsi="宋体" w:eastAsia="宋体" w:cs="宋体"/>
          <w:color w:val="auto"/>
          <w:kern w:val="0"/>
          <w:szCs w:val="28"/>
          <w:lang w:val="zh-CN"/>
        </w:rPr>
      </w:pPr>
      <w:bookmarkStart w:id="675" w:name="_Toc31624_WPSOffice_Level2"/>
      <w:r>
        <w:rPr>
          <w:rFonts w:hint="eastAsia" w:ascii="宋体" w:hAnsi="宋体" w:eastAsia="宋体" w:cs="宋体"/>
          <w:color w:val="auto"/>
          <w:kern w:val="0"/>
          <w:szCs w:val="28"/>
          <w:lang w:val="zh-CN"/>
        </w:rPr>
        <w:t>评标总得分=F1＋F2＋……+Fn</w:t>
      </w:r>
      <w:bookmarkEnd w:id="675"/>
    </w:p>
    <w:p w14:paraId="4795C366">
      <w:pPr>
        <w:widowControl/>
        <w:autoSpaceDE w:val="0"/>
        <w:autoSpaceDN w:val="0"/>
        <w:adjustRightInd w:val="0"/>
        <w:spacing w:line="400" w:lineRule="exact"/>
        <w:ind w:firstLine="840" w:firstLineChars="400"/>
        <w:jc w:val="left"/>
        <w:rPr>
          <w:rFonts w:ascii="宋体" w:hAnsi="宋体" w:eastAsia="宋体" w:cs="宋体"/>
          <w:color w:val="auto"/>
          <w:kern w:val="0"/>
          <w:szCs w:val="21"/>
        </w:rPr>
      </w:pPr>
      <w:bookmarkStart w:id="676" w:name="_Toc13236_WPSOffice_Level2"/>
      <w:r>
        <w:rPr>
          <w:rFonts w:hint="eastAsia" w:ascii="宋体" w:hAnsi="宋体" w:eastAsia="宋体" w:cs="宋体"/>
          <w:color w:val="auto"/>
          <w:kern w:val="0"/>
          <w:szCs w:val="21"/>
        </w:rPr>
        <w:t>F1、F2、……Fn分别为各项评分因素的得分</w:t>
      </w:r>
      <w:bookmarkEnd w:id="676"/>
      <w:r>
        <w:rPr>
          <w:rFonts w:hint="eastAsia" w:ascii="宋体" w:hAnsi="宋体" w:eastAsia="宋体" w:cs="宋体"/>
          <w:color w:val="auto"/>
          <w:kern w:val="0"/>
          <w:szCs w:val="21"/>
        </w:rPr>
        <w:t>。</w:t>
      </w:r>
    </w:p>
    <w:p w14:paraId="50F75489">
      <w:pPr>
        <w:autoSpaceDE w:val="0"/>
        <w:autoSpaceDN w:val="0"/>
        <w:adjustRightInd w:val="0"/>
        <w:spacing w:line="360" w:lineRule="auto"/>
        <w:ind w:left="564" w:leftChars="1" w:hanging="562" w:hangingChars="200"/>
        <w:rPr>
          <w:rFonts w:ascii="宋体" w:hAnsi="宋体" w:eastAsia="宋体" w:cs="宋体"/>
          <w:b/>
          <w:bCs/>
          <w:color w:val="auto"/>
          <w:sz w:val="28"/>
          <w:szCs w:val="28"/>
        </w:rPr>
      </w:pPr>
    </w:p>
    <w:p w14:paraId="18CE7AC0">
      <w:pPr>
        <w:autoSpaceDE w:val="0"/>
        <w:autoSpaceDN w:val="0"/>
        <w:adjustRightInd w:val="0"/>
        <w:spacing w:line="360" w:lineRule="auto"/>
        <w:jc w:val="center"/>
        <w:rPr>
          <w:rFonts w:ascii="宋体" w:hAnsi="宋体" w:eastAsia="宋体" w:cs="宋体"/>
          <w:b/>
          <w:bCs/>
          <w:color w:val="auto"/>
          <w:sz w:val="28"/>
          <w:szCs w:val="28"/>
        </w:rPr>
      </w:pPr>
      <w:bookmarkStart w:id="677" w:name="_Toc518_WPSOffice_Level1"/>
      <w:r>
        <w:rPr>
          <w:rFonts w:hint="eastAsia" w:ascii="宋体" w:hAnsi="宋体" w:eastAsia="宋体" w:cs="宋体"/>
          <w:b/>
          <w:bCs/>
          <w:color w:val="auto"/>
          <w:sz w:val="28"/>
          <w:szCs w:val="28"/>
          <w:lang w:val="zh-CN"/>
        </w:rPr>
        <w:t>五、推荐中标人</w:t>
      </w:r>
      <w:bookmarkEnd w:id="677"/>
    </w:p>
    <w:p w14:paraId="588A47B2">
      <w:pPr>
        <w:autoSpaceDE w:val="0"/>
        <w:autoSpaceDN w:val="0"/>
        <w:adjustRightInd w:val="0"/>
        <w:spacing w:line="360" w:lineRule="auto"/>
        <w:ind w:left="420" w:hanging="420" w:hangingChars="200"/>
        <w:jc w:val="left"/>
        <w:rPr>
          <w:rFonts w:ascii="宋体" w:hAnsi="宋体" w:eastAsia="宋体" w:cs="Times New Roman"/>
          <w:color w:val="auto"/>
          <w:kern w:val="0"/>
          <w:szCs w:val="21"/>
        </w:rPr>
      </w:pPr>
      <w:r>
        <w:rPr>
          <w:rFonts w:ascii="宋体" w:hAnsi="宋体" w:eastAsia="宋体" w:cs="宋体"/>
          <w:color w:val="auto"/>
          <w:kern w:val="0"/>
          <w:szCs w:val="21"/>
        </w:rPr>
        <w:t>13</w:t>
      </w:r>
      <w:r>
        <w:rPr>
          <w:rFonts w:hint="eastAsia" w:ascii="宋体" w:hAnsi="宋体" w:eastAsia="宋体" w:cs="宋体"/>
          <w:color w:val="auto"/>
          <w:kern w:val="0"/>
          <w:szCs w:val="21"/>
        </w:rPr>
        <w:t>、</w:t>
      </w:r>
      <w:r>
        <w:rPr>
          <w:rFonts w:hint="eastAsia" w:ascii="宋体" w:hAnsi="宋体" w:eastAsia="宋体" w:cs="Times New Roman"/>
          <w:color w:val="auto"/>
          <w:szCs w:val="24"/>
          <w:lang w:val="zh-CN"/>
        </w:rPr>
        <w:t>评标委员会按评审后得分由高到低顺序排列</w:t>
      </w:r>
      <w:r>
        <w:rPr>
          <w:rFonts w:hint="eastAsia" w:ascii="宋体" w:hAnsi="宋体" w:eastAsia="宋体" w:cs="Times New Roman"/>
          <w:color w:val="auto"/>
          <w:kern w:val="0"/>
          <w:szCs w:val="21"/>
        </w:rPr>
        <w:t>，并向招标人推荐最后综合得分最高的前二名投标人为中标候选人（最后综合得分排名第一、第二的投标人分别为第一、第二中标候选人），招标人将确定第一中标候选人为中标人。</w:t>
      </w:r>
    </w:p>
    <w:p w14:paraId="1B409AA1">
      <w:pPr>
        <w:autoSpaceDE w:val="0"/>
        <w:autoSpaceDN w:val="0"/>
        <w:adjustRightInd w:val="0"/>
        <w:spacing w:line="360" w:lineRule="auto"/>
        <w:ind w:left="420" w:leftChars="200" w:firstLine="420" w:firstLineChars="200"/>
        <w:jc w:val="left"/>
        <w:rPr>
          <w:rFonts w:ascii="宋体" w:hAnsi="宋体" w:eastAsia="宋体" w:cs="Times New Roman"/>
          <w:color w:val="auto"/>
          <w:kern w:val="0"/>
          <w:szCs w:val="24"/>
          <w:lang w:val="zh-CN"/>
        </w:rPr>
      </w:pPr>
      <w:r>
        <w:rPr>
          <w:rFonts w:hint="eastAsia" w:ascii="宋体" w:hAnsi="宋体" w:eastAsia="宋体" w:cs="Times New Roman"/>
          <w:color w:val="auto"/>
          <w:kern w:val="0"/>
          <w:szCs w:val="21"/>
        </w:rPr>
        <w:t>如果有两个或以上的投标人的最后综合得分相同，则在最后综合得分相同的投标人中按投标报价</w:t>
      </w:r>
      <w:r>
        <w:rPr>
          <w:rFonts w:hint="eastAsia" w:ascii="宋体" w:hAnsi="宋体" w:eastAsia="宋体" w:cs="Times New Roman"/>
          <w:color w:val="auto"/>
          <w:kern w:val="0"/>
          <w:szCs w:val="21"/>
          <w:lang w:val="zh-CN"/>
        </w:rPr>
        <w:t>由低到高顺序排出次序，报价低的排前，报价高的排后。</w:t>
      </w:r>
      <w:r>
        <w:rPr>
          <w:rFonts w:hint="eastAsia" w:ascii="宋体" w:hAnsi="宋体" w:eastAsia="宋体" w:cs="Times New Roman"/>
          <w:color w:val="auto"/>
          <w:kern w:val="0"/>
          <w:szCs w:val="21"/>
        </w:rPr>
        <w:t>如果出现投标人的最后综合得分及投标报价均相同时，则按技术标的评标得分高低排出次序，得分高的排前，得分低的排后。如果出现投标人的最后综合得分、投标报价及技术标得分均相同时，由评标委员会进行投票，得票多的排名在先。当第一轮投票结果为投标人得票数相同时，再次进行投票，如此类推，直到能确定排序次序为止。</w:t>
      </w:r>
    </w:p>
    <w:p w14:paraId="1411F4EC">
      <w:pPr>
        <w:widowControl/>
        <w:spacing w:line="360" w:lineRule="auto"/>
        <w:jc w:val="left"/>
        <w:rPr>
          <w:rFonts w:ascii="宋体" w:hAnsi="宋体" w:eastAsia="宋体" w:cs="宋体"/>
          <w:color w:val="auto"/>
          <w:kern w:val="0"/>
          <w:szCs w:val="21"/>
        </w:rPr>
      </w:pPr>
    </w:p>
    <w:p w14:paraId="643D42D3">
      <w:pPr>
        <w:autoSpaceDE w:val="0"/>
        <w:autoSpaceDN w:val="0"/>
        <w:adjustRightInd w:val="0"/>
        <w:spacing w:line="360" w:lineRule="auto"/>
        <w:ind w:left="185" w:leftChars="88" w:firstLine="3443" w:firstLineChars="1225"/>
        <w:rPr>
          <w:rFonts w:ascii="宋体" w:hAnsi="宋体" w:eastAsia="宋体" w:cs="宋体"/>
          <w:b/>
          <w:bCs/>
          <w:color w:val="auto"/>
          <w:sz w:val="28"/>
          <w:szCs w:val="28"/>
          <w:lang w:val="zh-CN"/>
        </w:rPr>
      </w:pPr>
      <w:bookmarkStart w:id="678" w:name="_Toc22724_WPSOffice_Level1"/>
      <w:r>
        <w:rPr>
          <w:rFonts w:hint="eastAsia" w:ascii="宋体" w:hAnsi="宋体" w:eastAsia="宋体" w:cs="宋体"/>
          <w:b/>
          <w:bCs/>
          <w:color w:val="auto"/>
          <w:sz w:val="28"/>
          <w:szCs w:val="28"/>
          <w:lang w:val="zh-CN"/>
        </w:rPr>
        <w:t>六、编写评标报告</w:t>
      </w:r>
      <w:bookmarkEnd w:id="678"/>
    </w:p>
    <w:p w14:paraId="44BE19EE">
      <w:pPr>
        <w:autoSpaceDE w:val="0"/>
        <w:autoSpaceDN w:val="0"/>
        <w:adjustRightInd w:val="0"/>
        <w:spacing w:line="360" w:lineRule="auto"/>
        <w:ind w:left="420" w:hanging="420" w:hangingChars="200"/>
        <w:jc w:val="left"/>
        <w:rPr>
          <w:rFonts w:ascii="宋体" w:hAnsi="宋体" w:eastAsia="宋体" w:cs="宋体"/>
          <w:b/>
          <w:bCs/>
          <w:color w:val="auto"/>
          <w:szCs w:val="32"/>
          <w:lang w:val="zh-CN"/>
        </w:rPr>
      </w:pPr>
      <w:r>
        <w:rPr>
          <w:rFonts w:hint="eastAsia" w:ascii="宋体" w:hAnsi="宋体" w:eastAsia="宋体" w:cs="宋体"/>
          <w:color w:val="auto"/>
          <w:szCs w:val="24"/>
          <w:lang w:val="zh-CN"/>
        </w:rPr>
        <w:t>1</w:t>
      </w:r>
      <w:r>
        <w:rPr>
          <w:rFonts w:ascii="宋体" w:hAnsi="宋体" w:eastAsia="宋体" w:cs="宋体"/>
          <w:color w:val="auto"/>
          <w:szCs w:val="24"/>
          <w:lang w:val="zh-CN"/>
        </w:rPr>
        <w:t>4</w:t>
      </w:r>
      <w:r>
        <w:rPr>
          <w:rFonts w:hint="eastAsia" w:ascii="宋体" w:hAnsi="宋体" w:eastAsia="宋体" w:cs="宋体"/>
          <w:color w:val="auto"/>
          <w:szCs w:val="24"/>
          <w:lang w:val="zh-CN"/>
        </w:rPr>
        <w:t>、评标委员会根据评审结果撰写评标报告。评标报告是评标委员会根据全体评标委员会成员签字的原始评审记录和评审结果编写的报告，其主要内容包括：</w:t>
      </w:r>
    </w:p>
    <w:p w14:paraId="41EAD9E1">
      <w:pPr>
        <w:autoSpaceDE w:val="0"/>
        <w:autoSpaceDN w:val="0"/>
        <w:adjustRightInd w:val="0"/>
        <w:spacing w:line="360" w:lineRule="auto"/>
        <w:jc w:val="left"/>
        <w:rPr>
          <w:rFonts w:ascii="宋体" w:hAnsi="宋体" w:eastAsia="宋体" w:cs="宋体"/>
          <w:color w:val="auto"/>
          <w:kern w:val="0"/>
          <w:szCs w:val="24"/>
          <w:lang w:val="zh-CN"/>
        </w:rPr>
      </w:pPr>
      <w:r>
        <w:rPr>
          <w:rFonts w:hint="eastAsia" w:ascii="宋体" w:hAnsi="宋体" w:eastAsia="宋体" w:cs="宋体"/>
          <w:color w:val="auto"/>
          <w:kern w:val="0"/>
          <w:szCs w:val="24"/>
          <w:lang w:val="zh-CN"/>
        </w:rPr>
        <w:t>（1）开标邀请时间、开标日期和地点；</w:t>
      </w:r>
    </w:p>
    <w:p w14:paraId="7EDAC5A3">
      <w:pPr>
        <w:autoSpaceDE w:val="0"/>
        <w:autoSpaceDN w:val="0"/>
        <w:adjustRightInd w:val="0"/>
        <w:spacing w:line="360" w:lineRule="auto"/>
        <w:jc w:val="left"/>
        <w:rPr>
          <w:rFonts w:ascii="宋体" w:hAnsi="宋体" w:eastAsia="宋体" w:cs="宋体"/>
          <w:color w:val="auto"/>
          <w:kern w:val="0"/>
          <w:szCs w:val="24"/>
          <w:lang w:val="zh-CN"/>
        </w:rPr>
      </w:pPr>
      <w:r>
        <w:rPr>
          <w:rFonts w:hint="eastAsia" w:ascii="宋体" w:hAnsi="宋体" w:eastAsia="宋体" w:cs="宋体"/>
          <w:color w:val="auto"/>
          <w:kern w:val="0"/>
          <w:szCs w:val="24"/>
          <w:lang w:val="zh-CN"/>
        </w:rPr>
        <w:t>（2）投标人名单和评标委员会成员名单；</w:t>
      </w:r>
    </w:p>
    <w:p w14:paraId="227A3A57">
      <w:pPr>
        <w:autoSpaceDE w:val="0"/>
        <w:autoSpaceDN w:val="0"/>
        <w:adjustRightInd w:val="0"/>
        <w:spacing w:line="360" w:lineRule="auto"/>
        <w:jc w:val="left"/>
        <w:rPr>
          <w:rFonts w:ascii="宋体" w:hAnsi="宋体" w:eastAsia="宋体" w:cs="宋体"/>
          <w:color w:val="auto"/>
          <w:kern w:val="0"/>
          <w:szCs w:val="24"/>
          <w:lang w:val="zh-CN"/>
        </w:rPr>
      </w:pPr>
      <w:r>
        <w:rPr>
          <w:rFonts w:hint="eastAsia" w:ascii="宋体" w:hAnsi="宋体" w:eastAsia="宋体" w:cs="宋体"/>
          <w:color w:val="auto"/>
          <w:kern w:val="0"/>
          <w:szCs w:val="24"/>
          <w:lang w:val="zh-CN"/>
        </w:rPr>
        <w:t>（3）开标评审方法和标准；</w:t>
      </w:r>
    </w:p>
    <w:p w14:paraId="61150E85">
      <w:pPr>
        <w:autoSpaceDE w:val="0"/>
        <w:autoSpaceDN w:val="0"/>
        <w:adjustRightInd w:val="0"/>
        <w:spacing w:line="360" w:lineRule="auto"/>
        <w:jc w:val="left"/>
        <w:rPr>
          <w:rFonts w:ascii="宋体" w:hAnsi="宋体" w:eastAsia="宋体" w:cs="宋体"/>
          <w:color w:val="auto"/>
          <w:kern w:val="0"/>
          <w:szCs w:val="24"/>
          <w:lang w:val="zh-CN"/>
        </w:rPr>
      </w:pPr>
      <w:r>
        <w:rPr>
          <w:rFonts w:hint="eastAsia" w:ascii="宋体" w:hAnsi="宋体" w:eastAsia="宋体" w:cs="宋体"/>
          <w:color w:val="auto"/>
          <w:kern w:val="0"/>
          <w:szCs w:val="24"/>
          <w:lang w:val="zh-CN"/>
        </w:rPr>
        <w:t>（4）开标评审记录和评审情况及说明，包括投标无效投标人名单及原因；</w:t>
      </w:r>
    </w:p>
    <w:p w14:paraId="3D5C8D53">
      <w:pPr>
        <w:autoSpaceDE w:val="0"/>
        <w:autoSpaceDN w:val="0"/>
        <w:adjustRightInd w:val="0"/>
        <w:spacing w:line="360" w:lineRule="auto"/>
        <w:jc w:val="left"/>
        <w:rPr>
          <w:rFonts w:ascii="宋体" w:hAnsi="宋体" w:eastAsia="宋体" w:cs="宋体"/>
          <w:color w:val="auto"/>
          <w:kern w:val="0"/>
          <w:szCs w:val="24"/>
          <w:lang w:val="zh-CN"/>
        </w:rPr>
      </w:pPr>
      <w:r>
        <w:rPr>
          <w:rFonts w:hint="eastAsia" w:ascii="宋体" w:hAnsi="宋体" w:eastAsia="宋体" w:cs="宋体"/>
          <w:color w:val="auto"/>
          <w:kern w:val="0"/>
          <w:szCs w:val="24"/>
          <w:lang w:val="zh-CN"/>
        </w:rPr>
        <w:t>（5）评审结果和中标候选投标人排序表；</w:t>
      </w:r>
    </w:p>
    <w:p w14:paraId="55FE309A">
      <w:pPr>
        <w:autoSpaceDE w:val="0"/>
        <w:autoSpaceDN w:val="0"/>
        <w:adjustRightInd w:val="0"/>
        <w:spacing w:line="360" w:lineRule="auto"/>
        <w:jc w:val="left"/>
        <w:rPr>
          <w:rFonts w:ascii="宋体" w:hAnsi="宋体" w:eastAsia="宋体" w:cs="宋体"/>
          <w:color w:val="auto"/>
          <w:szCs w:val="24"/>
          <w:lang w:val="zh-CN"/>
        </w:rPr>
      </w:pPr>
      <w:r>
        <w:rPr>
          <w:rFonts w:hint="eastAsia" w:ascii="宋体" w:hAnsi="宋体" w:eastAsia="宋体" w:cs="宋体"/>
          <w:color w:val="auto"/>
          <w:kern w:val="0"/>
          <w:szCs w:val="24"/>
          <w:lang w:val="zh-CN"/>
        </w:rPr>
        <w:t>（6）评标委员会的推荐</w:t>
      </w:r>
      <w:r>
        <w:rPr>
          <w:rFonts w:hint="eastAsia" w:ascii="宋体" w:hAnsi="宋体" w:eastAsia="宋体" w:cs="宋体"/>
          <w:color w:val="auto"/>
          <w:szCs w:val="24"/>
          <w:lang w:val="zh-CN"/>
        </w:rPr>
        <w:t>建议。</w:t>
      </w:r>
    </w:p>
    <w:p w14:paraId="1DB83210">
      <w:pPr>
        <w:autoSpaceDE w:val="0"/>
        <w:autoSpaceDN w:val="0"/>
        <w:adjustRightInd w:val="0"/>
        <w:spacing w:line="360" w:lineRule="auto"/>
        <w:jc w:val="center"/>
        <w:rPr>
          <w:rFonts w:ascii="宋体" w:hAnsi="宋体" w:eastAsia="宋体" w:cs="宋体"/>
          <w:b/>
          <w:bCs/>
          <w:color w:val="auto"/>
          <w:sz w:val="28"/>
          <w:szCs w:val="28"/>
          <w:lang w:val="zh-CN"/>
        </w:rPr>
      </w:pPr>
    </w:p>
    <w:p w14:paraId="7D46F435">
      <w:pPr>
        <w:autoSpaceDE w:val="0"/>
        <w:autoSpaceDN w:val="0"/>
        <w:adjustRightInd w:val="0"/>
        <w:spacing w:line="360" w:lineRule="auto"/>
        <w:jc w:val="center"/>
        <w:rPr>
          <w:rFonts w:ascii="宋体" w:hAnsi="宋体" w:eastAsia="宋体" w:cs="宋体"/>
          <w:b/>
          <w:bCs/>
          <w:color w:val="auto"/>
          <w:sz w:val="30"/>
          <w:szCs w:val="30"/>
          <w:lang w:val="zh-CN"/>
        </w:rPr>
      </w:pPr>
      <w:bookmarkStart w:id="679" w:name="_Toc23773_WPSOffice_Level1"/>
      <w:r>
        <w:rPr>
          <w:rFonts w:hint="eastAsia" w:ascii="宋体" w:hAnsi="宋体" w:eastAsia="宋体" w:cs="宋体"/>
          <w:b/>
          <w:bCs/>
          <w:color w:val="auto"/>
          <w:sz w:val="28"/>
          <w:szCs w:val="28"/>
          <w:lang w:val="zh-CN"/>
        </w:rPr>
        <w:t>七、注意事项</w:t>
      </w:r>
      <w:bookmarkEnd w:id="679"/>
    </w:p>
    <w:p w14:paraId="499BC270">
      <w:pPr>
        <w:autoSpaceDE w:val="0"/>
        <w:autoSpaceDN w:val="0"/>
        <w:adjustRightInd w:val="0"/>
        <w:spacing w:line="360" w:lineRule="auto"/>
        <w:ind w:left="420" w:hanging="420" w:hangingChars="200"/>
        <w:rPr>
          <w:rFonts w:ascii="宋体" w:hAnsi="宋体" w:eastAsia="宋体" w:cs="宋体"/>
          <w:color w:val="auto"/>
          <w:szCs w:val="24"/>
          <w:lang w:val="zh-CN"/>
        </w:rPr>
      </w:pPr>
      <w:r>
        <w:rPr>
          <w:rFonts w:hint="eastAsia" w:ascii="宋体" w:hAnsi="宋体" w:eastAsia="宋体" w:cs="宋体"/>
          <w:color w:val="auto"/>
          <w:szCs w:val="24"/>
          <w:lang w:val="zh-CN"/>
        </w:rPr>
        <w:t>1</w:t>
      </w:r>
      <w:r>
        <w:rPr>
          <w:rFonts w:ascii="宋体" w:hAnsi="宋体" w:eastAsia="宋体" w:cs="宋体"/>
          <w:color w:val="auto"/>
          <w:szCs w:val="24"/>
          <w:lang w:val="zh-CN"/>
        </w:rPr>
        <w:t>5</w:t>
      </w:r>
      <w:r>
        <w:rPr>
          <w:rFonts w:hint="eastAsia" w:ascii="宋体" w:hAnsi="宋体" w:eastAsia="宋体" w:cs="宋体"/>
          <w:color w:val="auto"/>
          <w:szCs w:val="24"/>
          <w:lang w:val="zh-CN"/>
        </w:rPr>
        <w:t>、为确保评审工作的顺利进行，防止因泄密或其它意外而造成的不良后果及影响，凡参加评审工作的人员都必须认真执行本规定：</w:t>
      </w:r>
    </w:p>
    <w:p w14:paraId="147CDB88">
      <w:pPr>
        <w:autoSpaceDE w:val="0"/>
        <w:autoSpaceDN w:val="0"/>
        <w:adjustRightInd w:val="0"/>
        <w:spacing w:line="360" w:lineRule="auto"/>
        <w:ind w:left="436" w:leftChars="-59" w:hanging="560" w:hangingChars="267"/>
        <w:rPr>
          <w:rFonts w:ascii="宋体" w:hAnsi="宋体" w:eastAsia="宋体" w:cs="宋体"/>
          <w:color w:val="auto"/>
          <w:szCs w:val="24"/>
          <w:lang w:val="zh-CN"/>
        </w:rPr>
      </w:pPr>
      <w:r>
        <w:rPr>
          <w:rFonts w:hint="eastAsia" w:ascii="宋体" w:hAnsi="宋体" w:eastAsia="宋体" w:cs="宋体"/>
          <w:color w:val="auto"/>
          <w:szCs w:val="24"/>
          <w:lang w:val="zh-CN"/>
        </w:rPr>
        <w:t>（1）在评审工作期间，所有分发的投标文件、资料等仅限于在评审场所中使用，不得带往其它地方，所有的招标文件、投标文件、资料等一律编号登记；</w:t>
      </w:r>
    </w:p>
    <w:p w14:paraId="0ECD3C44">
      <w:pPr>
        <w:autoSpaceDE w:val="0"/>
        <w:autoSpaceDN w:val="0"/>
        <w:adjustRightInd w:val="0"/>
        <w:spacing w:line="360" w:lineRule="auto"/>
        <w:ind w:left="436" w:leftChars="-59" w:hanging="560" w:hangingChars="267"/>
        <w:rPr>
          <w:rFonts w:ascii="宋体" w:hAnsi="宋体" w:eastAsia="宋体" w:cs="宋体"/>
          <w:color w:val="auto"/>
          <w:szCs w:val="24"/>
          <w:lang w:val="zh-CN"/>
        </w:rPr>
      </w:pPr>
      <w:r>
        <w:rPr>
          <w:rFonts w:hint="eastAsia" w:ascii="宋体" w:hAnsi="宋体" w:eastAsia="宋体" w:cs="宋体"/>
          <w:color w:val="auto"/>
          <w:szCs w:val="24"/>
          <w:lang w:val="zh-CN"/>
        </w:rPr>
        <w:t>（2）评审人员及工作人员不得在公共场合谈论有关评审内容；</w:t>
      </w:r>
    </w:p>
    <w:p w14:paraId="6E80D6DD">
      <w:pPr>
        <w:autoSpaceDE w:val="0"/>
        <w:autoSpaceDN w:val="0"/>
        <w:adjustRightInd w:val="0"/>
        <w:spacing w:line="360" w:lineRule="auto"/>
        <w:ind w:left="436" w:leftChars="-59" w:hanging="560" w:hangingChars="267"/>
        <w:rPr>
          <w:rFonts w:ascii="宋体" w:hAnsi="宋体" w:eastAsia="宋体" w:cs="宋体"/>
          <w:color w:val="auto"/>
          <w:szCs w:val="24"/>
          <w:lang w:val="zh-CN"/>
        </w:rPr>
      </w:pPr>
      <w:r>
        <w:rPr>
          <w:rFonts w:hint="eastAsia" w:ascii="宋体" w:hAnsi="宋体" w:eastAsia="宋体" w:cs="宋体"/>
          <w:color w:val="auto"/>
          <w:szCs w:val="24"/>
          <w:lang w:val="zh-CN"/>
        </w:rPr>
        <w:t>（3）评审人员及工作人员不得以书信、电讯、口述等方式将有关评审内容（如资料、投标文件、投标报价、评审方式、评标委员会的决定、评审组织机构、评审人员名单等）披露给未参加评审的任何无关人员，包括上级领导、同级和下级人员，任何与评审无关的人员（包括亲朋好友和同事）不得进入评审场所；</w:t>
      </w:r>
    </w:p>
    <w:p w14:paraId="2B3EC085">
      <w:pPr>
        <w:autoSpaceDE w:val="0"/>
        <w:autoSpaceDN w:val="0"/>
        <w:adjustRightInd w:val="0"/>
        <w:spacing w:line="360" w:lineRule="auto"/>
        <w:ind w:left="436" w:leftChars="-59" w:hanging="560" w:hangingChars="267"/>
        <w:rPr>
          <w:rFonts w:ascii="宋体" w:hAnsi="宋体" w:eastAsia="宋体" w:cs="宋体"/>
          <w:color w:val="auto"/>
          <w:szCs w:val="24"/>
          <w:lang w:val="zh-CN"/>
        </w:rPr>
      </w:pPr>
      <w:r>
        <w:rPr>
          <w:rFonts w:hint="eastAsia" w:ascii="宋体" w:hAnsi="宋体" w:eastAsia="宋体" w:cs="宋体"/>
          <w:color w:val="auto"/>
          <w:szCs w:val="24"/>
          <w:lang w:val="zh-CN"/>
        </w:rPr>
        <w:t>（4）</w:t>
      </w:r>
      <w:r>
        <w:rPr>
          <w:rFonts w:hint="eastAsia" w:ascii="宋体" w:hAnsi="宋体" w:eastAsia="宋体" w:cs="宋体"/>
          <w:color w:val="auto"/>
          <w:szCs w:val="24"/>
        </w:rPr>
        <w:t>如有需要举行</w:t>
      </w:r>
      <w:r>
        <w:rPr>
          <w:rFonts w:hint="eastAsia" w:ascii="宋体" w:hAnsi="宋体" w:eastAsia="宋体" w:cs="宋体"/>
          <w:color w:val="auto"/>
          <w:szCs w:val="24"/>
          <w:lang w:val="zh-CN"/>
        </w:rPr>
        <w:t>澄清会</w:t>
      </w:r>
      <w:r>
        <w:rPr>
          <w:rFonts w:hint="eastAsia" w:ascii="宋体" w:hAnsi="宋体" w:eastAsia="宋体" w:cs="宋体"/>
          <w:color w:val="auto"/>
          <w:szCs w:val="24"/>
        </w:rPr>
        <w:t>，</w:t>
      </w:r>
      <w:r>
        <w:rPr>
          <w:rFonts w:hint="eastAsia" w:ascii="宋体" w:hAnsi="宋体" w:eastAsia="宋体" w:cs="宋体"/>
          <w:color w:val="auto"/>
          <w:szCs w:val="24"/>
          <w:lang w:val="zh-CN"/>
        </w:rPr>
        <w:t>在举行与各投标人的澄清会之前评标委员会应明确参加会议的人员及主谈人。任何需要投标人在澄清会上澄清的问题必须经评标委员会成员签字并由主谈人提出。在澄清期间，对于涉及本规定保密范畴的所有内容，主谈人不得向投标人透露；</w:t>
      </w:r>
    </w:p>
    <w:p w14:paraId="1B92B784">
      <w:pPr>
        <w:widowControl/>
        <w:jc w:val="left"/>
        <w:rPr>
          <w:rFonts w:ascii="宋体" w:hAnsi="宋体" w:eastAsia="宋体" w:cs="Times New Roman"/>
          <w:b/>
          <w:bCs/>
          <w:color w:val="auto"/>
          <w:kern w:val="0"/>
          <w:szCs w:val="21"/>
        </w:rPr>
      </w:pPr>
      <w:r>
        <w:rPr>
          <w:rFonts w:hint="eastAsia" w:ascii="宋体" w:hAnsi="宋体" w:eastAsia="宋体" w:cs="宋体"/>
          <w:color w:val="auto"/>
          <w:szCs w:val="24"/>
          <w:lang w:val="zh-CN"/>
        </w:rPr>
        <w:t>（5）任何评审人员和工作人员不得对外公布评审的一切内容。</w:t>
      </w:r>
      <w:bookmarkEnd w:id="654"/>
      <w:bookmarkEnd w:id="659"/>
      <w:bookmarkEnd w:id="660"/>
      <w:bookmarkEnd w:id="661"/>
    </w:p>
    <w:p w14:paraId="601B958D">
      <w:pPr>
        <w:rPr>
          <w:rFonts w:ascii="宋体" w:hAnsi="宋体" w:eastAsia="宋体"/>
          <w:color w:val="auto"/>
        </w:rPr>
      </w:pPr>
    </w:p>
    <w:sectPr>
      <w:pgSz w:w="12240" w:h="15840"/>
      <w:pgMar w:top="1191" w:right="1043" w:bottom="1191" w:left="1043" w:header="720" w:footer="720" w:gutter="0"/>
      <w:cols w:space="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8076760B-7CE1-4949-A249-E9D1AF6E9577}"/>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embedRegular r:id="rId2" w:fontKey="{6AD03604-6D19-4451-9007-1EA8088E4DE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23604A5A-8A98-4D67-A6BF-23992C47CE31}"/>
  </w:font>
  <w:font w:name="等线">
    <w:panose1 w:val="02010600030101010101"/>
    <w:charset w:val="86"/>
    <w:family w:val="auto"/>
    <w:pitch w:val="default"/>
    <w:sig w:usb0="A00002BF" w:usb1="38CF7CFA" w:usb2="00000016" w:usb3="00000000" w:csb0="0004000F" w:csb1="00000000"/>
    <w:embedRegular r:id="rId4" w:fontKey="{A523E8A6-051D-4330-8D81-3301A5AEF271}"/>
  </w:font>
  <w:font w:name="仿宋">
    <w:panose1 w:val="02010609060101010101"/>
    <w:charset w:val="86"/>
    <w:family w:val="modern"/>
    <w:pitch w:val="default"/>
    <w:sig w:usb0="800002BF" w:usb1="38CF7CFA" w:usb2="00000016" w:usb3="00000000" w:csb0="00040001" w:csb1="00000000"/>
    <w:embedRegular r:id="rId5" w:fontKey="{9DA3A071-6353-40AE-9476-E254B2A07748}"/>
  </w:font>
  <w:font w:name="Cambria">
    <w:panose1 w:val="02040503050406030204"/>
    <w:charset w:val="00"/>
    <w:family w:val="roman"/>
    <w:pitch w:val="default"/>
    <w:sig w:usb0="E00002FF" w:usb1="400004FF" w:usb2="00000000"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Microsoft YaHei UI">
    <w:altName w:val="宋体"/>
    <w:panose1 w:val="020B0503020204020204"/>
    <w:charset w:val="86"/>
    <w:family w:val="swiss"/>
    <w:pitch w:val="default"/>
    <w:sig w:usb0="00000000" w:usb1="00000000" w:usb2="00000016" w:usb3="00000000" w:csb0="0004001F" w:csb1="00000000"/>
  </w:font>
  <w:font w:name="仿宋_GB2312">
    <w:panose1 w:val="02010609030101010101"/>
    <w:charset w:val="86"/>
    <w:family w:val="modern"/>
    <w:pitch w:val="default"/>
    <w:sig w:usb0="00000001" w:usb1="080E0000" w:usb2="00000000" w:usb3="00000000" w:csb0="00040000" w:csb1="00000000"/>
    <w:embedRegular r:id="rId6" w:fontKey="{5AAEA5B8-A4FE-44B0-A531-1AD5FB74CD5E}"/>
  </w:font>
  <w:font w:name="ˎ̥">
    <w:altName w:val="Times New Roman"/>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10006FF" w:usb1="4000205B" w:usb2="00000010" w:usb3="00000000" w:csb0="2000019F" w:csb1="00000000"/>
  </w:font>
  <w:font w:name="FrutigerNext LT Light">
    <w:altName w:val="宋体"/>
    <w:panose1 w:val="00000000000000000000"/>
    <w:charset w:val="86"/>
    <w:family w:val="swiss"/>
    <w:pitch w:val="default"/>
    <w:sig w:usb0="00000000" w:usb1="00000000" w:usb2="00000010" w:usb3="00000000" w:csb0="00040001" w:csb1="00000000"/>
  </w:font>
  <w:font w:name="楷体">
    <w:panose1 w:val="02010609060101010101"/>
    <w:charset w:val="86"/>
    <w:family w:val="modern"/>
    <w:pitch w:val="default"/>
    <w:sig w:usb0="800002BF" w:usb1="38CF7CFA" w:usb2="00000016" w:usb3="00000000" w:csb0="00040001" w:csb1="00000000"/>
    <w:embedRegular r:id="rId7" w:fontKey="{493D7489-F787-46D0-B724-47BF96B6AC75}"/>
  </w:font>
  <w:font w:name="Wingdings 2">
    <w:panose1 w:val="05020102010507070707"/>
    <w:charset w:val="00"/>
    <w:family w:val="auto"/>
    <w:pitch w:val="default"/>
    <w:sig w:usb0="00000000" w:usb1="00000000" w:usb2="00000000" w:usb3="00000000" w:csb0="80000000" w:csb1="00000000"/>
    <w:embedRegular r:id="rId8" w:fontKey="{6D127329-9D6A-4F7B-BEC6-6777945F7DED}"/>
  </w:font>
  <w:font w:name="方正小标宋简体">
    <w:panose1 w:val="02000000000000000000"/>
    <w:charset w:val="86"/>
    <w:family w:val="script"/>
    <w:pitch w:val="default"/>
    <w:sig w:usb0="00000001" w:usb1="08000000" w:usb2="00000000" w:usb3="00000000" w:csb0="00040000" w:csb1="00000000"/>
    <w:embedRegular r:id="rId9" w:fontKey="{9F5B9BE6-34E3-4EAE-ACA6-2C28A7863609}"/>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EC4F10">
    <w:pPr>
      <w:pStyle w:val="28"/>
      <w:ind w:firstLine="360"/>
      <w:jc w:val="center"/>
    </w:pPr>
    <w:r>
      <w:rPr>
        <w:rFonts w:hint="eastAsia"/>
      </w:rPr>
      <w:t>第</w:t>
    </w:r>
    <w:r>
      <w:rPr>
        <w:bCs/>
      </w:rPr>
      <w:fldChar w:fldCharType="begin"/>
    </w:r>
    <w:r>
      <w:rPr>
        <w:bCs/>
      </w:rPr>
      <w:instrText xml:space="preserve">PAGE</w:instrText>
    </w:r>
    <w:r>
      <w:rPr>
        <w:bCs/>
      </w:rPr>
      <w:fldChar w:fldCharType="separate"/>
    </w:r>
    <w:r>
      <w:rPr>
        <w:bCs/>
      </w:rPr>
      <w:t>42</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42</w:t>
    </w:r>
    <w:r>
      <w:rPr>
        <w:bCs/>
      </w:rPr>
      <w:fldChar w:fldCharType="end"/>
    </w:r>
    <w:r>
      <w:rPr>
        <w:rFonts w:hint="eastAsia"/>
        <w:bCs/>
      </w:rPr>
      <w:t>页</w:t>
    </w:r>
  </w:p>
  <w:p w14:paraId="1EEE182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0E48D2">
    <w:pPr>
      <w:pStyle w:val="28"/>
      <w:ind w:firstLine="360"/>
      <w:jc w:val="center"/>
    </w:pPr>
    <w:r>
      <w:rPr>
        <w:rFonts w:hint="eastAsia"/>
      </w:rPr>
      <w:t>第</w:t>
    </w:r>
    <w:r>
      <w:rPr>
        <w:bCs/>
      </w:rPr>
      <w:fldChar w:fldCharType="begin"/>
    </w:r>
    <w:r>
      <w:rPr>
        <w:bCs/>
      </w:rPr>
      <w:instrText xml:space="preserve">PAGE</w:instrText>
    </w:r>
    <w:r>
      <w:rPr>
        <w:bCs/>
      </w:rPr>
      <w:fldChar w:fldCharType="separate"/>
    </w:r>
    <w:r>
      <w:rPr>
        <w:bCs/>
      </w:rPr>
      <w:t>36</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36</w:t>
    </w:r>
    <w:r>
      <w:rPr>
        <w:bCs/>
      </w:rPr>
      <w:fldChar w:fldCharType="end"/>
    </w:r>
    <w:r>
      <w:rPr>
        <w:rFonts w:hint="eastAsia"/>
        <w:bCs/>
      </w:rPr>
      <w:t>页</w:t>
    </w:r>
  </w:p>
  <w:p w14:paraId="374D45E7"/>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917FC1">
    <w:pPr>
      <w:pStyle w:val="28"/>
      <w:jc w:val="center"/>
    </w:pPr>
    <w:r>
      <w:rPr>
        <w:rFonts w:hint="eastAsia"/>
      </w:rPr>
      <w:t>第</w:t>
    </w:r>
    <w:r>
      <w:rPr>
        <w:bCs/>
      </w:rPr>
      <w:fldChar w:fldCharType="begin"/>
    </w:r>
    <w:r>
      <w:rPr>
        <w:bCs/>
      </w:rPr>
      <w:instrText xml:space="preserve">PAGE</w:instrText>
    </w:r>
    <w:r>
      <w:rPr>
        <w:bCs/>
      </w:rPr>
      <w:fldChar w:fldCharType="separate"/>
    </w:r>
    <w:r>
      <w:rPr>
        <w:bCs/>
      </w:rPr>
      <w:t>53</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53</w:t>
    </w:r>
    <w:r>
      <w:rPr>
        <w:bCs/>
      </w:rPr>
      <w:fldChar w:fldCharType="end"/>
    </w:r>
    <w:r>
      <w:rPr>
        <w:rFonts w:hint="eastAsia"/>
        <w:bCs/>
      </w:rPr>
      <w:t>页</w:t>
    </w:r>
  </w:p>
  <w:p w14:paraId="00BD1944"/>
  <w:p w14:paraId="7ACF0DCD"/>
  <w:p w14:paraId="524A92AE"/>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3F93F7">
    <w:pPr>
      <w:pStyle w:val="28"/>
      <w:jc w:val="center"/>
    </w:pPr>
    <w:r>
      <w:rPr>
        <w:rFonts w:hint="eastAsia"/>
      </w:rPr>
      <w:t>第</w:t>
    </w:r>
    <w:r>
      <w:rPr>
        <w:bCs/>
      </w:rPr>
      <w:fldChar w:fldCharType="begin"/>
    </w:r>
    <w:r>
      <w:rPr>
        <w:bCs/>
      </w:rPr>
      <w:instrText xml:space="preserve">PAGE</w:instrText>
    </w:r>
    <w:r>
      <w:rPr>
        <w:bCs/>
      </w:rPr>
      <w:fldChar w:fldCharType="separate"/>
    </w:r>
    <w:r>
      <w:rPr>
        <w:bCs/>
      </w:rPr>
      <w:t>43</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43</w:t>
    </w:r>
    <w:r>
      <w:rPr>
        <w:bCs/>
      </w:rPr>
      <w:fldChar w:fldCharType="end"/>
    </w:r>
    <w:r>
      <w:rPr>
        <w:rFonts w:hint="eastAsia"/>
        <w:bCs/>
      </w:rPr>
      <w:t>页</w:t>
    </w:r>
  </w:p>
  <w:p w14:paraId="1B8E1251"/>
  <w:p w14:paraId="5695EAC8"/>
  <w:p w14:paraId="3E8B6B21"/>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452E75">
    <w:pPr>
      <w:pStyle w:val="28"/>
      <w:jc w:val="center"/>
    </w:pPr>
    <w:r>
      <w:rPr>
        <w:rFonts w:hint="eastAsia"/>
      </w:rPr>
      <w:t>第</w:t>
    </w:r>
    <w:r>
      <w:rPr>
        <w:bCs/>
      </w:rPr>
      <w:fldChar w:fldCharType="begin"/>
    </w:r>
    <w:r>
      <w:rPr>
        <w:bCs/>
      </w:rPr>
      <w:instrText xml:space="preserve">PAGE</w:instrText>
    </w:r>
    <w:r>
      <w:rPr>
        <w:bCs/>
      </w:rPr>
      <w:fldChar w:fldCharType="separate"/>
    </w:r>
    <w:r>
      <w:rPr>
        <w:bCs/>
      </w:rPr>
      <w:t>57</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57</w:t>
    </w:r>
    <w:r>
      <w:rPr>
        <w:bCs/>
      </w:rPr>
      <w:fldChar w:fldCharType="end"/>
    </w:r>
    <w:r>
      <w:rPr>
        <w:rFonts w:hint="eastAsia"/>
        <w:bCs/>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8040F3">
    <w:pPr>
      <w:pStyle w:val="28"/>
      <w:jc w:val="center"/>
    </w:pPr>
    <w:r>
      <w:rPr>
        <w:rFonts w:hint="eastAsia"/>
      </w:rPr>
      <w:t>第</w:t>
    </w:r>
    <w:r>
      <w:rPr>
        <w:bCs/>
      </w:rPr>
      <w:fldChar w:fldCharType="begin"/>
    </w:r>
    <w:r>
      <w:rPr>
        <w:bCs/>
      </w:rPr>
      <w:instrText xml:space="preserve">PAGE</w:instrText>
    </w:r>
    <w:r>
      <w:rPr>
        <w:bCs/>
      </w:rPr>
      <w:fldChar w:fldCharType="separate"/>
    </w:r>
    <w:r>
      <w:rPr>
        <w:bCs/>
      </w:rPr>
      <w:t>68</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68</w:t>
    </w:r>
    <w:r>
      <w:rPr>
        <w:bCs/>
      </w:rPr>
      <w:fldChar w:fldCharType="end"/>
    </w:r>
    <w:r>
      <w:rPr>
        <w:rFonts w:hint="eastAsia"/>
        <w:bCs/>
      </w:rPr>
      <w:t>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93147C">
    <w:pPr>
      <w:pStyle w:val="28"/>
      <w:jc w:val="center"/>
    </w:pPr>
    <w:r>
      <w:rPr>
        <w:rFonts w:hint="eastAsia"/>
      </w:rPr>
      <w:t>第</w:t>
    </w:r>
    <w:r>
      <w:rPr>
        <w:lang w:val="zh-CN"/>
      </w:rPr>
      <w:t xml:space="preserve"> </w:t>
    </w:r>
    <w:r>
      <w:rPr>
        <w:bCs/>
        <w:sz w:val="24"/>
        <w:szCs w:val="24"/>
      </w:rPr>
      <w:fldChar w:fldCharType="begin"/>
    </w:r>
    <w:r>
      <w:rPr>
        <w:bCs/>
      </w:rPr>
      <w:instrText xml:space="preserve">PAGE</w:instrText>
    </w:r>
    <w:r>
      <w:rPr>
        <w:bCs/>
        <w:sz w:val="24"/>
        <w:szCs w:val="24"/>
      </w:rPr>
      <w:fldChar w:fldCharType="separate"/>
    </w:r>
    <w:r>
      <w:rPr>
        <w:bCs/>
      </w:rPr>
      <w:t>87</w:t>
    </w:r>
    <w:r>
      <w:rPr>
        <w:bCs/>
        <w:sz w:val="24"/>
        <w:szCs w:val="24"/>
      </w:rPr>
      <w:fldChar w:fldCharType="end"/>
    </w:r>
    <w:r>
      <w:rPr>
        <w:lang w:val="zh-CN"/>
      </w:rPr>
      <w:t xml:space="preserve"> </w:t>
    </w:r>
    <w:r>
      <w:rPr>
        <w:rFonts w:hint="eastAsia"/>
        <w:lang w:val="zh-CN"/>
      </w:rPr>
      <w:t>页，共</w:t>
    </w:r>
    <w:r>
      <w:rPr>
        <w:lang w:val="zh-CN"/>
      </w:rPr>
      <w:t xml:space="preserve"> </w:t>
    </w:r>
    <w:r>
      <w:rPr>
        <w:bCs/>
        <w:sz w:val="24"/>
        <w:szCs w:val="24"/>
      </w:rPr>
      <w:fldChar w:fldCharType="begin"/>
    </w:r>
    <w:r>
      <w:rPr>
        <w:bCs/>
      </w:rPr>
      <w:instrText xml:space="preserve">NUMPAGES</w:instrText>
    </w:r>
    <w:r>
      <w:rPr>
        <w:bCs/>
        <w:sz w:val="24"/>
        <w:szCs w:val="24"/>
      </w:rPr>
      <w:fldChar w:fldCharType="separate"/>
    </w:r>
    <w:r>
      <w:rPr>
        <w:bCs/>
      </w:rPr>
      <w:t>87</w:t>
    </w:r>
    <w:r>
      <w:rPr>
        <w:bCs/>
        <w:sz w:val="24"/>
        <w:szCs w:val="24"/>
      </w:rPr>
      <w:fldChar w:fldCharType="end"/>
    </w:r>
    <w:r>
      <w:rPr>
        <w:b/>
        <w:bCs/>
        <w:sz w:val="24"/>
        <w:szCs w:val="24"/>
      </w:rPr>
      <w:t xml:space="preserve"> </w:t>
    </w:r>
    <w:r>
      <w:rPr>
        <w:rFonts w:hint="eastAsia"/>
      </w:rPr>
      <w:t>页</w:t>
    </w:r>
  </w:p>
  <w:p w14:paraId="71B5085E">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DF93F3">
    <w:pPr>
      <w:pStyle w:val="29"/>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F8FFEA">
    <w:pPr>
      <w:pStyle w:val="29"/>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8D6FBB"/>
    <w:multiLevelType w:val="multilevel"/>
    <w:tmpl w:val="2F8D6FBB"/>
    <w:lvl w:ilvl="0" w:tentative="0">
      <w:start w:val="1"/>
      <w:numFmt w:val="decimal"/>
      <w:lvlText w:val="%1."/>
      <w:legacy w:legacy="1" w:legacySpace="0" w:legacyIndent="360"/>
      <w:lvlJc w:val="left"/>
      <w:rPr>
        <w:rFonts w:hint="eastAsia" w:ascii="宋体" w:hAnsi="宋体" w:eastAsia="宋体"/>
      </w:rPr>
    </w:lvl>
    <w:lvl w:ilvl="1" w:tentative="0">
      <w:start w:val="5"/>
      <w:numFmt w:val="decimal"/>
      <w:isLgl/>
      <w:lvlText w:val="%1.%2"/>
      <w:lvlJc w:val="left"/>
      <w:pPr>
        <w:tabs>
          <w:tab w:val="left" w:pos="0"/>
        </w:tabs>
        <w:ind w:left="0" w:firstLine="0"/>
      </w:pPr>
      <w:rPr>
        <w:rFonts w:hint="default"/>
      </w:rPr>
    </w:lvl>
    <w:lvl w:ilvl="2" w:tentative="0">
      <w:start w:val="1"/>
      <w:numFmt w:val="decimal"/>
      <w:isLgl/>
      <w:lvlText w:val="%1.%2.%3"/>
      <w:lvlJc w:val="left"/>
      <w:pPr>
        <w:tabs>
          <w:tab w:val="left" w:pos="0"/>
        </w:tabs>
        <w:ind w:left="0" w:firstLine="0"/>
      </w:pPr>
      <w:rPr>
        <w:rFonts w:hint="default"/>
      </w:rPr>
    </w:lvl>
    <w:lvl w:ilvl="3" w:tentative="0">
      <w:start w:val="1"/>
      <w:numFmt w:val="decimal"/>
      <w:isLgl/>
      <w:lvlText w:val="%1.%2.%3.%4"/>
      <w:lvlJc w:val="left"/>
      <w:pPr>
        <w:tabs>
          <w:tab w:val="left" w:pos="0"/>
        </w:tabs>
        <w:ind w:left="0" w:firstLine="0"/>
      </w:pPr>
      <w:rPr>
        <w:rFonts w:hint="default"/>
      </w:rPr>
    </w:lvl>
    <w:lvl w:ilvl="4" w:tentative="0">
      <w:start w:val="1"/>
      <w:numFmt w:val="decimal"/>
      <w:isLgl/>
      <w:lvlText w:val="%1.%2.%3.%4.%5"/>
      <w:lvlJc w:val="left"/>
      <w:pPr>
        <w:tabs>
          <w:tab w:val="left" w:pos="0"/>
        </w:tabs>
        <w:ind w:left="0" w:firstLine="0"/>
      </w:pPr>
      <w:rPr>
        <w:rFonts w:hint="default"/>
      </w:rPr>
    </w:lvl>
    <w:lvl w:ilvl="5" w:tentative="0">
      <w:start w:val="1"/>
      <w:numFmt w:val="decimal"/>
      <w:isLgl/>
      <w:lvlText w:val="%1.%2.%3.%4.%5.%6"/>
      <w:lvlJc w:val="left"/>
      <w:pPr>
        <w:tabs>
          <w:tab w:val="left" w:pos="0"/>
        </w:tabs>
        <w:ind w:left="0" w:firstLine="0"/>
      </w:pPr>
      <w:rPr>
        <w:rFonts w:hint="default"/>
      </w:rPr>
    </w:lvl>
    <w:lvl w:ilvl="6" w:tentative="0">
      <w:start w:val="1"/>
      <w:numFmt w:val="decimal"/>
      <w:isLgl/>
      <w:lvlText w:val="%1.%2.%3.%4.%5.%6.%7"/>
      <w:lvlJc w:val="left"/>
      <w:pPr>
        <w:tabs>
          <w:tab w:val="left" w:pos="0"/>
        </w:tabs>
        <w:ind w:left="0" w:firstLine="0"/>
      </w:pPr>
      <w:rPr>
        <w:rFonts w:hint="default"/>
      </w:rPr>
    </w:lvl>
    <w:lvl w:ilvl="7" w:tentative="0">
      <w:start w:val="1"/>
      <w:numFmt w:val="decimal"/>
      <w:isLgl/>
      <w:lvlText w:val="%1.%2.%3.%4.%5.%6.%7.%8"/>
      <w:lvlJc w:val="left"/>
      <w:pPr>
        <w:tabs>
          <w:tab w:val="left" w:pos="0"/>
        </w:tabs>
        <w:ind w:left="0" w:firstLine="0"/>
      </w:pPr>
      <w:rPr>
        <w:rFonts w:hint="default"/>
      </w:rPr>
    </w:lvl>
    <w:lvl w:ilvl="8" w:tentative="0">
      <w:start w:val="1"/>
      <w:numFmt w:val="decimal"/>
      <w:isLgl/>
      <w:lvlText w:val="%1.%2.%3.%4.%5.%6.%7.%8.%9"/>
      <w:lvlJc w:val="left"/>
      <w:pPr>
        <w:tabs>
          <w:tab w:val="left" w:pos="0"/>
        </w:tabs>
        <w:ind w:left="0" w:firstLine="0"/>
      </w:pPr>
      <w:rPr>
        <w:rFonts w:hint="default"/>
      </w:rPr>
    </w:lvl>
  </w:abstractNum>
  <w:abstractNum w:abstractNumId="1">
    <w:nsid w:val="442A3BA7"/>
    <w:multiLevelType w:val="multilevel"/>
    <w:tmpl w:val="442A3BA7"/>
    <w:lvl w:ilvl="0" w:tentative="0">
      <w:start w:val="1"/>
      <w:numFmt w:val="decimal"/>
      <w:lvlText w:val="%1"/>
      <w:lvlJc w:val="left"/>
      <w:pPr>
        <w:ind w:left="360" w:hanging="360"/>
      </w:pPr>
      <w:rPr>
        <w:rFonts w:hint="default"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16CD119"/>
    <w:multiLevelType w:val="singleLevel"/>
    <w:tmpl w:val="516CD119"/>
    <w:lvl w:ilvl="0" w:tentative="0">
      <w:start w:val="1"/>
      <w:numFmt w:val="decimal"/>
      <w:suff w:val="nothing"/>
      <w:lvlText w:val="（%1）"/>
      <w:lvlJc w:val="left"/>
    </w:lvl>
  </w:abstractNum>
  <w:abstractNum w:abstractNumId="3">
    <w:nsid w:val="7F7F70D0"/>
    <w:multiLevelType w:val="multilevel"/>
    <w:tmpl w:val="7F7F70D0"/>
    <w:lvl w:ilvl="0" w:tentative="0">
      <w:start w:val="1"/>
      <w:numFmt w:val="japaneseCounting"/>
      <w:lvlText w:val="第%1条"/>
      <w:lvlJc w:val="left"/>
      <w:pPr>
        <w:ind w:left="720" w:hanging="720"/>
      </w:pPr>
      <w:rPr>
        <w:rFonts w:hint="default" w:ascii="宋体" w:hAnsi="宋体"/>
        <w:b/>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A1ZjRhMmU5NzRlZmY5NTE4M2RlYmFkMDhiNzllMzMifQ=="/>
    <w:docVar w:name="KSO_WPS_MARK_KEY" w:val="4270a519-0457-4f31-80f3-f3c5b80c76f0"/>
  </w:docVars>
  <w:rsids>
    <w:rsidRoot w:val="00172A27"/>
    <w:rsid w:val="000A67EC"/>
    <w:rsid w:val="000B5A71"/>
    <w:rsid w:val="00130ABA"/>
    <w:rsid w:val="0014671A"/>
    <w:rsid w:val="00146822"/>
    <w:rsid w:val="00161551"/>
    <w:rsid w:val="00172A27"/>
    <w:rsid w:val="001B1300"/>
    <w:rsid w:val="001B739A"/>
    <w:rsid w:val="001E2757"/>
    <w:rsid w:val="0020072E"/>
    <w:rsid w:val="00234B9C"/>
    <w:rsid w:val="00244464"/>
    <w:rsid w:val="00250DD3"/>
    <w:rsid w:val="002664FC"/>
    <w:rsid w:val="0026652C"/>
    <w:rsid w:val="00292558"/>
    <w:rsid w:val="00297339"/>
    <w:rsid w:val="002A0DEA"/>
    <w:rsid w:val="002B225B"/>
    <w:rsid w:val="00314BA7"/>
    <w:rsid w:val="003330A3"/>
    <w:rsid w:val="0035758D"/>
    <w:rsid w:val="003624E3"/>
    <w:rsid w:val="0037178B"/>
    <w:rsid w:val="00372550"/>
    <w:rsid w:val="003735D0"/>
    <w:rsid w:val="003747A8"/>
    <w:rsid w:val="003B3416"/>
    <w:rsid w:val="004161B0"/>
    <w:rsid w:val="004166E4"/>
    <w:rsid w:val="00433B43"/>
    <w:rsid w:val="004716B8"/>
    <w:rsid w:val="004D0DEC"/>
    <w:rsid w:val="0057159F"/>
    <w:rsid w:val="005721BC"/>
    <w:rsid w:val="00573166"/>
    <w:rsid w:val="005A0EFF"/>
    <w:rsid w:val="005B3211"/>
    <w:rsid w:val="0062180A"/>
    <w:rsid w:val="00650457"/>
    <w:rsid w:val="00652EC6"/>
    <w:rsid w:val="00655814"/>
    <w:rsid w:val="00716836"/>
    <w:rsid w:val="00725E2A"/>
    <w:rsid w:val="007E1ED8"/>
    <w:rsid w:val="00831288"/>
    <w:rsid w:val="00890702"/>
    <w:rsid w:val="008D0151"/>
    <w:rsid w:val="008F51FA"/>
    <w:rsid w:val="00907615"/>
    <w:rsid w:val="00915603"/>
    <w:rsid w:val="00932D40"/>
    <w:rsid w:val="0095409F"/>
    <w:rsid w:val="00981EE8"/>
    <w:rsid w:val="009A22C7"/>
    <w:rsid w:val="00A161F8"/>
    <w:rsid w:val="00A3346E"/>
    <w:rsid w:val="00A43896"/>
    <w:rsid w:val="00AE35F1"/>
    <w:rsid w:val="00AF1841"/>
    <w:rsid w:val="00B12C67"/>
    <w:rsid w:val="00B23CEF"/>
    <w:rsid w:val="00B709BD"/>
    <w:rsid w:val="00B9671C"/>
    <w:rsid w:val="00BA0381"/>
    <w:rsid w:val="00BA4E7F"/>
    <w:rsid w:val="00BD076C"/>
    <w:rsid w:val="00BD151A"/>
    <w:rsid w:val="00C1371F"/>
    <w:rsid w:val="00C66C47"/>
    <w:rsid w:val="00CA30B0"/>
    <w:rsid w:val="00CB3F6E"/>
    <w:rsid w:val="00D525C5"/>
    <w:rsid w:val="00D610FC"/>
    <w:rsid w:val="00D65D05"/>
    <w:rsid w:val="00DB42AA"/>
    <w:rsid w:val="00E1623D"/>
    <w:rsid w:val="00E34985"/>
    <w:rsid w:val="00E702B4"/>
    <w:rsid w:val="00E72F1B"/>
    <w:rsid w:val="00EB090F"/>
    <w:rsid w:val="00EE621C"/>
    <w:rsid w:val="00F75545"/>
    <w:rsid w:val="022E3FEB"/>
    <w:rsid w:val="0254009E"/>
    <w:rsid w:val="028A2182"/>
    <w:rsid w:val="032A2EC2"/>
    <w:rsid w:val="04633EB4"/>
    <w:rsid w:val="04E672BC"/>
    <w:rsid w:val="0708165C"/>
    <w:rsid w:val="07171C2A"/>
    <w:rsid w:val="0719218E"/>
    <w:rsid w:val="07280DFC"/>
    <w:rsid w:val="073B2950"/>
    <w:rsid w:val="0747311E"/>
    <w:rsid w:val="079D686E"/>
    <w:rsid w:val="087216F9"/>
    <w:rsid w:val="08A96416"/>
    <w:rsid w:val="09B13A0A"/>
    <w:rsid w:val="0A210675"/>
    <w:rsid w:val="0B0017EE"/>
    <w:rsid w:val="0BBE2143"/>
    <w:rsid w:val="0C2E6B88"/>
    <w:rsid w:val="0DE93659"/>
    <w:rsid w:val="0EA36653"/>
    <w:rsid w:val="0EC20452"/>
    <w:rsid w:val="0F4513D1"/>
    <w:rsid w:val="100F0245"/>
    <w:rsid w:val="10E8343F"/>
    <w:rsid w:val="11D24DA9"/>
    <w:rsid w:val="12E8799F"/>
    <w:rsid w:val="136B0817"/>
    <w:rsid w:val="13854958"/>
    <w:rsid w:val="139B74C4"/>
    <w:rsid w:val="13BC2C0C"/>
    <w:rsid w:val="148704A2"/>
    <w:rsid w:val="149965B3"/>
    <w:rsid w:val="149E143D"/>
    <w:rsid w:val="15436065"/>
    <w:rsid w:val="15DA5835"/>
    <w:rsid w:val="177444A8"/>
    <w:rsid w:val="17CC0AA5"/>
    <w:rsid w:val="18506ACF"/>
    <w:rsid w:val="18626802"/>
    <w:rsid w:val="18B90246"/>
    <w:rsid w:val="1A46053A"/>
    <w:rsid w:val="1AE3353B"/>
    <w:rsid w:val="1AF44089"/>
    <w:rsid w:val="1C7A66B8"/>
    <w:rsid w:val="1C913B5A"/>
    <w:rsid w:val="1C9B4E75"/>
    <w:rsid w:val="1CBA7054"/>
    <w:rsid w:val="1E7238AA"/>
    <w:rsid w:val="1EA0361C"/>
    <w:rsid w:val="1F3F164B"/>
    <w:rsid w:val="20813D4B"/>
    <w:rsid w:val="2239569D"/>
    <w:rsid w:val="224420CC"/>
    <w:rsid w:val="229B4238"/>
    <w:rsid w:val="22CD20A8"/>
    <w:rsid w:val="230D2A9F"/>
    <w:rsid w:val="23201CCF"/>
    <w:rsid w:val="24177ABE"/>
    <w:rsid w:val="25E27310"/>
    <w:rsid w:val="261F3F85"/>
    <w:rsid w:val="278A75DF"/>
    <w:rsid w:val="280461D0"/>
    <w:rsid w:val="28B36086"/>
    <w:rsid w:val="29EE4787"/>
    <w:rsid w:val="2A6427B6"/>
    <w:rsid w:val="2A77438F"/>
    <w:rsid w:val="2B006133"/>
    <w:rsid w:val="2BA06919"/>
    <w:rsid w:val="2BF654E5"/>
    <w:rsid w:val="2C68486B"/>
    <w:rsid w:val="2E811332"/>
    <w:rsid w:val="2EA942B5"/>
    <w:rsid w:val="2F653BE3"/>
    <w:rsid w:val="305A6032"/>
    <w:rsid w:val="32030A74"/>
    <w:rsid w:val="323B0B82"/>
    <w:rsid w:val="324D2016"/>
    <w:rsid w:val="330949A6"/>
    <w:rsid w:val="33367802"/>
    <w:rsid w:val="334A12EC"/>
    <w:rsid w:val="338432FD"/>
    <w:rsid w:val="33A61519"/>
    <w:rsid w:val="34BD74E8"/>
    <w:rsid w:val="358418E4"/>
    <w:rsid w:val="35B71479"/>
    <w:rsid w:val="35C666C1"/>
    <w:rsid w:val="37024EF4"/>
    <w:rsid w:val="375B5E17"/>
    <w:rsid w:val="378900FF"/>
    <w:rsid w:val="37D842D8"/>
    <w:rsid w:val="37DF17C6"/>
    <w:rsid w:val="38E272C2"/>
    <w:rsid w:val="39EA49D7"/>
    <w:rsid w:val="3A2D0A2B"/>
    <w:rsid w:val="3A70698B"/>
    <w:rsid w:val="3AFB75A0"/>
    <w:rsid w:val="3C280083"/>
    <w:rsid w:val="3C2E76F0"/>
    <w:rsid w:val="3C575DCE"/>
    <w:rsid w:val="3C812D20"/>
    <w:rsid w:val="3DBF6C0D"/>
    <w:rsid w:val="3EA572C5"/>
    <w:rsid w:val="3ECA0ADA"/>
    <w:rsid w:val="3EE37DED"/>
    <w:rsid w:val="3FD963F8"/>
    <w:rsid w:val="3FDB7B84"/>
    <w:rsid w:val="400269CA"/>
    <w:rsid w:val="40307062"/>
    <w:rsid w:val="409C456C"/>
    <w:rsid w:val="423D0F5C"/>
    <w:rsid w:val="426325EF"/>
    <w:rsid w:val="44285453"/>
    <w:rsid w:val="448A013F"/>
    <w:rsid w:val="45335611"/>
    <w:rsid w:val="46145BB8"/>
    <w:rsid w:val="47793279"/>
    <w:rsid w:val="48644B65"/>
    <w:rsid w:val="48DB5981"/>
    <w:rsid w:val="49384FE0"/>
    <w:rsid w:val="495D3907"/>
    <w:rsid w:val="497967E4"/>
    <w:rsid w:val="4A154E78"/>
    <w:rsid w:val="4A3C7F54"/>
    <w:rsid w:val="4B344DB3"/>
    <w:rsid w:val="4BA34B8C"/>
    <w:rsid w:val="4BE34E14"/>
    <w:rsid w:val="4C1C33A5"/>
    <w:rsid w:val="4C395C29"/>
    <w:rsid w:val="4C7D1011"/>
    <w:rsid w:val="4CB22437"/>
    <w:rsid w:val="4CD15729"/>
    <w:rsid w:val="4DB1323F"/>
    <w:rsid w:val="4DE96E05"/>
    <w:rsid w:val="4E2323B3"/>
    <w:rsid w:val="4EAE4B7C"/>
    <w:rsid w:val="4F306202"/>
    <w:rsid w:val="4F676FEE"/>
    <w:rsid w:val="4FA96D08"/>
    <w:rsid w:val="4FDB4FA6"/>
    <w:rsid w:val="50282C92"/>
    <w:rsid w:val="505E23BD"/>
    <w:rsid w:val="50EB10E3"/>
    <w:rsid w:val="511F0B9A"/>
    <w:rsid w:val="542E298C"/>
    <w:rsid w:val="56102F24"/>
    <w:rsid w:val="5713135B"/>
    <w:rsid w:val="588B4DCB"/>
    <w:rsid w:val="5905118F"/>
    <w:rsid w:val="59145A47"/>
    <w:rsid w:val="593756E0"/>
    <w:rsid w:val="59450987"/>
    <w:rsid w:val="599F2853"/>
    <w:rsid w:val="59F475D1"/>
    <w:rsid w:val="5A226D3D"/>
    <w:rsid w:val="5A2C48CC"/>
    <w:rsid w:val="5A7C2CF8"/>
    <w:rsid w:val="5A9D71E5"/>
    <w:rsid w:val="5B4320C2"/>
    <w:rsid w:val="5B5B0FE0"/>
    <w:rsid w:val="5BA97C1E"/>
    <w:rsid w:val="5BC45332"/>
    <w:rsid w:val="5D556F02"/>
    <w:rsid w:val="5D6A375C"/>
    <w:rsid w:val="5EA65063"/>
    <w:rsid w:val="5F08322C"/>
    <w:rsid w:val="60001392"/>
    <w:rsid w:val="606C74F5"/>
    <w:rsid w:val="60BD0B62"/>
    <w:rsid w:val="60D5407B"/>
    <w:rsid w:val="61B4769E"/>
    <w:rsid w:val="6203206D"/>
    <w:rsid w:val="62036AF9"/>
    <w:rsid w:val="621655CE"/>
    <w:rsid w:val="637727B6"/>
    <w:rsid w:val="64D54CBC"/>
    <w:rsid w:val="656E53FF"/>
    <w:rsid w:val="65BB7EBF"/>
    <w:rsid w:val="65DA735D"/>
    <w:rsid w:val="65E603C8"/>
    <w:rsid w:val="65F242EE"/>
    <w:rsid w:val="66525C53"/>
    <w:rsid w:val="6665652B"/>
    <w:rsid w:val="678310A2"/>
    <w:rsid w:val="67995729"/>
    <w:rsid w:val="68130D49"/>
    <w:rsid w:val="68D91DFA"/>
    <w:rsid w:val="68F8329F"/>
    <w:rsid w:val="690B6AC9"/>
    <w:rsid w:val="69B05857"/>
    <w:rsid w:val="69DC6DF7"/>
    <w:rsid w:val="6C180827"/>
    <w:rsid w:val="6CAE4CE7"/>
    <w:rsid w:val="6D2A2796"/>
    <w:rsid w:val="6D7A1728"/>
    <w:rsid w:val="6DD76B71"/>
    <w:rsid w:val="6DF71D66"/>
    <w:rsid w:val="6EC87603"/>
    <w:rsid w:val="6F5222A2"/>
    <w:rsid w:val="6F705296"/>
    <w:rsid w:val="6F92269E"/>
    <w:rsid w:val="6FFD3FBC"/>
    <w:rsid w:val="708709DD"/>
    <w:rsid w:val="70C459C8"/>
    <w:rsid w:val="71C61CCE"/>
    <w:rsid w:val="71C62232"/>
    <w:rsid w:val="71DD5371"/>
    <w:rsid w:val="7224510A"/>
    <w:rsid w:val="72A921D9"/>
    <w:rsid w:val="73263829"/>
    <w:rsid w:val="75333B43"/>
    <w:rsid w:val="757E7D0A"/>
    <w:rsid w:val="75D266CA"/>
    <w:rsid w:val="75FA4A40"/>
    <w:rsid w:val="75FE5E72"/>
    <w:rsid w:val="76366F1B"/>
    <w:rsid w:val="76991BA7"/>
    <w:rsid w:val="77CE623E"/>
    <w:rsid w:val="784F594D"/>
    <w:rsid w:val="7851684F"/>
    <w:rsid w:val="789B248D"/>
    <w:rsid w:val="78DB2B5A"/>
    <w:rsid w:val="79BE416D"/>
    <w:rsid w:val="7B0F21BC"/>
    <w:rsid w:val="7B4C187F"/>
    <w:rsid w:val="7C286864"/>
    <w:rsid w:val="7D154E8D"/>
    <w:rsid w:val="7DCC76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iPriority="99" w:name="Body Text First Indent"/>
    <w:lsdException w:qFormat="1"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61"/>
    <w:qFormat/>
    <w:uiPriority w:val="1"/>
    <w:pPr>
      <w:autoSpaceDE w:val="0"/>
      <w:autoSpaceDN w:val="0"/>
      <w:adjustRightInd w:val="0"/>
      <w:jc w:val="left"/>
      <w:outlineLvl w:val="0"/>
    </w:pPr>
    <w:rPr>
      <w:rFonts w:ascii="宋体" w:hAnsi="Calibri" w:eastAsia="宋体" w:cs="Times New Roman"/>
      <w:kern w:val="0"/>
      <w:sz w:val="24"/>
      <w:szCs w:val="24"/>
    </w:rPr>
  </w:style>
  <w:style w:type="paragraph" w:styleId="4">
    <w:name w:val="heading 2"/>
    <w:basedOn w:val="1"/>
    <w:next w:val="1"/>
    <w:link w:val="54"/>
    <w:qFormat/>
    <w:uiPriority w:val="0"/>
    <w:pPr>
      <w:autoSpaceDE w:val="0"/>
      <w:autoSpaceDN w:val="0"/>
      <w:adjustRightInd w:val="0"/>
      <w:jc w:val="left"/>
      <w:outlineLvl w:val="1"/>
    </w:pPr>
    <w:rPr>
      <w:rFonts w:ascii="宋体" w:hAnsi="Calibri" w:eastAsia="宋体" w:cs="Times New Roman"/>
      <w:kern w:val="0"/>
      <w:sz w:val="24"/>
      <w:szCs w:val="24"/>
    </w:rPr>
  </w:style>
  <w:style w:type="paragraph" w:styleId="2">
    <w:name w:val="heading 3"/>
    <w:basedOn w:val="1"/>
    <w:next w:val="1"/>
    <w:link w:val="155"/>
    <w:qFormat/>
    <w:uiPriority w:val="0"/>
    <w:pPr>
      <w:autoSpaceDE w:val="0"/>
      <w:autoSpaceDN w:val="0"/>
      <w:adjustRightInd w:val="0"/>
      <w:jc w:val="left"/>
      <w:outlineLvl w:val="2"/>
    </w:pPr>
    <w:rPr>
      <w:rFonts w:ascii="宋体" w:hAnsi="Calibri" w:eastAsia="宋体" w:cs="Times New Roman"/>
      <w:kern w:val="0"/>
      <w:sz w:val="24"/>
      <w:szCs w:val="24"/>
    </w:rPr>
  </w:style>
  <w:style w:type="paragraph" w:styleId="5">
    <w:name w:val="heading 4"/>
    <w:basedOn w:val="1"/>
    <w:next w:val="1"/>
    <w:link w:val="56"/>
    <w:qFormat/>
    <w:uiPriority w:val="9"/>
    <w:pPr>
      <w:keepNext/>
      <w:keepLines/>
      <w:autoSpaceDE w:val="0"/>
      <w:autoSpaceDN w:val="0"/>
      <w:adjustRightInd w:val="0"/>
      <w:spacing w:before="280" w:after="290" w:line="376" w:lineRule="auto"/>
      <w:jc w:val="left"/>
      <w:outlineLvl w:val="3"/>
    </w:pPr>
    <w:rPr>
      <w:rFonts w:ascii="Arial" w:hAnsi="Arial" w:eastAsia="黑体" w:cs="Times New Roman"/>
      <w:b/>
      <w:bCs/>
      <w:kern w:val="0"/>
      <w:sz w:val="28"/>
      <w:szCs w:val="28"/>
    </w:rPr>
  </w:style>
  <w:style w:type="paragraph" w:styleId="6">
    <w:name w:val="heading 5"/>
    <w:basedOn w:val="1"/>
    <w:next w:val="1"/>
    <w:link w:val="144"/>
    <w:qFormat/>
    <w:uiPriority w:val="9"/>
    <w:pPr>
      <w:keepNext/>
      <w:keepLines/>
      <w:autoSpaceDE w:val="0"/>
      <w:autoSpaceDN w:val="0"/>
      <w:adjustRightInd w:val="0"/>
      <w:spacing w:before="280" w:after="290" w:line="376" w:lineRule="auto"/>
      <w:jc w:val="left"/>
      <w:outlineLvl w:val="4"/>
    </w:pPr>
    <w:rPr>
      <w:rFonts w:ascii="宋体" w:hAnsi="Calibri" w:eastAsia="宋体" w:cs="Times New Roman"/>
      <w:b/>
      <w:bCs/>
      <w:kern w:val="0"/>
      <w:sz w:val="28"/>
      <w:szCs w:val="28"/>
    </w:rPr>
  </w:style>
  <w:style w:type="paragraph" w:styleId="7">
    <w:name w:val="heading 6"/>
    <w:basedOn w:val="1"/>
    <w:next w:val="8"/>
    <w:link w:val="154"/>
    <w:qFormat/>
    <w:uiPriority w:val="9"/>
    <w:pPr>
      <w:keepLines/>
      <w:tabs>
        <w:tab w:val="left" w:pos="1152"/>
      </w:tabs>
      <w:adjustRightInd w:val="0"/>
      <w:snapToGrid w:val="0"/>
      <w:spacing w:beforeLines="50" w:line="360" w:lineRule="auto"/>
      <w:ind w:left="1152" w:hanging="1152"/>
      <w:jc w:val="left"/>
      <w:textAlignment w:val="baseline"/>
      <w:outlineLvl w:val="5"/>
    </w:pPr>
    <w:rPr>
      <w:rFonts w:ascii="Times New Roman" w:hAnsi="Calibri" w:eastAsia="黑体" w:cs="Times New Roman"/>
      <w:b/>
      <w:bCs/>
      <w:kern w:val="0"/>
      <w:sz w:val="28"/>
      <w:szCs w:val="24"/>
    </w:rPr>
  </w:style>
  <w:style w:type="paragraph" w:styleId="9">
    <w:name w:val="heading 7"/>
    <w:basedOn w:val="1"/>
    <w:next w:val="8"/>
    <w:link w:val="59"/>
    <w:qFormat/>
    <w:uiPriority w:val="9"/>
    <w:pPr>
      <w:keepNext/>
      <w:keepLines/>
      <w:tabs>
        <w:tab w:val="left" w:pos="1296"/>
      </w:tabs>
      <w:adjustRightInd w:val="0"/>
      <w:snapToGrid w:val="0"/>
      <w:spacing w:before="240" w:after="120"/>
      <w:ind w:left="1296" w:hanging="1296"/>
      <w:textAlignment w:val="baseline"/>
      <w:outlineLvl w:val="6"/>
    </w:pPr>
    <w:rPr>
      <w:rFonts w:ascii="Times New Roman" w:hAnsi="Calibri" w:eastAsia="黑体" w:cs="Times New Roman"/>
      <w:b/>
      <w:bCs/>
      <w:kern w:val="0"/>
      <w:sz w:val="28"/>
      <w:szCs w:val="24"/>
    </w:rPr>
  </w:style>
  <w:style w:type="paragraph" w:styleId="10">
    <w:name w:val="heading 8"/>
    <w:basedOn w:val="1"/>
    <w:next w:val="8"/>
    <w:link w:val="60"/>
    <w:qFormat/>
    <w:uiPriority w:val="9"/>
    <w:pPr>
      <w:keepNext/>
      <w:keepLines/>
      <w:tabs>
        <w:tab w:val="left" w:pos="1440"/>
      </w:tabs>
      <w:snapToGrid w:val="0"/>
      <w:spacing w:before="240" w:after="120"/>
      <w:ind w:left="1440" w:hanging="1440"/>
      <w:outlineLvl w:val="7"/>
    </w:pPr>
    <w:rPr>
      <w:rFonts w:ascii="Times New Roman" w:hAnsi="Calibri" w:eastAsia="黑体" w:cs="Times New Roman"/>
      <w:b/>
      <w:kern w:val="0"/>
      <w:sz w:val="28"/>
      <w:szCs w:val="24"/>
    </w:rPr>
  </w:style>
  <w:style w:type="paragraph" w:styleId="11">
    <w:name w:val="heading 9"/>
    <w:basedOn w:val="1"/>
    <w:next w:val="8"/>
    <w:link w:val="61"/>
    <w:qFormat/>
    <w:uiPriority w:val="9"/>
    <w:pPr>
      <w:keepNext/>
      <w:keepLines/>
      <w:tabs>
        <w:tab w:val="left" w:pos="1584"/>
      </w:tabs>
      <w:snapToGrid w:val="0"/>
      <w:spacing w:before="240" w:after="120"/>
      <w:ind w:left="1584" w:hanging="1584"/>
      <w:outlineLvl w:val="8"/>
    </w:pPr>
    <w:rPr>
      <w:rFonts w:ascii="Times New Roman" w:hAnsi="Calibri" w:eastAsia="黑体" w:cs="Times New Roman"/>
      <w:b/>
      <w:kern w:val="0"/>
      <w:sz w:val="28"/>
      <w:szCs w:val="24"/>
    </w:rPr>
  </w:style>
  <w:style w:type="character" w:default="1" w:styleId="47">
    <w:name w:val="Default Paragraph Font"/>
    <w:semiHidden/>
    <w:unhideWhenUsed/>
    <w:qFormat/>
    <w:uiPriority w:val="1"/>
  </w:style>
  <w:style w:type="table" w:default="1" w:styleId="45">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8">
    <w:name w:val="模板正文"/>
    <w:basedOn w:val="1"/>
    <w:link w:val="112"/>
    <w:qFormat/>
    <w:uiPriority w:val="0"/>
    <w:pPr>
      <w:wordWrap w:val="0"/>
      <w:autoSpaceDE w:val="0"/>
      <w:autoSpaceDN w:val="0"/>
      <w:adjustRightInd w:val="0"/>
      <w:spacing w:beforeLines="50" w:line="360" w:lineRule="auto"/>
      <w:ind w:firstLine="200" w:firstLineChars="200"/>
      <w:jc w:val="left"/>
    </w:pPr>
    <w:rPr>
      <w:rFonts w:ascii="宋体" w:eastAsia="仿宋"/>
      <w:sz w:val="24"/>
      <w:szCs w:val="21"/>
    </w:rPr>
  </w:style>
  <w:style w:type="paragraph" w:styleId="12">
    <w:name w:val="toc 7"/>
    <w:basedOn w:val="1"/>
    <w:next w:val="1"/>
    <w:unhideWhenUsed/>
    <w:qFormat/>
    <w:uiPriority w:val="39"/>
    <w:pPr>
      <w:ind w:left="2520" w:leftChars="1200"/>
    </w:pPr>
    <w:rPr>
      <w14:ligatures w14:val="standardContextual"/>
    </w:rPr>
  </w:style>
  <w:style w:type="paragraph" w:styleId="13">
    <w:name w:val="Normal Indent"/>
    <w:basedOn w:val="1"/>
    <w:qFormat/>
    <w:uiPriority w:val="0"/>
    <w:pPr>
      <w:widowControl/>
      <w:autoSpaceDE w:val="0"/>
      <w:autoSpaceDN w:val="0"/>
      <w:adjustRightInd w:val="0"/>
      <w:ind w:firstLine="420" w:firstLineChars="200"/>
      <w:jc w:val="left"/>
    </w:pPr>
    <w:rPr>
      <w:rFonts w:ascii="宋体" w:hAnsi="Calibri" w:eastAsia="宋体" w:cs="Times New Roman"/>
      <w:kern w:val="0"/>
      <w:sz w:val="20"/>
      <w:szCs w:val="20"/>
    </w:rPr>
  </w:style>
  <w:style w:type="paragraph" w:styleId="14">
    <w:name w:val="caption"/>
    <w:basedOn w:val="1"/>
    <w:next w:val="1"/>
    <w:link w:val="102"/>
    <w:qFormat/>
    <w:uiPriority w:val="0"/>
    <w:pPr>
      <w:autoSpaceDE w:val="0"/>
      <w:autoSpaceDN w:val="0"/>
      <w:adjustRightInd w:val="0"/>
      <w:spacing w:before="152" w:after="160"/>
      <w:jc w:val="left"/>
    </w:pPr>
    <w:rPr>
      <w:rFonts w:ascii="Arial" w:hAnsi="Arial" w:eastAsia="黑体" w:cs="Arial"/>
    </w:rPr>
  </w:style>
  <w:style w:type="paragraph" w:styleId="15">
    <w:name w:val="Document Map"/>
    <w:basedOn w:val="1"/>
    <w:link w:val="62"/>
    <w:semiHidden/>
    <w:qFormat/>
    <w:uiPriority w:val="99"/>
    <w:pPr>
      <w:shd w:val="clear" w:color="auto" w:fill="000080"/>
      <w:autoSpaceDE w:val="0"/>
      <w:autoSpaceDN w:val="0"/>
      <w:adjustRightInd w:val="0"/>
      <w:jc w:val="left"/>
    </w:pPr>
    <w:rPr>
      <w:rFonts w:ascii="宋体" w:hAnsi="Times New Roman" w:eastAsia="宋体" w:cs="Times New Roman"/>
      <w:kern w:val="0"/>
      <w:sz w:val="24"/>
      <w:szCs w:val="24"/>
    </w:rPr>
  </w:style>
  <w:style w:type="paragraph" w:styleId="16">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17">
    <w:name w:val="annotation text"/>
    <w:basedOn w:val="1"/>
    <w:link w:val="77"/>
    <w:semiHidden/>
    <w:unhideWhenUsed/>
    <w:qFormat/>
    <w:uiPriority w:val="99"/>
    <w:pPr>
      <w:jc w:val="left"/>
    </w:pPr>
  </w:style>
  <w:style w:type="paragraph" w:styleId="18">
    <w:name w:val="Body Text 3"/>
    <w:basedOn w:val="1"/>
    <w:link w:val="64"/>
    <w:qFormat/>
    <w:uiPriority w:val="0"/>
    <w:pPr>
      <w:autoSpaceDE w:val="0"/>
      <w:autoSpaceDN w:val="0"/>
      <w:adjustRightInd w:val="0"/>
      <w:ind w:right="-26"/>
      <w:jc w:val="center"/>
    </w:pPr>
    <w:rPr>
      <w:rFonts w:ascii="宋体" w:hAnsi="Times New Roman" w:eastAsia="宋体" w:cs="Times New Roman"/>
      <w:b/>
      <w:bCs/>
      <w:color w:val="3366FF"/>
      <w:sz w:val="52"/>
      <w:szCs w:val="52"/>
      <w:lang w:val="zh-CN"/>
    </w:rPr>
  </w:style>
  <w:style w:type="paragraph" w:styleId="19">
    <w:name w:val="Body Text"/>
    <w:basedOn w:val="1"/>
    <w:link w:val="131"/>
    <w:qFormat/>
    <w:uiPriority w:val="99"/>
    <w:pPr>
      <w:autoSpaceDE w:val="0"/>
      <w:autoSpaceDN w:val="0"/>
      <w:adjustRightInd w:val="0"/>
      <w:ind w:right="-26"/>
      <w:jc w:val="center"/>
    </w:pPr>
    <w:rPr>
      <w:rFonts w:ascii="宋体" w:eastAsia="宋体"/>
      <w:b/>
      <w:bCs/>
      <w:sz w:val="84"/>
      <w:szCs w:val="84"/>
      <w:lang w:val="zh-CN"/>
    </w:rPr>
  </w:style>
  <w:style w:type="paragraph" w:styleId="20">
    <w:name w:val="Body Text Indent"/>
    <w:basedOn w:val="1"/>
    <w:next w:val="1"/>
    <w:link w:val="110"/>
    <w:qFormat/>
    <w:uiPriority w:val="0"/>
    <w:pPr>
      <w:ind w:left="567" w:leftChars="270"/>
    </w:pPr>
    <w:rPr>
      <w:rFonts w:ascii="Times New Roman" w:hAnsi="Times New Roman" w:eastAsia="宋体" w:cs="Times New Roman"/>
      <w:szCs w:val="20"/>
    </w:rPr>
  </w:style>
  <w:style w:type="paragraph" w:styleId="21">
    <w:name w:val="toc 5"/>
    <w:basedOn w:val="1"/>
    <w:next w:val="1"/>
    <w:unhideWhenUsed/>
    <w:qFormat/>
    <w:uiPriority w:val="39"/>
    <w:pPr>
      <w:ind w:left="1680" w:leftChars="800"/>
    </w:pPr>
    <w:rPr>
      <w14:ligatures w14:val="standardContextual"/>
    </w:rPr>
  </w:style>
  <w:style w:type="paragraph" w:styleId="22">
    <w:name w:val="toc 3"/>
    <w:basedOn w:val="1"/>
    <w:next w:val="1"/>
    <w:unhideWhenUsed/>
    <w:qFormat/>
    <w:uiPriority w:val="39"/>
    <w:pPr>
      <w:tabs>
        <w:tab w:val="right" w:leader="dot" w:pos="10144"/>
      </w:tabs>
      <w:spacing w:line="360" w:lineRule="auto"/>
      <w:ind w:firstLine="420" w:firstLineChars="200"/>
    </w:pPr>
  </w:style>
  <w:style w:type="paragraph" w:styleId="23">
    <w:name w:val="Plain Text"/>
    <w:basedOn w:val="1"/>
    <w:link w:val="118"/>
    <w:qFormat/>
    <w:uiPriority w:val="0"/>
    <w:rPr>
      <w:rFonts w:ascii="宋体" w:hAnsi="Courier New" w:eastAsia="宋体"/>
    </w:rPr>
  </w:style>
  <w:style w:type="paragraph" w:styleId="24">
    <w:name w:val="toc 8"/>
    <w:basedOn w:val="1"/>
    <w:next w:val="1"/>
    <w:unhideWhenUsed/>
    <w:qFormat/>
    <w:uiPriority w:val="39"/>
    <w:pPr>
      <w:ind w:left="2940" w:leftChars="1400"/>
    </w:pPr>
    <w:rPr>
      <w14:ligatures w14:val="standardContextual"/>
    </w:rPr>
  </w:style>
  <w:style w:type="paragraph" w:styleId="25">
    <w:name w:val="Date"/>
    <w:basedOn w:val="1"/>
    <w:next w:val="1"/>
    <w:link w:val="68"/>
    <w:qFormat/>
    <w:uiPriority w:val="99"/>
    <w:pPr>
      <w:autoSpaceDE w:val="0"/>
      <w:autoSpaceDN w:val="0"/>
      <w:adjustRightInd w:val="0"/>
      <w:ind w:left="100" w:leftChars="2500"/>
      <w:jc w:val="left"/>
    </w:pPr>
    <w:rPr>
      <w:rFonts w:ascii="宋体" w:hAnsi="Times New Roman" w:eastAsia="宋体" w:cs="Times New Roman"/>
      <w:b/>
      <w:bCs/>
      <w:szCs w:val="21"/>
      <w:lang w:val="zh-CN"/>
    </w:rPr>
  </w:style>
  <w:style w:type="paragraph" w:styleId="26">
    <w:name w:val="Body Text Indent 2"/>
    <w:basedOn w:val="1"/>
    <w:link w:val="69"/>
    <w:qFormat/>
    <w:uiPriority w:val="0"/>
    <w:pPr>
      <w:tabs>
        <w:tab w:val="left" w:pos="8640"/>
      </w:tabs>
      <w:ind w:left="1260"/>
    </w:pPr>
    <w:rPr>
      <w:rFonts w:ascii="宋体" w:hAnsi="Times New Roman" w:eastAsia="宋体" w:cs="Times New Roman"/>
      <w:szCs w:val="20"/>
    </w:rPr>
  </w:style>
  <w:style w:type="paragraph" w:styleId="27">
    <w:name w:val="Balloon Text"/>
    <w:basedOn w:val="1"/>
    <w:link w:val="70"/>
    <w:qFormat/>
    <w:uiPriority w:val="0"/>
    <w:rPr>
      <w:rFonts w:ascii="Times New Roman" w:hAnsi="Times New Roman" w:eastAsia="宋体" w:cs="Times New Roman"/>
      <w:sz w:val="18"/>
      <w:szCs w:val="18"/>
    </w:rPr>
  </w:style>
  <w:style w:type="paragraph" w:styleId="28">
    <w:name w:val="footer"/>
    <w:basedOn w:val="1"/>
    <w:link w:val="71"/>
    <w:qFormat/>
    <w:uiPriority w:val="99"/>
    <w:pPr>
      <w:tabs>
        <w:tab w:val="center" w:pos="4153"/>
        <w:tab w:val="right" w:pos="8306"/>
      </w:tabs>
      <w:autoSpaceDE w:val="0"/>
      <w:autoSpaceDN w:val="0"/>
      <w:adjustRightInd w:val="0"/>
      <w:snapToGrid w:val="0"/>
      <w:jc w:val="left"/>
    </w:pPr>
    <w:rPr>
      <w:rFonts w:ascii="宋体" w:eastAsia="宋体"/>
      <w:sz w:val="18"/>
      <w:szCs w:val="18"/>
    </w:rPr>
  </w:style>
  <w:style w:type="paragraph" w:styleId="29">
    <w:name w:val="header"/>
    <w:basedOn w:val="1"/>
    <w:link w:val="72"/>
    <w:qFormat/>
    <w:uiPriority w:val="99"/>
    <w:pPr>
      <w:pBdr>
        <w:bottom w:val="single" w:color="auto" w:sz="6" w:space="1"/>
      </w:pBdr>
      <w:tabs>
        <w:tab w:val="center" w:pos="4153"/>
        <w:tab w:val="right" w:pos="8306"/>
      </w:tabs>
      <w:autoSpaceDE w:val="0"/>
      <w:autoSpaceDN w:val="0"/>
      <w:adjustRightInd w:val="0"/>
      <w:snapToGrid w:val="0"/>
      <w:jc w:val="center"/>
    </w:pPr>
    <w:rPr>
      <w:rFonts w:ascii="宋体" w:eastAsia="宋体"/>
      <w:sz w:val="18"/>
      <w:szCs w:val="18"/>
    </w:rPr>
  </w:style>
  <w:style w:type="paragraph" w:styleId="30">
    <w:name w:val="toc 1"/>
    <w:basedOn w:val="1"/>
    <w:next w:val="1"/>
    <w:unhideWhenUsed/>
    <w:qFormat/>
    <w:uiPriority w:val="39"/>
    <w:pPr>
      <w:tabs>
        <w:tab w:val="right" w:leader="dot" w:pos="10144"/>
      </w:tabs>
      <w:spacing w:line="360" w:lineRule="auto"/>
    </w:pPr>
  </w:style>
  <w:style w:type="paragraph" w:styleId="31">
    <w:name w:val="toc 4"/>
    <w:basedOn w:val="1"/>
    <w:next w:val="1"/>
    <w:unhideWhenUsed/>
    <w:qFormat/>
    <w:uiPriority w:val="39"/>
    <w:pPr>
      <w:ind w:left="1260" w:leftChars="600"/>
    </w:pPr>
    <w:rPr>
      <w14:ligatures w14:val="standardContextual"/>
    </w:rPr>
  </w:style>
  <w:style w:type="paragraph" w:styleId="32">
    <w:name w:val="Subtitle"/>
    <w:next w:val="1"/>
    <w:qFormat/>
    <w:uiPriority w:val="11"/>
    <w:pPr>
      <w:widowControl w:val="0"/>
      <w:autoSpaceDE w:val="0"/>
      <w:autoSpaceDN w:val="0"/>
      <w:adjustRightInd w:val="0"/>
      <w:spacing w:before="240" w:after="60" w:line="312" w:lineRule="auto"/>
      <w:jc w:val="center"/>
      <w:outlineLvl w:val="1"/>
    </w:pPr>
    <w:rPr>
      <w:rFonts w:ascii="Cambria" w:hAnsi="Cambria" w:eastAsia="宋体" w:cs="Times New Roman"/>
      <w:b/>
      <w:bCs/>
      <w:kern w:val="28"/>
      <w:sz w:val="32"/>
      <w:szCs w:val="32"/>
      <w:lang w:val="en-US" w:eastAsia="zh-CN" w:bidi="ar-SA"/>
    </w:rPr>
  </w:style>
  <w:style w:type="paragraph" w:styleId="33">
    <w:name w:val="List"/>
    <w:basedOn w:val="1"/>
    <w:unhideWhenUsed/>
    <w:qFormat/>
    <w:uiPriority w:val="0"/>
    <w:pPr>
      <w:autoSpaceDE w:val="0"/>
      <w:autoSpaceDN w:val="0"/>
      <w:adjustRightInd w:val="0"/>
      <w:ind w:left="200" w:hanging="200" w:hangingChars="200"/>
      <w:contextualSpacing/>
      <w:jc w:val="left"/>
    </w:pPr>
    <w:rPr>
      <w:rFonts w:ascii="宋体" w:hAnsi="Calibri" w:eastAsia="宋体" w:cs="Times New Roman"/>
      <w:kern w:val="0"/>
      <w:sz w:val="24"/>
      <w:szCs w:val="24"/>
    </w:rPr>
  </w:style>
  <w:style w:type="paragraph" w:styleId="34">
    <w:name w:val="toc 6"/>
    <w:basedOn w:val="1"/>
    <w:next w:val="1"/>
    <w:unhideWhenUsed/>
    <w:qFormat/>
    <w:uiPriority w:val="39"/>
    <w:pPr>
      <w:ind w:left="2100" w:leftChars="1000"/>
    </w:pPr>
    <w:rPr>
      <w14:ligatures w14:val="standardContextual"/>
    </w:rPr>
  </w:style>
  <w:style w:type="paragraph" w:styleId="35">
    <w:name w:val="Body Text Indent 3"/>
    <w:basedOn w:val="1"/>
    <w:link w:val="73"/>
    <w:qFormat/>
    <w:uiPriority w:val="0"/>
    <w:pPr>
      <w:autoSpaceDE w:val="0"/>
      <w:autoSpaceDN w:val="0"/>
      <w:adjustRightInd w:val="0"/>
      <w:spacing w:line="360" w:lineRule="auto"/>
      <w:ind w:firstLine="480" w:firstLineChars="200"/>
      <w:jc w:val="left"/>
    </w:pPr>
    <w:rPr>
      <w:rFonts w:ascii="宋体" w:hAnsi="Times New Roman" w:eastAsia="宋体" w:cs="Times New Roman"/>
      <w:kern w:val="0"/>
      <w:sz w:val="24"/>
      <w:szCs w:val="24"/>
    </w:rPr>
  </w:style>
  <w:style w:type="paragraph" w:styleId="36">
    <w:name w:val="toc 2"/>
    <w:basedOn w:val="1"/>
    <w:next w:val="1"/>
    <w:unhideWhenUsed/>
    <w:qFormat/>
    <w:uiPriority w:val="39"/>
    <w:pPr>
      <w:ind w:left="420" w:leftChars="200"/>
    </w:pPr>
  </w:style>
  <w:style w:type="paragraph" w:styleId="37">
    <w:name w:val="toc 9"/>
    <w:basedOn w:val="1"/>
    <w:next w:val="1"/>
    <w:unhideWhenUsed/>
    <w:qFormat/>
    <w:uiPriority w:val="39"/>
    <w:pPr>
      <w:ind w:left="3360" w:leftChars="1600"/>
    </w:pPr>
    <w:rPr>
      <w14:ligatures w14:val="standardContextual"/>
    </w:rPr>
  </w:style>
  <w:style w:type="paragraph" w:styleId="38">
    <w:name w:val="Body Text 2"/>
    <w:basedOn w:val="1"/>
    <w:link w:val="74"/>
    <w:qFormat/>
    <w:uiPriority w:val="0"/>
    <w:pPr>
      <w:tabs>
        <w:tab w:val="left" w:pos="0"/>
      </w:tabs>
      <w:spacing w:line="400" w:lineRule="atLeast"/>
    </w:pPr>
    <w:rPr>
      <w:rFonts w:ascii="Arial" w:hAnsi="Arial" w:eastAsia="宋体" w:cs="Times New Roman"/>
      <w:color w:val="000000"/>
      <w:szCs w:val="24"/>
    </w:rPr>
  </w:style>
  <w:style w:type="paragraph" w:styleId="39">
    <w:name w:val="HTML Preformatted"/>
    <w:basedOn w:val="1"/>
    <w:link w:val="75"/>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eastAsia="宋体" w:cs="Arial"/>
      <w:szCs w:val="21"/>
    </w:rPr>
  </w:style>
  <w:style w:type="paragraph" w:styleId="40">
    <w:name w:val="Normal (Web)"/>
    <w:basedOn w:val="1"/>
    <w:link w:val="111"/>
    <w:qFormat/>
    <w:uiPriority w:val="0"/>
    <w:pPr>
      <w:widowControl/>
      <w:spacing w:before="100" w:beforeAutospacing="1" w:after="100" w:afterAutospacing="1"/>
      <w:jc w:val="left"/>
    </w:pPr>
    <w:rPr>
      <w:rFonts w:ascii="宋体" w:hAnsi="宋体"/>
      <w:sz w:val="15"/>
      <w:szCs w:val="15"/>
    </w:rPr>
  </w:style>
  <w:style w:type="paragraph" w:styleId="41">
    <w:name w:val="Title"/>
    <w:basedOn w:val="1"/>
    <w:next w:val="1"/>
    <w:link w:val="82"/>
    <w:qFormat/>
    <w:uiPriority w:val="10"/>
    <w:pPr>
      <w:spacing w:before="120" w:after="60" w:line="300" w:lineRule="auto"/>
      <w:jc w:val="left"/>
      <w:outlineLvl w:val="0"/>
    </w:pPr>
    <w:rPr>
      <w:rFonts w:ascii="等线 Light" w:hAnsi="等线 Light" w:eastAsia="仿宋"/>
      <w:b/>
      <w:bCs/>
      <w:sz w:val="28"/>
      <w:szCs w:val="32"/>
    </w:rPr>
  </w:style>
  <w:style w:type="paragraph" w:styleId="42">
    <w:name w:val="annotation subject"/>
    <w:basedOn w:val="17"/>
    <w:next w:val="17"/>
    <w:link w:val="78"/>
    <w:qFormat/>
    <w:uiPriority w:val="99"/>
    <w:pPr>
      <w:autoSpaceDE w:val="0"/>
      <w:autoSpaceDN w:val="0"/>
      <w:adjustRightInd w:val="0"/>
    </w:pPr>
    <w:rPr>
      <w:rFonts w:ascii="宋体" w:hAnsi="Times New Roman" w:eastAsia="宋体" w:cs="Times New Roman"/>
      <w:b/>
      <w:bCs/>
      <w:kern w:val="0"/>
      <w:sz w:val="24"/>
      <w:szCs w:val="24"/>
    </w:rPr>
  </w:style>
  <w:style w:type="paragraph" w:styleId="43">
    <w:name w:val="Body Text First Indent"/>
    <w:basedOn w:val="19"/>
    <w:link w:val="305"/>
    <w:semiHidden/>
    <w:unhideWhenUsed/>
    <w:qFormat/>
    <w:uiPriority w:val="99"/>
    <w:pPr>
      <w:autoSpaceDE/>
      <w:autoSpaceDN/>
      <w:adjustRightInd/>
      <w:spacing w:after="120"/>
      <w:ind w:right="0" w:firstLine="420" w:firstLineChars="100"/>
      <w:jc w:val="both"/>
    </w:pPr>
    <w:rPr>
      <w:rFonts w:asciiTheme="minorHAnsi" w:eastAsiaTheme="minorEastAsia"/>
      <w:b w:val="0"/>
      <w:bCs w:val="0"/>
      <w:sz w:val="21"/>
      <w:szCs w:val="22"/>
      <w:lang w:val="en-US"/>
    </w:rPr>
  </w:style>
  <w:style w:type="paragraph" w:styleId="44">
    <w:name w:val="Body Text First Indent 2"/>
    <w:basedOn w:val="20"/>
    <w:next w:val="13"/>
    <w:semiHidden/>
    <w:unhideWhenUsed/>
    <w:qFormat/>
    <w:uiPriority w:val="99"/>
    <w:pPr>
      <w:ind w:firstLine="420" w:firstLineChars="200"/>
    </w:pPr>
    <w:rPr>
      <w:szCs w:val="21"/>
    </w:rPr>
  </w:style>
  <w:style w:type="table" w:styleId="46">
    <w:name w:val="Table Grid"/>
    <w:basedOn w:val="45"/>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0"/>
    <w:rPr>
      <w:b/>
      <w:bCs/>
    </w:rPr>
  </w:style>
  <w:style w:type="character" w:styleId="49">
    <w:name w:val="FollowedHyperlink"/>
    <w:unhideWhenUsed/>
    <w:qFormat/>
    <w:uiPriority w:val="99"/>
    <w:rPr>
      <w:color w:val="954F72"/>
      <w:u w:val="single"/>
    </w:rPr>
  </w:style>
  <w:style w:type="character" w:styleId="50">
    <w:name w:val="Emphasis"/>
    <w:qFormat/>
    <w:uiPriority w:val="0"/>
    <w:rPr>
      <w:i/>
      <w:iCs/>
    </w:rPr>
  </w:style>
  <w:style w:type="character" w:styleId="51">
    <w:name w:val="Hyperlink"/>
    <w:qFormat/>
    <w:uiPriority w:val="99"/>
    <w:rPr>
      <w:rFonts w:hint="default" w:ascii="Arial" w:hAnsi="Arial" w:cs="Arial"/>
      <w:color w:val="000000"/>
      <w:sz w:val="20"/>
      <w:szCs w:val="20"/>
      <w:u w:val="none"/>
    </w:rPr>
  </w:style>
  <w:style w:type="character" w:styleId="52">
    <w:name w:val="annotation reference"/>
    <w:qFormat/>
    <w:uiPriority w:val="99"/>
    <w:rPr>
      <w:sz w:val="21"/>
      <w:szCs w:val="21"/>
    </w:rPr>
  </w:style>
  <w:style w:type="character" w:customStyle="1" w:styleId="53">
    <w:name w:val="标题 1 字符"/>
    <w:basedOn w:val="47"/>
    <w:qFormat/>
    <w:uiPriority w:val="1"/>
    <w:rPr>
      <w:b/>
      <w:bCs/>
      <w:kern w:val="44"/>
      <w:sz w:val="44"/>
      <w:szCs w:val="44"/>
    </w:rPr>
  </w:style>
  <w:style w:type="character" w:customStyle="1" w:styleId="54">
    <w:name w:val="标题 2 字符"/>
    <w:basedOn w:val="47"/>
    <w:link w:val="4"/>
    <w:qFormat/>
    <w:uiPriority w:val="0"/>
    <w:rPr>
      <w:rFonts w:ascii="宋体" w:hAnsi="Calibri" w:eastAsia="宋体" w:cs="Times New Roman"/>
      <w:kern w:val="0"/>
      <w:sz w:val="24"/>
      <w:szCs w:val="24"/>
    </w:rPr>
  </w:style>
  <w:style w:type="character" w:customStyle="1" w:styleId="55">
    <w:name w:val="标题 3 字符"/>
    <w:basedOn w:val="47"/>
    <w:qFormat/>
    <w:uiPriority w:val="0"/>
    <w:rPr>
      <w:b/>
      <w:bCs/>
      <w:sz w:val="32"/>
      <w:szCs w:val="32"/>
    </w:rPr>
  </w:style>
  <w:style w:type="character" w:customStyle="1" w:styleId="56">
    <w:name w:val="标题 4 字符"/>
    <w:basedOn w:val="47"/>
    <w:link w:val="5"/>
    <w:qFormat/>
    <w:uiPriority w:val="9"/>
    <w:rPr>
      <w:rFonts w:ascii="Arial" w:hAnsi="Arial" w:eastAsia="黑体" w:cs="Times New Roman"/>
      <w:b/>
      <w:bCs/>
      <w:kern w:val="0"/>
      <w:sz w:val="28"/>
      <w:szCs w:val="28"/>
    </w:rPr>
  </w:style>
  <w:style w:type="character" w:customStyle="1" w:styleId="57">
    <w:name w:val="标题 5 字符"/>
    <w:basedOn w:val="47"/>
    <w:qFormat/>
    <w:uiPriority w:val="9"/>
    <w:rPr>
      <w:b/>
      <w:bCs/>
      <w:sz w:val="28"/>
      <w:szCs w:val="28"/>
    </w:rPr>
  </w:style>
  <w:style w:type="character" w:customStyle="1" w:styleId="58">
    <w:name w:val="标题 6 字符"/>
    <w:basedOn w:val="47"/>
    <w:qFormat/>
    <w:uiPriority w:val="0"/>
    <w:rPr>
      <w:rFonts w:asciiTheme="majorHAnsi" w:hAnsiTheme="majorHAnsi" w:eastAsiaTheme="majorEastAsia" w:cstheme="majorBidi"/>
      <w:b/>
      <w:bCs/>
      <w:sz w:val="24"/>
      <w:szCs w:val="24"/>
    </w:rPr>
  </w:style>
  <w:style w:type="character" w:customStyle="1" w:styleId="59">
    <w:name w:val="标题 7 字符"/>
    <w:basedOn w:val="47"/>
    <w:link w:val="9"/>
    <w:qFormat/>
    <w:uiPriority w:val="9"/>
    <w:rPr>
      <w:rFonts w:ascii="Times New Roman" w:hAnsi="Calibri" w:eastAsia="黑体" w:cs="Times New Roman"/>
      <w:b/>
      <w:bCs/>
      <w:kern w:val="0"/>
      <w:sz w:val="28"/>
      <w:szCs w:val="24"/>
    </w:rPr>
  </w:style>
  <w:style w:type="character" w:customStyle="1" w:styleId="60">
    <w:name w:val="标题 8 字符"/>
    <w:basedOn w:val="47"/>
    <w:link w:val="10"/>
    <w:qFormat/>
    <w:uiPriority w:val="9"/>
    <w:rPr>
      <w:rFonts w:ascii="Times New Roman" w:hAnsi="Calibri" w:eastAsia="黑体" w:cs="Times New Roman"/>
      <w:b/>
      <w:kern w:val="0"/>
      <w:sz w:val="28"/>
      <w:szCs w:val="24"/>
    </w:rPr>
  </w:style>
  <w:style w:type="character" w:customStyle="1" w:styleId="61">
    <w:name w:val="标题 9 字符"/>
    <w:basedOn w:val="47"/>
    <w:link w:val="11"/>
    <w:qFormat/>
    <w:uiPriority w:val="9"/>
    <w:rPr>
      <w:rFonts w:ascii="Times New Roman" w:hAnsi="Calibri" w:eastAsia="黑体" w:cs="Times New Roman"/>
      <w:b/>
      <w:kern w:val="0"/>
      <w:sz w:val="28"/>
      <w:szCs w:val="24"/>
    </w:rPr>
  </w:style>
  <w:style w:type="character" w:customStyle="1" w:styleId="62">
    <w:name w:val="文档结构图 字符"/>
    <w:basedOn w:val="47"/>
    <w:link w:val="15"/>
    <w:semiHidden/>
    <w:qFormat/>
    <w:uiPriority w:val="99"/>
    <w:rPr>
      <w:rFonts w:ascii="宋体" w:hAnsi="Times New Roman" w:eastAsia="宋体" w:cs="Times New Roman"/>
      <w:kern w:val="0"/>
      <w:sz w:val="24"/>
      <w:szCs w:val="24"/>
      <w:shd w:val="clear" w:color="auto" w:fill="000080"/>
    </w:rPr>
  </w:style>
  <w:style w:type="paragraph" w:customStyle="1" w:styleId="63">
    <w:name w:val="批注文字1"/>
    <w:basedOn w:val="1"/>
    <w:next w:val="17"/>
    <w:link w:val="172"/>
    <w:unhideWhenUsed/>
    <w:qFormat/>
    <w:uiPriority w:val="99"/>
    <w:pPr>
      <w:jc w:val="left"/>
    </w:pPr>
  </w:style>
  <w:style w:type="character" w:customStyle="1" w:styleId="64">
    <w:name w:val="正文文本 3 字符"/>
    <w:basedOn w:val="47"/>
    <w:link w:val="18"/>
    <w:qFormat/>
    <w:uiPriority w:val="0"/>
    <w:rPr>
      <w:rFonts w:ascii="宋体" w:hAnsi="Times New Roman" w:eastAsia="宋体" w:cs="Times New Roman"/>
      <w:b/>
      <w:bCs/>
      <w:color w:val="3366FF"/>
      <w:sz w:val="52"/>
      <w:szCs w:val="52"/>
      <w:lang w:val="zh-CN"/>
    </w:rPr>
  </w:style>
  <w:style w:type="character" w:customStyle="1" w:styleId="65">
    <w:name w:val="正文文本 字符"/>
    <w:basedOn w:val="47"/>
    <w:semiHidden/>
    <w:qFormat/>
    <w:uiPriority w:val="99"/>
  </w:style>
  <w:style w:type="character" w:customStyle="1" w:styleId="66">
    <w:name w:val="正文文本缩进 字符"/>
    <w:basedOn w:val="47"/>
    <w:qFormat/>
    <w:uiPriority w:val="0"/>
  </w:style>
  <w:style w:type="character" w:customStyle="1" w:styleId="67">
    <w:name w:val="纯文本 字符"/>
    <w:basedOn w:val="47"/>
    <w:qFormat/>
    <w:uiPriority w:val="99"/>
    <w:rPr>
      <w:rFonts w:hAnsi="Courier New" w:cs="Courier New" w:asciiTheme="minorEastAsia"/>
    </w:rPr>
  </w:style>
  <w:style w:type="character" w:customStyle="1" w:styleId="68">
    <w:name w:val="日期 字符"/>
    <w:basedOn w:val="47"/>
    <w:link w:val="25"/>
    <w:qFormat/>
    <w:uiPriority w:val="99"/>
    <w:rPr>
      <w:rFonts w:ascii="宋体" w:hAnsi="Times New Roman" w:eastAsia="宋体" w:cs="Times New Roman"/>
      <w:b/>
      <w:bCs/>
      <w:szCs w:val="21"/>
      <w:lang w:val="zh-CN"/>
    </w:rPr>
  </w:style>
  <w:style w:type="character" w:customStyle="1" w:styleId="69">
    <w:name w:val="正文文本缩进 2 字符"/>
    <w:basedOn w:val="47"/>
    <w:link w:val="26"/>
    <w:qFormat/>
    <w:uiPriority w:val="0"/>
    <w:rPr>
      <w:rFonts w:ascii="宋体" w:hAnsi="Times New Roman" w:eastAsia="宋体" w:cs="Times New Roman"/>
      <w:szCs w:val="20"/>
    </w:rPr>
  </w:style>
  <w:style w:type="character" w:customStyle="1" w:styleId="70">
    <w:name w:val="批注框文本 字符"/>
    <w:basedOn w:val="47"/>
    <w:link w:val="27"/>
    <w:qFormat/>
    <w:uiPriority w:val="0"/>
    <w:rPr>
      <w:rFonts w:ascii="Times New Roman" w:hAnsi="Times New Roman" w:eastAsia="宋体" w:cs="Times New Roman"/>
      <w:sz w:val="18"/>
      <w:szCs w:val="18"/>
    </w:rPr>
  </w:style>
  <w:style w:type="character" w:customStyle="1" w:styleId="71">
    <w:name w:val="页脚 字符"/>
    <w:basedOn w:val="47"/>
    <w:link w:val="28"/>
    <w:qFormat/>
    <w:uiPriority w:val="99"/>
    <w:rPr>
      <w:rFonts w:ascii="宋体" w:eastAsia="宋体"/>
      <w:sz w:val="18"/>
      <w:szCs w:val="18"/>
    </w:rPr>
  </w:style>
  <w:style w:type="character" w:customStyle="1" w:styleId="72">
    <w:name w:val="页眉 字符"/>
    <w:basedOn w:val="47"/>
    <w:link w:val="29"/>
    <w:qFormat/>
    <w:uiPriority w:val="99"/>
    <w:rPr>
      <w:rFonts w:ascii="宋体" w:eastAsia="宋体"/>
      <w:sz w:val="18"/>
      <w:szCs w:val="18"/>
    </w:rPr>
  </w:style>
  <w:style w:type="character" w:customStyle="1" w:styleId="73">
    <w:name w:val="正文文本缩进 3 字符"/>
    <w:basedOn w:val="47"/>
    <w:link w:val="35"/>
    <w:qFormat/>
    <w:uiPriority w:val="0"/>
    <w:rPr>
      <w:rFonts w:ascii="宋体" w:hAnsi="Times New Roman" w:eastAsia="宋体" w:cs="Times New Roman"/>
      <w:kern w:val="0"/>
      <w:sz w:val="24"/>
      <w:szCs w:val="24"/>
    </w:rPr>
  </w:style>
  <w:style w:type="character" w:customStyle="1" w:styleId="74">
    <w:name w:val="正文文本 2 字符"/>
    <w:basedOn w:val="47"/>
    <w:link w:val="38"/>
    <w:qFormat/>
    <w:uiPriority w:val="0"/>
    <w:rPr>
      <w:rFonts w:ascii="Arial" w:hAnsi="Arial" w:eastAsia="宋体" w:cs="Times New Roman"/>
      <w:color w:val="000000"/>
      <w:szCs w:val="24"/>
    </w:rPr>
  </w:style>
  <w:style w:type="character" w:customStyle="1" w:styleId="75">
    <w:name w:val="HTML 预设格式 字符"/>
    <w:basedOn w:val="47"/>
    <w:link w:val="39"/>
    <w:qFormat/>
    <w:uiPriority w:val="99"/>
    <w:rPr>
      <w:rFonts w:ascii="Arial" w:hAnsi="Arial" w:eastAsia="宋体" w:cs="Arial"/>
      <w:szCs w:val="21"/>
    </w:rPr>
  </w:style>
  <w:style w:type="character" w:customStyle="1" w:styleId="76">
    <w:name w:val="标题 字符"/>
    <w:basedOn w:val="47"/>
    <w:qFormat/>
    <w:uiPriority w:val="10"/>
    <w:rPr>
      <w:rFonts w:asciiTheme="majorHAnsi" w:hAnsiTheme="majorHAnsi" w:eastAsiaTheme="majorEastAsia" w:cstheme="majorBidi"/>
      <w:b/>
      <w:bCs/>
      <w:sz w:val="32"/>
      <w:szCs w:val="32"/>
    </w:rPr>
  </w:style>
  <w:style w:type="character" w:customStyle="1" w:styleId="77">
    <w:name w:val="批注文字 字符"/>
    <w:basedOn w:val="47"/>
    <w:link w:val="17"/>
    <w:qFormat/>
    <w:uiPriority w:val="99"/>
  </w:style>
  <w:style w:type="character" w:customStyle="1" w:styleId="78">
    <w:name w:val="批注主题 字符"/>
    <w:basedOn w:val="77"/>
    <w:link w:val="42"/>
    <w:qFormat/>
    <w:uiPriority w:val="99"/>
    <w:rPr>
      <w:rFonts w:ascii="宋体" w:hAnsi="Times New Roman" w:eastAsia="宋体" w:cs="Times New Roman"/>
      <w:b/>
      <w:bCs/>
      <w:kern w:val="0"/>
      <w:sz w:val="24"/>
      <w:szCs w:val="24"/>
    </w:rPr>
  </w:style>
  <w:style w:type="paragraph" w:customStyle="1" w:styleId="79">
    <w:name w:val="正文文本首行缩进1"/>
    <w:basedOn w:val="19"/>
    <w:next w:val="43"/>
    <w:link w:val="258"/>
    <w:semiHidden/>
    <w:unhideWhenUsed/>
    <w:qFormat/>
    <w:uiPriority w:val="99"/>
    <w:pPr>
      <w:autoSpaceDE/>
      <w:autoSpaceDN/>
      <w:adjustRightInd/>
      <w:spacing w:after="120"/>
      <w:ind w:right="0" w:firstLine="420" w:firstLineChars="100"/>
      <w:jc w:val="both"/>
    </w:pPr>
    <w:rPr>
      <w:b w:val="0"/>
      <w:bCs w:val="0"/>
    </w:rPr>
  </w:style>
  <w:style w:type="paragraph" w:customStyle="1" w:styleId="80">
    <w:name w:val="首行缩进"/>
    <w:basedOn w:val="1"/>
    <w:qFormat/>
    <w:uiPriority w:val="0"/>
    <w:pPr>
      <w:ind w:firstLine="480" w:firstLineChars="200"/>
    </w:pPr>
    <w:rPr>
      <w:lang w:val="zh-CN"/>
    </w:rPr>
  </w:style>
  <w:style w:type="character" w:customStyle="1" w:styleId="81">
    <w:name w:val="普通(网站) Char"/>
    <w:qFormat/>
    <w:locked/>
    <w:uiPriority w:val="0"/>
    <w:rPr>
      <w:rFonts w:ascii="宋体" w:hAnsi="宋体"/>
      <w:sz w:val="15"/>
      <w:szCs w:val="15"/>
    </w:rPr>
  </w:style>
  <w:style w:type="character" w:customStyle="1" w:styleId="82">
    <w:name w:val="标题 字符1"/>
    <w:link w:val="41"/>
    <w:qFormat/>
    <w:uiPriority w:val="10"/>
    <w:rPr>
      <w:rFonts w:ascii="等线 Light" w:hAnsi="等线 Light" w:eastAsia="仿宋"/>
      <w:b/>
      <w:bCs/>
      <w:sz w:val="28"/>
      <w:szCs w:val="32"/>
    </w:rPr>
  </w:style>
  <w:style w:type="character" w:customStyle="1" w:styleId="83">
    <w:name w:val="日期 Char"/>
    <w:semiHidden/>
    <w:qFormat/>
    <w:uiPriority w:val="99"/>
    <w:rPr>
      <w:kern w:val="2"/>
      <w:sz w:val="21"/>
    </w:rPr>
  </w:style>
  <w:style w:type="character" w:customStyle="1" w:styleId="84">
    <w:name w:val="文档结构图 字符1"/>
    <w:semiHidden/>
    <w:qFormat/>
    <w:uiPriority w:val="99"/>
    <w:rPr>
      <w:rFonts w:ascii="Microsoft YaHei UI" w:hAnsi="Calibri" w:eastAsia="Microsoft YaHei UI" w:cs="Times New Roman"/>
      <w:kern w:val="0"/>
      <w:sz w:val="18"/>
      <w:szCs w:val="18"/>
    </w:rPr>
  </w:style>
  <w:style w:type="character" w:customStyle="1" w:styleId="85">
    <w:name w:val="批注文字 Char"/>
    <w:semiHidden/>
    <w:qFormat/>
    <w:uiPriority w:val="99"/>
    <w:rPr>
      <w:kern w:val="2"/>
      <w:sz w:val="21"/>
    </w:rPr>
  </w:style>
  <w:style w:type="character" w:customStyle="1" w:styleId="86">
    <w:name w:val="正文缩进2格 Char"/>
    <w:link w:val="87"/>
    <w:qFormat/>
    <w:uiPriority w:val="0"/>
    <w:rPr>
      <w:rFonts w:ascii="仿宋_GB2312" w:hAnsi="宋体" w:eastAsia="仿宋_GB2312"/>
      <w:sz w:val="31"/>
      <w:szCs w:val="28"/>
    </w:rPr>
  </w:style>
  <w:style w:type="paragraph" w:customStyle="1" w:styleId="87">
    <w:name w:val="正文缩进2格"/>
    <w:basedOn w:val="1"/>
    <w:link w:val="86"/>
    <w:qFormat/>
    <w:uiPriority w:val="0"/>
    <w:pPr>
      <w:spacing w:line="600" w:lineRule="exact"/>
      <w:ind w:firstLine="639" w:firstLineChars="206"/>
    </w:pPr>
    <w:rPr>
      <w:rFonts w:ascii="仿宋_GB2312" w:hAnsi="宋体" w:eastAsia="仿宋_GB2312"/>
      <w:sz w:val="31"/>
      <w:szCs w:val="28"/>
    </w:rPr>
  </w:style>
  <w:style w:type="character" w:customStyle="1" w:styleId="88">
    <w:name w:val="正文文本缩进 Char"/>
    <w:qFormat/>
    <w:uiPriority w:val="0"/>
    <w:rPr>
      <w:rFonts w:ascii="Times New Roman" w:hAnsi="Times New Roman" w:eastAsia="宋体" w:cs="Times New Roman"/>
      <w:szCs w:val="20"/>
      <w:lang w:val="en-US" w:eastAsia="zh-CN"/>
    </w:rPr>
  </w:style>
  <w:style w:type="character" w:customStyle="1" w:styleId="89">
    <w:name w:val="批注框文本 字符1"/>
    <w:semiHidden/>
    <w:qFormat/>
    <w:uiPriority w:val="99"/>
    <w:rPr>
      <w:rFonts w:ascii="宋体" w:hAnsi="Calibri" w:eastAsia="宋体" w:cs="Times New Roman"/>
      <w:kern w:val="0"/>
      <w:sz w:val="18"/>
      <w:szCs w:val="18"/>
    </w:rPr>
  </w:style>
  <w:style w:type="character" w:customStyle="1" w:styleId="90">
    <w:name w:val="List Paragraph Char"/>
    <w:link w:val="91"/>
    <w:qFormat/>
    <w:uiPriority w:val="34"/>
    <w:rPr>
      <w:rFonts w:ascii="Calibri" w:hAnsi="Calibri"/>
    </w:rPr>
  </w:style>
  <w:style w:type="paragraph" w:customStyle="1" w:styleId="91">
    <w:name w:val="列出段落1"/>
    <w:basedOn w:val="1"/>
    <w:link w:val="90"/>
    <w:qFormat/>
    <w:uiPriority w:val="34"/>
    <w:pPr>
      <w:ind w:firstLine="420" w:firstLineChars="200"/>
    </w:pPr>
    <w:rPr>
      <w:rFonts w:ascii="Calibri" w:hAnsi="Calibri"/>
    </w:rPr>
  </w:style>
  <w:style w:type="character" w:customStyle="1" w:styleId="92">
    <w:name w:val="标书正文 字符"/>
    <w:link w:val="93"/>
    <w:qFormat/>
    <w:uiPriority w:val="0"/>
    <w:rPr>
      <w:rFonts w:ascii="Calibri" w:hAnsi="Calibri" w:eastAsia="仿宋"/>
      <w:sz w:val="24"/>
      <w:szCs w:val="21"/>
    </w:rPr>
  </w:style>
  <w:style w:type="paragraph" w:customStyle="1" w:styleId="93">
    <w:name w:val="标书正文"/>
    <w:basedOn w:val="1"/>
    <w:link w:val="92"/>
    <w:qFormat/>
    <w:uiPriority w:val="0"/>
    <w:pPr>
      <w:adjustRightInd w:val="0"/>
      <w:snapToGrid w:val="0"/>
      <w:spacing w:beforeLines="50" w:line="360" w:lineRule="auto"/>
      <w:ind w:firstLine="200" w:firstLineChars="200"/>
    </w:pPr>
    <w:rPr>
      <w:rFonts w:ascii="Calibri" w:hAnsi="Calibri" w:eastAsia="仿宋"/>
      <w:sz w:val="24"/>
      <w:szCs w:val="21"/>
    </w:rPr>
  </w:style>
  <w:style w:type="character" w:customStyle="1" w:styleId="94">
    <w:name w:val="页脚 Char"/>
    <w:qFormat/>
    <w:uiPriority w:val="0"/>
    <w:rPr>
      <w:kern w:val="2"/>
      <w:sz w:val="18"/>
      <w:szCs w:val="18"/>
    </w:rPr>
  </w:style>
  <w:style w:type="character" w:customStyle="1" w:styleId="95">
    <w:name w:val="neir1"/>
    <w:qFormat/>
    <w:uiPriority w:val="0"/>
    <w:rPr>
      <w:rFonts w:hint="default" w:ascii="ˎ̥" w:hAnsi="ˎ̥"/>
      <w:color w:val="333333"/>
      <w:sz w:val="21"/>
      <w:szCs w:val="21"/>
      <w:u w:val="none"/>
    </w:rPr>
  </w:style>
  <w:style w:type="character" w:customStyle="1" w:styleId="96">
    <w:name w:val="正文文本 3 字符1"/>
    <w:semiHidden/>
    <w:qFormat/>
    <w:uiPriority w:val="99"/>
    <w:rPr>
      <w:rFonts w:ascii="宋体" w:hAnsi="Calibri" w:eastAsia="宋体" w:cs="Times New Roman"/>
      <w:kern w:val="0"/>
      <w:sz w:val="16"/>
      <w:szCs w:val="16"/>
    </w:rPr>
  </w:style>
  <w:style w:type="character" w:customStyle="1" w:styleId="97">
    <w:name w:val="正文文本 字符3"/>
    <w:semiHidden/>
    <w:qFormat/>
    <w:uiPriority w:val="99"/>
    <w:rPr>
      <w:rFonts w:ascii="宋体" w:hAnsi="Calibri" w:eastAsia="宋体" w:cs="Times New Roman"/>
      <w:kern w:val="0"/>
      <w:sz w:val="24"/>
      <w:szCs w:val="24"/>
    </w:rPr>
  </w:style>
  <w:style w:type="character" w:customStyle="1" w:styleId="98">
    <w:name w:val="日期 字符1"/>
    <w:semiHidden/>
    <w:qFormat/>
    <w:uiPriority w:val="99"/>
    <w:rPr>
      <w:rFonts w:ascii="宋体" w:hAnsi="Calibri" w:eastAsia="宋体" w:cs="Times New Roman"/>
      <w:kern w:val="0"/>
      <w:sz w:val="24"/>
      <w:szCs w:val="24"/>
    </w:rPr>
  </w:style>
  <w:style w:type="character" w:customStyle="1" w:styleId="99">
    <w:name w:val="吉奥正文 Char"/>
    <w:link w:val="100"/>
    <w:qFormat/>
    <w:locked/>
    <w:uiPriority w:val="0"/>
    <w:rPr>
      <w:rFonts w:eastAsia="仿宋_GB2312"/>
      <w:sz w:val="28"/>
    </w:rPr>
  </w:style>
  <w:style w:type="paragraph" w:customStyle="1" w:styleId="100">
    <w:name w:val="吉奥正文"/>
    <w:basedOn w:val="1"/>
    <w:link w:val="99"/>
    <w:qFormat/>
    <w:uiPriority w:val="0"/>
    <w:pPr>
      <w:adjustRightInd w:val="0"/>
      <w:snapToGrid w:val="0"/>
      <w:spacing w:before="120" w:line="360" w:lineRule="auto"/>
      <w:ind w:firstLine="200" w:firstLineChars="200"/>
      <w:textAlignment w:val="baseline"/>
    </w:pPr>
    <w:rPr>
      <w:rFonts w:eastAsia="仿宋_GB2312"/>
      <w:sz w:val="28"/>
    </w:rPr>
  </w:style>
  <w:style w:type="character" w:customStyle="1" w:styleId="101">
    <w:name w:val="页脚 Char1"/>
    <w:qFormat/>
    <w:uiPriority w:val="99"/>
    <w:rPr>
      <w:rFonts w:ascii="宋体" w:hAnsi="Times New Roman" w:eastAsia="宋体" w:cs="Times New Roman"/>
      <w:kern w:val="0"/>
      <w:sz w:val="18"/>
      <w:szCs w:val="18"/>
    </w:rPr>
  </w:style>
  <w:style w:type="character" w:customStyle="1" w:styleId="102">
    <w:name w:val="题注 字符1"/>
    <w:link w:val="14"/>
    <w:qFormat/>
    <w:uiPriority w:val="0"/>
    <w:rPr>
      <w:rFonts w:ascii="Arial" w:hAnsi="Arial" w:eastAsia="黑体" w:cs="Arial"/>
    </w:rPr>
  </w:style>
  <w:style w:type="character" w:customStyle="1" w:styleId="103">
    <w:name w:val="批注文字 字符2"/>
    <w:qFormat/>
    <w:uiPriority w:val="99"/>
    <w:rPr>
      <w:rFonts w:ascii="宋体" w:hAnsi="Times New Roman" w:eastAsia="宋体" w:cs="Times New Roman"/>
      <w:kern w:val="0"/>
      <w:sz w:val="24"/>
      <w:szCs w:val="24"/>
    </w:rPr>
  </w:style>
  <w:style w:type="character" w:customStyle="1" w:styleId="104">
    <w:name w:val="批注主题 字符1"/>
    <w:semiHidden/>
    <w:qFormat/>
    <w:uiPriority w:val="99"/>
    <w:rPr>
      <w:rFonts w:ascii="宋体" w:hAnsi="Calibri" w:eastAsia="宋体" w:cs="Times New Roman"/>
      <w:b/>
      <w:bCs/>
      <w:kern w:val="0"/>
      <w:sz w:val="24"/>
      <w:szCs w:val="24"/>
    </w:rPr>
  </w:style>
  <w:style w:type="character" w:customStyle="1" w:styleId="105">
    <w:name w:val="标题 3.1 Char"/>
    <w:link w:val="106"/>
    <w:qFormat/>
    <w:uiPriority w:val="0"/>
    <w:rPr>
      <w:rFonts w:ascii="宋体" w:hAnsi="宋体"/>
      <w:b/>
      <w:bCs/>
      <w:sz w:val="32"/>
      <w:szCs w:val="32"/>
    </w:rPr>
  </w:style>
  <w:style w:type="paragraph" w:customStyle="1" w:styleId="106">
    <w:name w:val="标题 3.1"/>
    <w:basedOn w:val="2"/>
    <w:link w:val="105"/>
    <w:qFormat/>
    <w:uiPriority w:val="0"/>
    <w:pPr>
      <w:keepNext/>
      <w:keepLines/>
      <w:pageBreakBefore/>
      <w:tabs>
        <w:tab w:val="left" w:pos="1440"/>
        <w:tab w:val="left" w:pos="1620"/>
      </w:tabs>
      <w:autoSpaceDE/>
      <w:autoSpaceDN/>
      <w:adjustRightInd/>
      <w:spacing w:before="260" w:after="260" w:line="600" w:lineRule="exact"/>
      <w:jc w:val="both"/>
    </w:pPr>
    <w:rPr>
      <w:rFonts w:hAnsi="宋体" w:eastAsiaTheme="minorEastAsia" w:cstheme="minorBidi"/>
      <w:b/>
      <w:bCs/>
      <w:kern w:val="2"/>
      <w:sz w:val="32"/>
      <w:szCs w:val="32"/>
    </w:rPr>
  </w:style>
  <w:style w:type="character" w:customStyle="1" w:styleId="107">
    <w:name w:val="HTML 预设格式 Char1"/>
    <w:semiHidden/>
    <w:qFormat/>
    <w:uiPriority w:val="99"/>
    <w:rPr>
      <w:rFonts w:ascii="Courier New" w:hAnsi="Courier New" w:eastAsia="宋体" w:cs="Courier New"/>
      <w:kern w:val="0"/>
      <w:sz w:val="20"/>
      <w:szCs w:val="20"/>
    </w:rPr>
  </w:style>
  <w:style w:type="character" w:customStyle="1" w:styleId="108">
    <w:name w:val="批注文字 字符1"/>
    <w:qFormat/>
    <w:uiPriority w:val="99"/>
    <w:rPr>
      <w:rFonts w:eastAsia="宋体"/>
      <w:kern w:val="2"/>
      <w:sz w:val="24"/>
      <w:szCs w:val="24"/>
      <w:lang w:val="en-US" w:eastAsia="zh-CN" w:bidi="ar-SA"/>
    </w:rPr>
  </w:style>
  <w:style w:type="character" w:customStyle="1" w:styleId="109">
    <w:name w:val="正文文本缩进 字符2"/>
    <w:semiHidden/>
    <w:qFormat/>
    <w:uiPriority w:val="99"/>
    <w:rPr>
      <w:rFonts w:ascii="宋体" w:hAnsi="Calibri" w:eastAsia="宋体" w:cs="Times New Roman"/>
      <w:kern w:val="0"/>
      <w:sz w:val="24"/>
      <w:szCs w:val="24"/>
    </w:rPr>
  </w:style>
  <w:style w:type="character" w:customStyle="1" w:styleId="110">
    <w:name w:val="正文文本缩进 字符1"/>
    <w:link w:val="20"/>
    <w:qFormat/>
    <w:uiPriority w:val="0"/>
    <w:rPr>
      <w:rFonts w:ascii="Times New Roman" w:hAnsi="Times New Roman" w:eastAsia="宋体" w:cs="Times New Roman"/>
      <w:szCs w:val="20"/>
    </w:rPr>
  </w:style>
  <w:style w:type="character" w:customStyle="1" w:styleId="111">
    <w:name w:val="普通(网站) 字符2"/>
    <w:link w:val="40"/>
    <w:qFormat/>
    <w:locked/>
    <w:uiPriority w:val="0"/>
    <w:rPr>
      <w:rFonts w:ascii="宋体" w:hAnsi="宋体"/>
      <w:sz w:val="15"/>
      <w:szCs w:val="15"/>
    </w:rPr>
  </w:style>
  <w:style w:type="character" w:customStyle="1" w:styleId="112">
    <w:name w:val="模板正文 Char"/>
    <w:link w:val="8"/>
    <w:qFormat/>
    <w:uiPriority w:val="0"/>
    <w:rPr>
      <w:rFonts w:ascii="宋体" w:eastAsia="仿宋"/>
      <w:sz w:val="24"/>
      <w:szCs w:val="21"/>
    </w:rPr>
  </w:style>
  <w:style w:type="character" w:customStyle="1" w:styleId="113">
    <w:name w:val="批注主题 Char"/>
    <w:semiHidden/>
    <w:qFormat/>
    <w:uiPriority w:val="99"/>
    <w:rPr>
      <w:b/>
      <w:bCs/>
      <w:kern w:val="2"/>
      <w:sz w:val="21"/>
    </w:rPr>
  </w:style>
  <w:style w:type="character" w:customStyle="1" w:styleId="114">
    <w:name w:val="正文文本 Char1"/>
    <w:qFormat/>
    <w:uiPriority w:val="0"/>
    <w:rPr>
      <w:rFonts w:ascii="宋体" w:hAnsi="Times New Roman" w:eastAsia="宋体" w:cs="Times New Roman"/>
      <w:kern w:val="0"/>
      <w:sz w:val="24"/>
      <w:szCs w:val="24"/>
    </w:rPr>
  </w:style>
  <w:style w:type="character" w:customStyle="1" w:styleId="115">
    <w:name w:val="正文文本 字符1"/>
    <w:qFormat/>
    <w:uiPriority w:val="99"/>
    <w:rPr>
      <w:rFonts w:ascii="宋体" w:eastAsia="宋体"/>
      <w:b/>
      <w:bCs/>
      <w:sz w:val="84"/>
      <w:szCs w:val="84"/>
      <w:lang w:val="zh-CN"/>
    </w:rPr>
  </w:style>
  <w:style w:type="character" w:customStyle="1" w:styleId="116">
    <w:name w:val="标题 1 Char"/>
    <w:qFormat/>
    <w:uiPriority w:val="9"/>
    <w:rPr>
      <w:rFonts w:ascii="宋体" w:hAnsi="Times New Roman" w:eastAsia="宋体" w:cs="Times New Roman"/>
      <w:kern w:val="0"/>
      <w:sz w:val="24"/>
      <w:szCs w:val="24"/>
    </w:rPr>
  </w:style>
  <w:style w:type="character" w:customStyle="1" w:styleId="117">
    <w:name w:val="正文文本 Char2"/>
    <w:qFormat/>
    <w:uiPriority w:val="99"/>
    <w:rPr>
      <w:rFonts w:ascii="宋体" w:eastAsia="宋体"/>
      <w:b/>
      <w:bCs/>
      <w:sz w:val="84"/>
      <w:szCs w:val="84"/>
      <w:lang w:val="zh-CN"/>
    </w:rPr>
  </w:style>
  <w:style w:type="character" w:customStyle="1" w:styleId="118">
    <w:name w:val="纯文本 字符2"/>
    <w:link w:val="23"/>
    <w:qFormat/>
    <w:uiPriority w:val="0"/>
    <w:rPr>
      <w:rFonts w:ascii="宋体" w:hAnsi="Courier New" w:eastAsia="宋体"/>
    </w:rPr>
  </w:style>
  <w:style w:type="character" w:customStyle="1" w:styleId="119">
    <w:name w:val="HTML Markup"/>
    <w:qFormat/>
    <w:uiPriority w:val="0"/>
    <w:rPr>
      <w:vanish/>
      <w:color w:val="FF0000"/>
    </w:rPr>
  </w:style>
  <w:style w:type="character" w:customStyle="1" w:styleId="120">
    <w:name w:val="页眉 Char1"/>
    <w:qFormat/>
    <w:uiPriority w:val="0"/>
    <w:rPr>
      <w:rFonts w:ascii="宋体" w:hAnsi="Times New Roman" w:eastAsia="宋体" w:cs="Times New Roman"/>
      <w:kern w:val="0"/>
      <w:sz w:val="18"/>
      <w:szCs w:val="18"/>
    </w:rPr>
  </w:style>
  <w:style w:type="character" w:customStyle="1" w:styleId="121">
    <w:name w:val="font11"/>
    <w:qFormat/>
    <w:uiPriority w:val="0"/>
    <w:rPr>
      <w:rFonts w:hint="eastAsia" w:ascii="宋体" w:hAnsi="宋体" w:eastAsia="宋体" w:cs="宋体"/>
      <w:color w:val="FF0000"/>
      <w:sz w:val="22"/>
      <w:szCs w:val="22"/>
      <w:u w:val="none"/>
    </w:rPr>
  </w:style>
  <w:style w:type="character" w:customStyle="1" w:styleId="122">
    <w:name w:val="style61"/>
    <w:qFormat/>
    <w:uiPriority w:val="0"/>
    <w:rPr>
      <w:b/>
      <w:bCs/>
    </w:rPr>
  </w:style>
  <w:style w:type="character" w:customStyle="1" w:styleId="123">
    <w:name w:val="表头文字 Char"/>
    <w:link w:val="124"/>
    <w:qFormat/>
    <w:uiPriority w:val="0"/>
    <w:rPr>
      <w:rFonts w:eastAsia="仿宋_GB2312"/>
      <w:b/>
      <w:sz w:val="28"/>
      <w:szCs w:val="21"/>
    </w:rPr>
  </w:style>
  <w:style w:type="paragraph" w:customStyle="1" w:styleId="124">
    <w:name w:val="表头文字"/>
    <w:basedOn w:val="1"/>
    <w:link w:val="123"/>
    <w:qFormat/>
    <w:uiPriority w:val="0"/>
    <w:pPr>
      <w:adjustRightInd w:val="0"/>
      <w:snapToGrid w:val="0"/>
      <w:spacing w:before="120" w:line="360" w:lineRule="auto"/>
      <w:jc w:val="center"/>
      <w:textAlignment w:val="baseline"/>
    </w:pPr>
    <w:rPr>
      <w:rFonts w:eastAsia="仿宋_GB2312"/>
      <w:b/>
      <w:sz w:val="28"/>
      <w:szCs w:val="21"/>
    </w:rPr>
  </w:style>
  <w:style w:type="character" w:customStyle="1" w:styleId="125">
    <w:name w:val="纯文本 Char1"/>
    <w:qFormat/>
    <w:uiPriority w:val="0"/>
    <w:rPr>
      <w:rFonts w:ascii="宋体" w:hAnsi="Courier New" w:eastAsia="宋体" w:cs="Courier New"/>
      <w:kern w:val="0"/>
      <w:szCs w:val="21"/>
    </w:rPr>
  </w:style>
  <w:style w:type="character" w:customStyle="1" w:styleId="126">
    <w:name w:val="font71"/>
    <w:qFormat/>
    <w:uiPriority w:val="0"/>
    <w:rPr>
      <w:rFonts w:hint="eastAsia" w:ascii="宋体" w:hAnsi="宋体" w:eastAsia="宋体" w:cs="宋体"/>
      <w:color w:val="FF0000"/>
      <w:sz w:val="18"/>
      <w:szCs w:val="18"/>
      <w:u w:val="none"/>
    </w:rPr>
  </w:style>
  <w:style w:type="character" w:customStyle="1" w:styleId="127">
    <w:name w:val="font21"/>
    <w:qFormat/>
    <w:uiPriority w:val="0"/>
    <w:rPr>
      <w:rFonts w:hint="eastAsia" w:ascii="宋体" w:hAnsi="宋体" w:eastAsia="宋体" w:cs="宋体"/>
      <w:b/>
      <w:color w:val="000000"/>
      <w:sz w:val="21"/>
      <w:szCs w:val="21"/>
      <w:u w:val="none"/>
    </w:rPr>
  </w:style>
  <w:style w:type="character" w:customStyle="1" w:styleId="128">
    <w:name w:val="纯文本 字符3"/>
    <w:semiHidden/>
    <w:qFormat/>
    <w:uiPriority w:val="99"/>
    <w:rPr>
      <w:rFonts w:ascii="等线" w:hAnsi="Courier New" w:cs="Courier New"/>
      <w:kern w:val="0"/>
      <w:sz w:val="24"/>
      <w:szCs w:val="24"/>
    </w:rPr>
  </w:style>
  <w:style w:type="character" w:customStyle="1" w:styleId="129">
    <w:name w:val="font31"/>
    <w:qFormat/>
    <w:uiPriority w:val="0"/>
    <w:rPr>
      <w:rFonts w:hint="eastAsia" w:ascii="宋体" w:hAnsi="宋体" w:eastAsia="宋体" w:cs="宋体"/>
      <w:color w:val="000000"/>
      <w:sz w:val="18"/>
      <w:szCs w:val="18"/>
      <w:u w:val="none"/>
    </w:rPr>
  </w:style>
  <w:style w:type="character" w:customStyle="1" w:styleId="130">
    <w:name w:val="普通(网站) 字符1"/>
    <w:qFormat/>
    <w:locked/>
    <w:uiPriority w:val="0"/>
    <w:rPr>
      <w:rFonts w:ascii="宋体" w:hAnsi="宋体"/>
      <w:sz w:val="15"/>
      <w:szCs w:val="15"/>
    </w:rPr>
  </w:style>
  <w:style w:type="character" w:customStyle="1" w:styleId="131">
    <w:name w:val="正文文本 字符2"/>
    <w:link w:val="19"/>
    <w:qFormat/>
    <w:uiPriority w:val="99"/>
    <w:rPr>
      <w:rFonts w:ascii="宋体" w:eastAsia="宋体"/>
      <w:b/>
      <w:bCs/>
      <w:sz w:val="84"/>
      <w:szCs w:val="84"/>
      <w:lang w:val="zh-CN"/>
    </w:rPr>
  </w:style>
  <w:style w:type="character" w:customStyle="1" w:styleId="132">
    <w:name w:val="标题 5 Char"/>
    <w:semiHidden/>
    <w:qFormat/>
    <w:uiPriority w:val="9"/>
    <w:rPr>
      <w:b/>
      <w:bCs/>
      <w:kern w:val="2"/>
      <w:sz w:val="28"/>
      <w:szCs w:val="28"/>
    </w:rPr>
  </w:style>
  <w:style w:type="character" w:customStyle="1" w:styleId="133">
    <w:name w:val="表格文字 Char"/>
    <w:link w:val="134"/>
    <w:qFormat/>
    <w:uiPriority w:val="0"/>
    <w:rPr>
      <w:rFonts w:eastAsia="仿宋_GB2312"/>
      <w:sz w:val="28"/>
      <w:szCs w:val="24"/>
    </w:rPr>
  </w:style>
  <w:style w:type="paragraph" w:customStyle="1" w:styleId="134">
    <w:name w:val="表格文字"/>
    <w:basedOn w:val="1"/>
    <w:link w:val="133"/>
    <w:qFormat/>
    <w:uiPriority w:val="0"/>
    <w:rPr>
      <w:rFonts w:eastAsia="仿宋_GB2312"/>
      <w:sz w:val="28"/>
      <w:szCs w:val="24"/>
    </w:rPr>
  </w:style>
  <w:style w:type="character" w:customStyle="1" w:styleId="135">
    <w:name w:val="标题 字符2"/>
    <w:qFormat/>
    <w:uiPriority w:val="10"/>
    <w:rPr>
      <w:rFonts w:ascii="等线 Light" w:hAnsi="等线 Light" w:eastAsia="等线 Light" w:cs="Times New Roman"/>
      <w:b/>
      <w:bCs/>
      <w:kern w:val="0"/>
      <w:sz w:val="32"/>
      <w:szCs w:val="32"/>
    </w:rPr>
  </w:style>
  <w:style w:type="character" w:customStyle="1" w:styleId="136">
    <w:name w:val="正文缩进2格 Char Char"/>
    <w:qFormat/>
    <w:uiPriority w:val="0"/>
    <w:rPr>
      <w:rFonts w:ascii="仿宋_GB2312" w:hAnsi="宋体" w:eastAsia="仿宋_GB2312"/>
      <w:kern w:val="2"/>
      <w:sz w:val="31"/>
      <w:szCs w:val="28"/>
      <w:lang w:val="en-US" w:eastAsia="zh-CN" w:bidi="ar-SA"/>
    </w:rPr>
  </w:style>
  <w:style w:type="character" w:customStyle="1" w:styleId="137">
    <w:name w:val="小 Char"/>
    <w:qFormat/>
    <w:uiPriority w:val="0"/>
    <w:rPr>
      <w:rFonts w:ascii="宋体" w:hAnsi="Courier New" w:eastAsia="宋体"/>
      <w:kern w:val="2"/>
      <w:sz w:val="21"/>
      <w:lang w:val="en-US" w:eastAsia="zh-CN" w:bidi="ar-SA"/>
    </w:rPr>
  </w:style>
  <w:style w:type="character" w:customStyle="1" w:styleId="138">
    <w:name w:val="themebody1"/>
    <w:qFormat/>
    <w:uiPriority w:val="0"/>
    <w:rPr>
      <w:color w:val="FFFFFF"/>
    </w:rPr>
  </w:style>
  <w:style w:type="character" w:customStyle="1" w:styleId="139">
    <w:name w:val="页脚 字符1"/>
    <w:semiHidden/>
    <w:qFormat/>
    <w:uiPriority w:val="99"/>
    <w:rPr>
      <w:rFonts w:ascii="宋体" w:hAnsi="Calibri" w:eastAsia="宋体" w:cs="Times New Roman"/>
      <w:kern w:val="0"/>
      <w:sz w:val="18"/>
      <w:szCs w:val="18"/>
    </w:rPr>
  </w:style>
  <w:style w:type="character" w:customStyle="1" w:styleId="140">
    <w:name w:val="列出段落 字符"/>
    <w:link w:val="141"/>
    <w:qFormat/>
    <w:uiPriority w:val="34"/>
  </w:style>
  <w:style w:type="paragraph" w:styleId="141">
    <w:name w:val="List Paragraph"/>
    <w:basedOn w:val="1"/>
    <w:link w:val="140"/>
    <w:qFormat/>
    <w:uiPriority w:val="34"/>
    <w:pPr>
      <w:ind w:firstLine="420" w:firstLineChars="200"/>
    </w:pPr>
  </w:style>
  <w:style w:type="character" w:customStyle="1" w:styleId="142">
    <w:name w:val="正文文本 Char"/>
    <w:qFormat/>
    <w:uiPriority w:val="99"/>
    <w:rPr>
      <w:rFonts w:ascii="宋体" w:eastAsia="宋体"/>
      <w:b/>
      <w:bCs/>
      <w:sz w:val="84"/>
      <w:szCs w:val="84"/>
      <w:lang w:val="zh-CN"/>
    </w:rPr>
  </w:style>
  <w:style w:type="character" w:customStyle="1" w:styleId="143">
    <w:name w:val="页眉 字符1"/>
    <w:semiHidden/>
    <w:qFormat/>
    <w:uiPriority w:val="99"/>
    <w:rPr>
      <w:rFonts w:ascii="宋体" w:hAnsi="Calibri" w:eastAsia="宋体" w:cs="Times New Roman"/>
      <w:kern w:val="0"/>
      <w:sz w:val="18"/>
      <w:szCs w:val="18"/>
    </w:rPr>
  </w:style>
  <w:style w:type="character" w:customStyle="1" w:styleId="144">
    <w:name w:val="标题 5 字符1"/>
    <w:link w:val="6"/>
    <w:qFormat/>
    <w:uiPriority w:val="9"/>
    <w:rPr>
      <w:rFonts w:ascii="宋体" w:hAnsi="Calibri" w:eastAsia="宋体" w:cs="Times New Roman"/>
      <w:b/>
      <w:bCs/>
      <w:kern w:val="0"/>
      <w:sz w:val="28"/>
      <w:szCs w:val="28"/>
    </w:rPr>
  </w:style>
  <w:style w:type="character" w:customStyle="1" w:styleId="145">
    <w:name w:val="keyfeatures1"/>
    <w:qFormat/>
    <w:uiPriority w:val="0"/>
    <w:rPr>
      <w:rFonts w:hint="default" w:ascii="Arial" w:hAnsi="Arial" w:cs="Arial"/>
      <w:color w:val="003366"/>
      <w:sz w:val="17"/>
      <w:szCs w:val="17"/>
      <w:u w:val="none"/>
    </w:rPr>
  </w:style>
  <w:style w:type="character" w:customStyle="1" w:styleId="146">
    <w:name w:val="题注 字符"/>
    <w:qFormat/>
    <w:uiPriority w:val="0"/>
    <w:rPr>
      <w:rFonts w:ascii="宋体" w:hAnsi="宋体" w:eastAsia="黑体" w:cs="Times New Roman"/>
      <w:b/>
      <w:szCs w:val="21"/>
    </w:rPr>
  </w:style>
  <w:style w:type="character" w:customStyle="1" w:styleId="147">
    <w:name w:val="标题 4 Char"/>
    <w:qFormat/>
    <w:uiPriority w:val="0"/>
    <w:rPr>
      <w:rFonts w:ascii="宋体" w:hAnsi="宋体" w:eastAsia="宋体"/>
      <w:b/>
      <w:kern w:val="2"/>
      <w:sz w:val="21"/>
      <w:szCs w:val="24"/>
      <w:lang w:val="en-US" w:eastAsia="zh-CN" w:bidi="ar-SA"/>
    </w:rPr>
  </w:style>
  <w:style w:type="character" w:customStyle="1" w:styleId="148">
    <w:name w:val="批注文字 字符3"/>
    <w:semiHidden/>
    <w:qFormat/>
    <w:uiPriority w:val="99"/>
    <w:rPr>
      <w:rFonts w:ascii="宋体" w:hAnsi="Calibri" w:eastAsia="宋体" w:cs="Times New Roman"/>
      <w:kern w:val="0"/>
      <w:sz w:val="24"/>
      <w:szCs w:val="24"/>
    </w:rPr>
  </w:style>
  <w:style w:type="character" w:customStyle="1" w:styleId="149">
    <w:name w:val="纯文本 字符1"/>
    <w:qFormat/>
    <w:uiPriority w:val="0"/>
    <w:rPr>
      <w:rFonts w:ascii="宋体" w:hAnsi="Courier New" w:eastAsia="宋体"/>
      <w:kern w:val="2"/>
      <w:sz w:val="21"/>
      <w:szCs w:val="24"/>
      <w:lang w:val="en-US" w:eastAsia="zh-CN" w:bidi="ar-SA"/>
    </w:rPr>
  </w:style>
  <w:style w:type="character" w:customStyle="1" w:styleId="150">
    <w:name w:val="列出段落 Char1"/>
    <w:qFormat/>
    <w:uiPriority w:val="34"/>
    <w:rPr>
      <w:rFonts w:ascii="宋体"/>
      <w:sz w:val="24"/>
      <w:szCs w:val="24"/>
    </w:rPr>
  </w:style>
  <w:style w:type="character" w:customStyle="1" w:styleId="151">
    <w:name w:val="彩色列表 - 着色 1 字符"/>
    <w:link w:val="152"/>
    <w:qFormat/>
    <w:uiPriority w:val="0"/>
    <w:rPr>
      <w:rFonts w:ascii="Calibri" w:hAnsi="Calibri"/>
    </w:rPr>
  </w:style>
  <w:style w:type="paragraph" w:customStyle="1" w:styleId="152">
    <w:name w:val="彩色列表 - 着色 11"/>
    <w:basedOn w:val="1"/>
    <w:link w:val="151"/>
    <w:qFormat/>
    <w:uiPriority w:val="0"/>
    <w:pPr>
      <w:ind w:firstLine="420" w:firstLineChars="200"/>
    </w:pPr>
    <w:rPr>
      <w:rFonts w:ascii="Calibri" w:hAnsi="Calibri"/>
    </w:rPr>
  </w:style>
  <w:style w:type="character" w:customStyle="1" w:styleId="153">
    <w:name w:val="纯文本 Char"/>
    <w:qFormat/>
    <w:uiPriority w:val="0"/>
    <w:rPr>
      <w:rFonts w:ascii="宋体" w:hAnsi="Courier New" w:eastAsia="宋体" w:cs="Times New Roman"/>
      <w:szCs w:val="20"/>
    </w:rPr>
  </w:style>
  <w:style w:type="character" w:customStyle="1" w:styleId="154">
    <w:name w:val="标题 6 字符1"/>
    <w:link w:val="7"/>
    <w:qFormat/>
    <w:uiPriority w:val="9"/>
    <w:rPr>
      <w:rFonts w:ascii="Times New Roman" w:hAnsi="Calibri" w:eastAsia="黑体" w:cs="Times New Roman"/>
      <w:b/>
      <w:bCs/>
      <w:kern w:val="0"/>
      <w:sz w:val="28"/>
      <w:szCs w:val="24"/>
    </w:rPr>
  </w:style>
  <w:style w:type="character" w:customStyle="1" w:styleId="155">
    <w:name w:val="标题 3 字符1"/>
    <w:link w:val="2"/>
    <w:qFormat/>
    <w:uiPriority w:val="0"/>
    <w:rPr>
      <w:rFonts w:ascii="宋体" w:hAnsi="Calibri" w:eastAsia="宋体" w:cs="Times New Roman"/>
      <w:kern w:val="0"/>
      <w:sz w:val="24"/>
      <w:szCs w:val="24"/>
    </w:rPr>
  </w:style>
  <w:style w:type="character" w:customStyle="1" w:styleId="156">
    <w:name w:val="正文文本缩进 2 字符1"/>
    <w:semiHidden/>
    <w:qFormat/>
    <w:uiPriority w:val="99"/>
    <w:rPr>
      <w:rFonts w:ascii="宋体" w:hAnsi="Calibri" w:eastAsia="宋体" w:cs="Times New Roman"/>
      <w:kern w:val="0"/>
      <w:sz w:val="24"/>
      <w:szCs w:val="24"/>
    </w:rPr>
  </w:style>
  <w:style w:type="character" w:customStyle="1" w:styleId="157">
    <w:name w:val="正文文本缩进 3 字符1"/>
    <w:semiHidden/>
    <w:qFormat/>
    <w:uiPriority w:val="99"/>
    <w:rPr>
      <w:rFonts w:ascii="宋体" w:hAnsi="Calibri" w:eastAsia="宋体" w:cs="Times New Roman"/>
      <w:kern w:val="0"/>
      <w:sz w:val="16"/>
      <w:szCs w:val="16"/>
    </w:rPr>
  </w:style>
  <w:style w:type="character" w:customStyle="1" w:styleId="158">
    <w:name w:val="正文文本 2 字符1"/>
    <w:semiHidden/>
    <w:qFormat/>
    <w:uiPriority w:val="99"/>
    <w:rPr>
      <w:rFonts w:ascii="宋体" w:hAnsi="Calibri" w:eastAsia="宋体" w:cs="Times New Roman"/>
      <w:kern w:val="0"/>
      <w:sz w:val="24"/>
      <w:szCs w:val="24"/>
    </w:rPr>
  </w:style>
  <w:style w:type="character" w:customStyle="1" w:styleId="159">
    <w:name w:val="eschoolnr"/>
    <w:qFormat/>
    <w:uiPriority w:val="0"/>
    <w:rPr>
      <w:sz w:val="23"/>
      <w:szCs w:val="23"/>
    </w:rPr>
  </w:style>
  <w:style w:type="character" w:customStyle="1" w:styleId="160">
    <w:name w:val="访问过的超链接1"/>
    <w:qFormat/>
    <w:uiPriority w:val="0"/>
    <w:rPr>
      <w:rFonts w:ascii="Arial" w:hAnsi="Arial" w:cs="Arial"/>
      <w:color w:val="000000"/>
      <w:sz w:val="20"/>
      <w:szCs w:val="20"/>
      <w:u w:val="none"/>
    </w:rPr>
  </w:style>
  <w:style w:type="character" w:customStyle="1" w:styleId="161">
    <w:name w:val="标题 1 字符1"/>
    <w:link w:val="3"/>
    <w:qFormat/>
    <w:uiPriority w:val="1"/>
    <w:rPr>
      <w:rFonts w:ascii="宋体" w:hAnsi="Calibri" w:eastAsia="宋体" w:cs="Times New Roman"/>
      <w:kern w:val="0"/>
      <w:sz w:val="24"/>
      <w:szCs w:val="24"/>
    </w:rPr>
  </w:style>
  <w:style w:type="character" w:customStyle="1" w:styleId="162">
    <w:name w:val="批注文字 Char1"/>
    <w:qFormat/>
    <w:uiPriority w:val="0"/>
    <w:rPr>
      <w:kern w:val="2"/>
      <w:sz w:val="21"/>
      <w:szCs w:val="24"/>
    </w:rPr>
  </w:style>
  <w:style w:type="character" w:customStyle="1" w:styleId="163">
    <w:name w:val="批注框文本 Char"/>
    <w:semiHidden/>
    <w:qFormat/>
    <w:uiPriority w:val="99"/>
    <w:rPr>
      <w:kern w:val="2"/>
      <w:sz w:val="18"/>
      <w:szCs w:val="18"/>
    </w:rPr>
  </w:style>
  <w:style w:type="character" w:customStyle="1" w:styleId="164">
    <w:name w:val="DAS正文 Char"/>
    <w:qFormat/>
    <w:uiPriority w:val="0"/>
    <w:rPr>
      <w:rFonts w:ascii="Verdana" w:hAnsi="Verdana" w:eastAsia="宋体"/>
      <w:kern w:val="2"/>
      <w:sz w:val="21"/>
      <w:szCs w:val="21"/>
      <w:lang w:val="en-US" w:eastAsia="zh-CN" w:bidi="ar-SA"/>
    </w:rPr>
  </w:style>
  <w:style w:type="character" w:customStyle="1" w:styleId="165">
    <w:name w:val="页眉 Char"/>
    <w:qFormat/>
    <w:uiPriority w:val="99"/>
    <w:rPr>
      <w:kern w:val="2"/>
      <w:sz w:val="18"/>
      <w:szCs w:val="18"/>
    </w:rPr>
  </w:style>
  <w:style w:type="character" w:customStyle="1" w:styleId="166">
    <w:name w:val="HTML 预设格式 字符1"/>
    <w:semiHidden/>
    <w:qFormat/>
    <w:uiPriority w:val="99"/>
    <w:rPr>
      <w:rFonts w:ascii="Courier New" w:hAnsi="Courier New" w:eastAsia="宋体" w:cs="Courier New"/>
      <w:kern w:val="0"/>
      <w:sz w:val="20"/>
      <w:szCs w:val="20"/>
    </w:rPr>
  </w:style>
  <w:style w:type="character" w:customStyle="1" w:styleId="167">
    <w:name w:val="彩色列表 - 强调文字颜色 1 Char"/>
    <w:link w:val="168"/>
    <w:qFormat/>
    <w:uiPriority w:val="0"/>
    <w:rPr>
      <w:rFonts w:ascii="宋体"/>
      <w:sz w:val="24"/>
      <w:szCs w:val="24"/>
    </w:rPr>
  </w:style>
  <w:style w:type="paragraph" w:customStyle="1" w:styleId="168">
    <w:name w:val="彩色列表 - 强调文字颜色 11"/>
    <w:basedOn w:val="1"/>
    <w:link w:val="167"/>
    <w:qFormat/>
    <w:uiPriority w:val="0"/>
    <w:pPr>
      <w:autoSpaceDE w:val="0"/>
      <w:autoSpaceDN w:val="0"/>
      <w:adjustRightInd w:val="0"/>
      <w:ind w:firstLine="420" w:firstLineChars="200"/>
      <w:jc w:val="left"/>
    </w:pPr>
    <w:rPr>
      <w:rFonts w:ascii="宋体"/>
      <w:sz w:val="24"/>
      <w:szCs w:val="24"/>
    </w:rPr>
  </w:style>
  <w:style w:type="character" w:customStyle="1" w:styleId="169">
    <w:name w:val="普通(网站) 字符"/>
    <w:qFormat/>
    <w:locked/>
    <w:uiPriority w:val="99"/>
    <w:rPr>
      <w:rFonts w:ascii="宋体" w:hAnsi="宋体" w:eastAsia="宋体" w:cs="Times New Roman"/>
      <w:kern w:val="0"/>
      <w:sz w:val="15"/>
      <w:szCs w:val="15"/>
      <w:lang w:val="en-US" w:eastAsia="zh-CN"/>
    </w:rPr>
  </w:style>
  <w:style w:type="paragraph" w:customStyle="1" w:styleId="170">
    <w:name w:val="_Style 123"/>
    <w:basedOn w:val="1"/>
    <w:next w:val="141"/>
    <w:qFormat/>
    <w:uiPriority w:val="34"/>
    <w:pPr>
      <w:spacing w:line="360" w:lineRule="auto"/>
      <w:ind w:firstLine="420" w:firstLineChars="200"/>
    </w:pPr>
    <w:rPr>
      <w:rFonts w:ascii="Calibri" w:hAnsi="Calibri" w:eastAsia="宋体" w:cs="Times New Roman"/>
    </w:rPr>
  </w:style>
  <w:style w:type="character" w:customStyle="1" w:styleId="171">
    <w:name w:val="纯文本 字符4"/>
    <w:basedOn w:val="47"/>
    <w:semiHidden/>
    <w:qFormat/>
    <w:uiPriority w:val="99"/>
    <w:rPr>
      <w:rFonts w:ascii="等线" w:hAnsi="Courier New" w:cs="Courier New"/>
    </w:rPr>
  </w:style>
  <w:style w:type="character" w:customStyle="1" w:styleId="172">
    <w:name w:val="批注文字 字符4"/>
    <w:basedOn w:val="47"/>
    <w:link w:val="63"/>
    <w:qFormat/>
    <w:uiPriority w:val="99"/>
    <w:rPr>
      <w:kern w:val="2"/>
      <w:sz w:val="21"/>
      <w:szCs w:val="22"/>
    </w:rPr>
  </w:style>
  <w:style w:type="character" w:customStyle="1" w:styleId="173">
    <w:name w:val="批注主题 字符2"/>
    <w:basedOn w:val="172"/>
    <w:semiHidden/>
    <w:qFormat/>
    <w:uiPriority w:val="99"/>
    <w:rPr>
      <w:rFonts w:ascii="等线" w:hAnsi="等线" w:eastAsia="等线" w:cs="Times New Roman"/>
      <w:b/>
      <w:bCs/>
      <w:kern w:val="2"/>
      <w:sz w:val="21"/>
      <w:szCs w:val="22"/>
    </w:rPr>
  </w:style>
  <w:style w:type="character" w:customStyle="1" w:styleId="174">
    <w:name w:val="标题 字符3"/>
    <w:basedOn w:val="47"/>
    <w:qFormat/>
    <w:uiPriority w:val="10"/>
    <w:rPr>
      <w:rFonts w:ascii="等线 Light" w:hAnsi="等线 Light" w:eastAsia="等线 Light" w:cs="Times New Roman"/>
      <w:b/>
      <w:bCs/>
      <w:sz w:val="32"/>
      <w:szCs w:val="32"/>
    </w:rPr>
  </w:style>
  <w:style w:type="character" w:customStyle="1" w:styleId="175">
    <w:name w:val="正文文本缩进 字符3"/>
    <w:basedOn w:val="47"/>
    <w:semiHidden/>
    <w:qFormat/>
    <w:uiPriority w:val="99"/>
  </w:style>
  <w:style w:type="character" w:customStyle="1" w:styleId="176">
    <w:name w:val="正文文本 字符4"/>
    <w:basedOn w:val="47"/>
    <w:semiHidden/>
    <w:qFormat/>
    <w:uiPriority w:val="99"/>
  </w:style>
  <w:style w:type="character" w:customStyle="1" w:styleId="177">
    <w:name w:val="正文文本缩进 3 字符2"/>
    <w:basedOn w:val="47"/>
    <w:semiHidden/>
    <w:qFormat/>
    <w:uiPriority w:val="99"/>
    <w:rPr>
      <w:sz w:val="16"/>
      <w:szCs w:val="16"/>
    </w:rPr>
  </w:style>
  <w:style w:type="character" w:customStyle="1" w:styleId="178">
    <w:name w:val="页眉 字符2"/>
    <w:basedOn w:val="47"/>
    <w:semiHidden/>
    <w:qFormat/>
    <w:uiPriority w:val="99"/>
    <w:rPr>
      <w:sz w:val="18"/>
      <w:szCs w:val="18"/>
    </w:rPr>
  </w:style>
  <w:style w:type="character" w:customStyle="1" w:styleId="179">
    <w:name w:val="批注框文本 字符2"/>
    <w:basedOn w:val="47"/>
    <w:semiHidden/>
    <w:qFormat/>
    <w:uiPriority w:val="99"/>
    <w:rPr>
      <w:sz w:val="18"/>
      <w:szCs w:val="18"/>
    </w:rPr>
  </w:style>
  <w:style w:type="character" w:customStyle="1" w:styleId="180">
    <w:name w:val="HTML 预设格式 字符2"/>
    <w:basedOn w:val="47"/>
    <w:semiHidden/>
    <w:qFormat/>
    <w:uiPriority w:val="99"/>
    <w:rPr>
      <w:rFonts w:ascii="Courier New" w:hAnsi="Courier New" w:cs="Courier New"/>
      <w:sz w:val="20"/>
      <w:szCs w:val="20"/>
    </w:rPr>
  </w:style>
  <w:style w:type="character" w:customStyle="1" w:styleId="181">
    <w:name w:val="页脚 字符2"/>
    <w:basedOn w:val="47"/>
    <w:semiHidden/>
    <w:qFormat/>
    <w:uiPriority w:val="99"/>
    <w:rPr>
      <w:sz w:val="18"/>
      <w:szCs w:val="18"/>
    </w:rPr>
  </w:style>
  <w:style w:type="character" w:customStyle="1" w:styleId="182">
    <w:name w:val="正文文本缩进 2 字符2"/>
    <w:basedOn w:val="47"/>
    <w:semiHidden/>
    <w:qFormat/>
    <w:uiPriority w:val="99"/>
  </w:style>
  <w:style w:type="character" w:customStyle="1" w:styleId="183">
    <w:name w:val="正文文本 3 字符2"/>
    <w:basedOn w:val="47"/>
    <w:semiHidden/>
    <w:qFormat/>
    <w:uiPriority w:val="99"/>
    <w:rPr>
      <w:sz w:val="16"/>
      <w:szCs w:val="16"/>
    </w:rPr>
  </w:style>
  <w:style w:type="character" w:customStyle="1" w:styleId="184">
    <w:name w:val="正文文本 2 字符2"/>
    <w:basedOn w:val="47"/>
    <w:semiHidden/>
    <w:qFormat/>
    <w:uiPriority w:val="99"/>
  </w:style>
  <w:style w:type="paragraph" w:customStyle="1" w:styleId="185">
    <w:name w:val="WPSOffice手动目录 3"/>
    <w:qFormat/>
    <w:uiPriority w:val="0"/>
    <w:pPr>
      <w:ind w:left="400" w:leftChars="400"/>
    </w:pPr>
    <w:rPr>
      <w:rFonts w:ascii="Calibri" w:hAnsi="Calibri" w:eastAsia="宋体" w:cs="Times New Roman"/>
      <w:lang w:val="en-US" w:eastAsia="zh-CN" w:bidi="ar-SA"/>
    </w:rPr>
  </w:style>
  <w:style w:type="paragraph" w:customStyle="1" w:styleId="186">
    <w:name w:val="列表段落1"/>
    <w:basedOn w:val="1"/>
    <w:qFormat/>
    <w:uiPriority w:val="0"/>
    <w:pPr>
      <w:ind w:firstLine="420" w:firstLineChars="200"/>
    </w:pPr>
    <w:rPr>
      <w:rFonts w:ascii="Times New Roman" w:hAnsi="Times New Roman" w:eastAsia="宋体" w:cs="Times New Roman"/>
      <w:szCs w:val="20"/>
    </w:rPr>
  </w:style>
  <w:style w:type="character" w:customStyle="1" w:styleId="187">
    <w:name w:val="文档结构图 字符2"/>
    <w:basedOn w:val="47"/>
    <w:semiHidden/>
    <w:qFormat/>
    <w:uiPriority w:val="99"/>
    <w:rPr>
      <w:rFonts w:ascii="Microsoft YaHei UI" w:eastAsia="Microsoft YaHei UI"/>
      <w:sz w:val="18"/>
      <w:szCs w:val="18"/>
    </w:rPr>
  </w:style>
  <w:style w:type="character" w:customStyle="1" w:styleId="188">
    <w:name w:val="日期 字符2"/>
    <w:basedOn w:val="47"/>
    <w:semiHidden/>
    <w:qFormat/>
    <w:uiPriority w:val="99"/>
  </w:style>
  <w:style w:type="paragraph" w:customStyle="1" w:styleId="189">
    <w:name w:val="彩色底纹 - 强调文字颜色 11"/>
    <w:semiHidden/>
    <w:qFormat/>
    <w:uiPriority w:val="99"/>
    <w:rPr>
      <w:rFonts w:ascii="宋体" w:hAnsi="Calibri" w:eastAsia="宋体" w:cs="Times New Roman"/>
      <w:sz w:val="24"/>
      <w:szCs w:val="24"/>
      <w:lang w:val="en-US" w:eastAsia="zh-CN" w:bidi="ar-SA"/>
    </w:rPr>
  </w:style>
  <w:style w:type="paragraph" w:customStyle="1" w:styleId="190">
    <w:name w:val="d"/>
    <w:basedOn w:val="1"/>
    <w:qFormat/>
    <w:uiPriority w:val="0"/>
    <w:pPr>
      <w:overflowPunct w:val="0"/>
      <w:autoSpaceDE w:val="0"/>
      <w:autoSpaceDN w:val="0"/>
      <w:adjustRightInd w:val="0"/>
      <w:snapToGrid w:val="0"/>
      <w:spacing w:line="360" w:lineRule="auto"/>
      <w:ind w:firstLine="480" w:firstLineChars="200"/>
    </w:pPr>
    <w:rPr>
      <w:rFonts w:ascii="宋体" w:hAnsi="宋体" w:eastAsia="宋体" w:cs="Arial"/>
      <w:snapToGrid w:val="0"/>
      <w:kern w:val="0"/>
      <w:sz w:val="24"/>
      <w:szCs w:val="21"/>
    </w:rPr>
  </w:style>
  <w:style w:type="paragraph" w:customStyle="1" w:styleId="191">
    <w:name w:val="修订1"/>
    <w:semiHidden/>
    <w:qFormat/>
    <w:uiPriority w:val="99"/>
    <w:rPr>
      <w:rFonts w:ascii="宋体" w:hAnsi="Calibri" w:eastAsia="宋体" w:cs="Times New Roman"/>
      <w:sz w:val="24"/>
      <w:szCs w:val="24"/>
      <w:lang w:val="en-US" w:eastAsia="zh-CN" w:bidi="ar-SA"/>
    </w:rPr>
  </w:style>
  <w:style w:type="paragraph" w:customStyle="1" w:styleId="192">
    <w:name w:val="图/图注"/>
    <w:basedOn w:val="8"/>
    <w:qFormat/>
    <w:uiPriority w:val="0"/>
    <w:pPr>
      <w:wordWrap/>
      <w:autoSpaceDE/>
      <w:autoSpaceDN/>
      <w:adjustRightInd/>
      <w:spacing w:before="50"/>
      <w:ind w:firstLine="0" w:firstLineChars="0"/>
      <w:jc w:val="center"/>
    </w:pPr>
    <w:rPr>
      <w:rFonts w:ascii="Times New Roman" w:eastAsia="黑体"/>
      <w:b/>
      <w:sz w:val="21"/>
      <w:szCs w:val="22"/>
    </w:rPr>
  </w:style>
  <w:style w:type="paragraph" w:customStyle="1" w:styleId="193">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94">
    <w:name w:val="A."/>
    <w:basedOn w:val="1"/>
    <w:qFormat/>
    <w:uiPriority w:val="0"/>
    <w:pPr>
      <w:widowControl/>
      <w:tabs>
        <w:tab w:val="left" w:pos="859"/>
        <w:tab w:val="left" w:pos="1200"/>
      </w:tabs>
      <w:spacing w:before="240" w:line="240" w:lineRule="atLeast"/>
      <w:ind w:left="859" w:hanging="453"/>
    </w:pPr>
    <w:rPr>
      <w:rFonts w:ascii="Times New Roman" w:hAnsi="Times New Roman" w:eastAsia="宋体" w:cs="Times New Roman"/>
      <w:sz w:val="24"/>
      <w:szCs w:val="24"/>
    </w:rPr>
  </w:style>
  <w:style w:type="paragraph" w:customStyle="1" w:styleId="195">
    <w:name w:val="Pa8"/>
    <w:basedOn w:val="1"/>
    <w:next w:val="1"/>
    <w:qFormat/>
    <w:uiPriority w:val="99"/>
    <w:pPr>
      <w:autoSpaceDE w:val="0"/>
      <w:autoSpaceDN w:val="0"/>
      <w:adjustRightInd w:val="0"/>
      <w:spacing w:line="181" w:lineRule="atLeast"/>
      <w:jc w:val="left"/>
    </w:pPr>
    <w:rPr>
      <w:rFonts w:ascii="FrutigerNext LT Light" w:hAnsi="Calibri" w:eastAsia="FrutigerNext LT Light" w:cs="Times New Roman"/>
      <w:kern w:val="0"/>
      <w:sz w:val="24"/>
      <w:szCs w:val="24"/>
    </w:rPr>
  </w:style>
  <w:style w:type="paragraph" w:customStyle="1" w:styleId="196">
    <w:name w:val="p0"/>
    <w:basedOn w:val="1"/>
    <w:qFormat/>
    <w:uiPriority w:val="0"/>
    <w:pPr>
      <w:widowControl/>
    </w:pPr>
    <w:rPr>
      <w:rFonts w:ascii="Times New Roman" w:hAnsi="Calibri" w:eastAsia="宋体" w:cs="Times New Roman"/>
      <w:kern w:val="0"/>
      <w:szCs w:val="20"/>
    </w:rPr>
  </w:style>
  <w:style w:type="paragraph" w:customStyle="1" w:styleId="197">
    <w:name w:val="Char Char Char Char Char Char"/>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98">
    <w:name w:val="Char"/>
    <w:basedOn w:val="1"/>
    <w:qFormat/>
    <w:uiPriority w:val="0"/>
    <w:pPr>
      <w:widowControl/>
      <w:spacing w:after="160" w:line="240" w:lineRule="exact"/>
      <w:jc w:val="center"/>
    </w:pPr>
    <w:rPr>
      <w:rFonts w:ascii="Times New Roman" w:hAnsi="Times New Roman" w:eastAsia="宋体" w:cs="Times New Roman"/>
      <w:szCs w:val="24"/>
    </w:rPr>
  </w:style>
  <w:style w:type="paragraph" w:customStyle="1" w:styleId="199">
    <w:name w:val="网格表 32"/>
    <w:basedOn w:val="3"/>
    <w:next w:val="1"/>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200">
    <w:name w:val="WPSOffice手动目录 1"/>
    <w:qFormat/>
    <w:uiPriority w:val="0"/>
    <w:rPr>
      <w:rFonts w:ascii="Calibri" w:hAnsi="Calibri" w:eastAsia="宋体" w:cs="Times New Roman"/>
      <w:lang w:val="en-US" w:eastAsia="zh-CN" w:bidi="ar-SA"/>
    </w:rPr>
  </w:style>
  <w:style w:type="paragraph" w:customStyle="1" w:styleId="201">
    <w:name w:val="_Style 69"/>
    <w:basedOn w:val="1"/>
    <w:next w:val="141"/>
    <w:qFormat/>
    <w:uiPriority w:val="34"/>
    <w:pPr>
      <w:spacing w:line="360" w:lineRule="auto"/>
      <w:ind w:firstLine="420" w:firstLineChars="200"/>
    </w:pPr>
    <w:rPr>
      <w:rFonts w:ascii="Calibri" w:hAnsi="Calibri" w:eastAsia="宋体" w:cs="Times New Roman"/>
    </w:rPr>
  </w:style>
  <w:style w:type="paragraph" w:customStyle="1" w:styleId="202">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203">
    <w:name w:val="保留正文"/>
    <w:basedOn w:val="19"/>
    <w:qFormat/>
    <w:uiPriority w:val="0"/>
    <w:pPr>
      <w:keepNext/>
      <w:autoSpaceDE/>
      <w:autoSpaceDN/>
      <w:adjustRightInd/>
      <w:spacing w:after="160"/>
      <w:ind w:right="0"/>
      <w:jc w:val="both"/>
    </w:pPr>
    <w:rPr>
      <w:rFonts w:ascii="Times New Roman"/>
      <w:b w:val="0"/>
      <w:bCs w:val="0"/>
      <w:sz w:val="21"/>
      <w:szCs w:val="24"/>
      <w:lang w:val="en-US"/>
    </w:rPr>
  </w:style>
  <w:style w:type="paragraph" w:customStyle="1" w:styleId="204">
    <w:name w:val="彩色底纹 - 着色 11"/>
    <w:semiHidden/>
    <w:qFormat/>
    <w:uiPriority w:val="99"/>
    <w:rPr>
      <w:rFonts w:ascii="宋体" w:hAnsi="Calibri" w:eastAsia="宋体" w:cs="Times New Roman"/>
      <w:sz w:val="24"/>
      <w:szCs w:val="24"/>
      <w:lang w:val="en-US" w:eastAsia="zh-CN" w:bidi="ar-SA"/>
    </w:rPr>
  </w:style>
  <w:style w:type="paragraph" w:customStyle="1" w:styleId="205">
    <w:name w:val="WPSOffice手动目录 2"/>
    <w:qFormat/>
    <w:uiPriority w:val="0"/>
    <w:pPr>
      <w:ind w:left="200" w:leftChars="200"/>
    </w:pPr>
    <w:rPr>
      <w:rFonts w:ascii="Calibri" w:hAnsi="Calibri" w:eastAsia="宋体" w:cs="Times New Roman"/>
      <w:lang w:val="en-US" w:eastAsia="zh-CN" w:bidi="ar-SA"/>
    </w:rPr>
  </w:style>
  <w:style w:type="paragraph" w:customStyle="1" w:styleId="206">
    <w:name w:val="网格表 31"/>
    <w:basedOn w:val="3"/>
    <w:next w:val="1"/>
    <w:unhideWhenUsed/>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207">
    <w:name w:val="表格文字居中"/>
    <w:basedOn w:val="134"/>
    <w:qFormat/>
    <w:uiPriority w:val="0"/>
    <w:pPr>
      <w:jc w:val="center"/>
    </w:pPr>
    <w:rPr>
      <w:rFonts w:cs="宋体"/>
      <w:szCs w:val="20"/>
    </w:rPr>
  </w:style>
  <w:style w:type="paragraph" w:customStyle="1" w:styleId="208">
    <w:name w:val="正文缩进4格"/>
    <w:basedOn w:val="87"/>
    <w:qFormat/>
    <w:uiPriority w:val="0"/>
    <w:pPr>
      <w:spacing w:line="360" w:lineRule="auto"/>
      <w:ind w:left="964" w:leftChars="314" w:hanging="210" w:hangingChars="100"/>
    </w:pPr>
    <w:rPr>
      <w:rFonts w:ascii="宋体" w:eastAsia="宋体"/>
      <w:sz w:val="21"/>
      <w:szCs w:val="21"/>
      <w:lang w:val="zh-CN"/>
    </w:rPr>
  </w:style>
  <w:style w:type="paragraph" w:customStyle="1" w:styleId="209">
    <w:name w:val="版本说明标题"/>
    <w:basedOn w:val="1"/>
    <w:qFormat/>
    <w:uiPriority w:val="0"/>
    <w:pPr>
      <w:adjustRightInd w:val="0"/>
      <w:snapToGrid w:val="0"/>
      <w:spacing w:beforeLines="50" w:afterLines="50"/>
      <w:ind w:firstLine="560"/>
      <w:jc w:val="center"/>
      <w:textAlignment w:val="baseline"/>
    </w:pPr>
    <w:rPr>
      <w:rFonts w:ascii="Times New Roman" w:hAnsi="Calibri" w:eastAsia="仿宋_GB2312" w:cs="Times New Roman"/>
      <w:b/>
      <w:color w:val="000000"/>
      <w:sz w:val="28"/>
      <w:szCs w:val="28"/>
    </w:rPr>
  </w:style>
  <w:style w:type="character" w:customStyle="1" w:styleId="210">
    <w:name w:val="正文文本首行缩进 字符"/>
    <w:basedOn w:val="131"/>
    <w:semiHidden/>
    <w:qFormat/>
    <w:uiPriority w:val="99"/>
    <w:rPr>
      <w:rFonts w:ascii="宋体" w:eastAsia="宋体"/>
      <w:b w:val="0"/>
      <w:bCs w:val="0"/>
      <w:sz w:val="84"/>
      <w:szCs w:val="84"/>
      <w:lang w:val="zh-CN"/>
    </w:rPr>
  </w:style>
  <w:style w:type="paragraph" w:customStyle="1" w:styleId="211">
    <w:name w:val="修订2"/>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12">
    <w:name w:val="修订3"/>
    <w:hidden/>
    <w:unhideWhenUsed/>
    <w:qFormat/>
    <w:uiPriority w:val="99"/>
    <w:rPr>
      <w:rFonts w:asciiTheme="minorHAnsi" w:hAnsiTheme="minorHAnsi" w:eastAsiaTheme="minorEastAsia" w:cstheme="minorBidi"/>
      <w:kern w:val="2"/>
      <w:sz w:val="21"/>
      <w:szCs w:val="22"/>
      <w:lang w:val="en-US" w:eastAsia="zh-CN" w:bidi="ar-SA"/>
    </w:rPr>
  </w:style>
  <w:style w:type="table" w:customStyle="1" w:styleId="213">
    <w:name w:val="网格型1"/>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4">
    <w:name w:val="网格型2"/>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5">
    <w:name w:val="网格型3"/>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6">
    <w:name w:val="网格型4"/>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7">
    <w:name w:val="网格型5"/>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8">
    <w:name w:val="网格型6"/>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9">
    <w:name w:val="网格型7"/>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0">
    <w:name w:val="网格型8"/>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
    <w:name w:val="网格型9"/>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2">
    <w:name w:val="网格型10"/>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3">
    <w:name w:val="网格型11"/>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4">
    <w:name w:val="网格型12"/>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5">
    <w:name w:val="网格型13"/>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6">
    <w:name w:val="网格型14"/>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7">
    <w:name w:val="网格型15"/>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8">
    <w:name w:val="网格型16"/>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9">
    <w:name w:val="网格型17"/>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0">
    <w:name w:val="网格型18"/>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1">
    <w:name w:val="网格型19"/>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2">
    <w:name w:val="网格型20"/>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3">
    <w:name w:val="网格型21"/>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4">
    <w:name w:val="网格型22"/>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5">
    <w:name w:val="网格型23"/>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6">
    <w:name w:val="网格型24"/>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7">
    <w:name w:val="网格型25"/>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8">
    <w:name w:val="网格型26"/>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9">
    <w:name w:val="网格型27"/>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0">
    <w:name w:val="网格型28"/>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1">
    <w:name w:val="网格型29"/>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2">
    <w:name w:val="网格型30"/>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3">
    <w:name w:val="网格型31"/>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4">
    <w:name w:val="网格型32"/>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5">
    <w:name w:val="网格型33"/>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6">
    <w:name w:val="网格型34"/>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7">
    <w:name w:val="网格型35"/>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8">
    <w:name w:val="网格型36"/>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9">
    <w:name w:val="网格型37"/>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0">
    <w:name w:val="网格型38"/>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1">
    <w:name w:val="网格型39"/>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2">
    <w:name w:val="网格型40"/>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3">
    <w:name w:val="网格型41"/>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4">
    <w:name w:val="网格型42"/>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55">
    <w:name w:val="修订4"/>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56">
    <w:name w:val="修订5"/>
    <w:next w:val="257"/>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57">
    <w:name w:val="修订6"/>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58">
    <w:name w:val="正文文本首行缩进 字符1"/>
    <w:basedOn w:val="131"/>
    <w:link w:val="79"/>
    <w:semiHidden/>
    <w:qFormat/>
    <w:uiPriority w:val="99"/>
    <w:rPr>
      <w:rFonts w:ascii="宋体" w:eastAsia="宋体"/>
      <w:b w:val="0"/>
      <w:bCs w:val="0"/>
      <w:sz w:val="84"/>
      <w:szCs w:val="84"/>
      <w:lang w:val="zh-CN"/>
    </w:rPr>
  </w:style>
  <w:style w:type="table" w:customStyle="1" w:styleId="259">
    <w:name w:val="网格型43"/>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0">
    <w:name w:val="网格型44"/>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1">
    <w:name w:val="网格型45"/>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2">
    <w:name w:val="网格型46"/>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3">
    <w:name w:val="网格型47"/>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4">
    <w:name w:val="网格型48"/>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5">
    <w:name w:val="网格型49"/>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6">
    <w:name w:val="网格型50"/>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7">
    <w:name w:val="网格型51"/>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8">
    <w:name w:val="网格型52"/>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9">
    <w:name w:val="网格型53"/>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0">
    <w:name w:val="网格型54"/>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1">
    <w:name w:val="网格型55"/>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2">
    <w:name w:val="网格型56"/>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3">
    <w:name w:val="网格型57"/>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4">
    <w:name w:val="网格型58"/>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5">
    <w:name w:val="网格型59"/>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6">
    <w:name w:val="网格型60"/>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7">
    <w:name w:val="网格型61"/>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8">
    <w:name w:val="网格型62"/>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9">
    <w:name w:val="网格型63"/>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0">
    <w:name w:val="网格型64"/>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1">
    <w:name w:val="网格型65"/>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2">
    <w:name w:val="网格型66"/>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3">
    <w:name w:val="网格型67"/>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4">
    <w:name w:val="网格型68"/>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5">
    <w:name w:val="网格型69"/>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6">
    <w:name w:val="网格型70"/>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7">
    <w:name w:val="网格型71"/>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8">
    <w:name w:val="网格型72"/>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9">
    <w:name w:val="网格型73"/>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0">
    <w:name w:val="网格型74"/>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1">
    <w:name w:val="网格型75"/>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2">
    <w:name w:val="网格型76"/>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3">
    <w:name w:val="网格型77"/>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4">
    <w:name w:val="网格型78"/>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5">
    <w:name w:val="网格型79"/>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6">
    <w:name w:val="网格型80"/>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7">
    <w:name w:val="网格型81"/>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8">
    <w:name w:val="网格型82"/>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9">
    <w:name w:val="网格型83"/>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0">
    <w:name w:val="网格型84"/>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01">
    <w:name w:val="未处理的提及1"/>
    <w:basedOn w:val="47"/>
    <w:semiHidden/>
    <w:unhideWhenUsed/>
    <w:qFormat/>
    <w:uiPriority w:val="99"/>
    <w:rPr>
      <w:color w:val="605E5C"/>
      <w:shd w:val="clear" w:color="auto" w:fill="E1DFDD"/>
    </w:rPr>
  </w:style>
  <w:style w:type="paragraph" w:customStyle="1" w:styleId="302">
    <w:name w:val="修订7"/>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303">
    <w:name w:val="修订8"/>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304">
    <w:name w:val="修订9"/>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305">
    <w:name w:val="正文首行缩进 字符"/>
    <w:basedOn w:val="131"/>
    <w:link w:val="43"/>
    <w:semiHidden/>
    <w:qFormat/>
    <w:uiPriority w:val="99"/>
    <w:rPr>
      <w:rFonts w:ascii="宋体" w:eastAsia="宋体"/>
      <w:b w:val="0"/>
      <w:bCs w:val="0"/>
      <w:sz w:val="84"/>
      <w:szCs w:val="84"/>
      <w:lang w:val="zh-CN"/>
    </w:rPr>
  </w:style>
  <w:style w:type="paragraph" w:customStyle="1" w:styleId="306">
    <w:name w:val="修订10"/>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307">
    <w:name w:val="修订11"/>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308">
    <w:name w:val="修订12"/>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309">
    <w:name w:val="15"/>
    <w:basedOn w:val="47"/>
    <w:qFormat/>
    <w:uiPriority w:val="0"/>
    <w:rPr>
      <w:rFonts w:hint="eastAsia" w:ascii="宋体" w:hAnsi="宋体" w:eastAsia="宋体" w:cs="宋体"/>
      <w:color w:val="000000"/>
      <w:sz w:val="24"/>
      <w:szCs w:val="24"/>
    </w:rPr>
  </w:style>
  <w:style w:type="character" w:customStyle="1" w:styleId="310">
    <w:name w:val="10"/>
    <w:basedOn w:val="47"/>
    <w:qFormat/>
    <w:uiPriority w:val="0"/>
    <w:rPr>
      <w:rFonts w:hint="default" w:ascii="Times New Roman" w:hAnsi="Times New Roman" w:cs="Times New Roman"/>
    </w:rPr>
  </w:style>
  <w:style w:type="character" w:customStyle="1" w:styleId="311">
    <w:name w:val="16"/>
    <w:basedOn w:val="47"/>
    <w:qFormat/>
    <w:uiPriority w:val="0"/>
    <w:rPr>
      <w:rFonts w:hint="default" w:ascii="Calibri" w:hAnsi="Calibri" w:cs="Calibri"/>
      <w:color w:val="000000"/>
      <w:sz w:val="24"/>
      <w:szCs w:val="24"/>
    </w:rPr>
  </w:style>
  <w:style w:type="character" w:customStyle="1" w:styleId="312">
    <w:name w:val="17"/>
    <w:basedOn w:val="47"/>
    <w:qFormat/>
    <w:uiPriority w:val="0"/>
    <w:rPr>
      <w:rFonts w:hint="eastAsia" w:ascii="宋体" w:hAnsi="宋体" w:eastAsia="宋体" w:cs="宋体"/>
      <w:color w:val="000000"/>
      <w:sz w:val="24"/>
      <w:szCs w:val="24"/>
    </w:rPr>
  </w:style>
  <w:style w:type="paragraph" w:customStyle="1" w:styleId="313">
    <w:name w:val="_标准条文"/>
    <w:basedOn w:val="1"/>
    <w:qFormat/>
    <w:uiPriority w:val="0"/>
    <w:pPr>
      <w:overflowPunct w:val="0"/>
      <w:snapToGrid w:val="0"/>
      <w:spacing w:line="273" w:lineRule="auto"/>
      <w:ind w:firstLine="420" w:firstLineChars="200"/>
    </w:pPr>
    <w:rPr>
      <w:rFonts w:hint="eastAsia" w:ascii="等线" w:hAnsi="等线" w:eastAsia="等线" w:cs="Times New Roman"/>
      <w:szCs w:val="21"/>
    </w:rPr>
  </w:style>
  <w:style w:type="paragraph" w:customStyle="1" w:styleId="314">
    <w:name w:val="_附录编号标题"/>
    <w:basedOn w:val="1"/>
    <w:qFormat/>
    <w:uiPriority w:val="0"/>
    <w:pPr>
      <w:snapToGrid w:val="0"/>
      <w:spacing w:before="567"/>
      <w:jc w:val="center"/>
    </w:pPr>
    <w:rPr>
      <w:rFonts w:hint="eastAsia" w:ascii="等线" w:hAnsi="等线" w:eastAsia="黑体" w:cs="Times New Roman"/>
      <w:color w:val="000000"/>
      <w:szCs w:val="21"/>
    </w:rPr>
  </w:style>
  <w:style w:type="paragraph" w:customStyle="1" w:styleId="315">
    <w:name w:val="Body Text First Indent1"/>
    <w:basedOn w:val="1"/>
    <w:qFormat/>
    <w:uiPriority w:val="0"/>
    <w:pPr>
      <w:ind w:firstLine="420" w:firstLineChars="100"/>
    </w:pPr>
    <w:rPr>
      <w:rFonts w:hint="eastAsia" w:ascii="等线" w:hAnsi="等线" w:eastAsia="等线" w:cs="Times New Roman"/>
      <w:szCs w:val="21"/>
    </w:rPr>
  </w:style>
  <w:style w:type="paragraph" w:customStyle="1" w:styleId="316">
    <w:name w:val="正文1"/>
    <w:basedOn w:val="1"/>
    <w:qFormat/>
    <w:uiPriority w:val="0"/>
    <w:pPr>
      <w:autoSpaceDE w:val="0"/>
      <w:spacing w:line="360" w:lineRule="auto"/>
      <w:ind w:firstLine="200" w:firstLineChars="200"/>
    </w:pPr>
    <w:rPr>
      <w:rFonts w:ascii="Times New Roman" w:hAnsi="等线" w:eastAsia="等线" w:cs="Times New Roman"/>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101</Pages>
  <Words>13288</Words>
  <Characters>14068</Characters>
  <Lines>1</Lines>
  <Paragraphs>1</Paragraphs>
  <TotalTime>4</TotalTime>
  <ScaleCrop>false</ScaleCrop>
  <LinksUpToDate>false</LinksUpToDate>
  <CharactersWithSpaces>14411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2024-07-03T03:14:00Z</dcterms:created>
  <dc:creator>有德-豪</dc:creator>
  <cp:lastModifiedBy>WPS_1528900434</cp:lastModifiedBy>
  <cp:lastPrinted>2024-07-02T08:55:00Z</cp:lastPrinted>
  <dcterms:modified xsi:type="dcterms:W3CDTF">2024-12-26T07:14:23Z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9C45F4DBE76640D0BE52B87976F5AF98_13</vt:lpwstr>
  </property>
  <property fmtid="{D5CDD505-2E9C-101B-9397-08002B2CF9AE}" pid="4" name="KSOTemplateDocerSaveRecord">
    <vt:lpwstr>eyJoZGlkIjoiOGY5ODE3YmQ4YWE2MTA3ODk4MTRlMWQ3NmVkMTlhZjkiLCJ1c2VySWQiOiIzNzgyNDAxOTUifQ==</vt:lpwstr>
  </property>
</Properties>
</file>